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EA22CA" w14:textId="77777777" w:rsidR="000E4B47" w:rsidRPr="00CA2CC1" w:rsidRDefault="00000000" w:rsidP="0043303B">
      <w:pPr>
        <w:pStyle w:val="Title"/>
        <w:ind w:left="0" w:right="0"/>
        <w:rPr>
          <w:rFonts w:ascii="Calibri" w:hAnsi="Calibri" w:cs="Calibri"/>
          <w:color w:val="000000" w:themeColor="text1"/>
          <w:w w:val="110"/>
        </w:rPr>
      </w:pPr>
      <w:r w:rsidRPr="00CA2CC1">
        <w:rPr>
          <w:rFonts w:ascii="Calibri" w:hAnsi="Calibri" w:cs="Calibri"/>
          <w:color w:val="000000" w:themeColor="text1"/>
          <w:spacing w:val="9"/>
          <w:w w:val="110"/>
        </w:rPr>
        <w:t xml:space="preserve">Annual </w:t>
      </w:r>
      <w:r w:rsidRPr="00CA2CC1">
        <w:rPr>
          <w:rFonts w:ascii="Calibri" w:hAnsi="Calibri" w:cs="Calibri"/>
          <w:color w:val="000000" w:themeColor="text1"/>
          <w:w w:val="110"/>
        </w:rPr>
        <w:t xml:space="preserve">report </w:t>
      </w:r>
    </w:p>
    <w:p w14:paraId="757026D5" w14:textId="35241FF1" w:rsidR="00FA4226" w:rsidRPr="00CA2CC1" w:rsidRDefault="00000000" w:rsidP="0043303B">
      <w:pPr>
        <w:pStyle w:val="Title"/>
        <w:ind w:left="0" w:right="0"/>
        <w:rPr>
          <w:rFonts w:ascii="Calibri" w:hAnsi="Calibri" w:cs="Calibri"/>
          <w:color w:val="000000" w:themeColor="text1"/>
        </w:rPr>
      </w:pPr>
      <w:r w:rsidRPr="00CA2CC1">
        <w:rPr>
          <w:rFonts w:ascii="Calibri" w:hAnsi="Calibri" w:cs="Calibri"/>
          <w:color w:val="000000" w:themeColor="text1"/>
          <w:spacing w:val="-2"/>
          <w:w w:val="110"/>
        </w:rPr>
        <w:t>2022</w:t>
      </w:r>
      <w:r w:rsidRPr="00CA2CC1">
        <w:rPr>
          <w:rFonts w:ascii="Calibri" w:hAnsi="Calibri" w:cs="Calibri"/>
          <w:color w:val="000000" w:themeColor="text1"/>
          <w:spacing w:val="-2"/>
          <w:w w:val="110"/>
          <w:position w:val="4"/>
        </w:rPr>
        <w:t>–</w:t>
      </w:r>
      <w:r w:rsidRPr="00CA2CC1">
        <w:rPr>
          <w:rFonts w:ascii="Calibri" w:hAnsi="Calibri" w:cs="Calibri"/>
          <w:color w:val="000000" w:themeColor="text1"/>
          <w:spacing w:val="-2"/>
          <w:w w:val="110"/>
        </w:rPr>
        <w:t>23</w:t>
      </w:r>
    </w:p>
    <w:p w14:paraId="6A8EB981" w14:textId="77777777" w:rsidR="00FA4226" w:rsidRPr="00CA2CC1" w:rsidRDefault="00FA4226" w:rsidP="0043303B">
      <w:pPr>
        <w:rPr>
          <w:rFonts w:cs="Calibri"/>
        </w:rPr>
        <w:sectPr w:rsidR="00FA4226" w:rsidRPr="00CA2CC1" w:rsidSect="00E941A5">
          <w:type w:val="continuous"/>
          <w:pgSz w:w="11910" w:h="16840"/>
          <w:pgMar w:top="1134" w:right="1278" w:bottom="1134" w:left="1134" w:header="720" w:footer="720" w:gutter="0"/>
          <w:cols w:space="720"/>
        </w:sectPr>
      </w:pPr>
    </w:p>
    <w:p w14:paraId="08FE15F4" w14:textId="77777777" w:rsidR="00FA4226" w:rsidRPr="008920A5" w:rsidRDefault="00000000" w:rsidP="008920A5">
      <w:pPr>
        <w:pStyle w:val="Heading3"/>
      </w:pPr>
      <w:r w:rsidRPr="008920A5">
        <w:lastRenderedPageBreak/>
        <w:t>Responsible body’s declaration</w:t>
      </w:r>
    </w:p>
    <w:p w14:paraId="169CE7AB" w14:textId="77777777" w:rsidR="00FA4226" w:rsidRPr="00CA2CC1" w:rsidRDefault="00000000" w:rsidP="0043303B">
      <w:pPr>
        <w:pStyle w:val="BodyText"/>
        <w:spacing w:before="187"/>
        <w:rPr>
          <w:rFonts w:cs="Calibri"/>
        </w:rPr>
      </w:pPr>
      <w:r w:rsidRPr="00CA2CC1">
        <w:rPr>
          <w:rFonts w:cs="Calibri"/>
          <w:color w:val="51555A"/>
        </w:rPr>
        <w:t>In</w:t>
      </w:r>
      <w:r w:rsidRPr="00CA2CC1">
        <w:rPr>
          <w:rFonts w:cs="Calibri"/>
          <w:color w:val="51555A"/>
          <w:spacing w:val="-6"/>
        </w:rPr>
        <w:t xml:space="preserve"> </w:t>
      </w:r>
      <w:r w:rsidRPr="00CA2CC1">
        <w:rPr>
          <w:rFonts w:cs="Calibri"/>
          <w:color w:val="51555A"/>
        </w:rPr>
        <w:t>accordance</w:t>
      </w:r>
      <w:r w:rsidRPr="00CA2CC1">
        <w:rPr>
          <w:rFonts w:cs="Calibri"/>
          <w:color w:val="51555A"/>
          <w:spacing w:val="-6"/>
        </w:rPr>
        <w:t xml:space="preserve"> </w:t>
      </w:r>
      <w:r w:rsidRPr="00CA2CC1">
        <w:rPr>
          <w:rFonts w:cs="Calibri"/>
          <w:color w:val="51555A"/>
        </w:rPr>
        <w:t>with</w:t>
      </w:r>
      <w:r w:rsidRPr="00CA2CC1">
        <w:rPr>
          <w:rFonts w:cs="Calibri"/>
          <w:color w:val="51555A"/>
          <w:spacing w:val="-6"/>
        </w:rPr>
        <w:t xml:space="preserve"> </w:t>
      </w:r>
      <w:r w:rsidRPr="00CA2CC1">
        <w:rPr>
          <w:rFonts w:cs="Calibri"/>
          <w:color w:val="51555A"/>
        </w:rPr>
        <w:t>the</w:t>
      </w:r>
      <w:r w:rsidRPr="00CA2CC1">
        <w:rPr>
          <w:rFonts w:cs="Calibri"/>
          <w:color w:val="51555A"/>
          <w:spacing w:val="-6"/>
        </w:rPr>
        <w:t xml:space="preserve"> </w:t>
      </w:r>
      <w:r w:rsidRPr="00CA2CC1">
        <w:rPr>
          <w:rFonts w:cs="Calibri"/>
          <w:i/>
          <w:color w:val="51555A"/>
        </w:rPr>
        <w:t>Financial</w:t>
      </w:r>
      <w:r w:rsidRPr="00CA2CC1">
        <w:rPr>
          <w:rFonts w:cs="Calibri"/>
          <w:i/>
          <w:color w:val="51555A"/>
          <w:spacing w:val="-6"/>
        </w:rPr>
        <w:t xml:space="preserve"> </w:t>
      </w:r>
      <w:r w:rsidRPr="00CA2CC1">
        <w:rPr>
          <w:rFonts w:cs="Calibri"/>
          <w:i/>
          <w:color w:val="51555A"/>
        </w:rPr>
        <w:t>Management</w:t>
      </w:r>
      <w:r w:rsidRPr="00CA2CC1">
        <w:rPr>
          <w:rFonts w:cs="Calibri"/>
          <w:i/>
          <w:color w:val="51555A"/>
          <w:spacing w:val="-6"/>
        </w:rPr>
        <w:t xml:space="preserve"> </w:t>
      </w:r>
      <w:r w:rsidRPr="00CA2CC1">
        <w:rPr>
          <w:rFonts w:cs="Calibri"/>
          <w:i/>
          <w:color w:val="51555A"/>
        </w:rPr>
        <w:t>Act</w:t>
      </w:r>
      <w:r w:rsidRPr="00CA2CC1">
        <w:rPr>
          <w:rFonts w:cs="Calibri"/>
          <w:i/>
          <w:color w:val="51555A"/>
          <w:spacing w:val="-6"/>
        </w:rPr>
        <w:t xml:space="preserve"> </w:t>
      </w:r>
      <w:r w:rsidRPr="00CA2CC1">
        <w:rPr>
          <w:rFonts w:cs="Calibri"/>
          <w:i/>
          <w:color w:val="51555A"/>
        </w:rPr>
        <w:t>1994</w:t>
      </w:r>
      <w:r w:rsidRPr="00CA2CC1">
        <w:rPr>
          <w:rFonts w:cs="Calibri"/>
          <w:color w:val="51555A"/>
        </w:rPr>
        <w:t>, I am pleased to present Infrastructure Victoria’s Annual Report for the reporting period ending 30 June 2023.</w:t>
      </w:r>
    </w:p>
    <w:p w14:paraId="4329189F" w14:textId="77777777" w:rsidR="00DC086E" w:rsidRPr="00CA2CC1" w:rsidRDefault="00DC086E" w:rsidP="0043303B">
      <w:pPr>
        <w:pStyle w:val="BodyText"/>
        <w:rPr>
          <w:rFonts w:cs="Calibri"/>
          <w:sz w:val="20"/>
        </w:rPr>
      </w:pPr>
    </w:p>
    <w:p w14:paraId="74983253" w14:textId="0E894502" w:rsidR="00FA4226" w:rsidRPr="00CA2CC1" w:rsidRDefault="00000000" w:rsidP="0043303B">
      <w:pPr>
        <w:pStyle w:val="BodyText"/>
        <w:rPr>
          <w:rFonts w:cs="Calibri"/>
        </w:rPr>
      </w:pPr>
      <w:r w:rsidRPr="00CA2CC1">
        <w:rPr>
          <w:rFonts w:cs="Calibri"/>
          <w:color w:val="414042"/>
        </w:rPr>
        <w:t xml:space="preserve">Jim </w:t>
      </w:r>
      <w:r w:rsidRPr="00CA2CC1">
        <w:rPr>
          <w:rFonts w:cs="Calibri"/>
          <w:color w:val="414042"/>
          <w:spacing w:val="-2"/>
        </w:rPr>
        <w:t>Miller</w:t>
      </w:r>
    </w:p>
    <w:p w14:paraId="0DCF914B" w14:textId="77777777" w:rsidR="00FA4226" w:rsidRPr="00CA2CC1" w:rsidRDefault="00000000" w:rsidP="0043303B">
      <w:pPr>
        <w:pStyle w:val="BodyText"/>
        <w:rPr>
          <w:rFonts w:cs="Calibri"/>
        </w:rPr>
      </w:pPr>
      <w:r w:rsidRPr="00CA2CC1">
        <w:rPr>
          <w:rFonts w:cs="Calibri"/>
          <w:color w:val="414042"/>
        </w:rPr>
        <w:t>Chair,</w:t>
      </w:r>
      <w:r w:rsidRPr="00CA2CC1">
        <w:rPr>
          <w:rFonts w:cs="Calibri"/>
          <w:color w:val="414042"/>
          <w:spacing w:val="-11"/>
        </w:rPr>
        <w:t xml:space="preserve"> </w:t>
      </w:r>
      <w:r w:rsidRPr="00CA2CC1">
        <w:rPr>
          <w:rFonts w:cs="Calibri"/>
          <w:color w:val="414042"/>
        </w:rPr>
        <w:t>Infrastructure</w:t>
      </w:r>
      <w:r w:rsidRPr="00CA2CC1">
        <w:rPr>
          <w:rFonts w:cs="Calibri"/>
          <w:color w:val="414042"/>
          <w:spacing w:val="-10"/>
        </w:rPr>
        <w:t xml:space="preserve"> </w:t>
      </w:r>
      <w:r w:rsidRPr="00CA2CC1">
        <w:rPr>
          <w:rFonts w:cs="Calibri"/>
          <w:color w:val="414042"/>
          <w:spacing w:val="-2"/>
        </w:rPr>
        <w:t>Victoria</w:t>
      </w:r>
    </w:p>
    <w:p w14:paraId="6F059660" w14:textId="77777777" w:rsidR="00FA4226" w:rsidRPr="00CA2CC1" w:rsidRDefault="00000000" w:rsidP="0043303B">
      <w:pPr>
        <w:pStyle w:val="BodyText"/>
        <w:spacing w:before="81"/>
        <w:rPr>
          <w:rFonts w:cs="Calibri"/>
        </w:rPr>
      </w:pPr>
      <w:r w:rsidRPr="00CA2CC1">
        <w:rPr>
          <w:rFonts w:cs="Calibri"/>
          <w:color w:val="51555A"/>
        </w:rPr>
        <w:t xml:space="preserve">21 September </w:t>
      </w:r>
      <w:r w:rsidRPr="00CA2CC1">
        <w:rPr>
          <w:rFonts w:cs="Calibri"/>
          <w:color w:val="51555A"/>
          <w:spacing w:val="-4"/>
        </w:rPr>
        <w:t>2023</w:t>
      </w:r>
    </w:p>
    <w:p w14:paraId="4466E08E" w14:textId="77777777" w:rsidR="00FA4226" w:rsidRPr="00CA2CC1" w:rsidRDefault="00FA4226" w:rsidP="0043303B">
      <w:pPr>
        <w:rPr>
          <w:rFonts w:cs="Calibri"/>
        </w:rPr>
        <w:sectPr w:rsidR="00FA4226" w:rsidRPr="00CA2CC1" w:rsidSect="00E941A5">
          <w:pgSz w:w="11910" w:h="16840"/>
          <w:pgMar w:top="1134" w:right="1278" w:bottom="1134" w:left="1134" w:header="720" w:footer="720" w:gutter="0"/>
          <w:cols w:space="720"/>
        </w:sectPr>
      </w:pPr>
    </w:p>
    <w:p w14:paraId="686D0F92" w14:textId="213F8E17" w:rsidR="00FA4226" w:rsidRPr="00CA2CC1" w:rsidRDefault="00000000" w:rsidP="00965153">
      <w:pPr>
        <w:pStyle w:val="Heading1"/>
        <w:rPr>
          <w:rFonts w:cs="Calibri"/>
          <w:color w:val="231F20"/>
          <w:spacing w:val="-2"/>
          <w:w w:val="110"/>
        </w:rPr>
      </w:pPr>
      <w:r w:rsidRPr="00CA2CC1">
        <w:rPr>
          <w:rFonts w:cs="Calibri"/>
          <w:color w:val="231F20"/>
          <w:spacing w:val="-2"/>
          <w:w w:val="110"/>
        </w:rPr>
        <w:lastRenderedPageBreak/>
        <w:t>Contents</w:t>
      </w:r>
    </w:p>
    <w:p w14:paraId="3AFB3872" w14:textId="77777777" w:rsidR="00FA4226" w:rsidRPr="00CA2CC1" w:rsidRDefault="00FA4226" w:rsidP="0043303B">
      <w:pPr>
        <w:pStyle w:val="BodyText"/>
        <w:spacing w:before="1"/>
        <w:rPr>
          <w:rFonts w:cs="Calibri"/>
          <w:sz w:val="29"/>
        </w:rPr>
      </w:pPr>
    </w:p>
    <w:sdt>
      <w:sdtPr>
        <w:rPr>
          <w:rFonts w:ascii="Calibri" w:hAnsi="Calibri" w:cs="Calibri"/>
        </w:rPr>
        <w:id w:val="-117146850"/>
        <w:docPartObj>
          <w:docPartGallery w:val="Table of Contents"/>
          <w:docPartUnique/>
        </w:docPartObj>
      </w:sdtPr>
      <w:sdtContent>
        <w:p w14:paraId="52B1302D" w14:textId="77777777" w:rsidR="00FA4226" w:rsidRPr="00CA2CC1" w:rsidRDefault="00000000" w:rsidP="00A3520C">
          <w:pPr>
            <w:pStyle w:val="TOC1"/>
            <w:tabs>
              <w:tab w:val="right" w:pos="9616"/>
            </w:tabs>
            <w:spacing w:before="60"/>
            <w:ind w:left="0"/>
            <w:jc w:val="both"/>
            <w:rPr>
              <w:rFonts w:ascii="Calibri" w:hAnsi="Calibri" w:cs="Calibri"/>
            </w:rPr>
          </w:pPr>
          <w:hyperlink w:anchor="_bookmark0" w:history="1">
            <w:r w:rsidRPr="00CA2CC1">
              <w:rPr>
                <w:rFonts w:ascii="Calibri" w:hAnsi="Calibri" w:cs="Calibri"/>
                <w:color w:val="414042"/>
              </w:rPr>
              <w:t>Chair</w:t>
            </w:r>
            <w:r w:rsidRPr="00CA2CC1">
              <w:rPr>
                <w:rFonts w:ascii="Calibri" w:hAnsi="Calibri" w:cs="Calibri"/>
                <w:color w:val="414042"/>
                <w:spacing w:val="-5"/>
              </w:rPr>
              <w:t xml:space="preserve"> </w:t>
            </w:r>
            <w:r w:rsidRPr="00CA2CC1">
              <w:rPr>
                <w:rFonts w:ascii="Calibri" w:hAnsi="Calibri" w:cs="Calibri"/>
                <w:color w:val="414042"/>
              </w:rPr>
              <w:t>and</w:t>
            </w:r>
            <w:r w:rsidRPr="00CA2CC1">
              <w:rPr>
                <w:rFonts w:ascii="Calibri" w:hAnsi="Calibri" w:cs="Calibri"/>
                <w:color w:val="414042"/>
                <w:spacing w:val="-5"/>
              </w:rPr>
              <w:t xml:space="preserve"> </w:t>
            </w:r>
            <w:r w:rsidRPr="00CA2CC1">
              <w:rPr>
                <w:rFonts w:ascii="Calibri" w:hAnsi="Calibri" w:cs="Calibri"/>
                <w:color w:val="414042"/>
              </w:rPr>
              <w:t>CEO’s</w:t>
            </w:r>
            <w:r w:rsidRPr="00CA2CC1">
              <w:rPr>
                <w:rFonts w:ascii="Calibri" w:hAnsi="Calibri" w:cs="Calibri"/>
                <w:color w:val="414042"/>
                <w:spacing w:val="-5"/>
              </w:rPr>
              <w:t xml:space="preserve"> </w:t>
            </w:r>
            <w:r w:rsidRPr="00CA2CC1">
              <w:rPr>
                <w:rFonts w:ascii="Calibri" w:hAnsi="Calibri" w:cs="Calibri"/>
                <w:color w:val="414042"/>
                <w:spacing w:val="-2"/>
              </w:rPr>
              <w:t>report</w:t>
            </w:r>
            <w:r w:rsidRPr="00CA2CC1">
              <w:rPr>
                <w:rFonts w:ascii="Calibri" w:hAnsi="Calibri" w:cs="Calibri"/>
                <w:color w:val="414042"/>
              </w:rPr>
              <w:tab/>
            </w:r>
            <w:r w:rsidRPr="00CA2CC1">
              <w:rPr>
                <w:rFonts w:ascii="Calibri" w:hAnsi="Calibri" w:cs="Calibri"/>
                <w:color w:val="414042"/>
                <w:spacing w:val="-10"/>
              </w:rPr>
              <w:t>2</w:t>
            </w:r>
          </w:hyperlink>
        </w:p>
        <w:p w14:paraId="7292021D" w14:textId="77777777" w:rsidR="00FA4226" w:rsidRPr="00CA2CC1" w:rsidRDefault="00000000" w:rsidP="00A3520C">
          <w:pPr>
            <w:pStyle w:val="TOC1"/>
            <w:tabs>
              <w:tab w:val="right" w:pos="9616"/>
            </w:tabs>
            <w:ind w:left="0"/>
            <w:jc w:val="both"/>
            <w:rPr>
              <w:rFonts w:ascii="Calibri" w:hAnsi="Calibri" w:cs="Calibri"/>
            </w:rPr>
          </w:pPr>
          <w:hyperlink w:anchor="_bookmark1" w:history="1">
            <w:r w:rsidRPr="00CA2CC1">
              <w:rPr>
                <w:rFonts w:ascii="Calibri" w:hAnsi="Calibri" w:cs="Calibri"/>
                <w:color w:val="414042"/>
              </w:rPr>
              <w:t>Infrastructure</w:t>
            </w:r>
            <w:r w:rsidRPr="00CA2CC1">
              <w:rPr>
                <w:rFonts w:ascii="Calibri" w:hAnsi="Calibri" w:cs="Calibri"/>
                <w:color w:val="414042"/>
                <w:spacing w:val="-9"/>
              </w:rPr>
              <w:t xml:space="preserve"> </w:t>
            </w:r>
            <w:r w:rsidRPr="00CA2CC1">
              <w:rPr>
                <w:rFonts w:ascii="Calibri" w:hAnsi="Calibri" w:cs="Calibri"/>
                <w:color w:val="414042"/>
              </w:rPr>
              <w:t>Victoria’s</w:t>
            </w:r>
            <w:r w:rsidRPr="00CA2CC1">
              <w:rPr>
                <w:rFonts w:ascii="Calibri" w:hAnsi="Calibri" w:cs="Calibri"/>
                <w:color w:val="414042"/>
                <w:spacing w:val="-8"/>
              </w:rPr>
              <w:t xml:space="preserve"> </w:t>
            </w:r>
            <w:r w:rsidRPr="00CA2CC1">
              <w:rPr>
                <w:rFonts w:ascii="Calibri" w:hAnsi="Calibri" w:cs="Calibri"/>
                <w:color w:val="414042"/>
                <w:spacing w:val="-2"/>
              </w:rPr>
              <w:t>functions</w:t>
            </w:r>
            <w:r w:rsidRPr="00CA2CC1">
              <w:rPr>
                <w:rFonts w:ascii="Calibri" w:hAnsi="Calibri" w:cs="Calibri"/>
                <w:color w:val="414042"/>
              </w:rPr>
              <w:tab/>
            </w:r>
            <w:r w:rsidRPr="00CA2CC1">
              <w:rPr>
                <w:rFonts w:ascii="Calibri" w:hAnsi="Calibri" w:cs="Calibri"/>
                <w:color w:val="414042"/>
                <w:spacing w:val="-10"/>
              </w:rPr>
              <w:t>4</w:t>
            </w:r>
          </w:hyperlink>
        </w:p>
        <w:p w14:paraId="66681595" w14:textId="77777777" w:rsidR="00FA4226" w:rsidRPr="00CA2CC1" w:rsidRDefault="00000000" w:rsidP="00A3520C">
          <w:pPr>
            <w:pStyle w:val="TOC1"/>
            <w:tabs>
              <w:tab w:val="right" w:pos="9616"/>
            </w:tabs>
            <w:spacing w:before="108"/>
            <w:ind w:left="0"/>
            <w:jc w:val="both"/>
            <w:rPr>
              <w:rFonts w:ascii="Calibri" w:hAnsi="Calibri" w:cs="Calibri"/>
            </w:rPr>
          </w:pPr>
          <w:hyperlink w:anchor="_bookmark2" w:history="1">
            <w:r w:rsidRPr="00CA2CC1">
              <w:rPr>
                <w:rFonts w:ascii="Calibri" w:hAnsi="Calibri" w:cs="Calibri"/>
                <w:color w:val="414042"/>
              </w:rPr>
              <w:t>Infrastructure</w:t>
            </w:r>
            <w:r w:rsidRPr="00CA2CC1">
              <w:rPr>
                <w:rFonts w:ascii="Calibri" w:hAnsi="Calibri" w:cs="Calibri"/>
                <w:color w:val="414042"/>
                <w:spacing w:val="-9"/>
              </w:rPr>
              <w:t xml:space="preserve"> </w:t>
            </w:r>
            <w:r w:rsidRPr="00CA2CC1">
              <w:rPr>
                <w:rFonts w:ascii="Calibri" w:hAnsi="Calibri" w:cs="Calibri"/>
                <w:color w:val="414042"/>
              </w:rPr>
              <w:t>Victoria’s</w:t>
            </w:r>
            <w:r w:rsidRPr="00CA2CC1">
              <w:rPr>
                <w:rFonts w:ascii="Calibri" w:hAnsi="Calibri" w:cs="Calibri"/>
                <w:color w:val="414042"/>
                <w:spacing w:val="-8"/>
              </w:rPr>
              <w:t xml:space="preserve"> </w:t>
            </w:r>
            <w:r w:rsidRPr="00CA2CC1">
              <w:rPr>
                <w:rFonts w:ascii="Calibri" w:hAnsi="Calibri" w:cs="Calibri"/>
                <w:color w:val="414042"/>
                <w:spacing w:val="-2"/>
              </w:rPr>
              <w:t>independence</w:t>
            </w:r>
            <w:r w:rsidRPr="00CA2CC1">
              <w:rPr>
                <w:rFonts w:ascii="Calibri" w:hAnsi="Calibri" w:cs="Calibri"/>
                <w:color w:val="414042"/>
              </w:rPr>
              <w:tab/>
            </w:r>
            <w:r w:rsidRPr="00CA2CC1">
              <w:rPr>
                <w:rFonts w:ascii="Calibri" w:hAnsi="Calibri" w:cs="Calibri"/>
                <w:color w:val="414042"/>
                <w:spacing w:val="-10"/>
              </w:rPr>
              <w:t>5</w:t>
            </w:r>
          </w:hyperlink>
        </w:p>
        <w:p w14:paraId="4210E97E" w14:textId="77777777" w:rsidR="00FA4226" w:rsidRPr="00CA2CC1" w:rsidRDefault="00000000" w:rsidP="00A3520C">
          <w:pPr>
            <w:pStyle w:val="TOC1"/>
            <w:tabs>
              <w:tab w:val="right" w:pos="9616"/>
            </w:tabs>
            <w:ind w:left="0"/>
            <w:jc w:val="both"/>
            <w:rPr>
              <w:rFonts w:ascii="Calibri" w:hAnsi="Calibri" w:cs="Calibri"/>
            </w:rPr>
          </w:pPr>
          <w:hyperlink w:anchor="_bookmark2" w:history="1">
            <w:r w:rsidRPr="00CA2CC1">
              <w:rPr>
                <w:rFonts w:ascii="Calibri" w:hAnsi="Calibri" w:cs="Calibri"/>
                <w:color w:val="414042"/>
              </w:rPr>
              <w:t xml:space="preserve">Objective of </w:t>
            </w:r>
            <w:r w:rsidRPr="00CA2CC1">
              <w:rPr>
                <w:rFonts w:ascii="Calibri" w:hAnsi="Calibri" w:cs="Calibri"/>
                <w:color w:val="414042"/>
                <w:spacing w:val="-2"/>
              </w:rPr>
              <w:t>independence</w:t>
            </w:r>
            <w:r w:rsidRPr="00CA2CC1">
              <w:rPr>
                <w:rFonts w:ascii="Calibri" w:hAnsi="Calibri" w:cs="Calibri"/>
                <w:color w:val="414042"/>
              </w:rPr>
              <w:tab/>
            </w:r>
            <w:r w:rsidRPr="00CA2CC1">
              <w:rPr>
                <w:rFonts w:ascii="Calibri" w:hAnsi="Calibri" w:cs="Calibri"/>
                <w:color w:val="414042"/>
                <w:spacing w:val="-10"/>
              </w:rPr>
              <w:t>5</w:t>
            </w:r>
          </w:hyperlink>
        </w:p>
        <w:p w14:paraId="1DDA63FD" w14:textId="77777777" w:rsidR="00FA4226" w:rsidRPr="00CA2CC1" w:rsidRDefault="00000000" w:rsidP="00A3520C">
          <w:pPr>
            <w:pStyle w:val="TOC1"/>
            <w:tabs>
              <w:tab w:val="right" w:pos="9616"/>
            </w:tabs>
            <w:spacing w:before="108"/>
            <w:ind w:left="0"/>
            <w:jc w:val="both"/>
            <w:rPr>
              <w:rFonts w:ascii="Calibri" w:hAnsi="Calibri" w:cs="Calibri"/>
            </w:rPr>
          </w:pPr>
          <w:hyperlink w:anchor="_bookmark3" w:history="1">
            <w:r w:rsidRPr="00CA2CC1">
              <w:rPr>
                <w:rFonts w:ascii="Calibri" w:hAnsi="Calibri" w:cs="Calibri"/>
                <w:color w:val="414042"/>
              </w:rPr>
              <w:t>Infrastructure</w:t>
            </w:r>
            <w:r w:rsidRPr="00CA2CC1">
              <w:rPr>
                <w:rFonts w:ascii="Calibri" w:hAnsi="Calibri" w:cs="Calibri"/>
                <w:color w:val="414042"/>
                <w:spacing w:val="-9"/>
              </w:rPr>
              <w:t xml:space="preserve"> </w:t>
            </w:r>
            <w:r w:rsidRPr="00CA2CC1">
              <w:rPr>
                <w:rFonts w:ascii="Calibri" w:hAnsi="Calibri" w:cs="Calibri"/>
                <w:color w:val="414042"/>
              </w:rPr>
              <w:t>Victoria’s</w:t>
            </w:r>
            <w:r w:rsidRPr="00CA2CC1">
              <w:rPr>
                <w:rFonts w:ascii="Calibri" w:hAnsi="Calibri" w:cs="Calibri"/>
                <w:color w:val="414042"/>
                <w:spacing w:val="-8"/>
              </w:rPr>
              <w:t xml:space="preserve"> </w:t>
            </w:r>
            <w:r w:rsidRPr="00CA2CC1">
              <w:rPr>
                <w:rFonts w:ascii="Calibri" w:hAnsi="Calibri" w:cs="Calibri"/>
                <w:color w:val="414042"/>
                <w:spacing w:val="-2"/>
              </w:rPr>
              <w:t>values</w:t>
            </w:r>
            <w:r w:rsidRPr="00CA2CC1">
              <w:rPr>
                <w:rFonts w:ascii="Calibri" w:hAnsi="Calibri" w:cs="Calibri"/>
                <w:color w:val="414042"/>
              </w:rPr>
              <w:tab/>
            </w:r>
            <w:r w:rsidRPr="00CA2CC1">
              <w:rPr>
                <w:rFonts w:ascii="Calibri" w:hAnsi="Calibri" w:cs="Calibri"/>
                <w:color w:val="414042"/>
                <w:spacing w:val="-10"/>
              </w:rPr>
              <w:t>6</w:t>
            </w:r>
          </w:hyperlink>
        </w:p>
        <w:p w14:paraId="5E3A92E3" w14:textId="77777777" w:rsidR="00FA4226" w:rsidRPr="00CA2CC1" w:rsidRDefault="00000000" w:rsidP="00A3520C">
          <w:pPr>
            <w:pStyle w:val="TOC1"/>
            <w:tabs>
              <w:tab w:val="right" w:pos="9616"/>
            </w:tabs>
            <w:ind w:left="0"/>
            <w:jc w:val="both"/>
            <w:rPr>
              <w:rFonts w:ascii="Calibri" w:hAnsi="Calibri" w:cs="Calibri"/>
            </w:rPr>
          </w:pPr>
          <w:hyperlink w:anchor="_bookmark4" w:history="1">
            <w:r w:rsidRPr="00CA2CC1">
              <w:rPr>
                <w:rFonts w:ascii="Calibri" w:hAnsi="Calibri" w:cs="Calibri"/>
                <w:color w:val="414042"/>
              </w:rPr>
              <w:t xml:space="preserve">Key achievements and </w:t>
            </w:r>
            <w:r w:rsidRPr="00CA2CC1">
              <w:rPr>
                <w:rFonts w:ascii="Calibri" w:hAnsi="Calibri" w:cs="Calibri"/>
                <w:color w:val="414042"/>
                <w:spacing w:val="-2"/>
              </w:rPr>
              <w:t>projects</w:t>
            </w:r>
            <w:r w:rsidRPr="00CA2CC1">
              <w:rPr>
                <w:rFonts w:ascii="Calibri" w:hAnsi="Calibri" w:cs="Calibri"/>
                <w:color w:val="414042"/>
              </w:rPr>
              <w:tab/>
            </w:r>
            <w:r w:rsidRPr="00CA2CC1">
              <w:rPr>
                <w:rFonts w:ascii="Calibri" w:hAnsi="Calibri" w:cs="Calibri"/>
                <w:color w:val="414042"/>
                <w:spacing w:val="-10"/>
              </w:rPr>
              <w:t>7</w:t>
            </w:r>
          </w:hyperlink>
        </w:p>
        <w:p w14:paraId="0821EE3A" w14:textId="767D7BFC" w:rsidR="00FA4226" w:rsidRPr="00CA2CC1" w:rsidRDefault="007F31C8" w:rsidP="007F31C8">
          <w:pPr>
            <w:pStyle w:val="TOC2"/>
            <w:tabs>
              <w:tab w:val="right" w:pos="9616"/>
            </w:tabs>
            <w:spacing w:before="105"/>
            <w:ind w:left="0" w:firstLine="0"/>
            <w:jc w:val="both"/>
            <w:rPr>
              <w:rFonts w:cs="Calibri"/>
            </w:rPr>
          </w:pPr>
          <w:r w:rsidRPr="00CA2CC1">
            <w:rPr>
              <w:rFonts w:cs="Calibri"/>
            </w:rPr>
            <w:t xml:space="preserve">&gt; </w:t>
          </w:r>
          <w:hyperlink w:anchor="_bookmark4" w:history="1">
            <w:r w:rsidRPr="00CA2CC1">
              <w:rPr>
                <w:rFonts w:cs="Calibri"/>
                <w:color w:val="414042"/>
              </w:rPr>
              <w:t>Government action</w:t>
            </w:r>
            <w:r w:rsidRPr="00CA2CC1">
              <w:rPr>
                <w:rFonts w:cs="Calibri"/>
                <w:color w:val="414042"/>
                <w:spacing w:val="1"/>
              </w:rPr>
              <w:t xml:space="preserve"> </w:t>
            </w:r>
            <w:r w:rsidRPr="00CA2CC1">
              <w:rPr>
                <w:rFonts w:cs="Calibri"/>
                <w:color w:val="414042"/>
              </w:rPr>
              <w:t>on</w:t>
            </w:r>
            <w:r w:rsidRPr="00CA2CC1">
              <w:rPr>
                <w:rFonts w:cs="Calibri"/>
                <w:color w:val="414042"/>
                <w:spacing w:val="1"/>
              </w:rPr>
              <w:t xml:space="preserve"> </w:t>
            </w:r>
            <w:r w:rsidRPr="00CA2CC1">
              <w:rPr>
                <w:rFonts w:cs="Calibri"/>
                <w:color w:val="414042"/>
              </w:rPr>
              <w:t>our</w:t>
            </w:r>
            <w:r w:rsidRPr="00CA2CC1">
              <w:rPr>
                <w:rFonts w:cs="Calibri"/>
                <w:color w:val="414042"/>
                <w:spacing w:val="1"/>
              </w:rPr>
              <w:t xml:space="preserve"> </w:t>
            </w:r>
            <w:r w:rsidRPr="00CA2CC1">
              <w:rPr>
                <w:rFonts w:cs="Calibri"/>
                <w:color w:val="414042"/>
                <w:spacing w:val="-2"/>
              </w:rPr>
              <w:t>recommendations</w:t>
            </w:r>
            <w:r w:rsidRPr="00CA2CC1">
              <w:rPr>
                <w:rFonts w:cs="Calibri"/>
                <w:color w:val="414042"/>
              </w:rPr>
              <w:tab/>
            </w:r>
            <w:r w:rsidRPr="00CA2CC1">
              <w:rPr>
                <w:rFonts w:cs="Calibri"/>
                <w:color w:val="414042"/>
                <w:spacing w:val="-10"/>
              </w:rPr>
              <w:t>7</w:t>
            </w:r>
          </w:hyperlink>
        </w:p>
        <w:p w14:paraId="18BCDFCB" w14:textId="2B5AC909" w:rsidR="00FA4226" w:rsidRPr="00CA2CC1" w:rsidRDefault="007F31C8" w:rsidP="007F31C8">
          <w:pPr>
            <w:pStyle w:val="TOC2"/>
            <w:tabs>
              <w:tab w:val="right" w:pos="9616"/>
            </w:tabs>
            <w:spacing w:before="105"/>
            <w:ind w:left="0" w:firstLine="0"/>
            <w:jc w:val="both"/>
            <w:rPr>
              <w:rFonts w:cs="Calibri"/>
            </w:rPr>
          </w:pPr>
          <w:r w:rsidRPr="00CA2CC1">
            <w:rPr>
              <w:rFonts w:cs="Calibri"/>
            </w:rPr>
            <w:t xml:space="preserve">&gt; </w:t>
          </w:r>
          <w:hyperlink w:anchor="_bookmark4" w:history="1">
            <w:r w:rsidRPr="00CA2CC1">
              <w:rPr>
                <w:rFonts w:cs="Calibri"/>
                <w:color w:val="414042"/>
              </w:rPr>
              <w:t xml:space="preserve">Community and stakeholder influence and </w:t>
            </w:r>
            <w:r w:rsidRPr="00CA2CC1">
              <w:rPr>
                <w:rFonts w:cs="Calibri"/>
                <w:color w:val="414042"/>
                <w:spacing w:val="-2"/>
              </w:rPr>
              <w:t>impact</w:t>
            </w:r>
            <w:r w:rsidRPr="00CA2CC1">
              <w:rPr>
                <w:rFonts w:cs="Calibri"/>
                <w:color w:val="414042"/>
              </w:rPr>
              <w:tab/>
            </w:r>
            <w:r w:rsidRPr="00CA2CC1">
              <w:rPr>
                <w:rFonts w:cs="Calibri"/>
                <w:color w:val="414042"/>
                <w:spacing w:val="-10"/>
              </w:rPr>
              <w:t>7</w:t>
            </w:r>
          </w:hyperlink>
        </w:p>
        <w:p w14:paraId="20E2357B" w14:textId="0F0303AE" w:rsidR="00FA4226" w:rsidRPr="00CA2CC1" w:rsidRDefault="007F31C8" w:rsidP="007F31C8">
          <w:pPr>
            <w:pStyle w:val="TOC2"/>
            <w:tabs>
              <w:tab w:val="right" w:pos="9616"/>
            </w:tabs>
            <w:ind w:left="0" w:firstLine="0"/>
            <w:jc w:val="both"/>
            <w:rPr>
              <w:rFonts w:cs="Calibri"/>
            </w:rPr>
          </w:pPr>
          <w:r w:rsidRPr="00CA2CC1">
            <w:rPr>
              <w:rFonts w:cs="Calibri"/>
            </w:rPr>
            <w:t xml:space="preserve">&gt; </w:t>
          </w:r>
          <w:hyperlink w:anchor="_bookmark5" w:history="1">
            <w:r w:rsidRPr="00CA2CC1">
              <w:rPr>
                <w:rFonts w:cs="Calibri"/>
                <w:color w:val="414042"/>
              </w:rPr>
              <w:t xml:space="preserve">Our plan and our </w:t>
            </w:r>
            <w:r w:rsidRPr="00CA2CC1">
              <w:rPr>
                <w:rFonts w:cs="Calibri"/>
                <w:color w:val="414042"/>
                <w:spacing w:val="-2"/>
              </w:rPr>
              <w:t>people</w:t>
            </w:r>
            <w:r w:rsidRPr="00CA2CC1">
              <w:rPr>
                <w:rFonts w:cs="Calibri"/>
                <w:color w:val="414042"/>
              </w:rPr>
              <w:tab/>
            </w:r>
            <w:r w:rsidRPr="00CA2CC1">
              <w:rPr>
                <w:rFonts w:cs="Calibri"/>
                <w:color w:val="414042"/>
                <w:spacing w:val="-10"/>
              </w:rPr>
              <w:t>9</w:t>
            </w:r>
          </w:hyperlink>
        </w:p>
        <w:p w14:paraId="212A7525" w14:textId="79A2B5B1" w:rsidR="00FA4226" w:rsidRPr="00CA2CC1" w:rsidRDefault="007F31C8" w:rsidP="007F31C8">
          <w:pPr>
            <w:pStyle w:val="TOC2"/>
            <w:tabs>
              <w:tab w:val="right" w:pos="9616"/>
            </w:tabs>
            <w:ind w:left="0" w:firstLine="0"/>
            <w:jc w:val="both"/>
            <w:rPr>
              <w:rFonts w:cs="Calibri"/>
            </w:rPr>
          </w:pPr>
          <w:r w:rsidRPr="00CA2CC1">
            <w:rPr>
              <w:rFonts w:cs="Calibri"/>
            </w:rPr>
            <w:t xml:space="preserve">&gt; </w:t>
          </w:r>
          <w:hyperlink w:anchor="_bookmark6" w:history="1">
            <w:r w:rsidRPr="00CA2CC1">
              <w:rPr>
                <w:rFonts w:cs="Calibri"/>
                <w:color w:val="414042"/>
              </w:rPr>
              <w:t>Our</w:t>
            </w:r>
            <w:r w:rsidRPr="00CA2CC1">
              <w:rPr>
                <w:rFonts w:cs="Calibri"/>
                <w:color w:val="414042"/>
                <w:spacing w:val="-2"/>
              </w:rPr>
              <w:t xml:space="preserve"> </w:t>
            </w:r>
            <w:r w:rsidRPr="00CA2CC1">
              <w:rPr>
                <w:rFonts w:cs="Calibri"/>
                <w:color w:val="414042"/>
              </w:rPr>
              <w:t xml:space="preserve">year by numbers </w:t>
            </w:r>
            <w:r w:rsidRPr="00CA2CC1">
              <w:rPr>
                <w:rFonts w:cs="Calibri"/>
                <w:color w:val="414042"/>
                <w:spacing w:val="-2"/>
              </w:rPr>
              <w:t>2022–23</w:t>
            </w:r>
            <w:r w:rsidRPr="00CA2CC1">
              <w:rPr>
                <w:rFonts w:cs="Calibri"/>
                <w:color w:val="414042"/>
              </w:rPr>
              <w:tab/>
            </w:r>
            <w:r w:rsidRPr="00CA2CC1">
              <w:rPr>
                <w:rFonts w:cs="Calibri"/>
                <w:color w:val="414042"/>
                <w:spacing w:val="-5"/>
              </w:rPr>
              <w:t>13</w:t>
            </w:r>
          </w:hyperlink>
        </w:p>
        <w:p w14:paraId="74DCCE86" w14:textId="01370EC0" w:rsidR="00FA4226" w:rsidRPr="00CA2CC1" w:rsidRDefault="007F31C8" w:rsidP="007F31C8">
          <w:pPr>
            <w:pStyle w:val="TOC2"/>
            <w:tabs>
              <w:tab w:val="right" w:pos="9616"/>
            </w:tabs>
            <w:ind w:left="0" w:firstLine="0"/>
            <w:jc w:val="both"/>
            <w:rPr>
              <w:rFonts w:cs="Calibri"/>
            </w:rPr>
          </w:pPr>
          <w:r w:rsidRPr="00CA2CC1">
            <w:rPr>
              <w:rFonts w:cs="Calibri"/>
            </w:rPr>
            <w:t xml:space="preserve">&gt; </w:t>
          </w:r>
          <w:hyperlink w:anchor="_bookmark7" w:history="1">
            <w:r w:rsidRPr="00CA2CC1">
              <w:rPr>
                <w:rFonts w:cs="Calibri"/>
                <w:color w:val="414042"/>
              </w:rPr>
              <w:t xml:space="preserve">Engagement and </w:t>
            </w:r>
            <w:r w:rsidRPr="00CA2CC1">
              <w:rPr>
                <w:rFonts w:cs="Calibri"/>
                <w:color w:val="414042"/>
                <w:spacing w:val="-2"/>
              </w:rPr>
              <w:t>consultation</w:t>
            </w:r>
            <w:r w:rsidRPr="00CA2CC1">
              <w:rPr>
                <w:rFonts w:cs="Calibri"/>
                <w:color w:val="414042"/>
              </w:rPr>
              <w:tab/>
            </w:r>
            <w:r w:rsidRPr="00CA2CC1">
              <w:rPr>
                <w:rFonts w:cs="Calibri"/>
                <w:color w:val="414042"/>
                <w:spacing w:val="-5"/>
              </w:rPr>
              <w:t>16</w:t>
            </w:r>
          </w:hyperlink>
        </w:p>
        <w:p w14:paraId="55EBF2D3" w14:textId="77777777" w:rsidR="00FA4226" w:rsidRPr="00CA2CC1" w:rsidRDefault="00000000" w:rsidP="00A3520C">
          <w:pPr>
            <w:pStyle w:val="TOC1"/>
            <w:tabs>
              <w:tab w:val="right" w:pos="9616"/>
            </w:tabs>
            <w:spacing w:before="109"/>
            <w:ind w:left="0"/>
            <w:jc w:val="both"/>
            <w:rPr>
              <w:rFonts w:ascii="Calibri" w:hAnsi="Calibri" w:cs="Calibri"/>
            </w:rPr>
          </w:pPr>
          <w:hyperlink w:anchor="_bookmark8" w:history="1">
            <w:r w:rsidRPr="00CA2CC1">
              <w:rPr>
                <w:rFonts w:ascii="Calibri" w:hAnsi="Calibri" w:cs="Calibri"/>
                <w:color w:val="414042"/>
              </w:rPr>
              <w:t>Research,</w:t>
            </w:r>
            <w:r w:rsidRPr="00CA2CC1">
              <w:rPr>
                <w:rFonts w:ascii="Calibri" w:hAnsi="Calibri" w:cs="Calibri"/>
                <w:color w:val="414042"/>
                <w:spacing w:val="-3"/>
              </w:rPr>
              <w:t xml:space="preserve"> </w:t>
            </w:r>
            <w:r w:rsidRPr="00CA2CC1">
              <w:rPr>
                <w:rFonts w:ascii="Calibri" w:hAnsi="Calibri" w:cs="Calibri"/>
                <w:color w:val="414042"/>
              </w:rPr>
              <w:t>advice</w:t>
            </w:r>
            <w:r w:rsidRPr="00CA2CC1">
              <w:rPr>
                <w:rFonts w:ascii="Calibri" w:hAnsi="Calibri" w:cs="Calibri"/>
                <w:color w:val="414042"/>
                <w:spacing w:val="-1"/>
              </w:rPr>
              <w:t xml:space="preserve"> </w:t>
            </w:r>
            <w:r w:rsidRPr="00CA2CC1">
              <w:rPr>
                <w:rFonts w:ascii="Calibri" w:hAnsi="Calibri" w:cs="Calibri"/>
                <w:color w:val="414042"/>
              </w:rPr>
              <w:t>and</w:t>
            </w:r>
            <w:r w:rsidRPr="00CA2CC1">
              <w:rPr>
                <w:rFonts w:ascii="Calibri" w:hAnsi="Calibri" w:cs="Calibri"/>
                <w:color w:val="414042"/>
                <w:spacing w:val="-1"/>
              </w:rPr>
              <w:t xml:space="preserve"> </w:t>
            </w:r>
            <w:r w:rsidRPr="00CA2CC1">
              <w:rPr>
                <w:rFonts w:ascii="Calibri" w:hAnsi="Calibri" w:cs="Calibri"/>
                <w:color w:val="414042"/>
              </w:rPr>
              <w:t>strategy</w:t>
            </w:r>
            <w:r w:rsidRPr="00CA2CC1">
              <w:rPr>
                <w:rFonts w:ascii="Calibri" w:hAnsi="Calibri" w:cs="Calibri"/>
                <w:color w:val="414042"/>
                <w:spacing w:val="-1"/>
              </w:rPr>
              <w:t xml:space="preserve"> </w:t>
            </w:r>
            <w:r w:rsidRPr="00CA2CC1">
              <w:rPr>
                <w:rFonts w:ascii="Calibri" w:hAnsi="Calibri" w:cs="Calibri"/>
                <w:color w:val="414042"/>
                <w:spacing w:val="-2"/>
              </w:rPr>
              <w:t>program</w:t>
            </w:r>
            <w:r w:rsidRPr="00CA2CC1">
              <w:rPr>
                <w:rFonts w:ascii="Calibri" w:hAnsi="Calibri" w:cs="Calibri"/>
                <w:color w:val="414042"/>
              </w:rPr>
              <w:tab/>
            </w:r>
            <w:r w:rsidRPr="00CA2CC1">
              <w:rPr>
                <w:rFonts w:ascii="Calibri" w:hAnsi="Calibri" w:cs="Calibri"/>
                <w:color w:val="414042"/>
                <w:spacing w:val="-5"/>
              </w:rPr>
              <w:t>18</w:t>
            </w:r>
          </w:hyperlink>
        </w:p>
        <w:p w14:paraId="57CF6423" w14:textId="58485494" w:rsidR="00FA4226" w:rsidRPr="00CA2CC1" w:rsidRDefault="00B04E54" w:rsidP="00B04E54">
          <w:pPr>
            <w:pStyle w:val="TOC2"/>
            <w:tabs>
              <w:tab w:val="left" w:pos="3731"/>
              <w:tab w:val="right" w:pos="9616"/>
            </w:tabs>
            <w:spacing w:before="104"/>
            <w:ind w:left="0" w:firstLine="0"/>
            <w:jc w:val="both"/>
            <w:rPr>
              <w:rFonts w:cs="Calibri"/>
            </w:rPr>
          </w:pPr>
          <w:r w:rsidRPr="00CA2CC1">
            <w:rPr>
              <w:rFonts w:cs="Calibri"/>
            </w:rPr>
            <w:t xml:space="preserve">&gt; </w:t>
          </w:r>
          <w:hyperlink w:anchor="_bookmark8" w:history="1">
            <w:r w:rsidRPr="00CA2CC1">
              <w:rPr>
                <w:rFonts w:cs="Calibri"/>
                <w:color w:val="414042"/>
              </w:rPr>
              <w:t>Victoria’s</w:t>
            </w:r>
            <w:r w:rsidRPr="00CA2CC1">
              <w:rPr>
                <w:rFonts w:cs="Calibri"/>
                <w:color w:val="414042"/>
                <w:spacing w:val="-7"/>
              </w:rPr>
              <w:t xml:space="preserve"> </w:t>
            </w:r>
            <w:r w:rsidRPr="00CA2CC1">
              <w:rPr>
                <w:rFonts w:cs="Calibri"/>
                <w:color w:val="414042"/>
              </w:rPr>
              <w:t>30-year</w:t>
            </w:r>
            <w:r w:rsidRPr="00CA2CC1">
              <w:rPr>
                <w:rFonts w:cs="Calibri"/>
                <w:color w:val="414042"/>
                <w:spacing w:val="-6"/>
              </w:rPr>
              <w:t xml:space="preserve"> </w:t>
            </w:r>
            <w:r w:rsidRPr="00CA2CC1">
              <w:rPr>
                <w:rFonts w:cs="Calibri"/>
                <w:color w:val="414042"/>
              </w:rPr>
              <w:t>infrastructure</w:t>
            </w:r>
            <w:r w:rsidRPr="00CA2CC1">
              <w:rPr>
                <w:rFonts w:cs="Calibri"/>
                <w:color w:val="414042"/>
                <w:spacing w:val="-7"/>
              </w:rPr>
              <w:t xml:space="preserve"> </w:t>
            </w:r>
            <w:r w:rsidRPr="00CA2CC1">
              <w:rPr>
                <w:rFonts w:cs="Calibri"/>
                <w:color w:val="414042"/>
              </w:rPr>
              <w:t>strategy</w:t>
            </w:r>
            <w:r w:rsidRPr="00CA2CC1">
              <w:rPr>
                <w:rFonts w:cs="Calibri"/>
                <w:color w:val="414042"/>
                <w:spacing w:val="-6"/>
              </w:rPr>
              <w:t xml:space="preserve"> </w:t>
            </w:r>
            <w:r w:rsidRPr="00CA2CC1">
              <w:rPr>
                <w:rFonts w:cs="Calibri"/>
                <w:color w:val="414042"/>
                <w:spacing w:val="-2"/>
              </w:rPr>
              <w:t>update</w:t>
            </w:r>
            <w:r w:rsidRPr="00CA2CC1">
              <w:rPr>
                <w:rFonts w:cs="Calibri"/>
                <w:color w:val="414042"/>
              </w:rPr>
              <w:tab/>
            </w:r>
            <w:r w:rsidRPr="00CA2CC1">
              <w:rPr>
                <w:rFonts w:cs="Calibri"/>
                <w:color w:val="414042"/>
                <w:spacing w:val="-5"/>
              </w:rPr>
              <w:t>18</w:t>
            </w:r>
          </w:hyperlink>
        </w:p>
        <w:p w14:paraId="4A418A9A" w14:textId="305DEBCC" w:rsidR="00FA4226" w:rsidRPr="00CA2CC1" w:rsidRDefault="00B04E54" w:rsidP="00B04E54">
          <w:pPr>
            <w:pStyle w:val="TOC2"/>
            <w:tabs>
              <w:tab w:val="left" w:pos="3731"/>
            </w:tabs>
            <w:ind w:left="0" w:firstLine="0"/>
            <w:jc w:val="both"/>
            <w:rPr>
              <w:rFonts w:cs="Calibri"/>
            </w:rPr>
          </w:pPr>
          <w:r w:rsidRPr="00CA2CC1">
            <w:rPr>
              <w:rFonts w:cs="Calibri"/>
            </w:rPr>
            <w:t xml:space="preserve">&gt; </w:t>
          </w:r>
          <w:hyperlink w:anchor="_bookmark9" w:history="1">
            <w:r w:rsidRPr="00CA2CC1">
              <w:rPr>
                <w:rFonts w:cs="Calibri"/>
                <w:color w:val="414042"/>
              </w:rPr>
              <w:t>Our</w:t>
            </w:r>
            <w:r w:rsidRPr="00CA2CC1">
              <w:rPr>
                <w:rFonts w:cs="Calibri"/>
                <w:color w:val="414042"/>
                <w:spacing w:val="-1"/>
              </w:rPr>
              <w:t xml:space="preserve"> </w:t>
            </w:r>
            <w:r w:rsidRPr="00CA2CC1">
              <w:rPr>
                <w:rFonts w:cs="Calibri"/>
                <w:color w:val="414042"/>
              </w:rPr>
              <w:t>home</w:t>
            </w:r>
            <w:r w:rsidRPr="00CA2CC1">
              <w:rPr>
                <w:rFonts w:cs="Calibri"/>
                <w:color w:val="414042"/>
                <w:spacing w:val="-1"/>
              </w:rPr>
              <w:t xml:space="preserve"> </w:t>
            </w:r>
            <w:r w:rsidRPr="00CA2CC1">
              <w:rPr>
                <w:rFonts w:cs="Calibri"/>
                <w:color w:val="414042"/>
              </w:rPr>
              <w:t>choices: how</w:t>
            </w:r>
            <w:r w:rsidRPr="00CA2CC1">
              <w:rPr>
                <w:rFonts w:cs="Calibri"/>
                <w:color w:val="414042"/>
                <w:spacing w:val="-1"/>
              </w:rPr>
              <w:t xml:space="preserve"> </w:t>
            </w:r>
            <w:r w:rsidRPr="00CA2CC1">
              <w:rPr>
                <w:rFonts w:cs="Calibri"/>
                <w:color w:val="414042"/>
              </w:rPr>
              <w:t>more housing</w:t>
            </w:r>
            <w:r w:rsidRPr="00CA2CC1">
              <w:rPr>
                <w:rFonts w:cs="Calibri"/>
                <w:color w:val="414042"/>
                <w:spacing w:val="-1"/>
              </w:rPr>
              <w:t xml:space="preserve"> </w:t>
            </w:r>
            <w:r w:rsidRPr="00CA2CC1">
              <w:rPr>
                <w:rFonts w:cs="Calibri"/>
                <w:color w:val="414042"/>
              </w:rPr>
              <w:t xml:space="preserve">options </w:t>
            </w:r>
            <w:r w:rsidRPr="00CA2CC1">
              <w:rPr>
                <w:rFonts w:cs="Calibri"/>
                <w:color w:val="414042"/>
                <w:spacing w:val="-5"/>
              </w:rPr>
              <w:t>can</w:t>
            </w:r>
          </w:hyperlink>
        </w:p>
        <w:p w14:paraId="4F6F0166" w14:textId="77777777" w:rsidR="00FA4226" w:rsidRPr="00CA2CC1" w:rsidRDefault="00000000" w:rsidP="00B04E54">
          <w:pPr>
            <w:pStyle w:val="TOC3"/>
            <w:tabs>
              <w:tab w:val="right" w:pos="9616"/>
            </w:tabs>
            <w:ind w:left="0"/>
            <w:jc w:val="both"/>
            <w:rPr>
              <w:rFonts w:cs="Calibri"/>
            </w:rPr>
          </w:pPr>
          <w:hyperlink w:anchor="_bookmark9" w:history="1">
            <w:r w:rsidRPr="00CA2CC1">
              <w:rPr>
                <w:rFonts w:cs="Calibri"/>
                <w:color w:val="414042"/>
              </w:rPr>
              <w:t>make</w:t>
            </w:r>
            <w:r w:rsidRPr="00CA2CC1">
              <w:rPr>
                <w:rFonts w:cs="Calibri"/>
                <w:color w:val="414042"/>
                <w:spacing w:val="-4"/>
              </w:rPr>
              <w:t xml:space="preserve"> </w:t>
            </w:r>
            <w:r w:rsidRPr="00CA2CC1">
              <w:rPr>
                <w:rFonts w:cs="Calibri"/>
                <w:color w:val="414042"/>
              </w:rPr>
              <w:t>better</w:t>
            </w:r>
            <w:r w:rsidRPr="00CA2CC1">
              <w:rPr>
                <w:rFonts w:cs="Calibri"/>
                <w:color w:val="414042"/>
                <w:spacing w:val="-4"/>
              </w:rPr>
              <w:t xml:space="preserve"> </w:t>
            </w:r>
            <w:r w:rsidRPr="00CA2CC1">
              <w:rPr>
                <w:rFonts w:cs="Calibri"/>
                <w:color w:val="414042"/>
              </w:rPr>
              <w:t>use</w:t>
            </w:r>
            <w:r w:rsidRPr="00CA2CC1">
              <w:rPr>
                <w:rFonts w:cs="Calibri"/>
                <w:color w:val="414042"/>
                <w:spacing w:val="-3"/>
              </w:rPr>
              <w:t xml:space="preserve"> </w:t>
            </w:r>
            <w:r w:rsidRPr="00CA2CC1">
              <w:rPr>
                <w:rFonts w:cs="Calibri"/>
                <w:color w:val="414042"/>
              </w:rPr>
              <w:t>of</w:t>
            </w:r>
            <w:r w:rsidRPr="00CA2CC1">
              <w:rPr>
                <w:rFonts w:cs="Calibri"/>
                <w:color w:val="414042"/>
                <w:spacing w:val="-4"/>
              </w:rPr>
              <w:t xml:space="preserve"> </w:t>
            </w:r>
            <w:r w:rsidRPr="00CA2CC1">
              <w:rPr>
                <w:rFonts w:cs="Calibri"/>
                <w:color w:val="414042"/>
              </w:rPr>
              <w:t>Victoria’s</w:t>
            </w:r>
            <w:r w:rsidRPr="00CA2CC1">
              <w:rPr>
                <w:rFonts w:cs="Calibri"/>
                <w:color w:val="414042"/>
                <w:spacing w:val="-4"/>
              </w:rPr>
              <w:t xml:space="preserve"> </w:t>
            </w:r>
            <w:r w:rsidRPr="00CA2CC1">
              <w:rPr>
                <w:rFonts w:cs="Calibri"/>
                <w:color w:val="414042"/>
              </w:rPr>
              <w:t>existing</w:t>
            </w:r>
            <w:r w:rsidRPr="00CA2CC1">
              <w:rPr>
                <w:rFonts w:cs="Calibri"/>
                <w:color w:val="414042"/>
                <w:spacing w:val="-3"/>
              </w:rPr>
              <w:t xml:space="preserve"> </w:t>
            </w:r>
            <w:r w:rsidRPr="00CA2CC1">
              <w:rPr>
                <w:rFonts w:cs="Calibri"/>
                <w:color w:val="414042"/>
                <w:spacing w:val="-2"/>
              </w:rPr>
              <w:t>infrastructure</w:t>
            </w:r>
            <w:r w:rsidRPr="00CA2CC1">
              <w:rPr>
                <w:rFonts w:cs="Calibri"/>
                <w:color w:val="414042"/>
              </w:rPr>
              <w:tab/>
            </w:r>
            <w:r w:rsidRPr="00CA2CC1">
              <w:rPr>
                <w:rFonts w:cs="Calibri"/>
                <w:color w:val="414042"/>
                <w:spacing w:val="-5"/>
              </w:rPr>
              <w:t>20</w:t>
            </w:r>
          </w:hyperlink>
        </w:p>
        <w:p w14:paraId="70957C85" w14:textId="0C5EB39D" w:rsidR="00FA4226" w:rsidRPr="00CA2CC1" w:rsidRDefault="00B04E54" w:rsidP="00B04E54">
          <w:pPr>
            <w:pStyle w:val="TOC2"/>
            <w:tabs>
              <w:tab w:val="left" w:pos="3731"/>
              <w:tab w:val="right" w:pos="9616"/>
            </w:tabs>
            <w:ind w:left="0" w:firstLine="0"/>
            <w:jc w:val="both"/>
            <w:rPr>
              <w:rFonts w:cs="Calibri"/>
            </w:rPr>
          </w:pPr>
          <w:r w:rsidRPr="00CA2CC1">
            <w:rPr>
              <w:rFonts w:cs="Calibri"/>
            </w:rPr>
            <w:t xml:space="preserve">&gt; </w:t>
          </w:r>
          <w:hyperlink w:anchor="_bookmark10" w:history="1">
            <w:r w:rsidRPr="00CA2CC1">
              <w:rPr>
                <w:rFonts w:cs="Calibri"/>
                <w:color w:val="414042"/>
              </w:rPr>
              <w:t xml:space="preserve">Our home choices: policy </w:t>
            </w:r>
            <w:r w:rsidRPr="00CA2CC1">
              <w:rPr>
                <w:rFonts w:cs="Calibri"/>
                <w:color w:val="414042"/>
                <w:spacing w:val="-2"/>
              </w:rPr>
              <w:t>evidence</w:t>
            </w:r>
            <w:r w:rsidRPr="00CA2CC1">
              <w:rPr>
                <w:rFonts w:cs="Calibri"/>
                <w:color w:val="414042"/>
              </w:rPr>
              <w:tab/>
            </w:r>
            <w:r w:rsidRPr="00CA2CC1">
              <w:rPr>
                <w:rFonts w:cs="Calibri"/>
                <w:color w:val="414042"/>
              </w:rPr>
              <w:tab/>
            </w:r>
            <w:r w:rsidRPr="00CA2CC1">
              <w:rPr>
                <w:rFonts w:cs="Calibri"/>
                <w:color w:val="414042"/>
                <w:spacing w:val="-5"/>
              </w:rPr>
              <w:t>22</w:t>
            </w:r>
          </w:hyperlink>
        </w:p>
        <w:p w14:paraId="31D6EBAF" w14:textId="20D7A842" w:rsidR="00FA4226" w:rsidRPr="00CA2CC1" w:rsidRDefault="00B04E54" w:rsidP="00B04E54">
          <w:pPr>
            <w:pStyle w:val="TOC2"/>
            <w:tabs>
              <w:tab w:val="left" w:pos="3731"/>
            </w:tabs>
            <w:ind w:left="0" w:firstLine="0"/>
            <w:rPr>
              <w:rFonts w:cs="Calibri"/>
            </w:rPr>
          </w:pPr>
          <w:r w:rsidRPr="00CA2CC1">
            <w:rPr>
              <w:rFonts w:cs="Calibri"/>
            </w:rPr>
            <w:t xml:space="preserve">&gt; </w:t>
          </w:r>
          <w:hyperlink w:anchor="_bookmark10" w:history="1">
            <w:r w:rsidRPr="00CA2CC1">
              <w:rPr>
                <w:rFonts w:cs="Calibri"/>
                <w:color w:val="414042"/>
              </w:rPr>
              <w:t>Measuring</w:t>
            </w:r>
            <w:r w:rsidRPr="00CA2CC1">
              <w:rPr>
                <w:rFonts w:cs="Calibri"/>
                <w:color w:val="414042"/>
                <w:spacing w:val="-4"/>
              </w:rPr>
              <w:t xml:space="preserve"> </w:t>
            </w:r>
            <w:r w:rsidRPr="00CA2CC1">
              <w:rPr>
                <w:rFonts w:cs="Calibri"/>
                <w:color w:val="414042"/>
              </w:rPr>
              <w:t>home</w:t>
            </w:r>
            <w:r w:rsidRPr="00CA2CC1">
              <w:rPr>
                <w:rFonts w:cs="Calibri"/>
                <w:color w:val="414042"/>
                <w:spacing w:val="-2"/>
              </w:rPr>
              <w:t xml:space="preserve"> </w:t>
            </w:r>
            <w:r w:rsidRPr="00CA2CC1">
              <w:rPr>
                <w:rFonts w:cs="Calibri"/>
                <w:color w:val="414042"/>
              </w:rPr>
              <w:t>price</w:t>
            </w:r>
            <w:r w:rsidRPr="00CA2CC1">
              <w:rPr>
                <w:rFonts w:cs="Calibri"/>
                <w:color w:val="414042"/>
                <w:spacing w:val="-2"/>
              </w:rPr>
              <w:t xml:space="preserve"> </w:t>
            </w:r>
            <w:r w:rsidRPr="00CA2CC1">
              <w:rPr>
                <w:rFonts w:cs="Calibri"/>
                <w:color w:val="414042"/>
              </w:rPr>
              <w:t>differences:</w:t>
            </w:r>
            <w:r w:rsidRPr="00CA2CC1">
              <w:rPr>
                <w:rFonts w:cs="Calibri"/>
                <w:color w:val="414042"/>
                <w:spacing w:val="-2"/>
              </w:rPr>
              <w:t xml:space="preserve"> </w:t>
            </w:r>
            <w:r w:rsidRPr="00CA2CC1">
              <w:rPr>
                <w:rFonts w:cs="Calibri"/>
                <w:color w:val="414042"/>
              </w:rPr>
              <w:t>how</w:t>
            </w:r>
            <w:r w:rsidRPr="00CA2CC1">
              <w:rPr>
                <w:rFonts w:cs="Calibri"/>
                <w:color w:val="414042"/>
                <w:spacing w:val="-2"/>
              </w:rPr>
              <w:t xml:space="preserve"> </w:t>
            </w:r>
            <w:r w:rsidRPr="00CA2CC1">
              <w:rPr>
                <w:rFonts w:cs="Calibri"/>
                <w:color w:val="414042"/>
              </w:rPr>
              <w:t>features,</w:t>
            </w:r>
            <w:r w:rsidRPr="00CA2CC1">
              <w:rPr>
                <w:rFonts w:cs="Calibri"/>
                <w:color w:val="414042"/>
                <w:spacing w:val="-2"/>
              </w:rPr>
              <w:t xml:space="preserve"> location</w:t>
            </w:r>
          </w:hyperlink>
        </w:p>
        <w:p w14:paraId="1D1C6BAC" w14:textId="77777777" w:rsidR="00FA4226" w:rsidRPr="00CA2CC1" w:rsidRDefault="00000000" w:rsidP="00B04E54">
          <w:pPr>
            <w:pStyle w:val="TOC3"/>
            <w:tabs>
              <w:tab w:val="right" w:pos="9616"/>
            </w:tabs>
            <w:spacing w:before="3"/>
            <w:ind w:left="0"/>
            <w:rPr>
              <w:rFonts w:cs="Calibri"/>
            </w:rPr>
          </w:pPr>
          <w:hyperlink w:anchor="_bookmark10" w:history="1">
            <w:r w:rsidRPr="00CA2CC1">
              <w:rPr>
                <w:rFonts w:cs="Calibri"/>
                <w:color w:val="414042"/>
              </w:rPr>
              <w:t>and</w:t>
            </w:r>
            <w:r w:rsidRPr="00CA2CC1">
              <w:rPr>
                <w:rFonts w:cs="Calibri"/>
                <w:color w:val="414042"/>
                <w:spacing w:val="-6"/>
              </w:rPr>
              <w:t xml:space="preserve"> </w:t>
            </w:r>
            <w:r w:rsidRPr="00CA2CC1">
              <w:rPr>
                <w:rFonts w:cs="Calibri"/>
                <w:color w:val="414042"/>
              </w:rPr>
              <w:t>infrastructure</w:t>
            </w:r>
            <w:r w:rsidRPr="00CA2CC1">
              <w:rPr>
                <w:rFonts w:cs="Calibri"/>
                <w:color w:val="414042"/>
                <w:spacing w:val="-6"/>
              </w:rPr>
              <w:t xml:space="preserve"> </w:t>
            </w:r>
            <w:r w:rsidRPr="00CA2CC1">
              <w:rPr>
                <w:rFonts w:cs="Calibri"/>
                <w:color w:val="414042"/>
              </w:rPr>
              <w:t>affect</w:t>
            </w:r>
            <w:r w:rsidRPr="00CA2CC1">
              <w:rPr>
                <w:rFonts w:cs="Calibri"/>
                <w:color w:val="414042"/>
                <w:spacing w:val="-5"/>
              </w:rPr>
              <w:t xml:space="preserve"> </w:t>
            </w:r>
            <w:r w:rsidRPr="00CA2CC1">
              <w:rPr>
                <w:rFonts w:cs="Calibri"/>
                <w:color w:val="414042"/>
              </w:rPr>
              <w:t>Melbourne’s</w:t>
            </w:r>
            <w:r w:rsidRPr="00CA2CC1">
              <w:rPr>
                <w:rFonts w:cs="Calibri"/>
                <w:color w:val="414042"/>
                <w:spacing w:val="-6"/>
              </w:rPr>
              <w:t xml:space="preserve"> </w:t>
            </w:r>
            <w:r w:rsidRPr="00CA2CC1">
              <w:rPr>
                <w:rFonts w:cs="Calibri"/>
                <w:color w:val="414042"/>
              </w:rPr>
              <w:t>home</w:t>
            </w:r>
            <w:r w:rsidRPr="00CA2CC1">
              <w:rPr>
                <w:rFonts w:cs="Calibri"/>
                <w:color w:val="414042"/>
                <w:spacing w:val="-5"/>
              </w:rPr>
              <w:t xml:space="preserve"> </w:t>
            </w:r>
            <w:r w:rsidRPr="00CA2CC1">
              <w:rPr>
                <w:rFonts w:cs="Calibri"/>
                <w:color w:val="414042"/>
                <w:spacing w:val="-2"/>
              </w:rPr>
              <w:t>prices</w:t>
            </w:r>
            <w:r w:rsidRPr="00CA2CC1">
              <w:rPr>
                <w:rFonts w:cs="Calibri"/>
                <w:color w:val="414042"/>
              </w:rPr>
              <w:tab/>
            </w:r>
            <w:r w:rsidRPr="00CA2CC1">
              <w:rPr>
                <w:rFonts w:cs="Calibri"/>
                <w:color w:val="414042"/>
                <w:spacing w:val="-5"/>
              </w:rPr>
              <w:t>22</w:t>
            </w:r>
          </w:hyperlink>
        </w:p>
        <w:p w14:paraId="665B69D1" w14:textId="2F5041D1" w:rsidR="00FA4226" w:rsidRPr="00CA2CC1" w:rsidRDefault="00B04E54" w:rsidP="00B04E54">
          <w:pPr>
            <w:pStyle w:val="TOC2"/>
            <w:tabs>
              <w:tab w:val="left" w:pos="3731"/>
              <w:tab w:val="right" w:pos="9616"/>
            </w:tabs>
            <w:ind w:left="0" w:firstLine="0"/>
            <w:jc w:val="both"/>
            <w:rPr>
              <w:rFonts w:cs="Calibri"/>
            </w:rPr>
          </w:pPr>
          <w:r w:rsidRPr="00CA2CC1">
            <w:rPr>
              <w:rFonts w:cs="Calibri"/>
            </w:rPr>
            <w:t xml:space="preserve">&gt; </w:t>
          </w:r>
          <w:hyperlink w:anchor="_bookmark11" w:history="1">
            <w:r w:rsidRPr="00CA2CC1">
              <w:rPr>
                <w:rFonts w:cs="Calibri"/>
                <w:color w:val="414042"/>
              </w:rPr>
              <w:t>Get</w:t>
            </w:r>
            <w:r w:rsidRPr="00CA2CC1">
              <w:rPr>
                <w:rFonts w:cs="Calibri"/>
                <w:color w:val="414042"/>
                <w:spacing w:val="-3"/>
              </w:rPr>
              <w:t xml:space="preserve"> </w:t>
            </w:r>
            <w:r w:rsidRPr="00CA2CC1">
              <w:rPr>
                <w:rFonts w:cs="Calibri"/>
                <w:color w:val="414042"/>
              </w:rPr>
              <w:t>on</w:t>
            </w:r>
            <w:r w:rsidRPr="00CA2CC1">
              <w:rPr>
                <w:rFonts w:cs="Calibri"/>
                <w:color w:val="414042"/>
                <w:spacing w:val="-3"/>
              </w:rPr>
              <w:t xml:space="preserve"> </w:t>
            </w:r>
            <w:r w:rsidRPr="00CA2CC1">
              <w:rPr>
                <w:rFonts w:cs="Calibri"/>
                <w:color w:val="414042"/>
              </w:rPr>
              <w:t>board:</w:t>
            </w:r>
            <w:r w:rsidRPr="00CA2CC1">
              <w:rPr>
                <w:rFonts w:cs="Calibri"/>
                <w:color w:val="414042"/>
                <w:spacing w:val="-3"/>
              </w:rPr>
              <w:t xml:space="preserve"> </w:t>
            </w:r>
            <w:r w:rsidRPr="00CA2CC1">
              <w:rPr>
                <w:rFonts w:cs="Calibri"/>
                <w:color w:val="414042"/>
              </w:rPr>
              <w:t>making</w:t>
            </w:r>
            <w:r w:rsidRPr="00CA2CC1">
              <w:rPr>
                <w:rFonts w:cs="Calibri"/>
                <w:color w:val="414042"/>
                <w:spacing w:val="-3"/>
              </w:rPr>
              <w:t xml:space="preserve"> </w:t>
            </w:r>
            <w:r w:rsidRPr="00CA2CC1">
              <w:rPr>
                <w:rFonts w:cs="Calibri"/>
                <w:color w:val="414042"/>
              </w:rPr>
              <w:t>the</w:t>
            </w:r>
            <w:r w:rsidRPr="00CA2CC1">
              <w:rPr>
                <w:rFonts w:cs="Calibri"/>
                <w:color w:val="414042"/>
                <w:spacing w:val="-3"/>
              </w:rPr>
              <w:t xml:space="preserve"> </w:t>
            </w:r>
            <w:r w:rsidRPr="00CA2CC1">
              <w:rPr>
                <w:rFonts w:cs="Calibri"/>
                <w:color w:val="414042"/>
              </w:rPr>
              <w:t>most</w:t>
            </w:r>
            <w:r w:rsidRPr="00CA2CC1">
              <w:rPr>
                <w:rFonts w:cs="Calibri"/>
                <w:color w:val="414042"/>
                <w:spacing w:val="-3"/>
              </w:rPr>
              <w:t xml:space="preserve"> </w:t>
            </w:r>
            <w:r w:rsidRPr="00CA2CC1">
              <w:rPr>
                <w:rFonts w:cs="Calibri"/>
                <w:color w:val="414042"/>
              </w:rPr>
              <w:t>of</w:t>
            </w:r>
            <w:r w:rsidRPr="00CA2CC1">
              <w:rPr>
                <w:rFonts w:cs="Calibri"/>
                <w:color w:val="414042"/>
                <w:spacing w:val="-3"/>
              </w:rPr>
              <w:t xml:space="preserve"> </w:t>
            </w:r>
            <w:r w:rsidRPr="00CA2CC1">
              <w:rPr>
                <w:rFonts w:cs="Calibri"/>
                <w:color w:val="414042"/>
              </w:rPr>
              <w:t>Melbourne’s</w:t>
            </w:r>
            <w:r w:rsidRPr="00CA2CC1">
              <w:rPr>
                <w:rFonts w:cs="Calibri"/>
                <w:color w:val="414042"/>
                <w:spacing w:val="-3"/>
              </w:rPr>
              <w:t xml:space="preserve"> </w:t>
            </w:r>
            <w:r w:rsidRPr="00CA2CC1">
              <w:rPr>
                <w:rFonts w:cs="Calibri"/>
                <w:color w:val="414042"/>
                <w:spacing w:val="-2"/>
              </w:rPr>
              <w:t>buses</w:t>
            </w:r>
            <w:r w:rsidRPr="00CA2CC1">
              <w:rPr>
                <w:rFonts w:cs="Calibri"/>
                <w:color w:val="414042"/>
              </w:rPr>
              <w:tab/>
            </w:r>
            <w:r w:rsidRPr="00CA2CC1">
              <w:rPr>
                <w:rFonts w:cs="Calibri"/>
                <w:color w:val="414042"/>
                <w:spacing w:val="-5"/>
              </w:rPr>
              <w:t>23</w:t>
            </w:r>
          </w:hyperlink>
        </w:p>
        <w:p w14:paraId="5BF769F0" w14:textId="31896115" w:rsidR="00FA4226" w:rsidRPr="00CA2CC1" w:rsidRDefault="00B04E54" w:rsidP="00B04E54">
          <w:pPr>
            <w:pStyle w:val="TOC2"/>
            <w:tabs>
              <w:tab w:val="left" w:pos="3731"/>
              <w:tab w:val="right" w:pos="9616"/>
            </w:tabs>
            <w:ind w:left="0" w:firstLine="0"/>
            <w:jc w:val="both"/>
            <w:rPr>
              <w:rFonts w:cs="Calibri"/>
            </w:rPr>
          </w:pPr>
          <w:r w:rsidRPr="00CA2CC1">
            <w:rPr>
              <w:rFonts w:cs="Calibri"/>
            </w:rPr>
            <w:t xml:space="preserve">&gt; </w:t>
          </w:r>
          <w:hyperlink w:anchor="_bookmark11" w:history="1">
            <w:r w:rsidRPr="00CA2CC1">
              <w:rPr>
                <w:rFonts w:cs="Calibri"/>
                <w:color w:val="414042"/>
              </w:rPr>
              <w:t>Next</w:t>
            </w:r>
            <w:r w:rsidRPr="00CA2CC1">
              <w:rPr>
                <w:rFonts w:cs="Calibri"/>
                <w:color w:val="414042"/>
                <w:spacing w:val="-6"/>
              </w:rPr>
              <w:t xml:space="preserve"> </w:t>
            </w:r>
            <w:r w:rsidRPr="00CA2CC1">
              <w:rPr>
                <w:rFonts w:cs="Calibri"/>
                <w:color w:val="414042"/>
              </w:rPr>
              <w:t>stop:</w:t>
            </w:r>
            <w:r w:rsidRPr="00CA2CC1">
              <w:rPr>
                <w:rFonts w:cs="Calibri"/>
                <w:color w:val="414042"/>
                <w:spacing w:val="-3"/>
              </w:rPr>
              <w:t xml:space="preserve"> </w:t>
            </w:r>
            <w:r w:rsidRPr="00CA2CC1">
              <w:rPr>
                <w:rFonts w:cs="Calibri"/>
                <w:color w:val="414042"/>
              </w:rPr>
              <w:t>community</w:t>
            </w:r>
            <w:r w:rsidRPr="00CA2CC1">
              <w:rPr>
                <w:rFonts w:cs="Calibri"/>
                <w:color w:val="414042"/>
                <w:spacing w:val="-3"/>
              </w:rPr>
              <w:t xml:space="preserve"> </w:t>
            </w:r>
            <w:r w:rsidRPr="00CA2CC1">
              <w:rPr>
                <w:rFonts w:cs="Calibri"/>
                <w:color w:val="414042"/>
              </w:rPr>
              <w:t>insights</w:t>
            </w:r>
            <w:r w:rsidRPr="00CA2CC1">
              <w:rPr>
                <w:rFonts w:cs="Calibri"/>
                <w:color w:val="414042"/>
                <w:spacing w:val="-4"/>
              </w:rPr>
              <w:t xml:space="preserve"> </w:t>
            </w:r>
            <w:r w:rsidRPr="00CA2CC1">
              <w:rPr>
                <w:rFonts w:cs="Calibri"/>
                <w:color w:val="414042"/>
              </w:rPr>
              <w:t>into</w:t>
            </w:r>
            <w:r w:rsidRPr="00CA2CC1">
              <w:rPr>
                <w:rFonts w:cs="Calibri"/>
                <w:color w:val="414042"/>
                <w:spacing w:val="-3"/>
              </w:rPr>
              <w:t xml:space="preserve"> </w:t>
            </w:r>
            <w:r w:rsidRPr="00CA2CC1">
              <w:rPr>
                <w:rFonts w:cs="Calibri"/>
                <w:color w:val="414042"/>
              </w:rPr>
              <w:t>Melbourne’s</w:t>
            </w:r>
            <w:r w:rsidRPr="00CA2CC1">
              <w:rPr>
                <w:rFonts w:cs="Calibri"/>
                <w:color w:val="414042"/>
                <w:spacing w:val="-3"/>
              </w:rPr>
              <w:t xml:space="preserve"> </w:t>
            </w:r>
            <w:r w:rsidRPr="00CA2CC1">
              <w:rPr>
                <w:rFonts w:cs="Calibri"/>
                <w:color w:val="414042"/>
                <w:spacing w:val="-2"/>
              </w:rPr>
              <w:t>buses</w:t>
            </w:r>
            <w:r w:rsidRPr="00CA2CC1">
              <w:rPr>
                <w:rFonts w:cs="Calibri"/>
                <w:color w:val="414042"/>
              </w:rPr>
              <w:tab/>
            </w:r>
            <w:r w:rsidRPr="00CA2CC1">
              <w:rPr>
                <w:rFonts w:cs="Calibri"/>
                <w:color w:val="414042"/>
                <w:spacing w:val="-5"/>
              </w:rPr>
              <w:t>23</w:t>
            </w:r>
          </w:hyperlink>
        </w:p>
        <w:p w14:paraId="3DA8156C" w14:textId="7F5403FF" w:rsidR="00FA4226" w:rsidRPr="00CA2CC1" w:rsidRDefault="00B04E54" w:rsidP="00B04E54">
          <w:pPr>
            <w:pStyle w:val="TOC2"/>
            <w:tabs>
              <w:tab w:val="left" w:pos="3731"/>
              <w:tab w:val="right" w:pos="9616"/>
            </w:tabs>
            <w:ind w:left="0" w:firstLine="0"/>
            <w:jc w:val="both"/>
            <w:rPr>
              <w:rFonts w:cs="Calibri"/>
            </w:rPr>
          </w:pPr>
          <w:r w:rsidRPr="00CA2CC1">
            <w:rPr>
              <w:rFonts w:cs="Calibri"/>
            </w:rPr>
            <w:t xml:space="preserve">&gt; </w:t>
          </w:r>
          <w:hyperlink w:anchor="_bookmark12" w:history="1">
            <w:r w:rsidRPr="00CA2CC1">
              <w:rPr>
                <w:rFonts w:cs="Calibri"/>
                <w:color w:val="414042"/>
              </w:rPr>
              <w:t>Towards</w:t>
            </w:r>
            <w:r w:rsidRPr="00CA2CC1">
              <w:rPr>
                <w:rFonts w:cs="Calibri"/>
                <w:color w:val="414042"/>
                <w:spacing w:val="-7"/>
              </w:rPr>
              <w:t xml:space="preserve"> </w:t>
            </w:r>
            <w:r w:rsidRPr="00CA2CC1">
              <w:rPr>
                <w:rFonts w:cs="Calibri"/>
                <w:color w:val="414042"/>
              </w:rPr>
              <w:t>2050:</w:t>
            </w:r>
            <w:r w:rsidRPr="00CA2CC1">
              <w:rPr>
                <w:rFonts w:cs="Calibri"/>
                <w:color w:val="414042"/>
                <w:spacing w:val="-4"/>
              </w:rPr>
              <w:t xml:space="preserve"> </w:t>
            </w:r>
            <w:r w:rsidRPr="00CA2CC1">
              <w:rPr>
                <w:rFonts w:cs="Calibri"/>
                <w:color w:val="414042"/>
              </w:rPr>
              <w:t>gas</w:t>
            </w:r>
            <w:r w:rsidRPr="00CA2CC1">
              <w:rPr>
                <w:rFonts w:cs="Calibri"/>
                <w:color w:val="414042"/>
                <w:spacing w:val="-5"/>
              </w:rPr>
              <w:t xml:space="preserve"> </w:t>
            </w:r>
            <w:r w:rsidRPr="00CA2CC1">
              <w:rPr>
                <w:rFonts w:cs="Calibri"/>
                <w:color w:val="414042"/>
              </w:rPr>
              <w:t>infrastructure</w:t>
            </w:r>
            <w:r w:rsidRPr="00CA2CC1">
              <w:rPr>
                <w:rFonts w:cs="Calibri"/>
                <w:color w:val="414042"/>
                <w:spacing w:val="-4"/>
              </w:rPr>
              <w:t xml:space="preserve"> </w:t>
            </w:r>
            <w:r w:rsidRPr="00CA2CC1">
              <w:rPr>
                <w:rFonts w:cs="Calibri"/>
                <w:color w:val="414042"/>
              </w:rPr>
              <w:t>in</w:t>
            </w:r>
            <w:r w:rsidRPr="00CA2CC1">
              <w:rPr>
                <w:rFonts w:cs="Calibri"/>
                <w:color w:val="414042"/>
                <w:spacing w:val="-4"/>
              </w:rPr>
              <w:t xml:space="preserve"> </w:t>
            </w:r>
            <w:r w:rsidRPr="00CA2CC1">
              <w:rPr>
                <w:rFonts w:cs="Calibri"/>
                <w:color w:val="414042"/>
              </w:rPr>
              <w:t>a</w:t>
            </w:r>
            <w:r w:rsidRPr="00CA2CC1">
              <w:rPr>
                <w:rFonts w:cs="Calibri"/>
                <w:color w:val="414042"/>
                <w:spacing w:val="-5"/>
              </w:rPr>
              <w:t xml:space="preserve"> </w:t>
            </w:r>
            <w:r w:rsidRPr="00CA2CC1">
              <w:rPr>
                <w:rFonts w:cs="Calibri"/>
                <w:color w:val="414042"/>
              </w:rPr>
              <w:t>zero</w:t>
            </w:r>
            <w:r w:rsidRPr="00CA2CC1">
              <w:rPr>
                <w:rFonts w:cs="Calibri"/>
                <w:color w:val="414042"/>
                <w:spacing w:val="-4"/>
              </w:rPr>
              <w:t xml:space="preserve"> </w:t>
            </w:r>
            <w:r w:rsidRPr="00CA2CC1">
              <w:rPr>
                <w:rFonts w:cs="Calibri"/>
                <w:color w:val="414042"/>
              </w:rPr>
              <w:t>emissions</w:t>
            </w:r>
            <w:r w:rsidRPr="00CA2CC1">
              <w:rPr>
                <w:rFonts w:cs="Calibri"/>
                <w:color w:val="414042"/>
                <w:spacing w:val="-4"/>
              </w:rPr>
              <w:t xml:space="preserve"> </w:t>
            </w:r>
            <w:r w:rsidRPr="00CA2CC1">
              <w:rPr>
                <w:rFonts w:cs="Calibri"/>
                <w:color w:val="414042"/>
                <w:spacing w:val="-2"/>
              </w:rPr>
              <w:t>economy</w:t>
            </w:r>
            <w:r w:rsidRPr="00CA2CC1">
              <w:rPr>
                <w:rFonts w:cs="Calibri"/>
                <w:color w:val="414042"/>
              </w:rPr>
              <w:tab/>
            </w:r>
            <w:r w:rsidRPr="00CA2CC1">
              <w:rPr>
                <w:rFonts w:cs="Calibri"/>
                <w:color w:val="414042"/>
                <w:spacing w:val="-5"/>
              </w:rPr>
              <w:t>25</w:t>
            </w:r>
          </w:hyperlink>
        </w:p>
        <w:p w14:paraId="744AA606" w14:textId="526F090F" w:rsidR="00FA4226" w:rsidRPr="00CA2CC1" w:rsidRDefault="00B04E54" w:rsidP="00B04E54">
          <w:pPr>
            <w:pStyle w:val="TOC2"/>
            <w:tabs>
              <w:tab w:val="left" w:pos="3731"/>
            </w:tabs>
            <w:ind w:left="0" w:firstLine="0"/>
            <w:jc w:val="both"/>
            <w:rPr>
              <w:rFonts w:cs="Calibri"/>
            </w:rPr>
          </w:pPr>
          <w:r w:rsidRPr="00CA2CC1">
            <w:rPr>
              <w:rFonts w:cs="Calibri"/>
            </w:rPr>
            <w:t xml:space="preserve">&gt; </w:t>
          </w:r>
          <w:hyperlink w:anchor="_bookmark13" w:history="1">
            <w:r w:rsidRPr="00CA2CC1">
              <w:rPr>
                <w:rFonts w:cs="Calibri"/>
                <w:color w:val="414042"/>
              </w:rPr>
              <w:t>Advice</w:t>
            </w:r>
            <w:r w:rsidRPr="00CA2CC1">
              <w:rPr>
                <w:rFonts w:cs="Calibri"/>
                <w:color w:val="414042"/>
                <w:spacing w:val="-2"/>
              </w:rPr>
              <w:t xml:space="preserve"> </w:t>
            </w:r>
            <w:r w:rsidRPr="00CA2CC1">
              <w:rPr>
                <w:rFonts w:cs="Calibri"/>
                <w:color w:val="414042"/>
              </w:rPr>
              <w:t>on</w:t>
            </w:r>
            <w:r w:rsidRPr="00CA2CC1">
              <w:rPr>
                <w:rFonts w:cs="Calibri"/>
                <w:color w:val="414042"/>
                <w:spacing w:val="-1"/>
              </w:rPr>
              <w:t xml:space="preserve"> </w:t>
            </w:r>
            <w:r w:rsidRPr="00CA2CC1">
              <w:rPr>
                <w:rFonts w:cs="Calibri"/>
                <w:color w:val="414042"/>
              </w:rPr>
              <w:t>opportunities</w:t>
            </w:r>
            <w:r w:rsidRPr="00CA2CC1">
              <w:rPr>
                <w:rFonts w:cs="Calibri"/>
                <w:color w:val="414042"/>
                <w:spacing w:val="-1"/>
              </w:rPr>
              <w:t xml:space="preserve"> </w:t>
            </w:r>
            <w:r w:rsidRPr="00CA2CC1">
              <w:rPr>
                <w:rFonts w:cs="Calibri"/>
                <w:color w:val="414042"/>
              </w:rPr>
              <w:t>to</w:t>
            </w:r>
            <w:r w:rsidRPr="00CA2CC1">
              <w:rPr>
                <w:rFonts w:cs="Calibri"/>
                <w:color w:val="414042"/>
                <w:spacing w:val="-1"/>
              </w:rPr>
              <w:t xml:space="preserve"> </w:t>
            </w:r>
            <w:r w:rsidRPr="00CA2CC1">
              <w:rPr>
                <w:rFonts w:cs="Calibri"/>
                <w:color w:val="414042"/>
              </w:rPr>
              <w:t>reduce</w:t>
            </w:r>
            <w:r w:rsidRPr="00CA2CC1">
              <w:rPr>
                <w:rFonts w:cs="Calibri"/>
                <w:color w:val="414042"/>
                <w:spacing w:val="-1"/>
              </w:rPr>
              <w:t xml:space="preserve"> </w:t>
            </w:r>
            <w:r w:rsidRPr="00CA2CC1">
              <w:rPr>
                <w:rFonts w:cs="Calibri"/>
                <w:color w:val="414042"/>
              </w:rPr>
              <w:t>greenhouse</w:t>
            </w:r>
            <w:r w:rsidRPr="00CA2CC1">
              <w:rPr>
                <w:rFonts w:cs="Calibri"/>
                <w:color w:val="414042"/>
                <w:spacing w:val="-1"/>
              </w:rPr>
              <w:t xml:space="preserve"> </w:t>
            </w:r>
            <w:r w:rsidRPr="00CA2CC1">
              <w:rPr>
                <w:rFonts w:cs="Calibri"/>
                <w:color w:val="414042"/>
              </w:rPr>
              <w:t>gas</w:t>
            </w:r>
            <w:r w:rsidRPr="00CA2CC1">
              <w:rPr>
                <w:rFonts w:cs="Calibri"/>
                <w:color w:val="414042"/>
                <w:spacing w:val="-1"/>
              </w:rPr>
              <w:t xml:space="preserve"> </w:t>
            </w:r>
            <w:r w:rsidRPr="00CA2CC1">
              <w:rPr>
                <w:rFonts w:cs="Calibri"/>
                <w:color w:val="414042"/>
                <w:spacing w:val="-2"/>
              </w:rPr>
              <w:t>emissions</w:t>
            </w:r>
          </w:hyperlink>
        </w:p>
        <w:p w14:paraId="6ED0338E" w14:textId="77777777" w:rsidR="00FA4226" w:rsidRPr="00CA2CC1" w:rsidRDefault="00000000" w:rsidP="00B04E54">
          <w:pPr>
            <w:pStyle w:val="TOC3"/>
            <w:tabs>
              <w:tab w:val="right" w:pos="9616"/>
            </w:tabs>
            <w:ind w:left="0"/>
            <w:jc w:val="both"/>
            <w:rPr>
              <w:rFonts w:cs="Calibri"/>
            </w:rPr>
          </w:pPr>
          <w:hyperlink w:anchor="_bookmark13" w:history="1">
            <w:r w:rsidRPr="00CA2CC1">
              <w:rPr>
                <w:rFonts w:cs="Calibri"/>
                <w:color w:val="414042"/>
              </w:rPr>
              <w:t>of</w:t>
            </w:r>
            <w:r w:rsidRPr="00CA2CC1">
              <w:rPr>
                <w:rFonts w:cs="Calibri"/>
                <w:color w:val="414042"/>
                <w:spacing w:val="1"/>
              </w:rPr>
              <w:t xml:space="preserve"> </w:t>
            </w:r>
            <w:r w:rsidRPr="00CA2CC1">
              <w:rPr>
                <w:rFonts w:cs="Calibri"/>
                <w:color w:val="414042"/>
              </w:rPr>
              <w:t>Victorian</w:t>
            </w:r>
            <w:r w:rsidRPr="00CA2CC1">
              <w:rPr>
                <w:rFonts w:cs="Calibri"/>
                <w:color w:val="414042"/>
                <w:spacing w:val="1"/>
              </w:rPr>
              <w:t xml:space="preserve"> </w:t>
            </w:r>
            <w:r w:rsidRPr="00CA2CC1">
              <w:rPr>
                <w:rFonts w:cs="Calibri"/>
                <w:color w:val="414042"/>
              </w:rPr>
              <w:t>Government</w:t>
            </w:r>
            <w:r w:rsidRPr="00CA2CC1">
              <w:rPr>
                <w:rFonts w:cs="Calibri"/>
                <w:color w:val="414042"/>
                <w:spacing w:val="2"/>
              </w:rPr>
              <w:t xml:space="preserve"> </w:t>
            </w:r>
            <w:r w:rsidRPr="00CA2CC1">
              <w:rPr>
                <w:rFonts w:cs="Calibri"/>
                <w:color w:val="414042"/>
                <w:spacing w:val="-2"/>
              </w:rPr>
              <w:t>infrastructure</w:t>
            </w:r>
            <w:r w:rsidRPr="00CA2CC1">
              <w:rPr>
                <w:rFonts w:cs="Calibri"/>
                <w:color w:val="414042"/>
              </w:rPr>
              <w:tab/>
            </w:r>
            <w:r w:rsidRPr="00CA2CC1">
              <w:rPr>
                <w:rFonts w:cs="Calibri"/>
                <w:color w:val="414042"/>
                <w:spacing w:val="-5"/>
              </w:rPr>
              <w:t>28</w:t>
            </w:r>
          </w:hyperlink>
        </w:p>
        <w:p w14:paraId="4456C6B2" w14:textId="48DE8670" w:rsidR="00FA4226" w:rsidRPr="00CA2CC1" w:rsidRDefault="00B04E54" w:rsidP="00B04E54">
          <w:pPr>
            <w:pStyle w:val="TOC2"/>
            <w:tabs>
              <w:tab w:val="left" w:pos="3731"/>
              <w:tab w:val="right" w:pos="9616"/>
            </w:tabs>
            <w:spacing w:before="105"/>
            <w:ind w:left="0" w:firstLine="0"/>
            <w:jc w:val="both"/>
            <w:rPr>
              <w:rFonts w:cs="Calibri"/>
            </w:rPr>
          </w:pPr>
          <w:r w:rsidRPr="00CA2CC1">
            <w:rPr>
              <w:rFonts w:cs="Calibri"/>
            </w:rPr>
            <w:t xml:space="preserve">&gt; </w:t>
          </w:r>
          <w:hyperlink w:anchor="_bookmark14" w:history="1">
            <w:r w:rsidRPr="00CA2CC1">
              <w:rPr>
                <w:rFonts w:cs="Calibri"/>
                <w:color w:val="414042"/>
              </w:rPr>
              <w:t xml:space="preserve">How our work informs and </w:t>
            </w:r>
            <w:r w:rsidRPr="00CA2CC1">
              <w:rPr>
                <w:rFonts w:cs="Calibri"/>
                <w:color w:val="414042"/>
                <w:spacing w:val="-2"/>
              </w:rPr>
              <w:t>engages</w:t>
            </w:r>
            <w:r w:rsidRPr="00CA2CC1">
              <w:rPr>
                <w:rFonts w:cs="Calibri"/>
                <w:color w:val="414042"/>
              </w:rPr>
              <w:tab/>
            </w:r>
            <w:r w:rsidR="00F46555" w:rsidRPr="00CA2CC1">
              <w:rPr>
                <w:rFonts w:cs="Calibri"/>
                <w:color w:val="414042"/>
              </w:rPr>
              <w:tab/>
            </w:r>
            <w:r w:rsidRPr="00CA2CC1">
              <w:rPr>
                <w:rFonts w:cs="Calibri"/>
                <w:color w:val="414042"/>
                <w:spacing w:val="-5"/>
              </w:rPr>
              <w:t>29</w:t>
            </w:r>
          </w:hyperlink>
        </w:p>
        <w:p w14:paraId="50117B19" w14:textId="77777777" w:rsidR="00FA4226" w:rsidRPr="00CA2CC1" w:rsidRDefault="00000000" w:rsidP="00A3520C">
          <w:pPr>
            <w:pStyle w:val="TOC1"/>
            <w:spacing w:before="109"/>
            <w:ind w:left="0"/>
            <w:jc w:val="both"/>
            <w:rPr>
              <w:rFonts w:ascii="Calibri" w:hAnsi="Calibri" w:cs="Calibri"/>
            </w:rPr>
          </w:pPr>
          <w:r w:rsidRPr="00CA2CC1">
            <w:rPr>
              <w:rFonts w:ascii="Calibri" w:hAnsi="Calibri" w:cs="Calibri"/>
              <w:color w:val="414042"/>
            </w:rPr>
            <w:t xml:space="preserve">Financial and </w:t>
          </w:r>
          <w:r w:rsidRPr="00CA2CC1">
            <w:rPr>
              <w:rFonts w:ascii="Calibri" w:hAnsi="Calibri" w:cs="Calibri"/>
              <w:color w:val="414042"/>
              <w:spacing w:val="-2"/>
            </w:rPr>
            <w:t>corporate</w:t>
          </w:r>
        </w:p>
        <w:p w14:paraId="49AC3F27" w14:textId="4CBAA963" w:rsidR="00FA4226" w:rsidRPr="00CA2CC1" w:rsidRDefault="00CF7335" w:rsidP="00CF7335">
          <w:pPr>
            <w:pStyle w:val="TOC2"/>
            <w:tabs>
              <w:tab w:val="left" w:pos="3731"/>
              <w:tab w:val="right" w:pos="9616"/>
            </w:tabs>
            <w:spacing w:before="105"/>
            <w:ind w:left="0" w:firstLine="0"/>
            <w:jc w:val="both"/>
            <w:rPr>
              <w:rFonts w:cs="Calibri"/>
            </w:rPr>
          </w:pPr>
          <w:r w:rsidRPr="00CA2CC1">
            <w:rPr>
              <w:rFonts w:cs="Calibri"/>
            </w:rPr>
            <w:t xml:space="preserve">&gt; </w:t>
          </w:r>
          <w:hyperlink w:anchor="_bookmark15" w:history="1">
            <w:r w:rsidRPr="00CA2CC1">
              <w:rPr>
                <w:rFonts w:cs="Calibri"/>
                <w:color w:val="414042"/>
              </w:rPr>
              <w:t xml:space="preserve">Five-year financial </w:t>
            </w:r>
            <w:r w:rsidRPr="00CA2CC1">
              <w:rPr>
                <w:rFonts w:cs="Calibri"/>
                <w:color w:val="414042"/>
                <w:spacing w:val="-2"/>
              </w:rPr>
              <w:t>summary</w:t>
            </w:r>
            <w:r w:rsidRPr="00CA2CC1">
              <w:rPr>
                <w:rFonts w:cs="Calibri"/>
                <w:color w:val="414042"/>
              </w:rPr>
              <w:tab/>
            </w:r>
            <w:r w:rsidRPr="00CA2CC1">
              <w:rPr>
                <w:rFonts w:cs="Calibri"/>
                <w:color w:val="414042"/>
              </w:rPr>
              <w:tab/>
            </w:r>
            <w:r w:rsidRPr="00CA2CC1">
              <w:rPr>
                <w:rFonts w:cs="Calibri"/>
                <w:color w:val="414042"/>
                <w:spacing w:val="-5"/>
              </w:rPr>
              <w:t>32</w:t>
            </w:r>
          </w:hyperlink>
        </w:p>
        <w:p w14:paraId="6FFFA989" w14:textId="5BB51385" w:rsidR="00FA4226" w:rsidRPr="00CA2CC1" w:rsidRDefault="00CF7335" w:rsidP="00CF7335">
          <w:pPr>
            <w:pStyle w:val="TOC2"/>
            <w:tabs>
              <w:tab w:val="left" w:pos="3731"/>
              <w:tab w:val="right" w:pos="9616"/>
            </w:tabs>
            <w:ind w:left="0" w:firstLine="0"/>
            <w:jc w:val="both"/>
            <w:rPr>
              <w:rFonts w:cs="Calibri"/>
            </w:rPr>
          </w:pPr>
          <w:r w:rsidRPr="00CA2CC1">
            <w:rPr>
              <w:rFonts w:cs="Calibri"/>
            </w:rPr>
            <w:t xml:space="preserve">&gt; </w:t>
          </w:r>
          <w:hyperlink w:anchor="_bookmark16" w:history="1">
            <w:r w:rsidRPr="00CA2CC1">
              <w:rPr>
                <w:rFonts w:cs="Calibri"/>
                <w:color w:val="414042"/>
              </w:rPr>
              <w:t xml:space="preserve">2022-23 financial </w:t>
            </w:r>
            <w:r w:rsidRPr="00CA2CC1">
              <w:rPr>
                <w:rFonts w:cs="Calibri"/>
                <w:color w:val="414042"/>
                <w:spacing w:val="-2"/>
              </w:rPr>
              <w:t>review</w:t>
            </w:r>
            <w:r w:rsidRPr="00CA2CC1">
              <w:rPr>
                <w:rFonts w:cs="Calibri"/>
                <w:color w:val="414042"/>
              </w:rPr>
              <w:tab/>
            </w:r>
            <w:r w:rsidRPr="00CA2CC1">
              <w:rPr>
                <w:rFonts w:cs="Calibri"/>
                <w:color w:val="414042"/>
              </w:rPr>
              <w:tab/>
            </w:r>
            <w:r w:rsidRPr="00CA2CC1">
              <w:rPr>
                <w:rFonts w:cs="Calibri"/>
                <w:color w:val="414042"/>
                <w:spacing w:val="-5"/>
              </w:rPr>
              <w:t>33</w:t>
            </w:r>
          </w:hyperlink>
        </w:p>
        <w:p w14:paraId="3E17DBF7" w14:textId="1BF68766" w:rsidR="00FA4226" w:rsidRPr="00CA2CC1" w:rsidRDefault="00CF7335" w:rsidP="00CF7335">
          <w:pPr>
            <w:pStyle w:val="TOC2"/>
            <w:tabs>
              <w:tab w:val="left" w:pos="3731"/>
              <w:tab w:val="right" w:pos="9616"/>
            </w:tabs>
            <w:spacing w:before="105"/>
            <w:ind w:left="0" w:firstLine="0"/>
            <w:jc w:val="both"/>
            <w:rPr>
              <w:rFonts w:cs="Calibri"/>
            </w:rPr>
          </w:pPr>
          <w:r w:rsidRPr="00CA2CC1">
            <w:rPr>
              <w:rFonts w:cs="Calibri"/>
            </w:rPr>
            <w:t xml:space="preserve">&gt; </w:t>
          </w:r>
          <w:hyperlink w:anchor="_bookmark17" w:history="1">
            <w:r w:rsidRPr="00CA2CC1">
              <w:rPr>
                <w:rFonts w:cs="Calibri"/>
                <w:color w:val="414042"/>
              </w:rPr>
              <w:t>Governance</w:t>
            </w:r>
            <w:r w:rsidRPr="00CA2CC1">
              <w:rPr>
                <w:rFonts w:cs="Calibri"/>
                <w:color w:val="414042"/>
                <w:spacing w:val="1"/>
              </w:rPr>
              <w:t xml:space="preserve"> </w:t>
            </w:r>
            <w:r w:rsidRPr="00CA2CC1">
              <w:rPr>
                <w:rFonts w:cs="Calibri"/>
                <w:color w:val="414042"/>
              </w:rPr>
              <w:t>and</w:t>
            </w:r>
            <w:r w:rsidRPr="00CA2CC1">
              <w:rPr>
                <w:rFonts w:cs="Calibri"/>
                <w:color w:val="414042"/>
                <w:spacing w:val="1"/>
              </w:rPr>
              <w:t xml:space="preserve"> </w:t>
            </w:r>
            <w:r w:rsidRPr="00CA2CC1">
              <w:rPr>
                <w:rFonts w:cs="Calibri"/>
                <w:color w:val="414042"/>
              </w:rPr>
              <w:t>organisational</w:t>
            </w:r>
            <w:r w:rsidRPr="00CA2CC1">
              <w:rPr>
                <w:rFonts w:cs="Calibri"/>
                <w:color w:val="414042"/>
                <w:spacing w:val="1"/>
              </w:rPr>
              <w:t xml:space="preserve"> </w:t>
            </w:r>
            <w:r w:rsidRPr="00CA2CC1">
              <w:rPr>
                <w:rFonts w:cs="Calibri"/>
                <w:color w:val="414042"/>
                <w:spacing w:val="-2"/>
              </w:rPr>
              <w:t>structure</w:t>
            </w:r>
            <w:r w:rsidRPr="00CA2CC1">
              <w:rPr>
                <w:rFonts w:cs="Calibri"/>
                <w:color w:val="414042"/>
              </w:rPr>
              <w:tab/>
            </w:r>
            <w:r w:rsidRPr="00CA2CC1">
              <w:rPr>
                <w:rFonts w:cs="Calibri"/>
                <w:color w:val="414042"/>
              </w:rPr>
              <w:tab/>
            </w:r>
            <w:r w:rsidRPr="00CA2CC1">
              <w:rPr>
                <w:rFonts w:cs="Calibri"/>
                <w:color w:val="414042"/>
                <w:spacing w:val="-5"/>
              </w:rPr>
              <w:t>34</w:t>
            </w:r>
          </w:hyperlink>
        </w:p>
        <w:p w14:paraId="345E5B7D" w14:textId="2156DA04" w:rsidR="00FA4226" w:rsidRPr="00CA2CC1" w:rsidRDefault="00CF7335" w:rsidP="00CF7335">
          <w:pPr>
            <w:pStyle w:val="TOC2"/>
            <w:tabs>
              <w:tab w:val="left" w:pos="3731"/>
              <w:tab w:val="right" w:pos="9616"/>
            </w:tabs>
            <w:ind w:left="0" w:firstLine="0"/>
            <w:jc w:val="both"/>
            <w:rPr>
              <w:rFonts w:cs="Calibri"/>
            </w:rPr>
          </w:pPr>
          <w:r w:rsidRPr="00CA2CC1">
            <w:rPr>
              <w:rFonts w:cs="Calibri"/>
            </w:rPr>
            <w:t xml:space="preserve">&gt; </w:t>
          </w:r>
          <w:hyperlink w:anchor="_bookmark18" w:history="1">
            <w:r w:rsidRPr="00CA2CC1">
              <w:rPr>
                <w:rFonts w:cs="Calibri"/>
                <w:color w:val="414042"/>
              </w:rPr>
              <w:t xml:space="preserve">Organisational </w:t>
            </w:r>
            <w:r w:rsidRPr="00CA2CC1">
              <w:rPr>
                <w:rFonts w:cs="Calibri"/>
                <w:color w:val="414042"/>
                <w:spacing w:val="-2"/>
              </w:rPr>
              <w:t>structure</w:t>
            </w:r>
            <w:r w:rsidRPr="00CA2CC1">
              <w:rPr>
                <w:rFonts w:cs="Calibri"/>
                <w:color w:val="414042"/>
              </w:rPr>
              <w:tab/>
            </w:r>
            <w:r w:rsidRPr="00CA2CC1">
              <w:rPr>
                <w:rFonts w:cs="Calibri"/>
                <w:color w:val="414042"/>
              </w:rPr>
              <w:tab/>
            </w:r>
            <w:r w:rsidRPr="00CA2CC1">
              <w:rPr>
                <w:rFonts w:cs="Calibri"/>
                <w:color w:val="414042"/>
                <w:spacing w:val="-5"/>
              </w:rPr>
              <w:t>39</w:t>
            </w:r>
          </w:hyperlink>
        </w:p>
        <w:p w14:paraId="22E88C33" w14:textId="50031559" w:rsidR="00FA4226" w:rsidRPr="00CA2CC1" w:rsidRDefault="00CF7335" w:rsidP="00CF7335">
          <w:pPr>
            <w:pStyle w:val="TOC2"/>
            <w:tabs>
              <w:tab w:val="left" w:pos="3731"/>
              <w:tab w:val="right" w:pos="9616"/>
            </w:tabs>
            <w:ind w:left="0" w:firstLine="0"/>
            <w:jc w:val="both"/>
            <w:rPr>
              <w:rFonts w:cs="Calibri"/>
            </w:rPr>
          </w:pPr>
          <w:r w:rsidRPr="00CA2CC1">
            <w:rPr>
              <w:rFonts w:cs="Calibri"/>
            </w:rPr>
            <w:t xml:space="preserve">&gt; </w:t>
          </w:r>
          <w:hyperlink w:anchor="_bookmark19" w:history="1">
            <w:r w:rsidRPr="00CA2CC1">
              <w:rPr>
                <w:rFonts w:cs="Calibri"/>
                <w:color w:val="414042"/>
              </w:rPr>
              <w:t>Workforce</w:t>
            </w:r>
            <w:r w:rsidRPr="00CA2CC1">
              <w:rPr>
                <w:rFonts w:cs="Calibri"/>
                <w:color w:val="414042"/>
                <w:spacing w:val="-8"/>
              </w:rPr>
              <w:t xml:space="preserve"> </w:t>
            </w:r>
            <w:r w:rsidRPr="00CA2CC1">
              <w:rPr>
                <w:rFonts w:cs="Calibri"/>
                <w:color w:val="414042"/>
                <w:spacing w:val="-4"/>
              </w:rPr>
              <w:t>data</w:t>
            </w:r>
            <w:r w:rsidRPr="00CA2CC1">
              <w:rPr>
                <w:rFonts w:cs="Calibri"/>
                <w:color w:val="414042"/>
              </w:rPr>
              <w:tab/>
            </w:r>
            <w:r w:rsidRPr="00CA2CC1">
              <w:rPr>
                <w:rFonts w:cs="Calibri"/>
                <w:color w:val="414042"/>
              </w:rPr>
              <w:tab/>
            </w:r>
            <w:r w:rsidRPr="00CA2CC1">
              <w:rPr>
                <w:rFonts w:cs="Calibri"/>
                <w:color w:val="414042"/>
                <w:spacing w:val="-5"/>
              </w:rPr>
              <w:t>42</w:t>
            </w:r>
          </w:hyperlink>
        </w:p>
        <w:p w14:paraId="4E57466F" w14:textId="6278D152" w:rsidR="00FA4226" w:rsidRPr="00CA2CC1" w:rsidRDefault="00CF7335" w:rsidP="00CF7335">
          <w:pPr>
            <w:pStyle w:val="TOC2"/>
            <w:tabs>
              <w:tab w:val="left" w:pos="3731"/>
              <w:tab w:val="right" w:pos="9616"/>
            </w:tabs>
            <w:ind w:left="0" w:firstLine="0"/>
            <w:jc w:val="both"/>
            <w:rPr>
              <w:rFonts w:cs="Calibri"/>
            </w:rPr>
          </w:pPr>
          <w:r w:rsidRPr="00CA2CC1">
            <w:rPr>
              <w:rFonts w:cs="Calibri"/>
            </w:rPr>
            <w:t xml:space="preserve">&gt; </w:t>
          </w:r>
          <w:hyperlink w:anchor="_bookmark20" w:history="1">
            <w:r w:rsidRPr="00CA2CC1">
              <w:rPr>
                <w:rFonts w:cs="Calibri"/>
                <w:color w:val="414042"/>
              </w:rPr>
              <w:t xml:space="preserve">Other </w:t>
            </w:r>
            <w:r w:rsidRPr="00CA2CC1">
              <w:rPr>
                <w:rFonts w:cs="Calibri"/>
                <w:color w:val="414042"/>
                <w:spacing w:val="-2"/>
              </w:rPr>
              <w:t>disclosures</w:t>
            </w:r>
            <w:r w:rsidRPr="00CA2CC1">
              <w:rPr>
                <w:rFonts w:cs="Calibri"/>
                <w:color w:val="414042"/>
              </w:rPr>
              <w:tab/>
            </w:r>
            <w:r w:rsidRPr="00CA2CC1">
              <w:rPr>
                <w:rFonts w:cs="Calibri"/>
                <w:color w:val="414042"/>
              </w:rPr>
              <w:tab/>
            </w:r>
            <w:r w:rsidRPr="00CA2CC1">
              <w:rPr>
                <w:rFonts w:cs="Calibri"/>
                <w:color w:val="414042"/>
                <w:spacing w:val="-5"/>
              </w:rPr>
              <w:t>44</w:t>
            </w:r>
          </w:hyperlink>
        </w:p>
        <w:p w14:paraId="0535FC3A" w14:textId="1341E848" w:rsidR="00FA4226" w:rsidRPr="00CA2CC1" w:rsidRDefault="00CF7335" w:rsidP="00CF7335">
          <w:pPr>
            <w:pStyle w:val="TOC2"/>
            <w:tabs>
              <w:tab w:val="left" w:pos="3731"/>
              <w:tab w:val="right" w:pos="9616"/>
            </w:tabs>
            <w:ind w:left="0" w:firstLine="0"/>
            <w:jc w:val="both"/>
            <w:rPr>
              <w:rFonts w:cs="Calibri"/>
            </w:rPr>
          </w:pPr>
          <w:r w:rsidRPr="00CA2CC1">
            <w:rPr>
              <w:rFonts w:cs="Calibri"/>
            </w:rPr>
            <w:t xml:space="preserve">&gt; </w:t>
          </w:r>
          <w:hyperlink w:anchor="_bookmark21" w:history="1">
            <w:r w:rsidRPr="00CA2CC1">
              <w:rPr>
                <w:rFonts w:cs="Calibri"/>
                <w:color w:val="414042"/>
              </w:rPr>
              <w:t>Disclosure</w:t>
            </w:r>
            <w:r w:rsidRPr="00CA2CC1">
              <w:rPr>
                <w:rFonts w:cs="Calibri"/>
                <w:color w:val="414042"/>
                <w:spacing w:val="-4"/>
              </w:rPr>
              <w:t xml:space="preserve"> </w:t>
            </w:r>
            <w:r w:rsidRPr="00CA2CC1">
              <w:rPr>
                <w:rFonts w:cs="Calibri"/>
                <w:color w:val="414042"/>
                <w:spacing w:val="-2"/>
              </w:rPr>
              <w:t>index</w:t>
            </w:r>
            <w:r w:rsidRPr="00CA2CC1">
              <w:rPr>
                <w:rFonts w:cs="Calibri"/>
                <w:color w:val="414042"/>
              </w:rPr>
              <w:tab/>
            </w:r>
            <w:r w:rsidRPr="00CA2CC1">
              <w:rPr>
                <w:rFonts w:cs="Calibri"/>
                <w:color w:val="414042"/>
              </w:rPr>
              <w:tab/>
            </w:r>
            <w:r w:rsidRPr="00CA2CC1">
              <w:rPr>
                <w:rFonts w:cs="Calibri"/>
                <w:color w:val="414042"/>
                <w:spacing w:val="-5"/>
              </w:rPr>
              <w:t>48</w:t>
            </w:r>
          </w:hyperlink>
        </w:p>
        <w:p w14:paraId="0319DFC4" w14:textId="77777777" w:rsidR="00FA4226" w:rsidRPr="00CA2CC1" w:rsidRDefault="00000000" w:rsidP="00A3520C">
          <w:pPr>
            <w:pStyle w:val="TOC1"/>
            <w:spacing w:before="109"/>
            <w:ind w:left="0"/>
            <w:jc w:val="both"/>
            <w:rPr>
              <w:rFonts w:ascii="Calibri" w:hAnsi="Calibri" w:cs="Calibri"/>
            </w:rPr>
          </w:pPr>
          <w:hyperlink w:anchor="_bookmark22" w:history="1">
            <w:r w:rsidRPr="00CA2CC1">
              <w:rPr>
                <w:rFonts w:ascii="Calibri" w:hAnsi="Calibri" w:cs="Calibri"/>
                <w:color w:val="414042"/>
              </w:rPr>
              <w:t>Assessment</w:t>
            </w:r>
            <w:r w:rsidRPr="00CA2CC1">
              <w:rPr>
                <w:rFonts w:ascii="Calibri" w:hAnsi="Calibri" w:cs="Calibri"/>
                <w:color w:val="414042"/>
                <w:spacing w:val="-2"/>
              </w:rPr>
              <w:t xml:space="preserve"> </w:t>
            </w:r>
            <w:r w:rsidRPr="00CA2CC1">
              <w:rPr>
                <w:rFonts w:ascii="Calibri" w:hAnsi="Calibri" w:cs="Calibri"/>
                <w:color w:val="414042"/>
              </w:rPr>
              <w:t>of</w:t>
            </w:r>
            <w:r w:rsidRPr="00CA2CC1">
              <w:rPr>
                <w:rFonts w:ascii="Calibri" w:hAnsi="Calibri" w:cs="Calibri"/>
                <w:color w:val="414042"/>
                <w:spacing w:val="-1"/>
              </w:rPr>
              <w:t xml:space="preserve"> </w:t>
            </w:r>
            <w:r w:rsidRPr="00CA2CC1">
              <w:rPr>
                <w:rFonts w:ascii="Calibri" w:hAnsi="Calibri" w:cs="Calibri"/>
                <w:color w:val="414042"/>
              </w:rPr>
              <w:t>priorities</w:t>
            </w:r>
            <w:r w:rsidRPr="00CA2CC1">
              <w:rPr>
                <w:rFonts w:ascii="Calibri" w:hAnsi="Calibri" w:cs="Calibri"/>
                <w:color w:val="414042"/>
                <w:spacing w:val="-1"/>
              </w:rPr>
              <w:t xml:space="preserve"> </w:t>
            </w:r>
            <w:r w:rsidRPr="00CA2CC1">
              <w:rPr>
                <w:rFonts w:ascii="Calibri" w:hAnsi="Calibri" w:cs="Calibri"/>
                <w:color w:val="414042"/>
              </w:rPr>
              <w:t>and</w:t>
            </w:r>
            <w:r w:rsidRPr="00CA2CC1">
              <w:rPr>
                <w:rFonts w:ascii="Calibri" w:hAnsi="Calibri" w:cs="Calibri"/>
                <w:color w:val="414042"/>
                <w:spacing w:val="-2"/>
              </w:rPr>
              <w:t xml:space="preserve"> </w:t>
            </w:r>
            <w:r w:rsidRPr="00CA2CC1">
              <w:rPr>
                <w:rFonts w:ascii="Calibri" w:hAnsi="Calibri" w:cs="Calibri"/>
                <w:color w:val="414042"/>
              </w:rPr>
              <w:t>progress</w:t>
            </w:r>
            <w:r w:rsidRPr="00CA2CC1">
              <w:rPr>
                <w:rFonts w:ascii="Calibri" w:hAnsi="Calibri" w:cs="Calibri"/>
                <w:color w:val="414042"/>
                <w:spacing w:val="-1"/>
              </w:rPr>
              <w:t xml:space="preserve"> </w:t>
            </w:r>
            <w:r w:rsidRPr="00CA2CC1">
              <w:rPr>
                <w:rFonts w:ascii="Calibri" w:hAnsi="Calibri" w:cs="Calibri"/>
                <w:color w:val="414042"/>
              </w:rPr>
              <w:t>in</w:t>
            </w:r>
            <w:r w:rsidRPr="00CA2CC1">
              <w:rPr>
                <w:rFonts w:ascii="Calibri" w:hAnsi="Calibri" w:cs="Calibri"/>
                <w:color w:val="414042"/>
                <w:spacing w:val="-1"/>
              </w:rPr>
              <w:t xml:space="preserve"> </w:t>
            </w:r>
            <w:r w:rsidRPr="00CA2CC1">
              <w:rPr>
                <w:rFonts w:ascii="Calibri" w:hAnsi="Calibri" w:cs="Calibri"/>
                <w:color w:val="414042"/>
                <w:spacing w:val="-2"/>
              </w:rPr>
              <w:t>meeting</w:t>
            </w:r>
          </w:hyperlink>
        </w:p>
        <w:p w14:paraId="12AA1981" w14:textId="77777777" w:rsidR="00FA4226" w:rsidRPr="00CA2CC1" w:rsidRDefault="00000000" w:rsidP="00A3520C">
          <w:pPr>
            <w:pStyle w:val="TOC1"/>
            <w:tabs>
              <w:tab w:val="right" w:pos="9616"/>
            </w:tabs>
            <w:spacing w:before="5"/>
            <w:ind w:left="0"/>
            <w:jc w:val="both"/>
            <w:rPr>
              <w:rFonts w:ascii="Calibri" w:hAnsi="Calibri" w:cs="Calibri"/>
            </w:rPr>
          </w:pPr>
          <w:hyperlink w:anchor="_bookmark22" w:history="1">
            <w:r w:rsidRPr="00CA2CC1">
              <w:rPr>
                <w:rFonts w:ascii="Calibri" w:hAnsi="Calibri" w:cs="Calibri"/>
                <w:color w:val="414042"/>
              </w:rPr>
              <w:t>Victoria’s</w:t>
            </w:r>
            <w:r w:rsidRPr="00CA2CC1">
              <w:rPr>
                <w:rFonts w:ascii="Calibri" w:hAnsi="Calibri" w:cs="Calibri"/>
                <w:color w:val="414042"/>
                <w:spacing w:val="-9"/>
              </w:rPr>
              <w:t xml:space="preserve"> </w:t>
            </w:r>
            <w:r w:rsidRPr="00CA2CC1">
              <w:rPr>
                <w:rFonts w:ascii="Calibri" w:hAnsi="Calibri" w:cs="Calibri"/>
                <w:color w:val="414042"/>
              </w:rPr>
              <w:t>infrastructure</w:t>
            </w:r>
            <w:r w:rsidRPr="00CA2CC1">
              <w:rPr>
                <w:rFonts w:ascii="Calibri" w:hAnsi="Calibri" w:cs="Calibri"/>
                <w:color w:val="414042"/>
                <w:spacing w:val="-8"/>
              </w:rPr>
              <w:t xml:space="preserve"> </w:t>
            </w:r>
            <w:r w:rsidRPr="00CA2CC1">
              <w:rPr>
                <w:rFonts w:ascii="Calibri" w:hAnsi="Calibri" w:cs="Calibri"/>
                <w:color w:val="414042"/>
                <w:spacing w:val="-2"/>
              </w:rPr>
              <w:t>needs</w:t>
            </w:r>
            <w:r w:rsidRPr="00CA2CC1">
              <w:rPr>
                <w:rFonts w:ascii="Calibri" w:hAnsi="Calibri" w:cs="Calibri"/>
                <w:color w:val="414042"/>
              </w:rPr>
              <w:tab/>
            </w:r>
            <w:r w:rsidRPr="00CA2CC1">
              <w:rPr>
                <w:rFonts w:ascii="Calibri" w:hAnsi="Calibri" w:cs="Calibri"/>
                <w:color w:val="414042"/>
                <w:spacing w:val="-5"/>
              </w:rPr>
              <w:t>51</w:t>
            </w:r>
          </w:hyperlink>
        </w:p>
        <w:p w14:paraId="22A11F4B" w14:textId="77777777" w:rsidR="00FA4226" w:rsidRPr="00CA2CC1" w:rsidRDefault="00000000" w:rsidP="00A3520C">
          <w:pPr>
            <w:pStyle w:val="TOC1"/>
            <w:tabs>
              <w:tab w:val="right" w:pos="9616"/>
            </w:tabs>
            <w:ind w:left="0"/>
            <w:jc w:val="both"/>
            <w:rPr>
              <w:rFonts w:ascii="Calibri" w:hAnsi="Calibri" w:cs="Calibri"/>
            </w:rPr>
          </w:pPr>
          <w:hyperlink w:anchor="_bookmark66" w:history="1">
            <w:r w:rsidRPr="00CA2CC1">
              <w:rPr>
                <w:rFonts w:ascii="Calibri" w:hAnsi="Calibri" w:cs="Calibri"/>
                <w:color w:val="414042"/>
              </w:rPr>
              <w:t xml:space="preserve">Financial </w:t>
            </w:r>
            <w:r w:rsidRPr="00CA2CC1">
              <w:rPr>
                <w:rFonts w:ascii="Calibri" w:hAnsi="Calibri" w:cs="Calibri"/>
                <w:color w:val="414042"/>
                <w:spacing w:val="-2"/>
              </w:rPr>
              <w:t>statements</w:t>
            </w:r>
            <w:r w:rsidRPr="00CA2CC1">
              <w:rPr>
                <w:rFonts w:ascii="Calibri" w:hAnsi="Calibri" w:cs="Calibri"/>
                <w:color w:val="414042"/>
              </w:rPr>
              <w:tab/>
            </w:r>
            <w:r w:rsidRPr="00CA2CC1">
              <w:rPr>
                <w:rFonts w:ascii="Calibri" w:hAnsi="Calibri" w:cs="Calibri"/>
                <w:color w:val="414042"/>
                <w:spacing w:val="-5"/>
              </w:rPr>
              <w:t>96</w:t>
            </w:r>
          </w:hyperlink>
        </w:p>
        <w:p w14:paraId="1A3A37EC" w14:textId="77777777" w:rsidR="00FA4226" w:rsidRPr="00CA2CC1" w:rsidRDefault="00000000" w:rsidP="00A3520C">
          <w:pPr>
            <w:pStyle w:val="TOC1"/>
            <w:tabs>
              <w:tab w:val="right" w:pos="9616"/>
            </w:tabs>
            <w:spacing w:before="108"/>
            <w:ind w:left="0"/>
            <w:jc w:val="both"/>
            <w:rPr>
              <w:rFonts w:ascii="Calibri" w:hAnsi="Calibri" w:cs="Calibri"/>
            </w:rPr>
          </w:pPr>
          <w:hyperlink w:anchor="_bookmark79" w:history="1">
            <w:r w:rsidRPr="00CA2CC1">
              <w:rPr>
                <w:rFonts w:ascii="Calibri" w:hAnsi="Calibri" w:cs="Calibri"/>
                <w:color w:val="414042"/>
                <w:spacing w:val="-2"/>
              </w:rPr>
              <w:t>Endnotes</w:t>
            </w:r>
            <w:r w:rsidRPr="00CA2CC1">
              <w:rPr>
                <w:rFonts w:ascii="Calibri" w:hAnsi="Calibri" w:cs="Calibri"/>
                <w:color w:val="414042"/>
              </w:rPr>
              <w:tab/>
            </w:r>
            <w:r w:rsidRPr="00CA2CC1">
              <w:rPr>
                <w:rFonts w:ascii="Calibri" w:hAnsi="Calibri" w:cs="Calibri"/>
                <w:color w:val="414042"/>
                <w:spacing w:val="-5"/>
              </w:rPr>
              <w:t>128</w:t>
            </w:r>
          </w:hyperlink>
        </w:p>
      </w:sdtContent>
    </w:sdt>
    <w:p w14:paraId="46800AA3" w14:textId="77777777" w:rsidR="00FA4226" w:rsidRPr="00CA2CC1" w:rsidRDefault="00FA4226" w:rsidP="00A3520C">
      <w:pPr>
        <w:jc w:val="both"/>
        <w:rPr>
          <w:rFonts w:cs="Calibri"/>
        </w:rPr>
        <w:sectPr w:rsidR="00FA4226" w:rsidRPr="00CA2CC1" w:rsidSect="00E941A5">
          <w:pgSz w:w="11910" w:h="16840"/>
          <w:pgMar w:top="1134" w:right="1278" w:bottom="1134" w:left="1134" w:header="720" w:footer="720" w:gutter="0"/>
          <w:cols w:space="720"/>
        </w:sectPr>
      </w:pPr>
    </w:p>
    <w:p w14:paraId="3924E801" w14:textId="43CFA49A" w:rsidR="00FA4226" w:rsidRPr="00CA2CC1" w:rsidRDefault="00000000" w:rsidP="0043303B">
      <w:pPr>
        <w:pStyle w:val="Heading1"/>
        <w:spacing w:before="171"/>
        <w:rPr>
          <w:rFonts w:cs="Calibri"/>
          <w:color w:val="000000" w:themeColor="text1"/>
        </w:rPr>
      </w:pPr>
      <w:r w:rsidRPr="00CA2CC1">
        <w:rPr>
          <w:rFonts w:cs="Calibri"/>
          <w:color w:val="000000" w:themeColor="text1"/>
          <w:w w:val="110"/>
        </w:rPr>
        <w:lastRenderedPageBreak/>
        <w:t xml:space="preserve">Chair and </w:t>
      </w:r>
      <w:r w:rsidRPr="00CA2CC1">
        <w:rPr>
          <w:rFonts w:cs="Calibri"/>
          <w:color w:val="000000" w:themeColor="text1"/>
          <w:spacing w:val="-2"/>
          <w:w w:val="110"/>
        </w:rPr>
        <w:t>CEO’s</w:t>
      </w:r>
      <w:r w:rsidRPr="00CA2CC1">
        <w:rPr>
          <w:rFonts w:cs="Calibri"/>
          <w:color w:val="000000" w:themeColor="text1"/>
          <w:spacing w:val="-42"/>
          <w:w w:val="110"/>
        </w:rPr>
        <w:t xml:space="preserve"> </w:t>
      </w:r>
      <w:r w:rsidRPr="00CA2CC1">
        <w:rPr>
          <w:rFonts w:cs="Calibri"/>
          <w:color w:val="000000" w:themeColor="text1"/>
          <w:spacing w:val="-2"/>
          <w:w w:val="110"/>
        </w:rPr>
        <w:t>report</w:t>
      </w:r>
    </w:p>
    <w:p w14:paraId="68E4F42D" w14:textId="77777777" w:rsidR="000E4B47" w:rsidRPr="00CA2CC1" w:rsidRDefault="000E4B47" w:rsidP="0043303B">
      <w:pPr>
        <w:rPr>
          <w:rFonts w:cs="Calibri"/>
          <w:color w:val="000000" w:themeColor="text1"/>
          <w:w w:val="110"/>
          <w:sz w:val="24"/>
        </w:rPr>
      </w:pPr>
    </w:p>
    <w:p w14:paraId="5F9A5646" w14:textId="26C4D9D1" w:rsidR="00FA4226" w:rsidRPr="00CA2CC1" w:rsidRDefault="00000000" w:rsidP="0043303B">
      <w:pPr>
        <w:rPr>
          <w:rFonts w:cs="Calibri"/>
          <w:color w:val="000000" w:themeColor="text1"/>
          <w:sz w:val="24"/>
        </w:rPr>
      </w:pPr>
      <w:r w:rsidRPr="00CA2CC1">
        <w:rPr>
          <w:rFonts w:cs="Calibri"/>
          <w:color w:val="000000" w:themeColor="text1"/>
          <w:w w:val="110"/>
          <w:sz w:val="24"/>
        </w:rPr>
        <w:t>Now</w:t>
      </w:r>
      <w:r w:rsidRPr="00CA2CC1">
        <w:rPr>
          <w:rFonts w:cs="Calibri"/>
          <w:color w:val="000000" w:themeColor="text1"/>
          <w:spacing w:val="-8"/>
          <w:w w:val="110"/>
          <w:sz w:val="24"/>
        </w:rPr>
        <w:t xml:space="preserve"> </w:t>
      </w:r>
      <w:r w:rsidRPr="00CA2CC1">
        <w:rPr>
          <w:rFonts w:cs="Calibri"/>
          <w:color w:val="000000" w:themeColor="text1"/>
          <w:w w:val="110"/>
          <w:sz w:val="24"/>
        </w:rPr>
        <w:t>in</w:t>
      </w:r>
      <w:r w:rsidRPr="00CA2CC1">
        <w:rPr>
          <w:rFonts w:cs="Calibri"/>
          <w:color w:val="000000" w:themeColor="text1"/>
          <w:spacing w:val="-8"/>
          <w:w w:val="110"/>
          <w:sz w:val="24"/>
        </w:rPr>
        <w:t xml:space="preserve"> </w:t>
      </w:r>
      <w:r w:rsidRPr="00CA2CC1">
        <w:rPr>
          <w:rFonts w:cs="Calibri"/>
          <w:color w:val="000000" w:themeColor="text1"/>
          <w:w w:val="110"/>
          <w:sz w:val="24"/>
        </w:rPr>
        <w:t>our</w:t>
      </w:r>
      <w:r w:rsidRPr="00CA2CC1">
        <w:rPr>
          <w:rFonts w:cs="Calibri"/>
          <w:color w:val="000000" w:themeColor="text1"/>
          <w:spacing w:val="-8"/>
          <w:w w:val="110"/>
          <w:sz w:val="24"/>
        </w:rPr>
        <w:t xml:space="preserve"> </w:t>
      </w:r>
      <w:r w:rsidRPr="00CA2CC1">
        <w:rPr>
          <w:rFonts w:cs="Calibri"/>
          <w:color w:val="000000" w:themeColor="text1"/>
          <w:w w:val="110"/>
          <w:sz w:val="24"/>
        </w:rPr>
        <w:t>8th</w:t>
      </w:r>
      <w:r w:rsidRPr="00CA2CC1">
        <w:rPr>
          <w:rFonts w:cs="Calibri"/>
          <w:color w:val="000000" w:themeColor="text1"/>
          <w:spacing w:val="-11"/>
          <w:w w:val="110"/>
          <w:sz w:val="24"/>
        </w:rPr>
        <w:t xml:space="preserve"> </w:t>
      </w:r>
      <w:r w:rsidRPr="00CA2CC1">
        <w:rPr>
          <w:rFonts w:cs="Calibri"/>
          <w:color w:val="000000" w:themeColor="text1"/>
          <w:w w:val="110"/>
          <w:sz w:val="24"/>
        </w:rPr>
        <w:t>year</w:t>
      </w:r>
      <w:r w:rsidRPr="00CA2CC1">
        <w:rPr>
          <w:rFonts w:cs="Calibri"/>
          <w:color w:val="000000" w:themeColor="text1"/>
          <w:spacing w:val="-8"/>
          <w:w w:val="110"/>
          <w:sz w:val="24"/>
        </w:rPr>
        <w:t xml:space="preserve"> </w:t>
      </w:r>
      <w:r w:rsidRPr="00CA2CC1">
        <w:rPr>
          <w:rFonts w:cs="Calibri"/>
          <w:color w:val="000000" w:themeColor="text1"/>
          <w:w w:val="110"/>
          <w:sz w:val="24"/>
        </w:rPr>
        <w:t>of</w:t>
      </w:r>
      <w:r w:rsidRPr="00CA2CC1">
        <w:rPr>
          <w:rFonts w:cs="Calibri"/>
          <w:color w:val="000000" w:themeColor="text1"/>
          <w:spacing w:val="-8"/>
          <w:w w:val="110"/>
          <w:sz w:val="24"/>
        </w:rPr>
        <w:t xml:space="preserve"> </w:t>
      </w:r>
      <w:r w:rsidRPr="00CA2CC1">
        <w:rPr>
          <w:rFonts w:cs="Calibri"/>
          <w:color w:val="000000" w:themeColor="text1"/>
          <w:w w:val="110"/>
          <w:sz w:val="24"/>
        </w:rPr>
        <w:t>operation,</w:t>
      </w:r>
      <w:r w:rsidRPr="00CA2CC1">
        <w:rPr>
          <w:rFonts w:cs="Calibri"/>
          <w:color w:val="000000" w:themeColor="text1"/>
          <w:spacing w:val="-16"/>
          <w:w w:val="110"/>
          <w:sz w:val="24"/>
        </w:rPr>
        <w:t xml:space="preserve"> </w:t>
      </w:r>
      <w:r w:rsidRPr="00CA2CC1">
        <w:rPr>
          <w:rFonts w:cs="Calibri"/>
          <w:color w:val="000000" w:themeColor="text1"/>
          <w:w w:val="110"/>
          <w:sz w:val="24"/>
        </w:rPr>
        <w:t>Infrastructure Victoria</w:t>
      </w:r>
      <w:r w:rsidRPr="00CA2CC1">
        <w:rPr>
          <w:rFonts w:cs="Calibri"/>
          <w:color w:val="000000" w:themeColor="text1"/>
          <w:spacing w:val="-13"/>
          <w:w w:val="110"/>
          <w:sz w:val="24"/>
        </w:rPr>
        <w:t xml:space="preserve"> </w:t>
      </w:r>
      <w:r w:rsidRPr="00CA2CC1">
        <w:rPr>
          <w:rFonts w:cs="Calibri"/>
          <w:color w:val="000000" w:themeColor="text1"/>
          <w:w w:val="110"/>
          <w:sz w:val="24"/>
        </w:rPr>
        <w:t>is</w:t>
      </w:r>
      <w:r w:rsidRPr="00CA2CC1">
        <w:rPr>
          <w:rFonts w:cs="Calibri"/>
          <w:color w:val="000000" w:themeColor="text1"/>
          <w:spacing w:val="-17"/>
          <w:w w:val="110"/>
          <w:sz w:val="24"/>
        </w:rPr>
        <w:t xml:space="preserve"> </w:t>
      </w:r>
      <w:r w:rsidRPr="00CA2CC1">
        <w:rPr>
          <w:rFonts w:cs="Calibri"/>
          <w:color w:val="000000" w:themeColor="text1"/>
          <w:w w:val="110"/>
          <w:sz w:val="24"/>
        </w:rPr>
        <w:t>widely</w:t>
      </w:r>
      <w:r w:rsidRPr="00CA2CC1">
        <w:rPr>
          <w:rFonts w:cs="Calibri"/>
          <w:color w:val="000000" w:themeColor="text1"/>
          <w:spacing w:val="-13"/>
          <w:w w:val="110"/>
          <w:sz w:val="24"/>
        </w:rPr>
        <w:t xml:space="preserve"> </w:t>
      </w:r>
      <w:r w:rsidRPr="00CA2CC1">
        <w:rPr>
          <w:rFonts w:cs="Calibri"/>
          <w:color w:val="000000" w:themeColor="text1"/>
          <w:w w:val="110"/>
          <w:sz w:val="24"/>
        </w:rPr>
        <w:t>recognised</w:t>
      </w:r>
      <w:r w:rsidRPr="00CA2CC1">
        <w:rPr>
          <w:rFonts w:cs="Calibri"/>
          <w:color w:val="000000" w:themeColor="text1"/>
          <w:spacing w:val="-13"/>
          <w:w w:val="110"/>
          <w:sz w:val="24"/>
        </w:rPr>
        <w:t xml:space="preserve"> </w:t>
      </w:r>
      <w:r w:rsidRPr="00CA2CC1">
        <w:rPr>
          <w:rFonts w:cs="Calibri"/>
          <w:color w:val="000000" w:themeColor="text1"/>
          <w:w w:val="110"/>
          <w:sz w:val="24"/>
        </w:rPr>
        <w:t>as</w:t>
      </w:r>
      <w:r w:rsidRPr="00CA2CC1">
        <w:rPr>
          <w:rFonts w:cs="Calibri"/>
          <w:color w:val="000000" w:themeColor="text1"/>
          <w:spacing w:val="-13"/>
          <w:w w:val="110"/>
          <w:sz w:val="24"/>
        </w:rPr>
        <w:t xml:space="preserve"> </w:t>
      </w:r>
      <w:r w:rsidRPr="00CA2CC1">
        <w:rPr>
          <w:rFonts w:cs="Calibri"/>
          <w:color w:val="000000" w:themeColor="text1"/>
          <w:w w:val="110"/>
          <w:sz w:val="24"/>
        </w:rPr>
        <w:t>an</w:t>
      </w:r>
      <w:r w:rsidRPr="00CA2CC1">
        <w:rPr>
          <w:rFonts w:cs="Calibri"/>
          <w:color w:val="000000" w:themeColor="text1"/>
          <w:spacing w:val="-13"/>
          <w:w w:val="110"/>
          <w:sz w:val="24"/>
        </w:rPr>
        <w:t xml:space="preserve"> </w:t>
      </w:r>
      <w:r w:rsidRPr="00CA2CC1">
        <w:rPr>
          <w:rFonts w:cs="Calibri"/>
          <w:color w:val="000000" w:themeColor="text1"/>
          <w:w w:val="110"/>
          <w:sz w:val="24"/>
        </w:rPr>
        <w:t>independent and authoritative voice on the infrastructure issues that really matter.</w:t>
      </w:r>
    </w:p>
    <w:p w14:paraId="1A2519EE" w14:textId="77777777" w:rsidR="000E4B47" w:rsidRPr="00CA2CC1" w:rsidRDefault="000E4B47" w:rsidP="0043303B">
      <w:pPr>
        <w:pStyle w:val="BodyText"/>
        <w:spacing w:before="71"/>
        <w:rPr>
          <w:rFonts w:cs="Calibri"/>
          <w:color w:val="414042"/>
        </w:rPr>
      </w:pPr>
    </w:p>
    <w:p w14:paraId="27D1B366" w14:textId="45DF1493" w:rsidR="00FA4226" w:rsidRPr="00CA2CC1" w:rsidRDefault="00000000" w:rsidP="0043303B">
      <w:pPr>
        <w:pStyle w:val="BodyText"/>
        <w:spacing w:before="71"/>
        <w:rPr>
          <w:rFonts w:cs="Calibri"/>
          <w:szCs w:val="22"/>
        </w:rPr>
      </w:pPr>
      <w:r w:rsidRPr="00CA2CC1">
        <w:rPr>
          <w:rFonts w:cs="Calibri"/>
          <w:color w:val="414042"/>
          <w:szCs w:val="22"/>
        </w:rPr>
        <w:t>Since our inception, we have taken an independent, transparent</w:t>
      </w:r>
      <w:r w:rsidRPr="00CA2CC1">
        <w:rPr>
          <w:rFonts w:cs="Calibri"/>
          <w:color w:val="414042"/>
          <w:spacing w:val="-10"/>
          <w:szCs w:val="22"/>
        </w:rPr>
        <w:t xml:space="preserve"> </w:t>
      </w:r>
      <w:r w:rsidRPr="00CA2CC1">
        <w:rPr>
          <w:rFonts w:cs="Calibri"/>
          <w:color w:val="414042"/>
          <w:szCs w:val="22"/>
        </w:rPr>
        <w:t>and</w:t>
      </w:r>
      <w:r w:rsidRPr="00CA2CC1">
        <w:rPr>
          <w:rFonts w:cs="Calibri"/>
          <w:color w:val="414042"/>
          <w:spacing w:val="-10"/>
          <w:szCs w:val="22"/>
        </w:rPr>
        <w:t xml:space="preserve"> </w:t>
      </w:r>
      <w:r w:rsidRPr="00CA2CC1">
        <w:rPr>
          <w:rFonts w:cs="Calibri"/>
          <w:color w:val="414042"/>
          <w:szCs w:val="22"/>
        </w:rPr>
        <w:t>evidence-based</w:t>
      </w:r>
      <w:r w:rsidRPr="00CA2CC1">
        <w:rPr>
          <w:rFonts w:cs="Calibri"/>
          <w:color w:val="414042"/>
          <w:spacing w:val="-10"/>
          <w:szCs w:val="22"/>
        </w:rPr>
        <w:t xml:space="preserve"> </w:t>
      </w:r>
      <w:r w:rsidRPr="00CA2CC1">
        <w:rPr>
          <w:rFonts w:cs="Calibri"/>
          <w:color w:val="414042"/>
          <w:szCs w:val="22"/>
        </w:rPr>
        <w:t>approach</w:t>
      </w:r>
      <w:r w:rsidRPr="00CA2CC1">
        <w:rPr>
          <w:rFonts w:cs="Calibri"/>
          <w:color w:val="414042"/>
          <w:spacing w:val="-10"/>
          <w:szCs w:val="22"/>
        </w:rPr>
        <w:t xml:space="preserve"> </w:t>
      </w:r>
      <w:r w:rsidRPr="00CA2CC1">
        <w:rPr>
          <w:rFonts w:cs="Calibri"/>
          <w:color w:val="414042"/>
          <w:szCs w:val="22"/>
        </w:rPr>
        <w:t>to</w:t>
      </w:r>
      <w:r w:rsidRPr="00CA2CC1">
        <w:rPr>
          <w:rFonts w:cs="Calibri"/>
          <w:color w:val="414042"/>
          <w:spacing w:val="-10"/>
          <w:szCs w:val="22"/>
        </w:rPr>
        <w:t xml:space="preserve"> </w:t>
      </w:r>
      <w:r w:rsidRPr="00CA2CC1">
        <w:rPr>
          <w:rFonts w:cs="Calibri"/>
          <w:color w:val="414042"/>
          <w:szCs w:val="22"/>
        </w:rPr>
        <w:t>infrastructure planning. Our research recommendations and high quality advice</w:t>
      </w:r>
      <w:r w:rsidRPr="00CA2CC1">
        <w:rPr>
          <w:rFonts w:cs="Calibri"/>
          <w:color w:val="414042"/>
          <w:spacing w:val="-5"/>
          <w:szCs w:val="22"/>
        </w:rPr>
        <w:t xml:space="preserve"> </w:t>
      </w:r>
      <w:r w:rsidRPr="00CA2CC1">
        <w:rPr>
          <w:rFonts w:cs="Calibri"/>
          <w:color w:val="414042"/>
          <w:szCs w:val="22"/>
        </w:rPr>
        <w:t>are</w:t>
      </w:r>
      <w:r w:rsidRPr="00CA2CC1">
        <w:rPr>
          <w:rFonts w:cs="Calibri"/>
          <w:color w:val="414042"/>
          <w:spacing w:val="-5"/>
          <w:szCs w:val="22"/>
        </w:rPr>
        <w:t xml:space="preserve"> </w:t>
      </w:r>
      <w:r w:rsidRPr="00CA2CC1">
        <w:rPr>
          <w:rFonts w:cs="Calibri"/>
          <w:color w:val="414042"/>
          <w:szCs w:val="22"/>
        </w:rPr>
        <w:t>trusted</w:t>
      </w:r>
      <w:r w:rsidRPr="00CA2CC1">
        <w:rPr>
          <w:rFonts w:cs="Calibri"/>
          <w:color w:val="414042"/>
          <w:spacing w:val="-5"/>
          <w:szCs w:val="22"/>
        </w:rPr>
        <w:t xml:space="preserve"> </w:t>
      </w:r>
      <w:r w:rsidRPr="00CA2CC1">
        <w:rPr>
          <w:rFonts w:cs="Calibri"/>
          <w:color w:val="414042"/>
          <w:szCs w:val="22"/>
        </w:rPr>
        <w:t>by</w:t>
      </w:r>
      <w:r w:rsidRPr="00CA2CC1">
        <w:rPr>
          <w:rFonts w:cs="Calibri"/>
          <w:color w:val="414042"/>
          <w:spacing w:val="-5"/>
          <w:szCs w:val="22"/>
        </w:rPr>
        <w:t xml:space="preserve"> </w:t>
      </w:r>
      <w:r w:rsidRPr="00CA2CC1">
        <w:rPr>
          <w:rFonts w:cs="Calibri"/>
          <w:color w:val="414042"/>
          <w:szCs w:val="22"/>
        </w:rPr>
        <w:t>the</w:t>
      </w:r>
      <w:r w:rsidRPr="00CA2CC1">
        <w:rPr>
          <w:rFonts w:cs="Calibri"/>
          <w:color w:val="414042"/>
          <w:spacing w:val="-5"/>
          <w:szCs w:val="22"/>
        </w:rPr>
        <w:t xml:space="preserve"> </w:t>
      </w:r>
      <w:r w:rsidRPr="00CA2CC1">
        <w:rPr>
          <w:rFonts w:cs="Calibri"/>
          <w:color w:val="414042"/>
          <w:szCs w:val="22"/>
        </w:rPr>
        <w:t>Victorian</w:t>
      </w:r>
      <w:r w:rsidRPr="00CA2CC1">
        <w:rPr>
          <w:rFonts w:cs="Calibri"/>
          <w:color w:val="414042"/>
          <w:spacing w:val="-5"/>
          <w:szCs w:val="22"/>
        </w:rPr>
        <w:t xml:space="preserve"> </w:t>
      </w:r>
      <w:r w:rsidRPr="00CA2CC1">
        <w:rPr>
          <w:rFonts w:cs="Calibri"/>
          <w:color w:val="414042"/>
          <w:szCs w:val="22"/>
        </w:rPr>
        <w:t>Government,</w:t>
      </w:r>
      <w:r w:rsidRPr="00CA2CC1">
        <w:rPr>
          <w:rFonts w:cs="Calibri"/>
          <w:color w:val="414042"/>
          <w:spacing w:val="-5"/>
          <w:szCs w:val="22"/>
        </w:rPr>
        <w:t xml:space="preserve"> </w:t>
      </w:r>
      <w:r w:rsidRPr="00CA2CC1">
        <w:rPr>
          <w:rFonts w:cs="Calibri"/>
          <w:color w:val="414042"/>
          <w:szCs w:val="22"/>
        </w:rPr>
        <w:t xml:space="preserve">Parliament and the community, informing policy discussions and </w:t>
      </w:r>
      <w:r w:rsidRPr="00CA2CC1">
        <w:rPr>
          <w:rFonts w:cs="Calibri"/>
          <w:color w:val="414042"/>
          <w:spacing w:val="-2"/>
          <w:szCs w:val="22"/>
        </w:rPr>
        <w:t>decision-making.</w:t>
      </w:r>
    </w:p>
    <w:p w14:paraId="32DC0D46" w14:textId="77777777" w:rsidR="00FA4226" w:rsidRPr="00CA2CC1" w:rsidRDefault="00000000" w:rsidP="0043303B">
      <w:pPr>
        <w:pStyle w:val="BodyText"/>
        <w:spacing w:before="113"/>
        <w:rPr>
          <w:rFonts w:cs="Calibri"/>
          <w:szCs w:val="22"/>
        </w:rPr>
      </w:pPr>
      <w:r w:rsidRPr="00CA2CC1">
        <w:rPr>
          <w:rFonts w:cs="Calibri"/>
          <w:color w:val="414042"/>
          <w:szCs w:val="22"/>
        </w:rPr>
        <w:t>This year saw a step change in Infrastructure Victoria’s advocacy and influence, underpinned by our impactful research</w:t>
      </w:r>
      <w:r w:rsidRPr="00CA2CC1">
        <w:rPr>
          <w:rFonts w:cs="Calibri"/>
          <w:color w:val="414042"/>
          <w:spacing w:val="-7"/>
          <w:szCs w:val="22"/>
        </w:rPr>
        <w:t xml:space="preserve"> </w:t>
      </w:r>
      <w:r w:rsidRPr="00CA2CC1">
        <w:rPr>
          <w:rFonts w:cs="Calibri"/>
          <w:color w:val="414042"/>
          <w:szCs w:val="22"/>
        </w:rPr>
        <w:t>and</w:t>
      </w:r>
      <w:r w:rsidRPr="00CA2CC1">
        <w:rPr>
          <w:rFonts w:cs="Calibri"/>
          <w:color w:val="414042"/>
          <w:spacing w:val="-7"/>
          <w:szCs w:val="22"/>
        </w:rPr>
        <w:t xml:space="preserve"> </w:t>
      </w:r>
      <w:r w:rsidRPr="00CA2CC1">
        <w:rPr>
          <w:rFonts w:cs="Calibri"/>
          <w:color w:val="414042"/>
          <w:szCs w:val="22"/>
        </w:rPr>
        <w:t>advice.</w:t>
      </w:r>
      <w:r w:rsidRPr="00CA2CC1">
        <w:rPr>
          <w:rFonts w:cs="Calibri"/>
          <w:color w:val="414042"/>
          <w:spacing w:val="-7"/>
          <w:szCs w:val="22"/>
        </w:rPr>
        <w:t xml:space="preserve"> </w:t>
      </w:r>
      <w:r w:rsidRPr="00CA2CC1">
        <w:rPr>
          <w:rFonts w:cs="Calibri"/>
          <w:color w:val="414042"/>
          <w:szCs w:val="22"/>
        </w:rPr>
        <w:t>We</w:t>
      </w:r>
      <w:r w:rsidRPr="00CA2CC1">
        <w:rPr>
          <w:rFonts w:cs="Calibri"/>
          <w:color w:val="414042"/>
          <w:spacing w:val="-7"/>
          <w:szCs w:val="22"/>
        </w:rPr>
        <w:t xml:space="preserve"> </w:t>
      </w:r>
      <w:r w:rsidRPr="00CA2CC1">
        <w:rPr>
          <w:rFonts w:cs="Calibri"/>
          <w:color w:val="414042"/>
          <w:szCs w:val="22"/>
        </w:rPr>
        <w:t>successfully</w:t>
      </w:r>
      <w:r w:rsidRPr="00CA2CC1">
        <w:rPr>
          <w:rFonts w:cs="Calibri"/>
          <w:color w:val="414042"/>
          <w:spacing w:val="-7"/>
          <w:szCs w:val="22"/>
        </w:rPr>
        <w:t xml:space="preserve"> </w:t>
      </w:r>
      <w:r w:rsidRPr="00CA2CC1">
        <w:rPr>
          <w:rFonts w:cs="Calibri"/>
          <w:color w:val="414042"/>
          <w:szCs w:val="22"/>
        </w:rPr>
        <w:t>built</w:t>
      </w:r>
      <w:r w:rsidRPr="00CA2CC1">
        <w:rPr>
          <w:rFonts w:cs="Calibri"/>
          <w:color w:val="414042"/>
          <w:spacing w:val="-7"/>
          <w:szCs w:val="22"/>
        </w:rPr>
        <w:t xml:space="preserve"> </w:t>
      </w:r>
      <w:r w:rsidRPr="00CA2CC1">
        <w:rPr>
          <w:rFonts w:cs="Calibri"/>
          <w:color w:val="414042"/>
          <w:szCs w:val="22"/>
        </w:rPr>
        <w:t>on</w:t>
      </w:r>
      <w:r w:rsidRPr="00CA2CC1">
        <w:rPr>
          <w:rFonts w:cs="Calibri"/>
          <w:color w:val="414042"/>
          <w:spacing w:val="-7"/>
          <w:szCs w:val="22"/>
        </w:rPr>
        <w:t xml:space="preserve"> </w:t>
      </w:r>
      <w:r w:rsidRPr="00CA2CC1">
        <w:rPr>
          <w:rFonts w:cs="Calibri"/>
          <w:color w:val="414042"/>
          <w:szCs w:val="22"/>
        </w:rPr>
        <w:t>the</w:t>
      </w:r>
      <w:r w:rsidRPr="00CA2CC1">
        <w:rPr>
          <w:rFonts w:cs="Calibri"/>
          <w:color w:val="414042"/>
          <w:spacing w:val="-7"/>
          <w:szCs w:val="22"/>
        </w:rPr>
        <w:t xml:space="preserve"> </w:t>
      </w:r>
      <w:r w:rsidRPr="00CA2CC1">
        <w:rPr>
          <w:rFonts w:cs="Calibri"/>
          <w:color w:val="414042"/>
          <w:szCs w:val="22"/>
        </w:rPr>
        <w:t>foundation of trust we have fostered with stakeholders and the broader community to inform discussion and change on a broad range of infrastructure issues.</w:t>
      </w:r>
    </w:p>
    <w:p w14:paraId="3EF5F944" w14:textId="77777777" w:rsidR="00FA4226" w:rsidRPr="00CA2CC1" w:rsidRDefault="00000000" w:rsidP="0043303B">
      <w:pPr>
        <w:pStyle w:val="BodyText"/>
        <w:spacing w:before="113"/>
        <w:rPr>
          <w:rFonts w:cs="Calibri"/>
          <w:szCs w:val="22"/>
        </w:rPr>
      </w:pPr>
      <w:r w:rsidRPr="00CA2CC1">
        <w:rPr>
          <w:rFonts w:cs="Calibri"/>
          <w:color w:val="414042"/>
          <w:szCs w:val="22"/>
        </w:rPr>
        <w:t>Significant media coverage of our research, advice and</w:t>
      </w:r>
      <w:r w:rsidRPr="00CA2CC1">
        <w:rPr>
          <w:rFonts w:cs="Calibri"/>
          <w:color w:val="414042"/>
          <w:spacing w:val="-7"/>
          <w:szCs w:val="22"/>
        </w:rPr>
        <w:t xml:space="preserve"> </w:t>
      </w:r>
      <w:r w:rsidRPr="00CA2CC1">
        <w:rPr>
          <w:rFonts w:cs="Calibri"/>
          <w:color w:val="414042"/>
          <w:szCs w:val="22"/>
        </w:rPr>
        <w:t>strategy</w:t>
      </w:r>
      <w:r w:rsidRPr="00CA2CC1">
        <w:rPr>
          <w:rFonts w:cs="Calibri"/>
          <w:color w:val="414042"/>
          <w:spacing w:val="-7"/>
          <w:szCs w:val="22"/>
        </w:rPr>
        <w:t xml:space="preserve"> </w:t>
      </w:r>
      <w:r w:rsidRPr="00CA2CC1">
        <w:rPr>
          <w:rFonts w:cs="Calibri"/>
          <w:color w:val="414042"/>
          <w:szCs w:val="22"/>
        </w:rPr>
        <w:t>work</w:t>
      </w:r>
      <w:r w:rsidRPr="00CA2CC1">
        <w:rPr>
          <w:rFonts w:cs="Calibri"/>
          <w:color w:val="414042"/>
          <w:spacing w:val="-7"/>
          <w:szCs w:val="22"/>
        </w:rPr>
        <w:t xml:space="preserve"> </w:t>
      </w:r>
      <w:r w:rsidRPr="00CA2CC1">
        <w:rPr>
          <w:rFonts w:cs="Calibri"/>
          <w:color w:val="414042"/>
          <w:szCs w:val="22"/>
        </w:rPr>
        <w:t>throughout</w:t>
      </w:r>
      <w:r w:rsidRPr="00CA2CC1">
        <w:rPr>
          <w:rFonts w:cs="Calibri"/>
          <w:color w:val="414042"/>
          <w:spacing w:val="-7"/>
          <w:szCs w:val="22"/>
        </w:rPr>
        <w:t xml:space="preserve"> </w:t>
      </w:r>
      <w:r w:rsidRPr="00CA2CC1">
        <w:rPr>
          <w:rFonts w:cs="Calibri"/>
          <w:color w:val="414042"/>
          <w:szCs w:val="22"/>
        </w:rPr>
        <w:t>the</w:t>
      </w:r>
      <w:r w:rsidRPr="00CA2CC1">
        <w:rPr>
          <w:rFonts w:cs="Calibri"/>
          <w:color w:val="414042"/>
          <w:spacing w:val="-7"/>
          <w:szCs w:val="22"/>
        </w:rPr>
        <w:t xml:space="preserve"> </w:t>
      </w:r>
      <w:r w:rsidRPr="00CA2CC1">
        <w:rPr>
          <w:rFonts w:cs="Calibri"/>
          <w:color w:val="414042"/>
          <w:szCs w:val="22"/>
        </w:rPr>
        <w:t>year</w:t>
      </w:r>
      <w:r w:rsidRPr="00CA2CC1">
        <w:rPr>
          <w:rFonts w:cs="Calibri"/>
          <w:color w:val="414042"/>
          <w:spacing w:val="-7"/>
          <w:szCs w:val="22"/>
        </w:rPr>
        <w:t xml:space="preserve"> </w:t>
      </w:r>
      <w:r w:rsidRPr="00CA2CC1">
        <w:rPr>
          <w:rFonts w:cs="Calibri"/>
          <w:color w:val="414042"/>
          <w:szCs w:val="22"/>
        </w:rPr>
        <w:t>recognises</w:t>
      </w:r>
      <w:r w:rsidRPr="00CA2CC1">
        <w:rPr>
          <w:rFonts w:cs="Calibri"/>
          <w:color w:val="414042"/>
          <w:spacing w:val="-7"/>
          <w:szCs w:val="22"/>
        </w:rPr>
        <w:t xml:space="preserve"> </w:t>
      </w:r>
      <w:r w:rsidRPr="00CA2CC1">
        <w:rPr>
          <w:rFonts w:cs="Calibri"/>
          <w:color w:val="414042"/>
          <w:szCs w:val="22"/>
        </w:rPr>
        <w:t>the</w:t>
      </w:r>
    </w:p>
    <w:p w14:paraId="7D688070" w14:textId="77777777" w:rsidR="00FA4226" w:rsidRPr="00CA2CC1" w:rsidRDefault="00000000" w:rsidP="0043303B">
      <w:pPr>
        <w:pStyle w:val="BodyText"/>
        <w:rPr>
          <w:rFonts w:cs="Calibri"/>
          <w:szCs w:val="22"/>
        </w:rPr>
      </w:pPr>
      <w:r w:rsidRPr="00CA2CC1">
        <w:rPr>
          <w:rFonts w:cs="Calibri"/>
          <w:color w:val="414042"/>
          <w:szCs w:val="22"/>
        </w:rPr>
        <w:t>importance of our role as a respected and independent advisor to guide Victoria’s infrastructure planning and investment. In addition to our website and social media, mainstream media coverage helps create widespread community</w:t>
      </w:r>
      <w:r w:rsidRPr="00CA2CC1">
        <w:rPr>
          <w:rFonts w:cs="Calibri"/>
          <w:color w:val="414042"/>
          <w:spacing w:val="-7"/>
          <w:szCs w:val="22"/>
        </w:rPr>
        <w:t xml:space="preserve"> </w:t>
      </w:r>
      <w:r w:rsidRPr="00CA2CC1">
        <w:rPr>
          <w:rFonts w:cs="Calibri"/>
          <w:color w:val="414042"/>
          <w:szCs w:val="22"/>
        </w:rPr>
        <w:t>and</w:t>
      </w:r>
      <w:r w:rsidRPr="00CA2CC1">
        <w:rPr>
          <w:rFonts w:cs="Calibri"/>
          <w:color w:val="414042"/>
          <w:spacing w:val="-7"/>
          <w:szCs w:val="22"/>
        </w:rPr>
        <w:t xml:space="preserve"> </w:t>
      </w:r>
      <w:r w:rsidRPr="00CA2CC1">
        <w:rPr>
          <w:rFonts w:cs="Calibri"/>
          <w:color w:val="414042"/>
          <w:szCs w:val="22"/>
        </w:rPr>
        <w:t>stakeholder</w:t>
      </w:r>
      <w:r w:rsidRPr="00CA2CC1">
        <w:rPr>
          <w:rFonts w:cs="Calibri"/>
          <w:color w:val="414042"/>
          <w:spacing w:val="-7"/>
          <w:szCs w:val="22"/>
        </w:rPr>
        <w:t xml:space="preserve"> </w:t>
      </w:r>
      <w:r w:rsidRPr="00CA2CC1">
        <w:rPr>
          <w:rFonts w:cs="Calibri"/>
          <w:color w:val="414042"/>
          <w:szCs w:val="22"/>
        </w:rPr>
        <w:t>awareness</w:t>
      </w:r>
      <w:r w:rsidRPr="00CA2CC1">
        <w:rPr>
          <w:rFonts w:cs="Calibri"/>
          <w:color w:val="414042"/>
          <w:spacing w:val="-7"/>
          <w:szCs w:val="22"/>
        </w:rPr>
        <w:t xml:space="preserve"> </w:t>
      </w:r>
      <w:r w:rsidRPr="00CA2CC1">
        <w:rPr>
          <w:rFonts w:cs="Calibri"/>
          <w:color w:val="414042"/>
          <w:szCs w:val="22"/>
        </w:rPr>
        <w:t>and</w:t>
      </w:r>
      <w:r w:rsidRPr="00CA2CC1">
        <w:rPr>
          <w:rFonts w:cs="Calibri"/>
          <w:color w:val="414042"/>
          <w:spacing w:val="-7"/>
          <w:szCs w:val="22"/>
        </w:rPr>
        <w:t xml:space="preserve"> </w:t>
      </w:r>
      <w:r w:rsidRPr="00CA2CC1">
        <w:rPr>
          <w:rFonts w:cs="Calibri"/>
          <w:color w:val="414042"/>
          <w:szCs w:val="22"/>
        </w:rPr>
        <w:t>participation</w:t>
      </w:r>
      <w:r w:rsidRPr="00CA2CC1">
        <w:rPr>
          <w:rFonts w:cs="Calibri"/>
          <w:color w:val="414042"/>
          <w:spacing w:val="-7"/>
          <w:szCs w:val="22"/>
        </w:rPr>
        <w:t xml:space="preserve"> </w:t>
      </w:r>
      <w:r w:rsidRPr="00CA2CC1">
        <w:rPr>
          <w:rFonts w:cs="Calibri"/>
          <w:color w:val="414042"/>
          <w:szCs w:val="22"/>
        </w:rPr>
        <w:t>in our work and policy recommendations.</w:t>
      </w:r>
    </w:p>
    <w:p w14:paraId="2D14479E" w14:textId="77777777" w:rsidR="00FA4226" w:rsidRPr="00CA2CC1" w:rsidRDefault="00000000" w:rsidP="0043303B">
      <w:pPr>
        <w:pStyle w:val="BodyText"/>
        <w:spacing w:before="111"/>
        <w:rPr>
          <w:rFonts w:cs="Calibri"/>
          <w:szCs w:val="22"/>
        </w:rPr>
      </w:pPr>
      <w:r w:rsidRPr="00CA2CC1">
        <w:rPr>
          <w:rFonts w:cs="Calibri"/>
          <w:color w:val="414042"/>
          <w:szCs w:val="22"/>
        </w:rPr>
        <w:t>During 2022–23, the Victorian Government committed funding which should deliver on many of the recommendations of our 30-year infrastructure strategy over the coming years. These are detailed in our first full year assessment of the government’s delivery of its 5-year infrastructure</w:t>
      </w:r>
      <w:r w:rsidRPr="00CA2CC1">
        <w:rPr>
          <w:rFonts w:cs="Calibri"/>
          <w:color w:val="414042"/>
          <w:spacing w:val="-6"/>
          <w:szCs w:val="22"/>
        </w:rPr>
        <w:t xml:space="preserve"> </w:t>
      </w:r>
      <w:r w:rsidRPr="00CA2CC1">
        <w:rPr>
          <w:rFonts w:cs="Calibri"/>
          <w:color w:val="414042"/>
          <w:szCs w:val="22"/>
        </w:rPr>
        <w:t>plan</w:t>
      </w:r>
      <w:r w:rsidRPr="00CA2CC1">
        <w:rPr>
          <w:rFonts w:cs="Calibri"/>
          <w:color w:val="414042"/>
          <w:spacing w:val="-6"/>
          <w:szCs w:val="22"/>
        </w:rPr>
        <w:t xml:space="preserve"> </w:t>
      </w:r>
      <w:r w:rsidRPr="00CA2CC1">
        <w:rPr>
          <w:rFonts w:cs="Calibri"/>
          <w:color w:val="414042"/>
          <w:szCs w:val="22"/>
        </w:rPr>
        <w:t>that</w:t>
      </w:r>
      <w:r w:rsidRPr="00CA2CC1">
        <w:rPr>
          <w:rFonts w:cs="Calibri"/>
          <w:color w:val="414042"/>
          <w:spacing w:val="-6"/>
          <w:szCs w:val="22"/>
        </w:rPr>
        <w:t xml:space="preserve"> </w:t>
      </w:r>
      <w:r w:rsidRPr="00CA2CC1">
        <w:rPr>
          <w:rFonts w:cs="Calibri"/>
          <w:color w:val="414042"/>
          <w:szCs w:val="22"/>
        </w:rPr>
        <w:t>responds</w:t>
      </w:r>
      <w:r w:rsidRPr="00CA2CC1">
        <w:rPr>
          <w:rFonts w:cs="Calibri"/>
          <w:color w:val="414042"/>
          <w:spacing w:val="-7"/>
          <w:szCs w:val="22"/>
        </w:rPr>
        <w:t xml:space="preserve"> </w:t>
      </w:r>
      <w:r w:rsidRPr="00CA2CC1">
        <w:rPr>
          <w:rFonts w:cs="Calibri"/>
          <w:color w:val="414042"/>
          <w:szCs w:val="22"/>
        </w:rPr>
        <w:t>to</w:t>
      </w:r>
      <w:r w:rsidRPr="00CA2CC1">
        <w:rPr>
          <w:rFonts w:cs="Calibri"/>
          <w:color w:val="414042"/>
          <w:spacing w:val="-6"/>
          <w:szCs w:val="22"/>
        </w:rPr>
        <w:t xml:space="preserve"> </w:t>
      </w:r>
      <w:r w:rsidRPr="00CA2CC1">
        <w:rPr>
          <w:rFonts w:cs="Calibri"/>
          <w:color w:val="414042"/>
          <w:szCs w:val="22"/>
        </w:rPr>
        <w:t>our</w:t>
      </w:r>
      <w:r w:rsidRPr="00CA2CC1">
        <w:rPr>
          <w:rFonts w:cs="Calibri"/>
          <w:color w:val="414042"/>
          <w:spacing w:val="-6"/>
          <w:szCs w:val="22"/>
        </w:rPr>
        <w:t xml:space="preserve"> </w:t>
      </w:r>
      <w:r w:rsidRPr="00CA2CC1">
        <w:rPr>
          <w:rFonts w:cs="Calibri"/>
          <w:color w:val="414042"/>
          <w:szCs w:val="22"/>
        </w:rPr>
        <w:t>2021-2051</w:t>
      </w:r>
      <w:r w:rsidRPr="00CA2CC1">
        <w:rPr>
          <w:rFonts w:cs="Calibri"/>
          <w:color w:val="414042"/>
          <w:spacing w:val="-6"/>
          <w:szCs w:val="22"/>
        </w:rPr>
        <w:t xml:space="preserve"> </w:t>
      </w:r>
      <w:r w:rsidRPr="00CA2CC1">
        <w:rPr>
          <w:rFonts w:cs="Calibri"/>
          <w:color w:val="414042"/>
          <w:szCs w:val="22"/>
        </w:rPr>
        <w:t xml:space="preserve">strategy </w:t>
      </w:r>
      <w:r w:rsidRPr="00CA2CC1">
        <w:rPr>
          <w:rFonts w:cs="Calibri"/>
          <w:color w:val="414042"/>
          <w:spacing w:val="-2"/>
          <w:szCs w:val="22"/>
        </w:rPr>
        <w:t>recommendations.</w:t>
      </w:r>
    </w:p>
    <w:p w14:paraId="72022E5B" w14:textId="77777777" w:rsidR="000E4B47" w:rsidRPr="00CA2CC1" w:rsidRDefault="00000000" w:rsidP="0043303B">
      <w:pPr>
        <w:spacing w:before="113"/>
        <w:rPr>
          <w:rFonts w:cs="Calibri"/>
        </w:rPr>
      </w:pPr>
      <w:r w:rsidRPr="00CA2CC1">
        <w:rPr>
          <w:rFonts w:cs="Calibri"/>
          <w:color w:val="414042"/>
        </w:rPr>
        <w:t xml:space="preserve">In July 2022, we released </w:t>
      </w:r>
      <w:r w:rsidRPr="00CA2CC1">
        <w:rPr>
          <w:rFonts w:cs="Calibri"/>
          <w:i/>
          <w:color w:val="414042"/>
        </w:rPr>
        <w:t xml:space="preserve">Towards 2050: gas infrastructure in a net zero emissions economy, </w:t>
      </w:r>
      <w:r w:rsidRPr="00CA2CC1">
        <w:rPr>
          <w:rFonts w:cs="Calibri"/>
          <w:color w:val="414042"/>
        </w:rPr>
        <w:t>the first independent, state-wide analysis of the implications of the energy transition for Victoria’s extensive gas infrastructure assets. The</w:t>
      </w:r>
      <w:r w:rsidRPr="00CA2CC1">
        <w:rPr>
          <w:rFonts w:cs="Calibri"/>
          <w:color w:val="414042"/>
          <w:spacing w:val="-6"/>
        </w:rPr>
        <w:t xml:space="preserve"> </w:t>
      </w:r>
      <w:r w:rsidRPr="00CA2CC1">
        <w:rPr>
          <w:rFonts w:cs="Calibri"/>
          <w:color w:val="414042"/>
        </w:rPr>
        <w:t>government</w:t>
      </w:r>
      <w:r w:rsidRPr="00CA2CC1">
        <w:rPr>
          <w:rFonts w:cs="Calibri"/>
          <w:color w:val="414042"/>
          <w:spacing w:val="-6"/>
        </w:rPr>
        <w:t xml:space="preserve"> </w:t>
      </w:r>
      <w:r w:rsidRPr="00CA2CC1">
        <w:rPr>
          <w:rFonts w:cs="Calibri"/>
          <w:color w:val="414042"/>
        </w:rPr>
        <w:t>drew</w:t>
      </w:r>
      <w:r w:rsidRPr="00CA2CC1">
        <w:rPr>
          <w:rFonts w:cs="Calibri"/>
          <w:color w:val="414042"/>
          <w:spacing w:val="-6"/>
        </w:rPr>
        <w:t xml:space="preserve"> </w:t>
      </w:r>
      <w:r w:rsidRPr="00CA2CC1">
        <w:rPr>
          <w:rFonts w:cs="Calibri"/>
          <w:color w:val="414042"/>
        </w:rPr>
        <w:t>upon</w:t>
      </w:r>
      <w:r w:rsidRPr="00CA2CC1">
        <w:rPr>
          <w:rFonts w:cs="Calibri"/>
          <w:color w:val="414042"/>
          <w:spacing w:val="-6"/>
        </w:rPr>
        <w:t xml:space="preserve"> </w:t>
      </w:r>
      <w:r w:rsidRPr="00CA2CC1">
        <w:rPr>
          <w:rFonts w:cs="Calibri"/>
          <w:color w:val="414042"/>
        </w:rPr>
        <w:t>our</w:t>
      </w:r>
      <w:r w:rsidRPr="00CA2CC1">
        <w:rPr>
          <w:rFonts w:cs="Calibri"/>
          <w:color w:val="414042"/>
          <w:spacing w:val="-6"/>
        </w:rPr>
        <w:t xml:space="preserve"> </w:t>
      </w:r>
      <w:r w:rsidRPr="00CA2CC1">
        <w:rPr>
          <w:rFonts w:cs="Calibri"/>
          <w:color w:val="414042"/>
        </w:rPr>
        <w:t>recommendations</w:t>
      </w:r>
      <w:r w:rsidRPr="00CA2CC1">
        <w:rPr>
          <w:rFonts w:cs="Calibri"/>
          <w:color w:val="414042"/>
          <w:spacing w:val="-6"/>
        </w:rPr>
        <w:t xml:space="preserve"> </w:t>
      </w:r>
      <w:r w:rsidRPr="00CA2CC1">
        <w:rPr>
          <w:rFonts w:cs="Calibri"/>
          <w:color w:val="414042"/>
        </w:rPr>
        <w:t>to</w:t>
      </w:r>
      <w:r w:rsidRPr="00CA2CC1">
        <w:rPr>
          <w:rFonts w:cs="Calibri"/>
          <w:color w:val="414042"/>
          <w:spacing w:val="-6"/>
        </w:rPr>
        <w:t xml:space="preserve"> </w:t>
      </w:r>
      <w:r w:rsidRPr="00CA2CC1">
        <w:rPr>
          <w:rFonts w:cs="Calibri"/>
          <w:color w:val="414042"/>
        </w:rPr>
        <w:t xml:space="preserve">inform their </w:t>
      </w:r>
      <w:r w:rsidRPr="00CA2CC1">
        <w:rPr>
          <w:rFonts w:cs="Calibri"/>
          <w:i/>
          <w:color w:val="414042"/>
        </w:rPr>
        <w:t xml:space="preserve">Gas substitution roadmap </w:t>
      </w:r>
      <w:r w:rsidRPr="00CA2CC1">
        <w:rPr>
          <w:rFonts w:cs="Calibri"/>
          <w:color w:val="414042"/>
        </w:rPr>
        <w:t>and the recent decision to ban new gas connections from January 2024.</w:t>
      </w:r>
    </w:p>
    <w:p w14:paraId="380113C0" w14:textId="708679F9" w:rsidR="00FA4226" w:rsidRPr="00CA2CC1" w:rsidRDefault="00000000" w:rsidP="0043303B">
      <w:pPr>
        <w:spacing w:before="113"/>
        <w:rPr>
          <w:rFonts w:cs="Calibri"/>
        </w:rPr>
      </w:pPr>
      <w:r w:rsidRPr="00CA2CC1">
        <w:rPr>
          <w:rFonts w:cs="Calibri"/>
          <w:color w:val="414042"/>
        </w:rPr>
        <w:t xml:space="preserve">Our 18-month research project, </w:t>
      </w:r>
      <w:r w:rsidRPr="00CA2CC1">
        <w:rPr>
          <w:rFonts w:cs="Calibri"/>
          <w:i/>
          <w:color w:val="414042"/>
        </w:rPr>
        <w:t>Our home choices: how more housing options can make better use of Victoria’s existing infrastructure</w:t>
      </w:r>
      <w:r w:rsidRPr="00CA2CC1">
        <w:rPr>
          <w:rFonts w:cs="Calibri"/>
          <w:color w:val="414042"/>
        </w:rPr>
        <w:t>, included the largest survey of</w:t>
      </w:r>
      <w:r w:rsidRPr="00CA2CC1">
        <w:rPr>
          <w:rFonts w:cs="Calibri"/>
          <w:color w:val="414042"/>
          <w:spacing w:val="40"/>
        </w:rPr>
        <w:t xml:space="preserve"> </w:t>
      </w:r>
      <w:r w:rsidRPr="00CA2CC1">
        <w:rPr>
          <w:rFonts w:cs="Calibri"/>
          <w:color w:val="414042"/>
        </w:rPr>
        <w:t>housing</w:t>
      </w:r>
      <w:r w:rsidRPr="00CA2CC1">
        <w:rPr>
          <w:rFonts w:cs="Calibri"/>
          <w:color w:val="414042"/>
          <w:spacing w:val="-6"/>
        </w:rPr>
        <w:t xml:space="preserve"> </w:t>
      </w:r>
      <w:r w:rsidRPr="00CA2CC1">
        <w:rPr>
          <w:rFonts w:cs="Calibri"/>
          <w:color w:val="414042"/>
        </w:rPr>
        <w:t>preferences</w:t>
      </w:r>
      <w:r w:rsidRPr="00CA2CC1">
        <w:rPr>
          <w:rFonts w:cs="Calibri"/>
          <w:color w:val="414042"/>
          <w:spacing w:val="-6"/>
        </w:rPr>
        <w:t xml:space="preserve"> </w:t>
      </w:r>
      <w:r w:rsidRPr="00CA2CC1">
        <w:rPr>
          <w:rFonts w:cs="Calibri"/>
          <w:color w:val="414042"/>
        </w:rPr>
        <w:t>ever</w:t>
      </w:r>
      <w:r w:rsidRPr="00CA2CC1">
        <w:rPr>
          <w:rFonts w:cs="Calibri"/>
          <w:color w:val="414042"/>
          <w:spacing w:val="-6"/>
        </w:rPr>
        <w:t xml:space="preserve"> </w:t>
      </w:r>
      <w:r w:rsidRPr="00CA2CC1">
        <w:rPr>
          <w:rFonts w:cs="Calibri"/>
          <w:color w:val="414042"/>
        </w:rPr>
        <w:t>conducted</w:t>
      </w:r>
      <w:r w:rsidRPr="00CA2CC1">
        <w:rPr>
          <w:rFonts w:cs="Calibri"/>
          <w:color w:val="414042"/>
          <w:spacing w:val="-6"/>
        </w:rPr>
        <w:t xml:space="preserve"> </w:t>
      </w:r>
      <w:r w:rsidRPr="00CA2CC1">
        <w:rPr>
          <w:rFonts w:cs="Calibri"/>
          <w:color w:val="414042"/>
        </w:rPr>
        <w:t>in</w:t>
      </w:r>
      <w:r w:rsidRPr="00CA2CC1">
        <w:rPr>
          <w:rFonts w:cs="Calibri"/>
          <w:color w:val="414042"/>
          <w:spacing w:val="-6"/>
        </w:rPr>
        <w:t xml:space="preserve"> </w:t>
      </w:r>
      <w:r w:rsidRPr="00CA2CC1">
        <w:rPr>
          <w:rFonts w:cs="Calibri"/>
          <w:color w:val="414042"/>
        </w:rPr>
        <w:t>Australia.</w:t>
      </w:r>
      <w:r w:rsidRPr="00CA2CC1">
        <w:rPr>
          <w:rFonts w:cs="Calibri"/>
          <w:color w:val="414042"/>
          <w:spacing w:val="-6"/>
        </w:rPr>
        <w:t xml:space="preserve"> </w:t>
      </w:r>
      <w:r w:rsidRPr="00CA2CC1">
        <w:rPr>
          <w:rFonts w:cs="Calibri"/>
          <w:color w:val="414042"/>
        </w:rPr>
        <w:t>As</w:t>
      </w:r>
      <w:r w:rsidRPr="00CA2CC1">
        <w:rPr>
          <w:rFonts w:cs="Calibri"/>
          <w:color w:val="414042"/>
          <w:spacing w:val="-6"/>
        </w:rPr>
        <w:t xml:space="preserve"> </w:t>
      </w:r>
      <w:r w:rsidRPr="00CA2CC1">
        <w:rPr>
          <w:rFonts w:cs="Calibri"/>
          <w:color w:val="414042"/>
        </w:rPr>
        <w:t>Victoria experiences more population growth and changes to the way</w:t>
      </w:r>
      <w:r w:rsidRPr="00CA2CC1">
        <w:rPr>
          <w:rFonts w:cs="Calibri"/>
          <w:color w:val="414042"/>
          <w:spacing w:val="-4"/>
        </w:rPr>
        <w:t xml:space="preserve"> </w:t>
      </w:r>
      <w:r w:rsidRPr="00CA2CC1">
        <w:rPr>
          <w:rFonts w:cs="Calibri"/>
          <w:color w:val="414042"/>
        </w:rPr>
        <w:t>we</w:t>
      </w:r>
      <w:r w:rsidRPr="00CA2CC1">
        <w:rPr>
          <w:rFonts w:cs="Calibri"/>
          <w:color w:val="414042"/>
          <w:spacing w:val="-4"/>
        </w:rPr>
        <w:t xml:space="preserve"> </w:t>
      </w:r>
      <w:r w:rsidRPr="00CA2CC1">
        <w:rPr>
          <w:rFonts w:cs="Calibri"/>
          <w:color w:val="414042"/>
        </w:rPr>
        <w:t>live</w:t>
      </w:r>
      <w:r w:rsidRPr="00CA2CC1">
        <w:rPr>
          <w:rFonts w:cs="Calibri"/>
          <w:color w:val="414042"/>
          <w:spacing w:val="-4"/>
        </w:rPr>
        <w:t xml:space="preserve"> </w:t>
      </w:r>
      <w:r w:rsidRPr="00CA2CC1">
        <w:rPr>
          <w:rFonts w:cs="Calibri"/>
          <w:color w:val="414042"/>
        </w:rPr>
        <w:t>and</w:t>
      </w:r>
      <w:r w:rsidRPr="00CA2CC1">
        <w:rPr>
          <w:rFonts w:cs="Calibri"/>
          <w:color w:val="414042"/>
          <w:spacing w:val="-4"/>
        </w:rPr>
        <w:t xml:space="preserve"> </w:t>
      </w:r>
      <w:r w:rsidRPr="00CA2CC1">
        <w:rPr>
          <w:rFonts w:cs="Calibri"/>
          <w:color w:val="414042"/>
        </w:rPr>
        <w:t>work,</w:t>
      </w:r>
      <w:r w:rsidRPr="00CA2CC1">
        <w:rPr>
          <w:rFonts w:cs="Calibri"/>
          <w:color w:val="414042"/>
          <w:spacing w:val="-4"/>
        </w:rPr>
        <w:t xml:space="preserve"> </w:t>
      </w:r>
      <w:r w:rsidRPr="00CA2CC1">
        <w:rPr>
          <w:rFonts w:cs="Calibri"/>
          <w:color w:val="414042"/>
        </w:rPr>
        <w:t>our</w:t>
      </w:r>
      <w:r w:rsidRPr="00CA2CC1">
        <w:rPr>
          <w:rFonts w:cs="Calibri"/>
          <w:color w:val="414042"/>
          <w:spacing w:val="-4"/>
        </w:rPr>
        <w:t xml:space="preserve"> </w:t>
      </w:r>
      <w:r w:rsidRPr="00CA2CC1">
        <w:rPr>
          <w:rFonts w:cs="Calibri"/>
          <w:color w:val="414042"/>
        </w:rPr>
        <w:t>study</w:t>
      </w:r>
      <w:r w:rsidRPr="00CA2CC1">
        <w:rPr>
          <w:rFonts w:cs="Calibri"/>
          <w:color w:val="414042"/>
          <w:spacing w:val="-4"/>
        </w:rPr>
        <w:t xml:space="preserve"> </w:t>
      </w:r>
      <w:r w:rsidRPr="00CA2CC1">
        <w:rPr>
          <w:rFonts w:cs="Calibri"/>
          <w:color w:val="414042"/>
        </w:rPr>
        <w:t>focused</w:t>
      </w:r>
      <w:r w:rsidRPr="00CA2CC1">
        <w:rPr>
          <w:rFonts w:cs="Calibri"/>
          <w:color w:val="414042"/>
          <w:spacing w:val="-4"/>
        </w:rPr>
        <w:t xml:space="preserve"> </w:t>
      </w:r>
      <w:r w:rsidRPr="00CA2CC1">
        <w:rPr>
          <w:rFonts w:cs="Calibri"/>
          <w:color w:val="414042"/>
        </w:rPr>
        <w:t>on</w:t>
      </w:r>
      <w:r w:rsidRPr="00CA2CC1">
        <w:rPr>
          <w:rFonts w:cs="Calibri"/>
          <w:color w:val="414042"/>
          <w:spacing w:val="-4"/>
        </w:rPr>
        <w:t xml:space="preserve"> </w:t>
      </w:r>
      <w:r w:rsidRPr="00CA2CC1">
        <w:rPr>
          <w:rFonts w:cs="Calibri"/>
          <w:color w:val="414042"/>
        </w:rPr>
        <w:t>regional</w:t>
      </w:r>
      <w:r w:rsidRPr="00CA2CC1">
        <w:rPr>
          <w:rFonts w:cs="Calibri"/>
          <w:color w:val="414042"/>
          <w:spacing w:val="-4"/>
        </w:rPr>
        <w:t xml:space="preserve"> </w:t>
      </w:r>
      <w:r w:rsidRPr="00CA2CC1">
        <w:rPr>
          <w:rFonts w:cs="Calibri"/>
          <w:color w:val="414042"/>
        </w:rPr>
        <w:t>growth areas as well as the state’s capital.</w:t>
      </w:r>
    </w:p>
    <w:p w14:paraId="1C5F749C" w14:textId="77777777" w:rsidR="00FA4226" w:rsidRPr="00CA2CC1" w:rsidRDefault="00000000" w:rsidP="0043303B">
      <w:pPr>
        <w:pStyle w:val="BodyText"/>
        <w:spacing w:before="115"/>
        <w:rPr>
          <w:rFonts w:cs="Calibri"/>
          <w:szCs w:val="22"/>
        </w:rPr>
      </w:pPr>
      <w:r w:rsidRPr="00CA2CC1">
        <w:rPr>
          <w:rFonts w:cs="Calibri"/>
          <w:color w:val="414042"/>
          <w:szCs w:val="22"/>
        </w:rPr>
        <w:t>Our findings are guiding an ongoing conversation among stakeholders and the Victorian community on housing affordability and the need for more home choices in the established</w:t>
      </w:r>
      <w:r w:rsidRPr="00CA2CC1">
        <w:rPr>
          <w:rFonts w:cs="Calibri"/>
          <w:color w:val="414042"/>
          <w:spacing w:val="-4"/>
          <w:szCs w:val="22"/>
        </w:rPr>
        <w:t xml:space="preserve"> </w:t>
      </w:r>
      <w:r w:rsidRPr="00CA2CC1">
        <w:rPr>
          <w:rFonts w:cs="Calibri"/>
          <w:color w:val="414042"/>
          <w:szCs w:val="22"/>
        </w:rPr>
        <w:t>suburbs</w:t>
      </w:r>
      <w:r w:rsidRPr="00CA2CC1">
        <w:rPr>
          <w:rFonts w:cs="Calibri"/>
          <w:color w:val="414042"/>
          <w:spacing w:val="-4"/>
          <w:szCs w:val="22"/>
        </w:rPr>
        <w:t xml:space="preserve"> </w:t>
      </w:r>
      <w:r w:rsidRPr="00CA2CC1">
        <w:rPr>
          <w:rFonts w:cs="Calibri"/>
          <w:color w:val="414042"/>
          <w:szCs w:val="22"/>
        </w:rPr>
        <w:t>of</w:t>
      </w:r>
      <w:r w:rsidRPr="00CA2CC1">
        <w:rPr>
          <w:rFonts w:cs="Calibri"/>
          <w:color w:val="414042"/>
          <w:spacing w:val="-4"/>
          <w:szCs w:val="22"/>
        </w:rPr>
        <w:t xml:space="preserve"> </w:t>
      </w:r>
      <w:r w:rsidRPr="00CA2CC1">
        <w:rPr>
          <w:rFonts w:cs="Calibri"/>
          <w:color w:val="414042"/>
          <w:szCs w:val="22"/>
        </w:rPr>
        <w:t>our</w:t>
      </w:r>
      <w:r w:rsidRPr="00CA2CC1">
        <w:rPr>
          <w:rFonts w:cs="Calibri"/>
          <w:color w:val="414042"/>
          <w:spacing w:val="-4"/>
          <w:szCs w:val="22"/>
        </w:rPr>
        <w:t xml:space="preserve"> </w:t>
      </w:r>
      <w:r w:rsidRPr="00CA2CC1">
        <w:rPr>
          <w:rFonts w:cs="Calibri"/>
          <w:color w:val="414042"/>
          <w:szCs w:val="22"/>
        </w:rPr>
        <w:t>cities,</w:t>
      </w:r>
      <w:r w:rsidRPr="00CA2CC1">
        <w:rPr>
          <w:rFonts w:cs="Calibri"/>
          <w:color w:val="414042"/>
          <w:spacing w:val="-4"/>
          <w:szCs w:val="22"/>
        </w:rPr>
        <w:t xml:space="preserve"> </w:t>
      </w:r>
      <w:r w:rsidRPr="00CA2CC1">
        <w:rPr>
          <w:rFonts w:cs="Calibri"/>
          <w:color w:val="414042"/>
          <w:szCs w:val="22"/>
        </w:rPr>
        <w:t>closer</w:t>
      </w:r>
      <w:r w:rsidRPr="00CA2CC1">
        <w:rPr>
          <w:rFonts w:cs="Calibri"/>
          <w:color w:val="414042"/>
          <w:spacing w:val="-4"/>
          <w:szCs w:val="22"/>
        </w:rPr>
        <w:t xml:space="preserve"> </w:t>
      </w:r>
      <w:r w:rsidRPr="00CA2CC1">
        <w:rPr>
          <w:rFonts w:cs="Calibri"/>
          <w:color w:val="414042"/>
          <w:szCs w:val="22"/>
        </w:rPr>
        <w:t>to</w:t>
      </w:r>
      <w:r w:rsidRPr="00CA2CC1">
        <w:rPr>
          <w:rFonts w:cs="Calibri"/>
          <w:color w:val="414042"/>
          <w:spacing w:val="-4"/>
          <w:szCs w:val="22"/>
        </w:rPr>
        <w:t xml:space="preserve"> </w:t>
      </w:r>
      <w:r w:rsidRPr="00CA2CC1">
        <w:rPr>
          <w:rFonts w:cs="Calibri"/>
          <w:color w:val="414042"/>
          <w:szCs w:val="22"/>
        </w:rPr>
        <w:t>jobs</w:t>
      </w:r>
      <w:r w:rsidRPr="00CA2CC1">
        <w:rPr>
          <w:rFonts w:cs="Calibri"/>
          <w:color w:val="414042"/>
          <w:spacing w:val="-4"/>
          <w:szCs w:val="22"/>
        </w:rPr>
        <w:t xml:space="preserve"> </w:t>
      </w:r>
      <w:r w:rsidRPr="00CA2CC1">
        <w:rPr>
          <w:rFonts w:cs="Calibri"/>
          <w:color w:val="414042"/>
          <w:szCs w:val="22"/>
        </w:rPr>
        <w:t>and</w:t>
      </w:r>
      <w:r w:rsidRPr="00CA2CC1">
        <w:rPr>
          <w:rFonts w:cs="Calibri"/>
          <w:color w:val="414042"/>
          <w:spacing w:val="-4"/>
          <w:szCs w:val="22"/>
        </w:rPr>
        <w:t xml:space="preserve"> </w:t>
      </w:r>
      <w:r w:rsidRPr="00CA2CC1">
        <w:rPr>
          <w:rFonts w:cs="Calibri"/>
          <w:color w:val="414042"/>
          <w:szCs w:val="22"/>
        </w:rPr>
        <w:t>existing infrastructure. More than 50 major media items referenced our findings, and the discussion continues.</w:t>
      </w:r>
    </w:p>
    <w:p w14:paraId="15093F92" w14:textId="77777777" w:rsidR="00FA4226" w:rsidRPr="00CA2CC1" w:rsidRDefault="00000000" w:rsidP="0043303B">
      <w:pPr>
        <w:pStyle w:val="BodyText"/>
        <w:spacing w:before="113"/>
        <w:rPr>
          <w:rFonts w:cs="Calibri"/>
          <w:szCs w:val="22"/>
        </w:rPr>
      </w:pPr>
      <w:r w:rsidRPr="00CA2CC1">
        <w:rPr>
          <w:rFonts w:cs="Calibri"/>
          <w:color w:val="414042"/>
          <w:szCs w:val="22"/>
        </w:rPr>
        <w:t>In</w:t>
      </w:r>
      <w:r w:rsidRPr="00CA2CC1">
        <w:rPr>
          <w:rFonts w:cs="Calibri"/>
          <w:color w:val="414042"/>
          <w:spacing w:val="-4"/>
          <w:szCs w:val="22"/>
        </w:rPr>
        <w:t xml:space="preserve"> </w:t>
      </w:r>
      <w:r w:rsidRPr="00CA2CC1">
        <w:rPr>
          <w:rFonts w:cs="Calibri"/>
          <w:color w:val="414042"/>
          <w:szCs w:val="22"/>
        </w:rPr>
        <w:t>May</w:t>
      </w:r>
      <w:r w:rsidRPr="00CA2CC1">
        <w:rPr>
          <w:rFonts w:cs="Calibri"/>
          <w:color w:val="414042"/>
          <w:spacing w:val="-4"/>
          <w:szCs w:val="22"/>
        </w:rPr>
        <w:t xml:space="preserve"> </w:t>
      </w:r>
      <w:r w:rsidRPr="00CA2CC1">
        <w:rPr>
          <w:rFonts w:cs="Calibri"/>
          <w:color w:val="414042"/>
          <w:szCs w:val="22"/>
        </w:rPr>
        <w:t>2023</w:t>
      </w:r>
      <w:r w:rsidRPr="00CA2CC1">
        <w:rPr>
          <w:rFonts w:cs="Calibri"/>
          <w:color w:val="414042"/>
          <w:spacing w:val="-4"/>
          <w:szCs w:val="22"/>
        </w:rPr>
        <w:t xml:space="preserve"> </w:t>
      </w:r>
      <w:r w:rsidRPr="00CA2CC1">
        <w:rPr>
          <w:rFonts w:cs="Calibri"/>
          <w:color w:val="414042"/>
          <w:szCs w:val="22"/>
        </w:rPr>
        <w:t>we</w:t>
      </w:r>
      <w:r w:rsidRPr="00CA2CC1">
        <w:rPr>
          <w:rFonts w:cs="Calibri"/>
          <w:color w:val="414042"/>
          <w:spacing w:val="-4"/>
          <w:szCs w:val="22"/>
        </w:rPr>
        <w:t xml:space="preserve"> </w:t>
      </w:r>
      <w:r w:rsidRPr="00CA2CC1">
        <w:rPr>
          <w:rFonts w:cs="Calibri"/>
          <w:color w:val="414042"/>
          <w:szCs w:val="22"/>
        </w:rPr>
        <w:t>undertook</w:t>
      </w:r>
      <w:r w:rsidRPr="00CA2CC1">
        <w:rPr>
          <w:rFonts w:cs="Calibri"/>
          <w:color w:val="414042"/>
          <w:spacing w:val="-4"/>
          <w:szCs w:val="22"/>
        </w:rPr>
        <w:t xml:space="preserve"> </w:t>
      </w:r>
      <w:r w:rsidRPr="00CA2CC1">
        <w:rPr>
          <w:rFonts w:cs="Calibri"/>
          <w:color w:val="414042"/>
          <w:szCs w:val="22"/>
        </w:rPr>
        <w:t>one</w:t>
      </w:r>
      <w:r w:rsidRPr="00CA2CC1">
        <w:rPr>
          <w:rFonts w:cs="Calibri"/>
          <w:color w:val="414042"/>
          <w:spacing w:val="-4"/>
          <w:szCs w:val="22"/>
        </w:rPr>
        <w:t xml:space="preserve"> </w:t>
      </w:r>
      <w:r w:rsidRPr="00CA2CC1">
        <w:rPr>
          <w:rFonts w:cs="Calibri"/>
          <w:color w:val="414042"/>
          <w:szCs w:val="22"/>
        </w:rPr>
        <w:t>of</w:t>
      </w:r>
      <w:r w:rsidRPr="00CA2CC1">
        <w:rPr>
          <w:rFonts w:cs="Calibri"/>
          <w:color w:val="414042"/>
          <w:spacing w:val="-4"/>
          <w:szCs w:val="22"/>
        </w:rPr>
        <w:t xml:space="preserve"> </w:t>
      </w:r>
      <w:r w:rsidRPr="00CA2CC1">
        <w:rPr>
          <w:rFonts w:cs="Calibri"/>
          <w:color w:val="414042"/>
          <w:szCs w:val="22"/>
        </w:rPr>
        <w:t>the</w:t>
      </w:r>
      <w:r w:rsidRPr="00CA2CC1">
        <w:rPr>
          <w:rFonts w:cs="Calibri"/>
          <w:color w:val="414042"/>
          <w:spacing w:val="-4"/>
          <w:szCs w:val="22"/>
        </w:rPr>
        <w:t xml:space="preserve"> </w:t>
      </w:r>
      <w:r w:rsidRPr="00CA2CC1">
        <w:rPr>
          <w:rFonts w:cs="Calibri"/>
          <w:color w:val="414042"/>
          <w:szCs w:val="22"/>
        </w:rPr>
        <w:t>largest</w:t>
      </w:r>
      <w:r w:rsidRPr="00CA2CC1">
        <w:rPr>
          <w:rFonts w:cs="Calibri"/>
          <w:color w:val="414042"/>
          <w:spacing w:val="-4"/>
          <w:szCs w:val="22"/>
        </w:rPr>
        <w:t xml:space="preserve"> </w:t>
      </w:r>
      <w:r w:rsidRPr="00CA2CC1">
        <w:rPr>
          <w:rFonts w:cs="Calibri"/>
          <w:color w:val="414042"/>
          <w:szCs w:val="22"/>
        </w:rPr>
        <w:t>ever</w:t>
      </w:r>
      <w:r w:rsidRPr="00CA2CC1">
        <w:rPr>
          <w:rFonts w:cs="Calibri"/>
          <w:color w:val="414042"/>
          <w:spacing w:val="-4"/>
          <w:szCs w:val="22"/>
        </w:rPr>
        <w:t xml:space="preserve"> </w:t>
      </w:r>
      <w:r w:rsidRPr="00CA2CC1">
        <w:rPr>
          <w:rFonts w:cs="Calibri"/>
          <w:color w:val="414042"/>
          <w:szCs w:val="22"/>
        </w:rPr>
        <w:t>studies</w:t>
      </w:r>
      <w:r w:rsidRPr="00CA2CC1">
        <w:rPr>
          <w:rFonts w:cs="Calibri"/>
          <w:color w:val="414042"/>
          <w:spacing w:val="-4"/>
          <w:szCs w:val="22"/>
        </w:rPr>
        <w:t xml:space="preserve"> </w:t>
      </w:r>
      <w:r w:rsidRPr="00CA2CC1">
        <w:rPr>
          <w:rFonts w:cs="Calibri"/>
          <w:color w:val="414042"/>
          <w:szCs w:val="22"/>
        </w:rPr>
        <w:t>of community</w:t>
      </w:r>
      <w:r w:rsidRPr="00CA2CC1">
        <w:rPr>
          <w:rFonts w:cs="Calibri"/>
          <w:color w:val="414042"/>
          <w:spacing w:val="-7"/>
          <w:szCs w:val="22"/>
        </w:rPr>
        <w:t xml:space="preserve"> </w:t>
      </w:r>
      <w:r w:rsidRPr="00CA2CC1">
        <w:rPr>
          <w:rFonts w:cs="Calibri"/>
          <w:color w:val="414042"/>
          <w:szCs w:val="22"/>
        </w:rPr>
        <w:t>attitudes</w:t>
      </w:r>
      <w:r w:rsidRPr="00CA2CC1">
        <w:rPr>
          <w:rFonts w:cs="Calibri"/>
          <w:color w:val="414042"/>
          <w:spacing w:val="-7"/>
          <w:szCs w:val="22"/>
        </w:rPr>
        <w:t xml:space="preserve"> </w:t>
      </w:r>
      <w:r w:rsidRPr="00CA2CC1">
        <w:rPr>
          <w:rFonts w:cs="Calibri"/>
          <w:color w:val="414042"/>
          <w:szCs w:val="22"/>
        </w:rPr>
        <w:t>towards</w:t>
      </w:r>
      <w:r w:rsidRPr="00CA2CC1">
        <w:rPr>
          <w:rFonts w:cs="Calibri"/>
          <w:color w:val="414042"/>
          <w:spacing w:val="-7"/>
          <w:szCs w:val="22"/>
        </w:rPr>
        <w:t xml:space="preserve"> </w:t>
      </w:r>
      <w:r w:rsidRPr="00CA2CC1">
        <w:rPr>
          <w:rFonts w:cs="Calibri"/>
          <w:color w:val="414042"/>
          <w:szCs w:val="22"/>
        </w:rPr>
        <w:t>Melbourne’s</w:t>
      </w:r>
      <w:r w:rsidRPr="00CA2CC1">
        <w:rPr>
          <w:rFonts w:cs="Calibri"/>
          <w:color w:val="414042"/>
          <w:spacing w:val="-7"/>
          <w:szCs w:val="22"/>
        </w:rPr>
        <w:t xml:space="preserve"> </w:t>
      </w:r>
      <w:r w:rsidRPr="00CA2CC1">
        <w:rPr>
          <w:rFonts w:cs="Calibri"/>
          <w:color w:val="414042"/>
          <w:szCs w:val="22"/>
        </w:rPr>
        <w:t>bus</w:t>
      </w:r>
      <w:r w:rsidRPr="00CA2CC1">
        <w:rPr>
          <w:rFonts w:cs="Calibri"/>
          <w:color w:val="414042"/>
          <w:spacing w:val="-7"/>
          <w:szCs w:val="22"/>
        </w:rPr>
        <w:t xml:space="preserve"> </w:t>
      </w:r>
      <w:r w:rsidRPr="00CA2CC1">
        <w:rPr>
          <w:rFonts w:cs="Calibri"/>
          <w:color w:val="414042"/>
          <w:szCs w:val="22"/>
        </w:rPr>
        <w:t>network.</w:t>
      </w:r>
      <w:r w:rsidRPr="00CA2CC1">
        <w:rPr>
          <w:rFonts w:cs="Calibri"/>
          <w:color w:val="414042"/>
          <w:spacing w:val="-7"/>
          <w:szCs w:val="22"/>
        </w:rPr>
        <w:t xml:space="preserve"> </w:t>
      </w:r>
      <w:r w:rsidRPr="00CA2CC1">
        <w:rPr>
          <w:rFonts w:cs="Calibri"/>
          <w:color w:val="414042"/>
          <w:szCs w:val="22"/>
        </w:rPr>
        <w:t>The research told us how Melburnians feel about using buses, their attitudes towards various reforms and trade-offs they are willing to make for a better service. We held 2 webinars discussing how we can make the most of Melbourne’s buses and international lessons to make buses fairer and easier to use. These received strong audience attendance and engagement from stakeholders.</w:t>
      </w:r>
    </w:p>
    <w:p w14:paraId="1ED86EAD" w14:textId="77777777" w:rsidR="00FA4226" w:rsidRPr="00CA2CC1" w:rsidRDefault="00000000" w:rsidP="0043303B">
      <w:pPr>
        <w:pStyle w:val="BodyText"/>
        <w:spacing w:before="110"/>
        <w:rPr>
          <w:rFonts w:cs="Calibri"/>
          <w:szCs w:val="22"/>
        </w:rPr>
      </w:pPr>
      <w:r w:rsidRPr="00CA2CC1">
        <w:rPr>
          <w:rFonts w:cs="Calibri"/>
          <w:color w:val="414042"/>
          <w:szCs w:val="22"/>
        </w:rPr>
        <w:t xml:space="preserve">We are particularly pleased to have engaged directly and specifically with more than 10,000 Victorians this year, informing public awareness and discussion about major infrastructure priorities and opportunities. In addition to the 6,000 Victorians we spoke to as part of </w:t>
      </w:r>
      <w:r w:rsidRPr="00CA2CC1">
        <w:rPr>
          <w:rFonts w:cs="Calibri"/>
          <w:i/>
          <w:color w:val="414042"/>
          <w:szCs w:val="22"/>
        </w:rPr>
        <w:t xml:space="preserve">Our home choices </w:t>
      </w:r>
      <w:r w:rsidRPr="00CA2CC1">
        <w:rPr>
          <w:rFonts w:cs="Calibri"/>
          <w:color w:val="414042"/>
          <w:szCs w:val="22"/>
        </w:rPr>
        <w:t>research,</w:t>
      </w:r>
      <w:r w:rsidRPr="00CA2CC1">
        <w:rPr>
          <w:rFonts w:cs="Calibri"/>
          <w:color w:val="414042"/>
          <w:spacing w:val="-8"/>
          <w:szCs w:val="22"/>
        </w:rPr>
        <w:t xml:space="preserve"> </w:t>
      </w:r>
      <w:r w:rsidRPr="00CA2CC1">
        <w:rPr>
          <w:rFonts w:cs="Calibri"/>
          <w:color w:val="414042"/>
          <w:szCs w:val="22"/>
        </w:rPr>
        <w:t>Quantum</w:t>
      </w:r>
      <w:r w:rsidRPr="00CA2CC1">
        <w:rPr>
          <w:rFonts w:cs="Calibri"/>
          <w:color w:val="414042"/>
          <w:spacing w:val="-8"/>
          <w:szCs w:val="22"/>
        </w:rPr>
        <w:t xml:space="preserve"> </w:t>
      </w:r>
      <w:r w:rsidRPr="00CA2CC1">
        <w:rPr>
          <w:rFonts w:cs="Calibri"/>
          <w:color w:val="414042"/>
          <w:szCs w:val="22"/>
        </w:rPr>
        <w:t>Market</w:t>
      </w:r>
      <w:r w:rsidRPr="00CA2CC1">
        <w:rPr>
          <w:rFonts w:cs="Calibri"/>
          <w:color w:val="414042"/>
          <w:spacing w:val="-8"/>
          <w:szCs w:val="22"/>
        </w:rPr>
        <w:t xml:space="preserve"> </w:t>
      </w:r>
      <w:r w:rsidRPr="00CA2CC1">
        <w:rPr>
          <w:rFonts w:cs="Calibri"/>
          <w:color w:val="414042"/>
          <w:szCs w:val="22"/>
        </w:rPr>
        <w:t>Research</w:t>
      </w:r>
      <w:r w:rsidRPr="00CA2CC1">
        <w:rPr>
          <w:rFonts w:cs="Calibri"/>
          <w:color w:val="414042"/>
          <w:spacing w:val="-8"/>
          <w:szCs w:val="22"/>
        </w:rPr>
        <w:t xml:space="preserve"> </w:t>
      </w:r>
      <w:r w:rsidRPr="00CA2CC1">
        <w:rPr>
          <w:rFonts w:cs="Calibri"/>
          <w:color w:val="414042"/>
          <w:szCs w:val="22"/>
        </w:rPr>
        <w:t>surveyed</w:t>
      </w:r>
      <w:r w:rsidRPr="00CA2CC1">
        <w:rPr>
          <w:rFonts w:cs="Calibri"/>
          <w:color w:val="414042"/>
          <w:spacing w:val="-8"/>
          <w:szCs w:val="22"/>
        </w:rPr>
        <w:t xml:space="preserve"> </w:t>
      </w:r>
      <w:r w:rsidRPr="00CA2CC1">
        <w:rPr>
          <w:rFonts w:cs="Calibri"/>
          <w:color w:val="414042"/>
          <w:szCs w:val="22"/>
        </w:rPr>
        <w:t>4,000</w:t>
      </w:r>
      <w:r w:rsidRPr="00CA2CC1">
        <w:rPr>
          <w:rFonts w:cs="Calibri"/>
          <w:color w:val="414042"/>
          <w:spacing w:val="-8"/>
          <w:szCs w:val="22"/>
        </w:rPr>
        <w:t xml:space="preserve"> </w:t>
      </w:r>
      <w:r w:rsidRPr="00CA2CC1">
        <w:rPr>
          <w:rFonts w:cs="Calibri"/>
          <w:color w:val="414042"/>
          <w:szCs w:val="22"/>
        </w:rPr>
        <w:t>people for our study into community attitudes towards Melbourne’s bus network.</w:t>
      </w:r>
    </w:p>
    <w:p w14:paraId="3B180474" w14:textId="1BEB72B7" w:rsidR="00FA4226" w:rsidRPr="00CA2CC1" w:rsidRDefault="00000000" w:rsidP="0043303B">
      <w:pPr>
        <w:pStyle w:val="BodyText"/>
        <w:rPr>
          <w:rFonts w:cs="Calibri"/>
        </w:rPr>
        <w:sectPr w:rsidR="00FA4226" w:rsidRPr="00CA2CC1" w:rsidSect="00E941A5">
          <w:pgSz w:w="11910" w:h="16840"/>
          <w:pgMar w:top="1134" w:right="1278" w:bottom="1134" w:left="1134" w:header="720" w:footer="720" w:gutter="0"/>
          <w:cols w:space="720"/>
        </w:sectPr>
      </w:pPr>
      <w:r w:rsidRPr="00CA2CC1">
        <w:rPr>
          <w:rFonts w:cs="Calibri"/>
        </w:rPr>
        <w:t xml:space="preserve">We continue to innovate and invest in our engagement with Victorians through our work. Work on our 2025–55 infrastructure strategy update began in February 2023 when we asked community members and stakeholders to help set the objectives of the next version of the strategy. As we update the strategy, we </w:t>
      </w:r>
      <w:r w:rsidRPr="00CA2CC1">
        <w:rPr>
          <w:rFonts w:cs="Calibri"/>
        </w:rPr>
        <w:lastRenderedPageBreak/>
        <w:t xml:space="preserve">will continue to engage with </w:t>
      </w:r>
      <w:r w:rsidR="00C546AC" w:rsidRPr="00CA2CC1">
        <w:rPr>
          <w:rFonts w:cs="Calibri"/>
        </w:rPr>
        <w:t>Victorians meaningfully and transparently.</w:t>
      </w:r>
    </w:p>
    <w:p w14:paraId="50B707F3" w14:textId="4EBC97F8" w:rsidR="00FA4226" w:rsidRPr="00CA2CC1" w:rsidRDefault="00000000" w:rsidP="0043303B">
      <w:pPr>
        <w:pStyle w:val="BodyText"/>
        <w:spacing w:before="70"/>
        <w:rPr>
          <w:rFonts w:cs="Calibri"/>
          <w:szCs w:val="22"/>
        </w:rPr>
      </w:pPr>
      <w:r w:rsidRPr="00CA2CC1">
        <w:rPr>
          <w:rFonts w:cs="Calibri"/>
          <w:color w:val="414042"/>
          <w:szCs w:val="22"/>
        </w:rPr>
        <w:t>The</w:t>
      </w:r>
      <w:r w:rsidRPr="00CA2CC1">
        <w:rPr>
          <w:rFonts w:cs="Calibri"/>
          <w:color w:val="414042"/>
          <w:spacing w:val="-7"/>
          <w:szCs w:val="22"/>
        </w:rPr>
        <w:t xml:space="preserve"> </w:t>
      </w:r>
      <w:r w:rsidRPr="00CA2CC1">
        <w:rPr>
          <w:rFonts w:cs="Calibri"/>
          <w:color w:val="414042"/>
          <w:szCs w:val="22"/>
        </w:rPr>
        <w:t>outcomes</w:t>
      </w:r>
      <w:r w:rsidRPr="00CA2CC1">
        <w:rPr>
          <w:rFonts w:cs="Calibri"/>
          <w:color w:val="414042"/>
          <w:spacing w:val="-7"/>
          <w:szCs w:val="22"/>
        </w:rPr>
        <w:t xml:space="preserve"> </w:t>
      </w:r>
      <w:r w:rsidRPr="00CA2CC1">
        <w:rPr>
          <w:rFonts w:cs="Calibri"/>
          <w:color w:val="414042"/>
          <w:szCs w:val="22"/>
        </w:rPr>
        <w:t>of</w:t>
      </w:r>
      <w:r w:rsidRPr="00CA2CC1">
        <w:rPr>
          <w:rFonts w:cs="Calibri"/>
          <w:color w:val="414042"/>
          <w:spacing w:val="-7"/>
          <w:szCs w:val="22"/>
        </w:rPr>
        <w:t xml:space="preserve"> </w:t>
      </w:r>
      <w:r w:rsidRPr="00CA2CC1">
        <w:rPr>
          <w:rFonts w:cs="Calibri"/>
          <w:color w:val="414042"/>
          <w:szCs w:val="22"/>
        </w:rPr>
        <w:t>a</w:t>
      </w:r>
      <w:r w:rsidRPr="00CA2CC1">
        <w:rPr>
          <w:rFonts w:cs="Calibri"/>
          <w:color w:val="414042"/>
          <w:spacing w:val="-7"/>
          <w:szCs w:val="22"/>
        </w:rPr>
        <w:t xml:space="preserve"> </w:t>
      </w:r>
      <w:r w:rsidRPr="00CA2CC1">
        <w:rPr>
          <w:rFonts w:cs="Calibri"/>
          <w:color w:val="414042"/>
          <w:szCs w:val="22"/>
        </w:rPr>
        <w:t>30-year</w:t>
      </w:r>
      <w:r w:rsidRPr="00CA2CC1">
        <w:rPr>
          <w:rFonts w:cs="Calibri"/>
          <w:color w:val="414042"/>
          <w:spacing w:val="-7"/>
          <w:szCs w:val="22"/>
        </w:rPr>
        <w:t xml:space="preserve"> </w:t>
      </w:r>
      <w:r w:rsidRPr="00CA2CC1">
        <w:rPr>
          <w:rFonts w:cs="Calibri"/>
          <w:color w:val="414042"/>
          <w:szCs w:val="22"/>
        </w:rPr>
        <w:t>strategy</w:t>
      </w:r>
      <w:r w:rsidRPr="00CA2CC1">
        <w:rPr>
          <w:rFonts w:cs="Calibri"/>
          <w:color w:val="414042"/>
          <w:spacing w:val="-7"/>
          <w:szCs w:val="22"/>
        </w:rPr>
        <w:t xml:space="preserve"> </w:t>
      </w:r>
      <w:r w:rsidRPr="00CA2CC1">
        <w:rPr>
          <w:rFonts w:cs="Calibri"/>
          <w:color w:val="414042"/>
          <w:szCs w:val="22"/>
        </w:rPr>
        <w:t>will</w:t>
      </w:r>
      <w:r w:rsidRPr="00CA2CC1">
        <w:rPr>
          <w:rFonts w:cs="Calibri"/>
          <w:color w:val="414042"/>
          <w:spacing w:val="-7"/>
          <w:szCs w:val="22"/>
        </w:rPr>
        <w:t xml:space="preserve"> </w:t>
      </w:r>
      <w:r w:rsidRPr="00CA2CC1">
        <w:rPr>
          <w:rFonts w:cs="Calibri"/>
          <w:color w:val="414042"/>
          <w:szCs w:val="22"/>
        </w:rPr>
        <w:t>most</w:t>
      </w:r>
      <w:r w:rsidRPr="00CA2CC1">
        <w:rPr>
          <w:rFonts w:cs="Calibri"/>
          <w:color w:val="414042"/>
          <w:spacing w:val="-7"/>
          <w:szCs w:val="22"/>
        </w:rPr>
        <w:t xml:space="preserve"> </w:t>
      </w:r>
      <w:r w:rsidRPr="00CA2CC1">
        <w:rPr>
          <w:rFonts w:cs="Calibri"/>
          <w:color w:val="414042"/>
          <w:szCs w:val="22"/>
        </w:rPr>
        <w:t>impact</w:t>
      </w:r>
      <w:r w:rsidRPr="00CA2CC1">
        <w:rPr>
          <w:rFonts w:cs="Calibri"/>
          <w:color w:val="414042"/>
          <w:spacing w:val="-7"/>
          <w:szCs w:val="22"/>
        </w:rPr>
        <w:t xml:space="preserve"> </w:t>
      </w:r>
      <w:r w:rsidRPr="00CA2CC1">
        <w:rPr>
          <w:rFonts w:cs="Calibri"/>
          <w:color w:val="414042"/>
          <w:szCs w:val="22"/>
        </w:rPr>
        <w:t>today’s young people during their lives. To hear their insights, we</w:t>
      </w:r>
      <w:r w:rsidRPr="00CA2CC1">
        <w:rPr>
          <w:rFonts w:cs="Calibri"/>
          <w:color w:val="414042"/>
          <w:spacing w:val="40"/>
          <w:szCs w:val="22"/>
        </w:rPr>
        <w:t xml:space="preserve"> </w:t>
      </w:r>
      <w:r w:rsidRPr="00CA2CC1">
        <w:rPr>
          <w:rFonts w:cs="Calibri"/>
          <w:color w:val="414042"/>
          <w:szCs w:val="22"/>
        </w:rPr>
        <w:t>ran an innovative deliberative engagement forum with</w:t>
      </w:r>
      <w:r w:rsidR="00103D40" w:rsidRPr="00CA2CC1">
        <w:rPr>
          <w:rFonts w:cs="Calibri"/>
          <w:szCs w:val="22"/>
        </w:rPr>
        <w:t xml:space="preserve"> </w:t>
      </w:r>
      <w:r w:rsidRPr="00CA2CC1">
        <w:rPr>
          <w:rFonts w:cs="Calibri"/>
          <w:color w:val="414042"/>
          <w:szCs w:val="22"/>
        </w:rPr>
        <w:t>young people. We had 168 expressions of interest from young people across the state, and the diversity of the</w:t>
      </w:r>
      <w:r w:rsidRPr="00CA2CC1">
        <w:rPr>
          <w:rFonts w:cs="Calibri"/>
          <w:color w:val="414042"/>
          <w:spacing w:val="40"/>
          <w:szCs w:val="22"/>
        </w:rPr>
        <w:t xml:space="preserve"> </w:t>
      </w:r>
      <w:r w:rsidRPr="00CA2CC1">
        <w:rPr>
          <w:rFonts w:cs="Calibri"/>
          <w:color w:val="414042"/>
          <w:szCs w:val="22"/>
        </w:rPr>
        <w:t>39 selected participants was representative of Victoria’s young population. Participants thought deeply about the challenges</w:t>
      </w:r>
      <w:r w:rsidRPr="00CA2CC1">
        <w:rPr>
          <w:rFonts w:cs="Calibri"/>
          <w:color w:val="414042"/>
          <w:spacing w:val="-4"/>
          <w:szCs w:val="22"/>
        </w:rPr>
        <w:t xml:space="preserve"> </w:t>
      </w:r>
      <w:r w:rsidRPr="00CA2CC1">
        <w:rPr>
          <w:rFonts w:cs="Calibri"/>
          <w:color w:val="414042"/>
          <w:szCs w:val="22"/>
        </w:rPr>
        <w:t>and</w:t>
      </w:r>
      <w:r w:rsidRPr="00CA2CC1">
        <w:rPr>
          <w:rFonts w:cs="Calibri"/>
          <w:color w:val="414042"/>
          <w:spacing w:val="-4"/>
          <w:szCs w:val="22"/>
        </w:rPr>
        <w:t xml:space="preserve"> </w:t>
      </w:r>
      <w:r w:rsidRPr="00CA2CC1">
        <w:rPr>
          <w:rFonts w:cs="Calibri"/>
          <w:color w:val="414042"/>
          <w:szCs w:val="22"/>
        </w:rPr>
        <w:t>opportunities</w:t>
      </w:r>
      <w:r w:rsidRPr="00CA2CC1">
        <w:rPr>
          <w:rFonts w:cs="Calibri"/>
          <w:color w:val="414042"/>
          <w:spacing w:val="-4"/>
          <w:szCs w:val="22"/>
        </w:rPr>
        <w:t xml:space="preserve"> </w:t>
      </w:r>
      <w:r w:rsidRPr="00CA2CC1">
        <w:rPr>
          <w:rFonts w:cs="Calibri"/>
          <w:color w:val="414042"/>
          <w:szCs w:val="22"/>
        </w:rPr>
        <w:t>for</w:t>
      </w:r>
      <w:r w:rsidRPr="00CA2CC1">
        <w:rPr>
          <w:rFonts w:cs="Calibri"/>
          <w:color w:val="414042"/>
          <w:spacing w:val="-4"/>
          <w:szCs w:val="22"/>
        </w:rPr>
        <w:t xml:space="preserve"> </w:t>
      </w:r>
      <w:r w:rsidRPr="00CA2CC1">
        <w:rPr>
          <w:rFonts w:cs="Calibri"/>
          <w:color w:val="414042"/>
          <w:szCs w:val="22"/>
        </w:rPr>
        <w:t>infrastructure</w:t>
      </w:r>
      <w:r w:rsidRPr="00CA2CC1">
        <w:rPr>
          <w:rFonts w:cs="Calibri"/>
          <w:color w:val="414042"/>
          <w:spacing w:val="-4"/>
          <w:szCs w:val="22"/>
        </w:rPr>
        <w:t xml:space="preserve"> </w:t>
      </w:r>
      <w:r w:rsidRPr="00CA2CC1">
        <w:rPr>
          <w:rFonts w:cs="Calibri"/>
          <w:color w:val="414042"/>
          <w:szCs w:val="22"/>
        </w:rPr>
        <w:t>in</w:t>
      </w:r>
      <w:r w:rsidRPr="00CA2CC1">
        <w:rPr>
          <w:rFonts w:cs="Calibri"/>
          <w:color w:val="414042"/>
          <w:spacing w:val="-4"/>
          <w:szCs w:val="22"/>
        </w:rPr>
        <w:t xml:space="preserve"> </w:t>
      </w:r>
      <w:r w:rsidRPr="00CA2CC1">
        <w:rPr>
          <w:rFonts w:cs="Calibri"/>
          <w:color w:val="414042"/>
          <w:szCs w:val="22"/>
        </w:rPr>
        <w:t>Victoria, what</w:t>
      </w:r>
      <w:r w:rsidRPr="00CA2CC1">
        <w:rPr>
          <w:rFonts w:cs="Calibri"/>
          <w:color w:val="414042"/>
          <w:spacing w:val="-1"/>
          <w:szCs w:val="22"/>
        </w:rPr>
        <w:t xml:space="preserve"> </w:t>
      </w:r>
      <w:r w:rsidRPr="00CA2CC1">
        <w:rPr>
          <w:rFonts w:cs="Calibri"/>
          <w:color w:val="414042"/>
          <w:szCs w:val="22"/>
        </w:rPr>
        <w:t>matters to</w:t>
      </w:r>
      <w:r w:rsidRPr="00CA2CC1">
        <w:rPr>
          <w:rFonts w:cs="Calibri"/>
          <w:color w:val="414042"/>
          <w:spacing w:val="-1"/>
          <w:szCs w:val="22"/>
        </w:rPr>
        <w:t xml:space="preserve"> </w:t>
      </w:r>
      <w:r w:rsidRPr="00CA2CC1">
        <w:rPr>
          <w:rFonts w:cs="Calibri"/>
          <w:color w:val="414042"/>
          <w:szCs w:val="22"/>
        </w:rPr>
        <w:t>them in</w:t>
      </w:r>
      <w:r w:rsidRPr="00CA2CC1">
        <w:rPr>
          <w:rFonts w:cs="Calibri"/>
          <w:color w:val="414042"/>
          <w:spacing w:val="-1"/>
          <w:szCs w:val="22"/>
        </w:rPr>
        <w:t xml:space="preserve"> </w:t>
      </w:r>
      <w:r w:rsidRPr="00CA2CC1">
        <w:rPr>
          <w:rFonts w:cs="Calibri"/>
          <w:color w:val="414042"/>
          <w:szCs w:val="22"/>
        </w:rPr>
        <w:t>the future</w:t>
      </w:r>
      <w:r w:rsidRPr="00CA2CC1">
        <w:rPr>
          <w:rFonts w:cs="Calibri"/>
          <w:color w:val="414042"/>
          <w:spacing w:val="-1"/>
          <w:szCs w:val="22"/>
        </w:rPr>
        <w:t xml:space="preserve"> </w:t>
      </w:r>
      <w:r w:rsidRPr="00CA2CC1">
        <w:rPr>
          <w:rFonts w:cs="Calibri"/>
          <w:color w:val="414042"/>
          <w:szCs w:val="22"/>
        </w:rPr>
        <w:t xml:space="preserve">and how </w:t>
      </w:r>
      <w:r w:rsidRPr="00CA2CC1">
        <w:rPr>
          <w:rFonts w:cs="Calibri"/>
          <w:color w:val="414042"/>
          <w:spacing w:val="-2"/>
          <w:szCs w:val="22"/>
        </w:rPr>
        <w:t>infrastructure</w:t>
      </w:r>
      <w:r w:rsidR="00ED06E6" w:rsidRPr="00CA2CC1">
        <w:rPr>
          <w:rFonts w:cs="Calibri"/>
          <w:szCs w:val="22"/>
        </w:rPr>
        <w:t xml:space="preserve"> </w:t>
      </w:r>
      <w:r w:rsidRPr="00CA2CC1">
        <w:rPr>
          <w:rFonts w:cs="Calibri"/>
          <w:color w:val="414042"/>
          <w:szCs w:val="22"/>
        </w:rPr>
        <w:t>could</w:t>
      </w:r>
      <w:r w:rsidRPr="00CA2CC1">
        <w:rPr>
          <w:rFonts w:cs="Calibri"/>
          <w:color w:val="414042"/>
          <w:spacing w:val="-5"/>
          <w:szCs w:val="22"/>
        </w:rPr>
        <w:t xml:space="preserve"> </w:t>
      </w:r>
      <w:r w:rsidRPr="00CA2CC1">
        <w:rPr>
          <w:rFonts w:cs="Calibri"/>
          <w:color w:val="414042"/>
          <w:szCs w:val="22"/>
        </w:rPr>
        <w:t>help</w:t>
      </w:r>
      <w:r w:rsidRPr="00CA2CC1">
        <w:rPr>
          <w:rFonts w:cs="Calibri"/>
          <w:color w:val="414042"/>
          <w:spacing w:val="-5"/>
          <w:szCs w:val="22"/>
        </w:rPr>
        <w:t xml:space="preserve"> </w:t>
      </w:r>
      <w:r w:rsidRPr="00CA2CC1">
        <w:rPr>
          <w:rFonts w:cs="Calibri"/>
          <w:color w:val="414042"/>
          <w:szCs w:val="22"/>
        </w:rPr>
        <w:t>achieve</w:t>
      </w:r>
      <w:r w:rsidRPr="00CA2CC1">
        <w:rPr>
          <w:rFonts w:cs="Calibri"/>
          <w:color w:val="414042"/>
          <w:spacing w:val="-5"/>
          <w:szCs w:val="22"/>
        </w:rPr>
        <w:t xml:space="preserve"> </w:t>
      </w:r>
      <w:r w:rsidRPr="00CA2CC1">
        <w:rPr>
          <w:rFonts w:cs="Calibri"/>
          <w:color w:val="414042"/>
          <w:szCs w:val="22"/>
        </w:rPr>
        <w:t>this.</w:t>
      </w:r>
      <w:r w:rsidRPr="00CA2CC1">
        <w:rPr>
          <w:rFonts w:cs="Calibri"/>
          <w:color w:val="414042"/>
          <w:spacing w:val="-5"/>
          <w:szCs w:val="22"/>
        </w:rPr>
        <w:t xml:space="preserve"> </w:t>
      </w:r>
      <w:r w:rsidRPr="00CA2CC1">
        <w:rPr>
          <w:rFonts w:cs="Calibri"/>
          <w:color w:val="414042"/>
          <w:szCs w:val="22"/>
        </w:rPr>
        <w:t>Their</w:t>
      </w:r>
      <w:r w:rsidRPr="00CA2CC1">
        <w:rPr>
          <w:rFonts w:cs="Calibri"/>
          <w:color w:val="414042"/>
          <w:spacing w:val="-5"/>
          <w:szCs w:val="22"/>
        </w:rPr>
        <w:t xml:space="preserve"> </w:t>
      </w:r>
      <w:r w:rsidRPr="00CA2CC1">
        <w:rPr>
          <w:rFonts w:cs="Calibri"/>
          <w:color w:val="414042"/>
          <w:szCs w:val="22"/>
        </w:rPr>
        <w:t>views</w:t>
      </w:r>
      <w:r w:rsidRPr="00CA2CC1">
        <w:rPr>
          <w:rFonts w:cs="Calibri"/>
          <w:color w:val="414042"/>
          <w:spacing w:val="-5"/>
          <w:szCs w:val="22"/>
        </w:rPr>
        <w:t xml:space="preserve"> </w:t>
      </w:r>
      <w:r w:rsidRPr="00CA2CC1">
        <w:rPr>
          <w:rFonts w:cs="Calibri"/>
          <w:color w:val="414042"/>
          <w:szCs w:val="22"/>
        </w:rPr>
        <w:t>helped</w:t>
      </w:r>
      <w:r w:rsidRPr="00CA2CC1">
        <w:rPr>
          <w:rFonts w:cs="Calibri"/>
          <w:color w:val="414042"/>
          <w:spacing w:val="-5"/>
          <w:szCs w:val="22"/>
        </w:rPr>
        <w:t xml:space="preserve"> </w:t>
      </w:r>
      <w:r w:rsidRPr="00CA2CC1">
        <w:rPr>
          <w:rFonts w:cs="Calibri"/>
          <w:color w:val="414042"/>
          <w:szCs w:val="22"/>
        </w:rPr>
        <w:t>strengthen</w:t>
      </w:r>
      <w:r w:rsidRPr="00CA2CC1">
        <w:rPr>
          <w:rFonts w:cs="Calibri"/>
          <w:color w:val="414042"/>
          <w:spacing w:val="-5"/>
          <w:szCs w:val="22"/>
        </w:rPr>
        <w:t xml:space="preserve"> </w:t>
      </w:r>
      <w:r w:rsidRPr="00CA2CC1">
        <w:rPr>
          <w:rFonts w:cs="Calibri"/>
          <w:color w:val="414042"/>
          <w:szCs w:val="22"/>
        </w:rPr>
        <w:t>and refine the updated strategy’s objectives.</w:t>
      </w:r>
    </w:p>
    <w:p w14:paraId="18B8C381" w14:textId="77777777" w:rsidR="00FA4226" w:rsidRPr="00CA2CC1" w:rsidRDefault="00000000" w:rsidP="0043303B">
      <w:pPr>
        <w:pStyle w:val="BodyText"/>
        <w:spacing w:before="108"/>
        <w:rPr>
          <w:rFonts w:cs="Calibri"/>
          <w:szCs w:val="22"/>
        </w:rPr>
      </w:pPr>
      <w:r w:rsidRPr="00CA2CC1">
        <w:rPr>
          <w:rFonts w:cs="Calibri"/>
          <w:color w:val="414042"/>
          <w:szCs w:val="22"/>
        </w:rPr>
        <w:t>This year, we also released our new 5-year Corporate Plan which</w:t>
      </w:r>
      <w:r w:rsidRPr="00CA2CC1">
        <w:rPr>
          <w:rFonts w:cs="Calibri"/>
          <w:color w:val="414042"/>
          <w:spacing w:val="-4"/>
          <w:szCs w:val="22"/>
        </w:rPr>
        <w:t xml:space="preserve"> </w:t>
      </w:r>
      <w:r w:rsidRPr="00CA2CC1">
        <w:rPr>
          <w:rFonts w:cs="Calibri"/>
          <w:color w:val="414042"/>
          <w:szCs w:val="22"/>
        </w:rPr>
        <w:t>guides</w:t>
      </w:r>
      <w:r w:rsidRPr="00CA2CC1">
        <w:rPr>
          <w:rFonts w:cs="Calibri"/>
          <w:color w:val="414042"/>
          <w:spacing w:val="-4"/>
          <w:szCs w:val="22"/>
        </w:rPr>
        <w:t xml:space="preserve"> </w:t>
      </w:r>
      <w:r w:rsidRPr="00CA2CC1">
        <w:rPr>
          <w:rFonts w:cs="Calibri"/>
          <w:color w:val="414042"/>
          <w:szCs w:val="22"/>
        </w:rPr>
        <w:t>what</w:t>
      </w:r>
      <w:r w:rsidRPr="00CA2CC1">
        <w:rPr>
          <w:rFonts w:cs="Calibri"/>
          <w:color w:val="414042"/>
          <w:spacing w:val="-4"/>
          <w:szCs w:val="22"/>
        </w:rPr>
        <w:t xml:space="preserve"> </w:t>
      </w:r>
      <w:r w:rsidRPr="00CA2CC1">
        <w:rPr>
          <w:rFonts w:cs="Calibri"/>
          <w:color w:val="414042"/>
          <w:szCs w:val="22"/>
        </w:rPr>
        <w:t>we</w:t>
      </w:r>
      <w:r w:rsidRPr="00CA2CC1">
        <w:rPr>
          <w:rFonts w:cs="Calibri"/>
          <w:color w:val="414042"/>
          <w:spacing w:val="-4"/>
          <w:szCs w:val="22"/>
        </w:rPr>
        <w:t xml:space="preserve"> </w:t>
      </w:r>
      <w:r w:rsidRPr="00CA2CC1">
        <w:rPr>
          <w:rFonts w:cs="Calibri"/>
          <w:color w:val="414042"/>
          <w:szCs w:val="22"/>
        </w:rPr>
        <w:t>do</w:t>
      </w:r>
      <w:r w:rsidRPr="00CA2CC1">
        <w:rPr>
          <w:rFonts w:cs="Calibri"/>
          <w:color w:val="414042"/>
          <w:spacing w:val="-4"/>
          <w:szCs w:val="22"/>
        </w:rPr>
        <w:t xml:space="preserve"> </w:t>
      </w:r>
      <w:r w:rsidRPr="00CA2CC1">
        <w:rPr>
          <w:rFonts w:cs="Calibri"/>
          <w:color w:val="414042"/>
          <w:szCs w:val="22"/>
        </w:rPr>
        <w:t>and</w:t>
      </w:r>
      <w:r w:rsidRPr="00CA2CC1">
        <w:rPr>
          <w:rFonts w:cs="Calibri"/>
          <w:color w:val="414042"/>
          <w:spacing w:val="-4"/>
          <w:szCs w:val="22"/>
        </w:rPr>
        <w:t xml:space="preserve"> </w:t>
      </w:r>
      <w:r w:rsidRPr="00CA2CC1">
        <w:rPr>
          <w:rFonts w:cs="Calibri"/>
          <w:color w:val="414042"/>
          <w:szCs w:val="22"/>
        </w:rPr>
        <w:t>how</w:t>
      </w:r>
      <w:r w:rsidRPr="00CA2CC1">
        <w:rPr>
          <w:rFonts w:cs="Calibri"/>
          <w:color w:val="414042"/>
          <w:spacing w:val="-4"/>
          <w:szCs w:val="22"/>
        </w:rPr>
        <w:t xml:space="preserve"> </w:t>
      </w:r>
      <w:r w:rsidRPr="00CA2CC1">
        <w:rPr>
          <w:rFonts w:cs="Calibri"/>
          <w:color w:val="414042"/>
          <w:szCs w:val="22"/>
        </w:rPr>
        <w:t>we</w:t>
      </w:r>
      <w:r w:rsidRPr="00CA2CC1">
        <w:rPr>
          <w:rFonts w:cs="Calibri"/>
          <w:color w:val="414042"/>
          <w:spacing w:val="-4"/>
          <w:szCs w:val="22"/>
        </w:rPr>
        <w:t xml:space="preserve"> </w:t>
      </w:r>
      <w:r w:rsidRPr="00CA2CC1">
        <w:rPr>
          <w:rFonts w:cs="Calibri"/>
          <w:color w:val="414042"/>
          <w:szCs w:val="22"/>
        </w:rPr>
        <w:t>do</w:t>
      </w:r>
      <w:r w:rsidRPr="00CA2CC1">
        <w:rPr>
          <w:rFonts w:cs="Calibri"/>
          <w:color w:val="414042"/>
          <w:spacing w:val="-4"/>
          <w:szCs w:val="22"/>
        </w:rPr>
        <w:t xml:space="preserve"> </w:t>
      </w:r>
      <w:r w:rsidRPr="00CA2CC1">
        <w:rPr>
          <w:rFonts w:cs="Calibri"/>
          <w:color w:val="414042"/>
          <w:szCs w:val="22"/>
        </w:rPr>
        <w:t>it.</w:t>
      </w:r>
      <w:r w:rsidRPr="00CA2CC1">
        <w:rPr>
          <w:rFonts w:cs="Calibri"/>
          <w:color w:val="414042"/>
          <w:spacing w:val="-4"/>
          <w:szCs w:val="22"/>
        </w:rPr>
        <w:t xml:space="preserve"> </w:t>
      </w:r>
      <w:r w:rsidRPr="00CA2CC1">
        <w:rPr>
          <w:rFonts w:cs="Calibri"/>
          <w:color w:val="414042"/>
          <w:szCs w:val="22"/>
        </w:rPr>
        <w:t>We</w:t>
      </w:r>
      <w:r w:rsidRPr="00CA2CC1">
        <w:rPr>
          <w:rFonts w:cs="Calibri"/>
          <w:color w:val="414042"/>
          <w:spacing w:val="-4"/>
          <w:szCs w:val="22"/>
        </w:rPr>
        <w:t xml:space="preserve"> </w:t>
      </w:r>
      <w:r w:rsidRPr="00CA2CC1">
        <w:rPr>
          <w:rFonts w:cs="Calibri"/>
          <w:color w:val="414042"/>
          <w:szCs w:val="22"/>
        </w:rPr>
        <w:t>strategically chose our priorities, considering the world around us and</w:t>
      </w:r>
      <w:r w:rsidRPr="00CA2CC1">
        <w:rPr>
          <w:rFonts w:cs="Calibri"/>
          <w:color w:val="414042"/>
          <w:spacing w:val="40"/>
          <w:szCs w:val="22"/>
        </w:rPr>
        <w:t xml:space="preserve"> </w:t>
      </w:r>
      <w:r w:rsidRPr="00CA2CC1">
        <w:rPr>
          <w:rFonts w:cs="Calibri"/>
          <w:color w:val="414042"/>
          <w:szCs w:val="22"/>
        </w:rPr>
        <w:t>the challenges that Victorians face, on the issues we can best add value to with relevant, implementable advice.</w:t>
      </w:r>
    </w:p>
    <w:p w14:paraId="521E27C2" w14:textId="591622C8" w:rsidR="00FA4226" w:rsidRPr="00CA2CC1" w:rsidRDefault="00000000" w:rsidP="0043303B">
      <w:pPr>
        <w:pStyle w:val="BodyText"/>
        <w:spacing w:before="114"/>
        <w:rPr>
          <w:rFonts w:cs="Calibri"/>
          <w:szCs w:val="22"/>
        </w:rPr>
      </w:pPr>
      <w:r w:rsidRPr="00CA2CC1">
        <w:rPr>
          <w:rFonts w:cs="Calibri"/>
          <w:color w:val="414042"/>
          <w:szCs w:val="22"/>
        </w:rPr>
        <w:t>We pride ourselves on a positive workplace culture that produces excellent evidence-based work to help shape the best possible future for Victoria. Being a fantastic place to work, with a culture that nurtures success and wellbeing, is a key goal we continuously strive for. The Annual</w:t>
      </w:r>
      <w:r w:rsidRPr="00CA2CC1">
        <w:rPr>
          <w:rFonts w:cs="Calibri"/>
          <w:color w:val="414042"/>
          <w:spacing w:val="-4"/>
          <w:szCs w:val="22"/>
        </w:rPr>
        <w:t xml:space="preserve"> </w:t>
      </w:r>
      <w:r w:rsidRPr="00CA2CC1">
        <w:rPr>
          <w:rFonts w:cs="Calibri"/>
          <w:color w:val="414042"/>
          <w:szCs w:val="22"/>
        </w:rPr>
        <w:t>People</w:t>
      </w:r>
      <w:r w:rsidRPr="00CA2CC1">
        <w:rPr>
          <w:rFonts w:cs="Calibri"/>
          <w:color w:val="414042"/>
          <w:spacing w:val="-4"/>
          <w:szCs w:val="22"/>
        </w:rPr>
        <w:t xml:space="preserve"> </w:t>
      </w:r>
      <w:r w:rsidRPr="00CA2CC1">
        <w:rPr>
          <w:rFonts w:cs="Calibri"/>
          <w:color w:val="414042"/>
          <w:szCs w:val="22"/>
        </w:rPr>
        <w:t>Matter</w:t>
      </w:r>
      <w:r w:rsidRPr="00CA2CC1">
        <w:rPr>
          <w:rFonts w:cs="Calibri"/>
          <w:color w:val="414042"/>
          <w:spacing w:val="-4"/>
          <w:szCs w:val="22"/>
        </w:rPr>
        <w:t xml:space="preserve"> </w:t>
      </w:r>
      <w:r w:rsidRPr="00CA2CC1">
        <w:rPr>
          <w:rFonts w:cs="Calibri"/>
          <w:color w:val="414042"/>
          <w:szCs w:val="22"/>
        </w:rPr>
        <w:t>survey</w:t>
      </w:r>
      <w:r w:rsidRPr="00CA2CC1">
        <w:rPr>
          <w:rFonts w:cs="Calibri"/>
          <w:color w:val="414042"/>
          <w:spacing w:val="-4"/>
          <w:szCs w:val="22"/>
        </w:rPr>
        <w:t xml:space="preserve"> </w:t>
      </w:r>
      <w:r w:rsidRPr="00CA2CC1">
        <w:rPr>
          <w:rFonts w:cs="Calibri"/>
          <w:color w:val="414042"/>
          <w:szCs w:val="22"/>
        </w:rPr>
        <w:t>was</w:t>
      </w:r>
      <w:r w:rsidRPr="00CA2CC1">
        <w:rPr>
          <w:rFonts w:cs="Calibri"/>
          <w:color w:val="414042"/>
          <w:spacing w:val="-4"/>
          <w:szCs w:val="22"/>
        </w:rPr>
        <w:t xml:space="preserve"> </w:t>
      </w:r>
      <w:r w:rsidRPr="00CA2CC1">
        <w:rPr>
          <w:rFonts w:cs="Calibri"/>
          <w:color w:val="414042"/>
          <w:szCs w:val="22"/>
        </w:rPr>
        <w:t>conducted</w:t>
      </w:r>
      <w:r w:rsidRPr="00CA2CC1">
        <w:rPr>
          <w:rFonts w:cs="Calibri"/>
          <w:color w:val="414042"/>
          <w:spacing w:val="-4"/>
          <w:szCs w:val="22"/>
        </w:rPr>
        <w:t xml:space="preserve"> </w:t>
      </w:r>
      <w:r w:rsidRPr="00CA2CC1">
        <w:rPr>
          <w:rFonts w:cs="Calibri"/>
          <w:color w:val="414042"/>
          <w:szCs w:val="22"/>
        </w:rPr>
        <w:t>in</w:t>
      </w:r>
      <w:r w:rsidRPr="00CA2CC1">
        <w:rPr>
          <w:rFonts w:cs="Calibri"/>
          <w:color w:val="414042"/>
          <w:spacing w:val="-4"/>
          <w:szCs w:val="22"/>
        </w:rPr>
        <w:t xml:space="preserve"> </w:t>
      </w:r>
      <w:r w:rsidRPr="00CA2CC1">
        <w:rPr>
          <w:rFonts w:cs="Calibri"/>
          <w:color w:val="414042"/>
          <w:szCs w:val="22"/>
        </w:rPr>
        <w:t>June</w:t>
      </w:r>
      <w:r w:rsidRPr="00CA2CC1">
        <w:rPr>
          <w:rFonts w:cs="Calibri"/>
          <w:color w:val="414042"/>
          <w:spacing w:val="-4"/>
          <w:szCs w:val="22"/>
        </w:rPr>
        <w:t xml:space="preserve"> </w:t>
      </w:r>
      <w:r w:rsidRPr="00CA2CC1">
        <w:rPr>
          <w:rFonts w:cs="Calibri"/>
          <w:color w:val="414042"/>
          <w:szCs w:val="22"/>
        </w:rPr>
        <w:t>and helps</w:t>
      </w:r>
      <w:r w:rsidRPr="00CA2CC1">
        <w:rPr>
          <w:rFonts w:cs="Calibri"/>
          <w:color w:val="414042"/>
          <w:spacing w:val="-7"/>
          <w:szCs w:val="22"/>
        </w:rPr>
        <w:t xml:space="preserve"> </w:t>
      </w:r>
      <w:r w:rsidRPr="00CA2CC1">
        <w:rPr>
          <w:rFonts w:cs="Calibri"/>
          <w:color w:val="414042"/>
          <w:szCs w:val="22"/>
        </w:rPr>
        <w:t>Victorian</w:t>
      </w:r>
      <w:r w:rsidRPr="00CA2CC1">
        <w:rPr>
          <w:rFonts w:cs="Calibri"/>
          <w:color w:val="414042"/>
          <w:spacing w:val="-7"/>
          <w:szCs w:val="22"/>
        </w:rPr>
        <w:t xml:space="preserve"> </w:t>
      </w:r>
      <w:r w:rsidRPr="00CA2CC1">
        <w:rPr>
          <w:rFonts w:cs="Calibri"/>
          <w:color w:val="414042"/>
          <w:szCs w:val="22"/>
        </w:rPr>
        <w:t>public</w:t>
      </w:r>
      <w:r w:rsidRPr="00CA2CC1">
        <w:rPr>
          <w:rFonts w:cs="Calibri"/>
          <w:color w:val="414042"/>
          <w:spacing w:val="-7"/>
          <w:szCs w:val="22"/>
        </w:rPr>
        <w:t xml:space="preserve"> </w:t>
      </w:r>
      <w:r w:rsidRPr="00CA2CC1">
        <w:rPr>
          <w:rFonts w:cs="Calibri"/>
          <w:color w:val="414042"/>
          <w:szCs w:val="22"/>
        </w:rPr>
        <w:t>sector</w:t>
      </w:r>
      <w:r w:rsidRPr="00CA2CC1">
        <w:rPr>
          <w:rFonts w:cs="Calibri"/>
          <w:color w:val="414042"/>
          <w:spacing w:val="-7"/>
          <w:szCs w:val="22"/>
        </w:rPr>
        <w:t xml:space="preserve"> </w:t>
      </w:r>
      <w:r w:rsidRPr="00CA2CC1">
        <w:rPr>
          <w:rFonts w:cs="Calibri"/>
          <w:color w:val="414042"/>
          <w:szCs w:val="22"/>
        </w:rPr>
        <w:t>organisations</w:t>
      </w:r>
      <w:r w:rsidRPr="00CA2CC1">
        <w:rPr>
          <w:rFonts w:cs="Calibri"/>
          <w:color w:val="414042"/>
          <w:spacing w:val="-7"/>
          <w:szCs w:val="22"/>
        </w:rPr>
        <w:t xml:space="preserve"> </w:t>
      </w:r>
      <w:r w:rsidRPr="00CA2CC1">
        <w:rPr>
          <w:rFonts w:cs="Calibri"/>
          <w:color w:val="414042"/>
          <w:szCs w:val="22"/>
        </w:rPr>
        <w:t>create</w:t>
      </w:r>
      <w:r w:rsidRPr="00CA2CC1">
        <w:rPr>
          <w:rFonts w:cs="Calibri"/>
          <w:color w:val="414042"/>
          <w:spacing w:val="-7"/>
          <w:szCs w:val="22"/>
        </w:rPr>
        <w:t xml:space="preserve"> </w:t>
      </w:r>
      <w:r w:rsidRPr="00CA2CC1">
        <w:rPr>
          <w:rFonts w:cs="Calibri"/>
          <w:color w:val="414042"/>
          <w:szCs w:val="22"/>
        </w:rPr>
        <w:t>positive workplace cultures. As an organisation, we maintained the strong results from last year. We achieved a 100%</w:t>
      </w:r>
      <w:r w:rsidR="00C7667C" w:rsidRPr="00CA2CC1">
        <w:rPr>
          <w:rFonts w:cs="Calibri"/>
          <w:szCs w:val="22"/>
        </w:rPr>
        <w:t xml:space="preserve"> </w:t>
      </w:r>
      <w:r w:rsidRPr="00CA2CC1">
        <w:rPr>
          <w:rFonts w:cs="Calibri"/>
          <w:color w:val="414042"/>
          <w:szCs w:val="22"/>
        </w:rPr>
        <w:t>rating</w:t>
      </w:r>
      <w:r w:rsidRPr="00CA2CC1">
        <w:rPr>
          <w:rFonts w:cs="Calibri"/>
          <w:color w:val="414042"/>
          <w:spacing w:val="-6"/>
          <w:szCs w:val="22"/>
        </w:rPr>
        <w:t xml:space="preserve"> </w:t>
      </w:r>
      <w:r w:rsidRPr="00CA2CC1">
        <w:rPr>
          <w:rFonts w:cs="Calibri"/>
          <w:color w:val="414042"/>
          <w:szCs w:val="22"/>
        </w:rPr>
        <w:t>in</w:t>
      </w:r>
      <w:r w:rsidRPr="00CA2CC1">
        <w:rPr>
          <w:rFonts w:cs="Calibri"/>
          <w:color w:val="414042"/>
          <w:spacing w:val="-6"/>
          <w:szCs w:val="22"/>
        </w:rPr>
        <w:t xml:space="preserve"> </w:t>
      </w:r>
      <w:r w:rsidRPr="00CA2CC1">
        <w:rPr>
          <w:rFonts w:cs="Calibri"/>
          <w:color w:val="414042"/>
          <w:szCs w:val="22"/>
        </w:rPr>
        <w:t>questions</w:t>
      </w:r>
      <w:r w:rsidRPr="00CA2CC1">
        <w:rPr>
          <w:rFonts w:cs="Calibri"/>
          <w:color w:val="414042"/>
          <w:spacing w:val="-6"/>
          <w:szCs w:val="22"/>
        </w:rPr>
        <w:t xml:space="preserve"> </w:t>
      </w:r>
      <w:r w:rsidRPr="00CA2CC1">
        <w:rPr>
          <w:rFonts w:cs="Calibri"/>
          <w:color w:val="414042"/>
          <w:szCs w:val="22"/>
        </w:rPr>
        <w:t>relating</w:t>
      </w:r>
      <w:r w:rsidRPr="00CA2CC1">
        <w:rPr>
          <w:rFonts w:cs="Calibri"/>
          <w:color w:val="414042"/>
          <w:spacing w:val="-6"/>
          <w:szCs w:val="22"/>
        </w:rPr>
        <w:t xml:space="preserve"> </w:t>
      </w:r>
      <w:r w:rsidRPr="00CA2CC1">
        <w:rPr>
          <w:rFonts w:cs="Calibri"/>
          <w:color w:val="414042"/>
          <w:szCs w:val="22"/>
        </w:rPr>
        <w:t>to</w:t>
      </w:r>
      <w:r w:rsidRPr="00CA2CC1">
        <w:rPr>
          <w:rFonts w:cs="Calibri"/>
          <w:color w:val="414042"/>
          <w:spacing w:val="-6"/>
          <w:szCs w:val="22"/>
        </w:rPr>
        <w:t xml:space="preserve"> </w:t>
      </w:r>
      <w:r w:rsidRPr="00CA2CC1">
        <w:rPr>
          <w:rFonts w:cs="Calibri"/>
          <w:color w:val="414042"/>
          <w:szCs w:val="22"/>
        </w:rPr>
        <w:t>job</w:t>
      </w:r>
      <w:r w:rsidRPr="00CA2CC1">
        <w:rPr>
          <w:rFonts w:cs="Calibri"/>
          <w:color w:val="414042"/>
          <w:spacing w:val="-6"/>
          <w:szCs w:val="22"/>
        </w:rPr>
        <w:t xml:space="preserve"> </w:t>
      </w:r>
      <w:r w:rsidRPr="00CA2CC1">
        <w:rPr>
          <w:rFonts w:cs="Calibri"/>
          <w:color w:val="414042"/>
          <w:szCs w:val="22"/>
        </w:rPr>
        <w:t>satisfaction,</w:t>
      </w:r>
      <w:r w:rsidRPr="00CA2CC1">
        <w:rPr>
          <w:rFonts w:cs="Calibri"/>
          <w:color w:val="414042"/>
          <w:spacing w:val="-6"/>
          <w:szCs w:val="22"/>
        </w:rPr>
        <w:t xml:space="preserve"> </w:t>
      </w:r>
      <w:r w:rsidRPr="00CA2CC1">
        <w:rPr>
          <w:rFonts w:cs="Calibri"/>
          <w:color w:val="414042"/>
          <w:szCs w:val="22"/>
        </w:rPr>
        <w:t>management honesty, integrity, learning and development, and being</w:t>
      </w:r>
      <w:r w:rsidR="00DC086E" w:rsidRPr="00CA2CC1">
        <w:rPr>
          <w:rFonts w:cs="Calibri"/>
          <w:szCs w:val="22"/>
        </w:rPr>
        <w:t xml:space="preserve"> </w:t>
      </w:r>
      <w:r w:rsidRPr="00CA2CC1">
        <w:rPr>
          <w:rFonts w:cs="Calibri"/>
          <w:color w:val="414042"/>
          <w:szCs w:val="22"/>
        </w:rPr>
        <w:t>an</w:t>
      </w:r>
      <w:r w:rsidRPr="00CA2CC1">
        <w:rPr>
          <w:rFonts w:cs="Calibri"/>
          <w:color w:val="414042"/>
          <w:spacing w:val="-8"/>
          <w:szCs w:val="22"/>
        </w:rPr>
        <w:t xml:space="preserve"> </w:t>
      </w:r>
      <w:r w:rsidRPr="00CA2CC1">
        <w:rPr>
          <w:rFonts w:cs="Calibri"/>
          <w:color w:val="414042"/>
          <w:szCs w:val="22"/>
        </w:rPr>
        <w:t>organisation</w:t>
      </w:r>
      <w:r w:rsidRPr="00CA2CC1">
        <w:rPr>
          <w:rFonts w:cs="Calibri"/>
          <w:color w:val="414042"/>
          <w:spacing w:val="-8"/>
          <w:szCs w:val="22"/>
        </w:rPr>
        <w:t xml:space="preserve"> </w:t>
      </w:r>
      <w:r w:rsidRPr="00CA2CC1">
        <w:rPr>
          <w:rFonts w:cs="Calibri"/>
          <w:color w:val="414042"/>
          <w:szCs w:val="22"/>
        </w:rPr>
        <w:t>that</w:t>
      </w:r>
      <w:r w:rsidRPr="00CA2CC1">
        <w:rPr>
          <w:rFonts w:cs="Calibri"/>
          <w:color w:val="414042"/>
          <w:spacing w:val="-8"/>
          <w:szCs w:val="22"/>
        </w:rPr>
        <w:t xml:space="preserve"> </w:t>
      </w:r>
      <w:r w:rsidRPr="00CA2CC1">
        <w:rPr>
          <w:rFonts w:cs="Calibri"/>
          <w:color w:val="414042"/>
          <w:szCs w:val="22"/>
        </w:rPr>
        <w:t>encourages</w:t>
      </w:r>
      <w:r w:rsidRPr="00CA2CC1">
        <w:rPr>
          <w:rFonts w:cs="Calibri"/>
          <w:color w:val="414042"/>
          <w:spacing w:val="-8"/>
          <w:szCs w:val="22"/>
        </w:rPr>
        <w:t xml:space="preserve"> </w:t>
      </w:r>
      <w:r w:rsidRPr="00CA2CC1">
        <w:rPr>
          <w:rFonts w:cs="Calibri"/>
          <w:color w:val="414042"/>
          <w:szCs w:val="22"/>
        </w:rPr>
        <w:t>respectful</w:t>
      </w:r>
      <w:r w:rsidRPr="00CA2CC1">
        <w:rPr>
          <w:rFonts w:cs="Calibri"/>
          <w:color w:val="414042"/>
          <w:spacing w:val="-8"/>
          <w:szCs w:val="22"/>
        </w:rPr>
        <w:t xml:space="preserve"> </w:t>
      </w:r>
      <w:r w:rsidRPr="00CA2CC1">
        <w:rPr>
          <w:rFonts w:cs="Calibri"/>
          <w:color w:val="414042"/>
          <w:szCs w:val="22"/>
        </w:rPr>
        <w:t xml:space="preserve">workplace </w:t>
      </w:r>
      <w:r w:rsidRPr="00CA2CC1">
        <w:rPr>
          <w:rFonts w:cs="Calibri"/>
          <w:color w:val="414042"/>
          <w:spacing w:val="-2"/>
          <w:szCs w:val="22"/>
        </w:rPr>
        <w:t>behaviours.</w:t>
      </w:r>
    </w:p>
    <w:p w14:paraId="4116B6C8" w14:textId="77777777" w:rsidR="000E4B47" w:rsidRPr="00CA2CC1" w:rsidRDefault="00000000" w:rsidP="0043303B">
      <w:pPr>
        <w:pStyle w:val="BodyText"/>
        <w:spacing w:before="106"/>
        <w:rPr>
          <w:rFonts w:cs="Calibri"/>
          <w:szCs w:val="22"/>
        </w:rPr>
      </w:pPr>
      <w:r w:rsidRPr="00CA2CC1">
        <w:rPr>
          <w:rFonts w:cs="Calibri"/>
          <w:color w:val="414042"/>
          <w:szCs w:val="22"/>
        </w:rPr>
        <w:t>On governance matters, Professor Margaret Gardner AC concluded her term as a board member in April 2023. She was appointed in 2015 and made a significant contribution to Infrastructure Victoria’s</w:t>
      </w:r>
      <w:r w:rsidRPr="00CA2CC1">
        <w:rPr>
          <w:rFonts w:cs="Calibri"/>
          <w:color w:val="414042"/>
          <w:spacing w:val="40"/>
          <w:szCs w:val="22"/>
        </w:rPr>
        <w:t xml:space="preserve"> </w:t>
      </w:r>
      <w:r w:rsidRPr="00CA2CC1">
        <w:rPr>
          <w:rFonts w:cs="Calibri"/>
          <w:color w:val="414042"/>
          <w:szCs w:val="22"/>
        </w:rPr>
        <w:t>achievements. We thank Professor Gardner and extend out congratulations on her appointment</w:t>
      </w:r>
      <w:r w:rsidRPr="00CA2CC1">
        <w:rPr>
          <w:rFonts w:cs="Calibri"/>
          <w:color w:val="414042"/>
          <w:spacing w:val="-4"/>
          <w:szCs w:val="22"/>
        </w:rPr>
        <w:t xml:space="preserve"> </w:t>
      </w:r>
      <w:r w:rsidRPr="00CA2CC1">
        <w:rPr>
          <w:rFonts w:cs="Calibri"/>
          <w:color w:val="414042"/>
          <w:szCs w:val="22"/>
        </w:rPr>
        <w:t>as</w:t>
      </w:r>
      <w:r w:rsidRPr="00CA2CC1">
        <w:rPr>
          <w:rFonts w:cs="Calibri"/>
          <w:color w:val="414042"/>
          <w:spacing w:val="-4"/>
          <w:szCs w:val="22"/>
        </w:rPr>
        <w:t xml:space="preserve"> </w:t>
      </w:r>
      <w:r w:rsidRPr="00CA2CC1">
        <w:rPr>
          <w:rFonts w:cs="Calibri"/>
          <w:color w:val="414042"/>
          <w:szCs w:val="22"/>
        </w:rPr>
        <w:t>the</w:t>
      </w:r>
      <w:r w:rsidRPr="00CA2CC1">
        <w:rPr>
          <w:rFonts w:cs="Calibri"/>
          <w:color w:val="414042"/>
          <w:spacing w:val="-4"/>
          <w:szCs w:val="22"/>
        </w:rPr>
        <w:t xml:space="preserve"> </w:t>
      </w:r>
      <w:r w:rsidRPr="00CA2CC1">
        <w:rPr>
          <w:rFonts w:cs="Calibri"/>
          <w:color w:val="414042"/>
          <w:szCs w:val="22"/>
        </w:rPr>
        <w:t>30th</w:t>
      </w:r>
      <w:r w:rsidRPr="00CA2CC1">
        <w:rPr>
          <w:rFonts w:cs="Calibri"/>
          <w:color w:val="414042"/>
          <w:spacing w:val="-4"/>
          <w:szCs w:val="22"/>
        </w:rPr>
        <w:t xml:space="preserve"> </w:t>
      </w:r>
      <w:r w:rsidRPr="00CA2CC1">
        <w:rPr>
          <w:rFonts w:cs="Calibri"/>
          <w:color w:val="414042"/>
          <w:szCs w:val="22"/>
        </w:rPr>
        <w:t>Governor</w:t>
      </w:r>
      <w:r w:rsidRPr="00CA2CC1">
        <w:rPr>
          <w:rFonts w:cs="Calibri"/>
          <w:color w:val="414042"/>
          <w:spacing w:val="-4"/>
          <w:szCs w:val="22"/>
        </w:rPr>
        <w:t xml:space="preserve"> </w:t>
      </w:r>
      <w:r w:rsidRPr="00CA2CC1">
        <w:rPr>
          <w:rFonts w:cs="Calibri"/>
          <w:color w:val="414042"/>
          <w:szCs w:val="22"/>
        </w:rPr>
        <w:t>of</w:t>
      </w:r>
      <w:r w:rsidRPr="00CA2CC1">
        <w:rPr>
          <w:rFonts w:cs="Calibri"/>
          <w:color w:val="414042"/>
          <w:spacing w:val="-4"/>
          <w:szCs w:val="22"/>
        </w:rPr>
        <w:t xml:space="preserve"> </w:t>
      </w:r>
      <w:r w:rsidRPr="00CA2CC1">
        <w:rPr>
          <w:rFonts w:cs="Calibri"/>
          <w:color w:val="414042"/>
          <w:szCs w:val="22"/>
        </w:rPr>
        <w:t>Victoria</w:t>
      </w:r>
      <w:r w:rsidRPr="00CA2CC1">
        <w:rPr>
          <w:rFonts w:cs="Calibri"/>
          <w:color w:val="414042"/>
          <w:spacing w:val="-4"/>
          <w:szCs w:val="22"/>
        </w:rPr>
        <w:t xml:space="preserve"> </w:t>
      </w:r>
      <w:r w:rsidRPr="00CA2CC1">
        <w:rPr>
          <w:rFonts w:cs="Calibri"/>
          <w:color w:val="414042"/>
          <w:szCs w:val="22"/>
        </w:rPr>
        <w:t>in</w:t>
      </w:r>
      <w:r w:rsidRPr="00CA2CC1">
        <w:rPr>
          <w:rFonts w:cs="Calibri"/>
          <w:color w:val="414042"/>
          <w:spacing w:val="-4"/>
          <w:szCs w:val="22"/>
        </w:rPr>
        <w:t xml:space="preserve"> </w:t>
      </w:r>
      <w:r w:rsidRPr="00CA2CC1">
        <w:rPr>
          <w:rFonts w:cs="Calibri"/>
          <w:color w:val="414042"/>
          <w:szCs w:val="22"/>
        </w:rPr>
        <w:t>June</w:t>
      </w:r>
      <w:r w:rsidRPr="00CA2CC1">
        <w:rPr>
          <w:rFonts w:cs="Calibri"/>
          <w:color w:val="414042"/>
          <w:spacing w:val="-4"/>
          <w:szCs w:val="22"/>
        </w:rPr>
        <w:t xml:space="preserve"> </w:t>
      </w:r>
      <w:r w:rsidRPr="00CA2CC1">
        <w:rPr>
          <w:rFonts w:cs="Calibri"/>
          <w:color w:val="414042"/>
          <w:szCs w:val="22"/>
        </w:rPr>
        <w:t>2023.</w:t>
      </w:r>
    </w:p>
    <w:p w14:paraId="6BD4657A" w14:textId="6522DA3A" w:rsidR="00FA4226" w:rsidRPr="00CA2CC1" w:rsidRDefault="00000000" w:rsidP="0043303B">
      <w:pPr>
        <w:pStyle w:val="BodyText"/>
        <w:spacing w:before="106"/>
        <w:rPr>
          <w:rFonts w:cs="Calibri"/>
          <w:szCs w:val="22"/>
        </w:rPr>
      </w:pPr>
      <w:r w:rsidRPr="00CA2CC1">
        <w:rPr>
          <w:rFonts w:cs="Calibri"/>
          <w:color w:val="414042"/>
          <w:szCs w:val="22"/>
        </w:rPr>
        <w:t>We</w:t>
      </w:r>
      <w:r w:rsidRPr="00CA2CC1">
        <w:rPr>
          <w:rFonts w:cs="Calibri"/>
          <w:color w:val="414042"/>
          <w:spacing w:val="-1"/>
          <w:szCs w:val="22"/>
        </w:rPr>
        <w:t xml:space="preserve"> </w:t>
      </w:r>
      <w:r w:rsidRPr="00CA2CC1">
        <w:rPr>
          <w:rFonts w:cs="Calibri"/>
          <w:color w:val="414042"/>
          <w:szCs w:val="22"/>
        </w:rPr>
        <w:t>also</w:t>
      </w:r>
      <w:r w:rsidRPr="00CA2CC1">
        <w:rPr>
          <w:rFonts w:cs="Calibri"/>
          <w:color w:val="414042"/>
          <w:spacing w:val="-1"/>
          <w:szCs w:val="22"/>
        </w:rPr>
        <w:t xml:space="preserve"> </w:t>
      </w:r>
      <w:r w:rsidRPr="00CA2CC1">
        <w:rPr>
          <w:rFonts w:cs="Calibri"/>
          <w:color w:val="414042"/>
          <w:szCs w:val="22"/>
        </w:rPr>
        <w:t>thank David</w:t>
      </w:r>
      <w:r w:rsidRPr="00CA2CC1">
        <w:rPr>
          <w:rFonts w:cs="Calibri"/>
          <w:color w:val="414042"/>
          <w:spacing w:val="-1"/>
          <w:szCs w:val="22"/>
        </w:rPr>
        <w:t xml:space="preserve"> </w:t>
      </w:r>
      <w:r w:rsidRPr="00CA2CC1">
        <w:rPr>
          <w:rFonts w:cs="Calibri"/>
          <w:color w:val="414042"/>
          <w:szCs w:val="22"/>
        </w:rPr>
        <w:t>Martine and</w:t>
      </w:r>
      <w:r w:rsidRPr="00CA2CC1">
        <w:rPr>
          <w:rFonts w:cs="Calibri"/>
          <w:color w:val="414042"/>
          <w:spacing w:val="-1"/>
          <w:szCs w:val="22"/>
        </w:rPr>
        <w:t xml:space="preserve"> </w:t>
      </w:r>
      <w:r w:rsidRPr="00CA2CC1">
        <w:rPr>
          <w:rFonts w:cs="Calibri"/>
          <w:color w:val="414042"/>
          <w:szCs w:val="22"/>
        </w:rPr>
        <w:t xml:space="preserve">John </w:t>
      </w:r>
      <w:r w:rsidRPr="00CA2CC1">
        <w:rPr>
          <w:rFonts w:cs="Calibri"/>
          <w:color w:val="414042"/>
          <w:spacing w:val="-2"/>
          <w:szCs w:val="22"/>
        </w:rPr>
        <w:t>Bradley,</w:t>
      </w:r>
      <w:r w:rsidR="00DC086E" w:rsidRPr="00CA2CC1">
        <w:rPr>
          <w:rFonts w:cs="Calibri"/>
          <w:szCs w:val="22"/>
        </w:rPr>
        <w:t xml:space="preserve"> </w:t>
      </w:r>
      <w:r w:rsidRPr="00CA2CC1">
        <w:rPr>
          <w:rFonts w:cs="Calibri"/>
          <w:color w:val="414042"/>
          <w:szCs w:val="22"/>
        </w:rPr>
        <w:t>who</w:t>
      </w:r>
      <w:r w:rsidRPr="00CA2CC1">
        <w:rPr>
          <w:rFonts w:cs="Calibri"/>
          <w:color w:val="414042"/>
          <w:spacing w:val="-6"/>
          <w:szCs w:val="22"/>
        </w:rPr>
        <w:t xml:space="preserve"> </w:t>
      </w:r>
      <w:r w:rsidRPr="00CA2CC1">
        <w:rPr>
          <w:rFonts w:cs="Calibri"/>
          <w:color w:val="414042"/>
          <w:szCs w:val="22"/>
        </w:rPr>
        <w:t>have</w:t>
      </w:r>
      <w:r w:rsidRPr="00CA2CC1">
        <w:rPr>
          <w:rFonts w:cs="Calibri"/>
          <w:color w:val="414042"/>
          <w:spacing w:val="-6"/>
          <w:szCs w:val="22"/>
        </w:rPr>
        <w:t xml:space="preserve"> </w:t>
      </w:r>
      <w:r w:rsidRPr="00CA2CC1">
        <w:rPr>
          <w:rFonts w:cs="Calibri"/>
          <w:color w:val="414042"/>
          <w:szCs w:val="22"/>
        </w:rPr>
        <w:t>made</w:t>
      </w:r>
      <w:r w:rsidRPr="00CA2CC1">
        <w:rPr>
          <w:rFonts w:cs="Calibri"/>
          <w:color w:val="414042"/>
          <w:spacing w:val="-6"/>
          <w:szCs w:val="22"/>
        </w:rPr>
        <w:t xml:space="preserve"> </w:t>
      </w:r>
      <w:r w:rsidRPr="00CA2CC1">
        <w:rPr>
          <w:rFonts w:cs="Calibri"/>
          <w:color w:val="414042"/>
          <w:szCs w:val="22"/>
        </w:rPr>
        <w:t>important</w:t>
      </w:r>
      <w:r w:rsidRPr="00CA2CC1">
        <w:rPr>
          <w:rFonts w:cs="Calibri"/>
          <w:color w:val="414042"/>
          <w:spacing w:val="-6"/>
          <w:szCs w:val="22"/>
        </w:rPr>
        <w:t xml:space="preserve"> </w:t>
      </w:r>
      <w:r w:rsidRPr="00CA2CC1">
        <w:rPr>
          <w:rFonts w:cs="Calibri"/>
          <w:color w:val="414042"/>
          <w:szCs w:val="22"/>
        </w:rPr>
        <w:t>and</w:t>
      </w:r>
      <w:r w:rsidRPr="00CA2CC1">
        <w:rPr>
          <w:rFonts w:cs="Calibri"/>
          <w:color w:val="414042"/>
          <w:spacing w:val="-6"/>
          <w:szCs w:val="22"/>
        </w:rPr>
        <w:t xml:space="preserve"> </w:t>
      </w:r>
      <w:r w:rsidRPr="00CA2CC1">
        <w:rPr>
          <w:rFonts w:cs="Calibri"/>
          <w:color w:val="414042"/>
          <w:szCs w:val="22"/>
        </w:rPr>
        <w:t>extensive</w:t>
      </w:r>
      <w:r w:rsidRPr="00CA2CC1">
        <w:rPr>
          <w:rFonts w:cs="Calibri"/>
          <w:color w:val="414042"/>
          <w:spacing w:val="-6"/>
          <w:szCs w:val="22"/>
        </w:rPr>
        <w:t xml:space="preserve"> </w:t>
      </w:r>
      <w:r w:rsidRPr="00CA2CC1">
        <w:rPr>
          <w:rFonts w:cs="Calibri"/>
          <w:color w:val="414042"/>
          <w:szCs w:val="22"/>
        </w:rPr>
        <w:t>contributions to the board during their terms.</w:t>
      </w:r>
    </w:p>
    <w:p w14:paraId="37239BCA" w14:textId="648A8D0C" w:rsidR="00FA4226" w:rsidRPr="00CA2CC1" w:rsidRDefault="00000000" w:rsidP="0043303B">
      <w:pPr>
        <w:pStyle w:val="BodyText"/>
        <w:spacing w:before="118"/>
        <w:rPr>
          <w:rFonts w:cs="Calibri"/>
          <w:szCs w:val="22"/>
        </w:rPr>
      </w:pPr>
      <w:r w:rsidRPr="00CA2CC1">
        <w:rPr>
          <w:rFonts w:cs="Calibri"/>
          <w:color w:val="414042"/>
          <w:szCs w:val="22"/>
        </w:rPr>
        <w:t>John was Secretary of the Department of Environment, Land,</w:t>
      </w:r>
      <w:r w:rsidRPr="00CA2CC1">
        <w:rPr>
          <w:rFonts w:cs="Calibri"/>
          <w:color w:val="414042"/>
          <w:spacing w:val="-6"/>
          <w:szCs w:val="22"/>
        </w:rPr>
        <w:t xml:space="preserve"> </w:t>
      </w:r>
      <w:r w:rsidRPr="00CA2CC1">
        <w:rPr>
          <w:rFonts w:cs="Calibri"/>
          <w:color w:val="414042"/>
          <w:szCs w:val="22"/>
        </w:rPr>
        <w:t>Water</w:t>
      </w:r>
      <w:r w:rsidRPr="00CA2CC1">
        <w:rPr>
          <w:rFonts w:cs="Calibri"/>
          <w:color w:val="414042"/>
          <w:spacing w:val="-6"/>
          <w:szCs w:val="22"/>
        </w:rPr>
        <w:t xml:space="preserve"> </w:t>
      </w:r>
      <w:r w:rsidRPr="00CA2CC1">
        <w:rPr>
          <w:rFonts w:cs="Calibri"/>
          <w:color w:val="414042"/>
          <w:szCs w:val="22"/>
        </w:rPr>
        <w:t>and</w:t>
      </w:r>
      <w:r w:rsidRPr="00CA2CC1">
        <w:rPr>
          <w:rFonts w:cs="Calibri"/>
          <w:color w:val="414042"/>
          <w:spacing w:val="-6"/>
          <w:szCs w:val="22"/>
        </w:rPr>
        <w:t xml:space="preserve"> </w:t>
      </w:r>
      <w:r w:rsidRPr="00CA2CC1">
        <w:rPr>
          <w:rFonts w:cs="Calibri"/>
          <w:color w:val="414042"/>
          <w:szCs w:val="22"/>
        </w:rPr>
        <w:t>Planning</w:t>
      </w:r>
      <w:r w:rsidRPr="00CA2CC1">
        <w:rPr>
          <w:rFonts w:cs="Calibri"/>
          <w:color w:val="414042"/>
          <w:spacing w:val="-6"/>
          <w:szCs w:val="22"/>
        </w:rPr>
        <w:t xml:space="preserve"> </w:t>
      </w:r>
      <w:r w:rsidRPr="00CA2CC1">
        <w:rPr>
          <w:rFonts w:cs="Calibri"/>
          <w:color w:val="414042"/>
          <w:szCs w:val="22"/>
        </w:rPr>
        <w:t>(now</w:t>
      </w:r>
      <w:r w:rsidRPr="00CA2CC1">
        <w:rPr>
          <w:rFonts w:cs="Calibri"/>
          <w:color w:val="414042"/>
          <w:spacing w:val="-6"/>
          <w:szCs w:val="22"/>
        </w:rPr>
        <w:t xml:space="preserve"> </w:t>
      </w:r>
      <w:r w:rsidRPr="00CA2CC1">
        <w:rPr>
          <w:rFonts w:cs="Calibri"/>
          <w:color w:val="414042"/>
          <w:szCs w:val="22"/>
        </w:rPr>
        <w:t>Secretary</w:t>
      </w:r>
      <w:r w:rsidRPr="00CA2CC1">
        <w:rPr>
          <w:rFonts w:cs="Calibri"/>
          <w:color w:val="414042"/>
          <w:spacing w:val="-6"/>
          <w:szCs w:val="22"/>
        </w:rPr>
        <w:t xml:space="preserve"> </w:t>
      </w:r>
      <w:r w:rsidRPr="00CA2CC1">
        <w:rPr>
          <w:rFonts w:cs="Calibri"/>
          <w:color w:val="414042"/>
          <w:szCs w:val="22"/>
        </w:rPr>
        <w:t>of</w:t>
      </w:r>
      <w:r w:rsidRPr="00CA2CC1">
        <w:rPr>
          <w:rFonts w:cs="Calibri"/>
          <w:color w:val="414042"/>
          <w:spacing w:val="-6"/>
          <w:szCs w:val="22"/>
        </w:rPr>
        <w:t xml:space="preserve"> </w:t>
      </w:r>
      <w:r w:rsidRPr="00CA2CC1">
        <w:rPr>
          <w:rFonts w:cs="Calibri"/>
          <w:color w:val="414042"/>
          <w:szCs w:val="22"/>
        </w:rPr>
        <w:t>the</w:t>
      </w:r>
      <w:r w:rsidRPr="00CA2CC1">
        <w:rPr>
          <w:rFonts w:cs="Calibri"/>
          <w:color w:val="414042"/>
          <w:spacing w:val="-6"/>
          <w:szCs w:val="22"/>
        </w:rPr>
        <w:t xml:space="preserve"> </w:t>
      </w:r>
      <w:r w:rsidRPr="00CA2CC1">
        <w:rPr>
          <w:rFonts w:cs="Calibri"/>
          <w:color w:val="414042"/>
          <w:szCs w:val="22"/>
        </w:rPr>
        <w:t>Department of Energy, Environment and Climate Action) and served</w:t>
      </w:r>
      <w:r w:rsidR="00247E89" w:rsidRPr="00CA2CC1">
        <w:rPr>
          <w:rFonts w:cs="Calibri"/>
          <w:szCs w:val="22"/>
        </w:rPr>
        <w:t xml:space="preserve"> </w:t>
      </w:r>
      <w:r w:rsidRPr="00CA2CC1">
        <w:rPr>
          <w:rFonts w:cs="Calibri"/>
          <w:color w:val="414042"/>
          <w:szCs w:val="22"/>
        </w:rPr>
        <w:t>on the Infrastructure Victoria board from 2017 until a reorganisation</w:t>
      </w:r>
      <w:r w:rsidRPr="00CA2CC1">
        <w:rPr>
          <w:rFonts w:cs="Calibri"/>
          <w:color w:val="414042"/>
          <w:spacing w:val="-7"/>
          <w:szCs w:val="22"/>
        </w:rPr>
        <w:t xml:space="preserve"> </w:t>
      </w:r>
      <w:r w:rsidRPr="00CA2CC1">
        <w:rPr>
          <w:rFonts w:cs="Calibri"/>
          <w:color w:val="414042"/>
          <w:szCs w:val="22"/>
        </w:rPr>
        <w:t>of</w:t>
      </w:r>
      <w:r w:rsidRPr="00CA2CC1">
        <w:rPr>
          <w:rFonts w:cs="Calibri"/>
          <w:color w:val="414042"/>
          <w:spacing w:val="-7"/>
          <w:szCs w:val="22"/>
        </w:rPr>
        <w:t xml:space="preserve"> </w:t>
      </w:r>
      <w:r w:rsidRPr="00CA2CC1">
        <w:rPr>
          <w:rFonts w:cs="Calibri"/>
          <w:color w:val="414042"/>
          <w:szCs w:val="22"/>
        </w:rPr>
        <w:t>department</w:t>
      </w:r>
      <w:r w:rsidRPr="00CA2CC1">
        <w:rPr>
          <w:rFonts w:cs="Calibri"/>
          <w:color w:val="414042"/>
          <w:spacing w:val="-7"/>
          <w:szCs w:val="22"/>
        </w:rPr>
        <w:t xml:space="preserve"> </w:t>
      </w:r>
      <w:r w:rsidRPr="00CA2CC1">
        <w:rPr>
          <w:rFonts w:cs="Calibri"/>
          <w:color w:val="414042"/>
          <w:szCs w:val="22"/>
        </w:rPr>
        <w:t>responsibilities</w:t>
      </w:r>
      <w:r w:rsidRPr="00CA2CC1">
        <w:rPr>
          <w:rFonts w:cs="Calibri"/>
          <w:color w:val="414042"/>
          <w:spacing w:val="-7"/>
          <w:szCs w:val="22"/>
        </w:rPr>
        <w:t xml:space="preserve"> </w:t>
      </w:r>
      <w:r w:rsidRPr="00CA2CC1">
        <w:rPr>
          <w:rFonts w:cs="Calibri"/>
          <w:color w:val="414042"/>
          <w:szCs w:val="22"/>
        </w:rPr>
        <w:t>in</w:t>
      </w:r>
      <w:r w:rsidRPr="00CA2CC1">
        <w:rPr>
          <w:rFonts w:cs="Calibri"/>
          <w:color w:val="414042"/>
          <w:spacing w:val="-7"/>
          <w:szCs w:val="22"/>
        </w:rPr>
        <w:t xml:space="preserve"> </w:t>
      </w:r>
      <w:r w:rsidRPr="00CA2CC1">
        <w:rPr>
          <w:rFonts w:cs="Calibri"/>
          <w:color w:val="414042"/>
          <w:szCs w:val="22"/>
        </w:rPr>
        <w:t>2023.</w:t>
      </w:r>
      <w:r w:rsidRPr="00CA2CC1">
        <w:rPr>
          <w:rFonts w:cs="Calibri"/>
          <w:color w:val="414042"/>
          <w:spacing w:val="-7"/>
          <w:szCs w:val="22"/>
        </w:rPr>
        <w:t xml:space="preserve"> </w:t>
      </w:r>
      <w:r w:rsidRPr="00CA2CC1">
        <w:rPr>
          <w:rFonts w:cs="Calibri"/>
          <w:color w:val="414042"/>
          <w:szCs w:val="22"/>
        </w:rPr>
        <w:t>During the year, we welcomed the secretary of the newly formed Department of Transport and Planning, Paul Younis, to</w:t>
      </w:r>
      <w:r w:rsidR="00DC086E" w:rsidRPr="00CA2CC1">
        <w:rPr>
          <w:rFonts w:cs="Calibri"/>
          <w:color w:val="414042"/>
          <w:szCs w:val="22"/>
        </w:rPr>
        <w:t xml:space="preserve"> </w:t>
      </w:r>
      <w:r w:rsidRPr="00CA2CC1">
        <w:rPr>
          <w:rFonts w:cs="Calibri"/>
          <w:color w:val="414042"/>
          <w:szCs w:val="22"/>
        </w:rPr>
        <w:t xml:space="preserve">our </w:t>
      </w:r>
      <w:r w:rsidRPr="00CA2CC1">
        <w:rPr>
          <w:rFonts w:cs="Calibri"/>
          <w:color w:val="414042"/>
          <w:spacing w:val="-2"/>
          <w:szCs w:val="22"/>
        </w:rPr>
        <w:t>board.</w:t>
      </w:r>
    </w:p>
    <w:p w14:paraId="6C1C527F" w14:textId="77777777" w:rsidR="00FA4226" w:rsidRPr="00CA2CC1" w:rsidRDefault="00000000" w:rsidP="0043303B">
      <w:pPr>
        <w:pStyle w:val="BodyText"/>
        <w:spacing w:before="114"/>
        <w:rPr>
          <w:rFonts w:cs="Calibri"/>
          <w:szCs w:val="22"/>
        </w:rPr>
      </w:pPr>
      <w:r w:rsidRPr="00CA2CC1">
        <w:rPr>
          <w:rFonts w:cs="Calibri"/>
          <w:color w:val="414042"/>
          <w:szCs w:val="22"/>
        </w:rPr>
        <w:t>David is Secretary of the Department of Treasury and Finance and has served on our board since the formation of Infrastructure Victoria. Mr Martine recently announced</w:t>
      </w:r>
      <w:r w:rsidRPr="00CA2CC1">
        <w:rPr>
          <w:rFonts w:cs="Calibri"/>
          <w:color w:val="414042"/>
          <w:spacing w:val="40"/>
          <w:szCs w:val="22"/>
        </w:rPr>
        <w:t xml:space="preserve"> </w:t>
      </w:r>
      <w:r w:rsidRPr="00CA2CC1">
        <w:rPr>
          <w:rFonts w:cs="Calibri"/>
          <w:color w:val="414042"/>
          <w:szCs w:val="22"/>
        </w:rPr>
        <w:t>he</w:t>
      </w:r>
      <w:r w:rsidRPr="00CA2CC1">
        <w:rPr>
          <w:rFonts w:cs="Calibri"/>
          <w:color w:val="414042"/>
          <w:spacing w:val="-4"/>
          <w:szCs w:val="22"/>
        </w:rPr>
        <w:t xml:space="preserve"> </w:t>
      </w:r>
      <w:r w:rsidRPr="00CA2CC1">
        <w:rPr>
          <w:rFonts w:cs="Calibri"/>
          <w:color w:val="414042"/>
          <w:szCs w:val="22"/>
        </w:rPr>
        <w:t>will</w:t>
      </w:r>
      <w:r w:rsidRPr="00CA2CC1">
        <w:rPr>
          <w:rFonts w:cs="Calibri"/>
          <w:color w:val="414042"/>
          <w:spacing w:val="-4"/>
          <w:szCs w:val="22"/>
        </w:rPr>
        <w:t xml:space="preserve"> </w:t>
      </w:r>
      <w:r w:rsidRPr="00CA2CC1">
        <w:rPr>
          <w:rFonts w:cs="Calibri"/>
          <w:color w:val="414042"/>
          <w:szCs w:val="22"/>
        </w:rPr>
        <w:t>step</w:t>
      </w:r>
      <w:r w:rsidRPr="00CA2CC1">
        <w:rPr>
          <w:rFonts w:cs="Calibri"/>
          <w:color w:val="414042"/>
          <w:spacing w:val="-4"/>
          <w:szCs w:val="22"/>
        </w:rPr>
        <w:t xml:space="preserve"> </w:t>
      </w:r>
      <w:r w:rsidRPr="00CA2CC1">
        <w:rPr>
          <w:rFonts w:cs="Calibri"/>
          <w:color w:val="414042"/>
          <w:szCs w:val="22"/>
        </w:rPr>
        <w:t>down</w:t>
      </w:r>
      <w:r w:rsidRPr="00CA2CC1">
        <w:rPr>
          <w:rFonts w:cs="Calibri"/>
          <w:color w:val="414042"/>
          <w:spacing w:val="-4"/>
          <w:szCs w:val="22"/>
        </w:rPr>
        <w:t xml:space="preserve"> </w:t>
      </w:r>
      <w:r w:rsidRPr="00CA2CC1">
        <w:rPr>
          <w:rFonts w:cs="Calibri"/>
          <w:color w:val="414042"/>
          <w:szCs w:val="22"/>
        </w:rPr>
        <w:t>as</w:t>
      </w:r>
      <w:r w:rsidRPr="00CA2CC1">
        <w:rPr>
          <w:rFonts w:cs="Calibri"/>
          <w:color w:val="414042"/>
          <w:spacing w:val="-4"/>
          <w:szCs w:val="22"/>
        </w:rPr>
        <w:t xml:space="preserve"> </w:t>
      </w:r>
      <w:r w:rsidRPr="00CA2CC1">
        <w:rPr>
          <w:rFonts w:cs="Calibri"/>
          <w:color w:val="414042"/>
          <w:szCs w:val="22"/>
        </w:rPr>
        <w:t>Secretary</w:t>
      </w:r>
      <w:r w:rsidRPr="00CA2CC1">
        <w:rPr>
          <w:rFonts w:cs="Calibri"/>
          <w:color w:val="414042"/>
          <w:spacing w:val="-4"/>
          <w:szCs w:val="22"/>
        </w:rPr>
        <w:t xml:space="preserve"> </w:t>
      </w:r>
      <w:r w:rsidRPr="00CA2CC1">
        <w:rPr>
          <w:rFonts w:cs="Calibri"/>
          <w:color w:val="414042"/>
          <w:szCs w:val="22"/>
        </w:rPr>
        <w:t>in</w:t>
      </w:r>
      <w:r w:rsidRPr="00CA2CC1">
        <w:rPr>
          <w:rFonts w:cs="Calibri"/>
          <w:color w:val="414042"/>
          <w:spacing w:val="-4"/>
          <w:szCs w:val="22"/>
        </w:rPr>
        <w:t xml:space="preserve"> </w:t>
      </w:r>
      <w:r w:rsidRPr="00CA2CC1">
        <w:rPr>
          <w:rFonts w:cs="Calibri"/>
          <w:color w:val="414042"/>
          <w:szCs w:val="22"/>
        </w:rPr>
        <w:t>December</w:t>
      </w:r>
      <w:r w:rsidRPr="00CA2CC1">
        <w:rPr>
          <w:rFonts w:cs="Calibri"/>
          <w:color w:val="414042"/>
          <w:spacing w:val="-4"/>
          <w:szCs w:val="22"/>
        </w:rPr>
        <w:t xml:space="preserve"> </w:t>
      </w:r>
      <w:r w:rsidRPr="00CA2CC1">
        <w:rPr>
          <w:rFonts w:cs="Calibri"/>
          <w:color w:val="414042"/>
          <w:szCs w:val="22"/>
        </w:rPr>
        <w:t>2023.</w:t>
      </w:r>
      <w:r w:rsidRPr="00CA2CC1">
        <w:rPr>
          <w:rFonts w:cs="Calibri"/>
          <w:color w:val="414042"/>
          <w:spacing w:val="-4"/>
          <w:szCs w:val="22"/>
        </w:rPr>
        <w:t xml:space="preserve"> </w:t>
      </w:r>
      <w:r w:rsidRPr="00CA2CC1">
        <w:rPr>
          <w:rFonts w:cs="Calibri"/>
          <w:color w:val="414042"/>
          <w:szCs w:val="22"/>
        </w:rPr>
        <w:t>We</w:t>
      </w:r>
      <w:r w:rsidRPr="00CA2CC1">
        <w:rPr>
          <w:rFonts w:cs="Calibri"/>
          <w:color w:val="414042"/>
          <w:spacing w:val="-4"/>
          <w:szCs w:val="22"/>
        </w:rPr>
        <w:t xml:space="preserve"> </w:t>
      </w:r>
      <w:r w:rsidRPr="00CA2CC1">
        <w:rPr>
          <w:rFonts w:cs="Calibri"/>
          <w:color w:val="414042"/>
          <w:szCs w:val="22"/>
        </w:rPr>
        <w:t>look forward</w:t>
      </w:r>
      <w:r w:rsidRPr="00CA2CC1">
        <w:rPr>
          <w:rFonts w:cs="Calibri"/>
          <w:color w:val="414042"/>
          <w:spacing w:val="-2"/>
          <w:szCs w:val="22"/>
        </w:rPr>
        <w:t xml:space="preserve"> </w:t>
      </w:r>
      <w:r w:rsidRPr="00CA2CC1">
        <w:rPr>
          <w:rFonts w:cs="Calibri"/>
          <w:color w:val="414042"/>
          <w:szCs w:val="22"/>
        </w:rPr>
        <w:t>to</w:t>
      </w:r>
      <w:r w:rsidRPr="00CA2CC1">
        <w:rPr>
          <w:rFonts w:cs="Calibri"/>
          <w:color w:val="414042"/>
          <w:spacing w:val="-2"/>
          <w:szCs w:val="22"/>
        </w:rPr>
        <w:t xml:space="preserve"> </w:t>
      </w:r>
      <w:r w:rsidRPr="00CA2CC1">
        <w:rPr>
          <w:rFonts w:cs="Calibri"/>
          <w:color w:val="414042"/>
          <w:szCs w:val="22"/>
        </w:rPr>
        <w:t>welcoming</w:t>
      </w:r>
      <w:r w:rsidRPr="00CA2CC1">
        <w:rPr>
          <w:rFonts w:cs="Calibri"/>
          <w:color w:val="414042"/>
          <w:spacing w:val="-2"/>
          <w:szCs w:val="22"/>
        </w:rPr>
        <w:t xml:space="preserve"> </w:t>
      </w:r>
      <w:r w:rsidRPr="00CA2CC1">
        <w:rPr>
          <w:rFonts w:cs="Calibri"/>
          <w:color w:val="414042"/>
          <w:szCs w:val="22"/>
        </w:rPr>
        <w:t>the</w:t>
      </w:r>
      <w:r w:rsidRPr="00CA2CC1">
        <w:rPr>
          <w:rFonts w:cs="Calibri"/>
          <w:color w:val="414042"/>
          <w:spacing w:val="-2"/>
          <w:szCs w:val="22"/>
        </w:rPr>
        <w:t xml:space="preserve"> </w:t>
      </w:r>
      <w:r w:rsidRPr="00CA2CC1">
        <w:rPr>
          <w:rFonts w:cs="Calibri"/>
          <w:color w:val="414042"/>
          <w:szCs w:val="22"/>
        </w:rPr>
        <w:t>new</w:t>
      </w:r>
      <w:r w:rsidRPr="00CA2CC1">
        <w:rPr>
          <w:rFonts w:cs="Calibri"/>
          <w:color w:val="414042"/>
          <w:spacing w:val="-2"/>
          <w:szCs w:val="22"/>
        </w:rPr>
        <w:t xml:space="preserve"> </w:t>
      </w:r>
      <w:r w:rsidRPr="00CA2CC1">
        <w:rPr>
          <w:rFonts w:cs="Calibri"/>
          <w:color w:val="414042"/>
          <w:szCs w:val="22"/>
        </w:rPr>
        <w:t>department</w:t>
      </w:r>
      <w:r w:rsidRPr="00CA2CC1">
        <w:rPr>
          <w:rFonts w:cs="Calibri"/>
          <w:color w:val="414042"/>
          <w:spacing w:val="-2"/>
          <w:szCs w:val="22"/>
        </w:rPr>
        <w:t xml:space="preserve"> </w:t>
      </w:r>
      <w:r w:rsidRPr="00CA2CC1">
        <w:rPr>
          <w:rFonts w:cs="Calibri"/>
          <w:color w:val="414042"/>
          <w:szCs w:val="22"/>
        </w:rPr>
        <w:t>secretary,</w:t>
      </w:r>
      <w:r w:rsidRPr="00CA2CC1">
        <w:rPr>
          <w:rFonts w:cs="Calibri"/>
          <w:color w:val="414042"/>
          <w:spacing w:val="-2"/>
          <w:szCs w:val="22"/>
        </w:rPr>
        <w:t xml:space="preserve"> </w:t>
      </w:r>
      <w:r w:rsidRPr="00CA2CC1">
        <w:rPr>
          <w:rFonts w:cs="Calibri"/>
          <w:color w:val="414042"/>
          <w:szCs w:val="22"/>
        </w:rPr>
        <w:t>Chris Barrett, to the Infrastructure Victoria board.</w:t>
      </w:r>
    </w:p>
    <w:p w14:paraId="1595C23B" w14:textId="77777777" w:rsidR="00FA4226" w:rsidRPr="00CA2CC1" w:rsidRDefault="00000000" w:rsidP="0043303B">
      <w:pPr>
        <w:pStyle w:val="BodyText"/>
        <w:spacing w:before="113"/>
        <w:rPr>
          <w:rFonts w:cs="Calibri"/>
          <w:szCs w:val="22"/>
        </w:rPr>
      </w:pPr>
      <w:r w:rsidRPr="00CA2CC1">
        <w:rPr>
          <w:rFonts w:cs="Calibri"/>
          <w:color w:val="414042"/>
          <w:szCs w:val="22"/>
        </w:rPr>
        <w:t>We</w:t>
      </w:r>
      <w:r w:rsidRPr="00CA2CC1">
        <w:rPr>
          <w:rFonts w:cs="Calibri"/>
          <w:color w:val="414042"/>
          <w:spacing w:val="-3"/>
          <w:szCs w:val="22"/>
        </w:rPr>
        <w:t xml:space="preserve"> </w:t>
      </w:r>
      <w:r w:rsidRPr="00CA2CC1">
        <w:rPr>
          <w:rFonts w:cs="Calibri"/>
          <w:color w:val="414042"/>
          <w:szCs w:val="22"/>
        </w:rPr>
        <w:t>also</w:t>
      </w:r>
      <w:r w:rsidRPr="00CA2CC1">
        <w:rPr>
          <w:rFonts w:cs="Calibri"/>
          <w:color w:val="414042"/>
          <w:spacing w:val="-3"/>
          <w:szCs w:val="22"/>
        </w:rPr>
        <w:t xml:space="preserve"> </w:t>
      </w:r>
      <w:r w:rsidRPr="00CA2CC1">
        <w:rPr>
          <w:rFonts w:cs="Calibri"/>
          <w:color w:val="414042"/>
          <w:szCs w:val="22"/>
        </w:rPr>
        <w:t>welcomed</w:t>
      </w:r>
      <w:r w:rsidRPr="00CA2CC1">
        <w:rPr>
          <w:rFonts w:cs="Calibri"/>
          <w:color w:val="414042"/>
          <w:spacing w:val="-3"/>
          <w:szCs w:val="22"/>
        </w:rPr>
        <w:t xml:space="preserve"> </w:t>
      </w:r>
      <w:r w:rsidRPr="00CA2CC1">
        <w:rPr>
          <w:rFonts w:cs="Calibri"/>
          <w:color w:val="414042"/>
          <w:szCs w:val="22"/>
        </w:rPr>
        <w:t>the</w:t>
      </w:r>
      <w:r w:rsidRPr="00CA2CC1">
        <w:rPr>
          <w:rFonts w:cs="Calibri"/>
          <w:color w:val="414042"/>
          <w:spacing w:val="-3"/>
          <w:szCs w:val="22"/>
        </w:rPr>
        <w:t xml:space="preserve"> </w:t>
      </w:r>
      <w:r w:rsidRPr="00CA2CC1">
        <w:rPr>
          <w:rFonts w:cs="Calibri"/>
          <w:color w:val="414042"/>
          <w:szCs w:val="22"/>
        </w:rPr>
        <w:t>appointment</w:t>
      </w:r>
      <w:r w:rsidRPr="00CA2CC1">
        <w:rPr>
          <w:rFonts w:cs="Calibri"/>
          <w:color w:val="414042"/>
          <w:spacing w:val="-3"/>
          <w:szCs w:val="22"/>
        </w:rPr>
        <w:t xml:space="preserve"> </w:t>
      </w:r>
      <w:r w:rsidRPr="00CA2CC1">
        <w:rPr>
          <w:rFonts w:cs="Calibri"/>
          <w:color w:val="414042"/>
          <w:szCs w:val="22"/>
        </w:rPr>
        <w:t>of</w:t>
      </w:r>
      <w:r w:rsidRPr="00CA2CC1">
        <w:rPr>
          <w:rFonts w:cs="Calibri"/>
          <w:color w:val="414042"/>
          <w:spacing w:val="-3"/>
          <w:szCs w:val="22"/>
        </w:rPr>
        <w:t xml:space="preserve"> </w:t>
      </w:r>
      <w:r w:rsidRPr="00CA2CC1">
        <w:rPr>
          <w:rFonts w:cs="Calibri"/>
          <w:color w:val="414042"/>
          <w:szCs w:val="22"/>
        </w:rPr>
        <w:t>Rebecca</w:t>
      </w:r>
      <w:r w:rsidRPr="00CA2CC1">
        <w:rPr>
          <w:rFonts w:cs="Calibri"/>
          <w:color w:val="414042"/>
          <w:spacing w:val="-3"/>
          <w:szCs w:val="22"/>
        </w:rPr>
        <w:t xml:space="preserve"> </w:t>
      </w:r>
      <w:r w:rsidRPr="00CA2CC1">
        <w:rPr>
          <w:rFonts w:cs="Calibri"/>
          <w:color w:val="414042"/>
          <w:szCs w:val="22"/>
        </w:rPr>
        <w:t>Casson as an independent director to our board in June 2023. Rebecca brings extensive relevant experience to Infrastructure</w:t>
      </w:r>
      <w:r w:rsidRPr="00CA2CC1">
        <w:rPr>
          <w:rFonts w:cs="Calibri"/>
          <w:color w:val="414042"/>
          <w:spacing w:val="-6"/>
          <w:szCs w:val="22"/>
        </w:rPr>
        <w:t xml:space="preserve"> </w:t>
      </w:r>
      <w:r w:rsidRPr="00CA2CC1">
        <w:rPr>
          <w:rFonts w:cs="Calibri"/>
          <w:color w:val="414042"/>
          <w:szCs w:val="22"/>
        </w:rPr>
        <w:t>Victoria,</w:t>
      </w:r>
      <w:r w:rsidRPr="00CA2CC1">
        <w:rPr>
          <w:rFonts w:cs="Calibri"/>
          <w:color w:val="414042"/>
          <w:spacing w:val="-6"/>
          <w:szCs w:val="22"/>
        </w:rPr>
        <w:t xml:space="preserve"> </w:t>
      </w:r>
      <w:r w:rsidRPr="00CA2CC1">
        <w:rPr>
          <w:rFonts w:cs="Calibri"/>
          <w:color w:val="414042"/>
          <w:szCs w:val="22"/>
        </w:rPr>
        <w:t>including</w:t>
      </w:r>
      <w:r w:rsidRPr="00CA2CC1">
        <w:rPr>
          <w:rFonts w:cs="Calibri"/>
          <w:color w:val="414042"/>
          <w:spacing w:val="-6"/>
          <w:szCs w:val="22"/>
        </w:rPr>
        <w:t xml:space="preserve"> </w:t>
      </w:r>
      <w:r w:rsidRPr="00CA2CC1">
        <w:rPr>
          <w:rFonts w:cs="Calibri"/>
          <w:color w:val="414042"/>
          <w:szCs w:val="22"/>
        </w:rPr>
        <w:t>previous</w:t>
      </w:r>
      <w:r w:rsidRPr="00CA2CC1">
        <w:rPr>
          <w:rFonts w:cs="Calibri"/>
          <w:color w:val="414042"/>
          <w:spacing w:val="-6"/>
          <w:szCs w:val="22"/>
        </w:rPr>
        <w:t xml:space="preserve"> </w:t>
      </w:r>
      <w:r w:rsidRPr="00CA2CC1">
        <w:rPr>
          <w:rFonts w:cs="Calibri"/>
          <w:color w:val="414042"/>
          <w:szCs w:val="22"/>
        </w:rPr>
        <w:t>roles</w:t>
      </w:r>
      <w:r w:rsidRPr="00CA2CC1">
        <w:rPr>
          <w:rFonts w:cs="Calibri"/>
          <w:color w:val="414042"/>
          <w:spacing w:val="-6"/>
          <w:szCs w:val="22"/>
        </w:rPr>
        <w:t xml:space="preserve"> </w:t>
      </w:r>
      <w:r w:rsidRPr="00CA2CC1">
        <w:rPr>
          <w:rFonts w:cs="Calibri"/>
          <w:color w:val="414042"/>
          <w:szCs w:val="22"/>
        </w:rPr>
        <w:t>as</w:t>
      </w:r>
      <w:r w:rsidRPr="00CA2CC1">
        <w:rPr>
          <w:rFonts w:cs="Calibri"/>
          <w:color w:val="414042"/>
          <w:spacing w:val="-6"/>
          <w:szCs w:val="22"/>
        </w:rPr>
        <w:t xml:space="preserve"> </w:t>
      </w:r>
      <w:r w:rsidRPr="00CA2CC1">
        <w:rPr>
          <w:rFonts w:cs="Calibri"/>
          <w:color w:val="414042"/>
          <w:szCs w:val="22"/>
        </w:rPr>
        <w:t>CEO</w:t>
      </w:r>
      <w:r w:rsidRPr="00CA2CC1">
        <w:rPr>
          <w:rFonts w:cs="Calibri"/>
          <w:color w:val="414042"/>
          <w:spacing w:val="-6"/>
          <w:szCs w:val="22"/>
        </w:rPr>
        <w:t xml:space="preserve"> </w:t>
      </w:r>
      <w:r w:rsidRPr="00CA2CC1">
        <w:rPr>
          <w:rFonts w:cs="Calibri"/>
          <w:color w:val="414042"/>
          <w:szCs w:val="22"/>
        </w:rPr>
        <w:t>of Master Builders Victoria and the Committee for</w:t>
      </w:r>
      <w:r w:rsidRPr="00CA2CC1">
        <w:rPr>
          <w:rFonts w:cs="Calibri"/>
          <w:color w:val="414042"/>
          <w:spacing w:val="1"/>
          <w:szCs w:val="22"/>
        </w:rPr>
        <w:t xml:space="preserve"> </w:t>
      </w:r>
      <w:r w:rsidRPr="00CA2CC1">
        <w:rPr>
          <w:rFonts w:cs="Calibri"/>
          <w:color w:val="414042"/>
          <w:spacing w:val="-2"/>
          <w:szCs w:val="22"/>
        </w:rPr>
        <w:t>Geelong.</w:t>
      </w:r>
    </w:p>
    <w:p w14:paraId="2D492115" w14:textId="77777777" w:rsidR="00FA4226" w:rsidRPr="00CA2CC1" w:rsidRDefault="00000000" w:rsidP="0043303B">
      <w:pPr>
        <w:pStyle w:val="BodyText"/>
        <w:spacing w:before="115"/>
        <w:rPr>
          <w:rFonts w:cs="Calibri"/>
          <w:szCs w:val="22"/>
        </w:rPr>
      </w:pPr>
      <w:r w:rsidRPr="00CA2CC1">
        <w:rPr>
          <w:rFonts w:cs="Calibri"/>
          <w:color w:val="414042"/>
          <w:szCs w:val="22"/>
        </w:rPr>
        <w:t>The</w:t>
      </w:r>
      <w:r w:rsidRPr="00CA2CC1">
        <w:rPr>
          <w:rFonts w:cs="Calibri"/>
          <w:color w:val="414042"/>
          <w:spacing w:val="-5"/>
          <w:szCs w:val="22"/>
        </w:rPr>
        <w:t xml:space="preserve"> </w:t>
      </w:r>
      <w:r w:rsidRPr="00CA2CC1">
        <w:rPr>
          <w:rFonts w:cs="Calibri"/>
          <w:color w:val="414042"/>
          <w:szCs w:val="22"/>
        </w:rPr>
        <w:t>past</w:t>
      </w:r>
      <w:r w:rsidRPr="00CA2CC1">
        <w:rPr>
          <w:rFonts w:cs="Calibri"/>
          <w:color w:val="414042"/>
          <w:spacing w:val="-5"/>
          <w:szCs w:val="22"/>
        </w:rPr>
        <w:t xml:space="preserve"> </w:t>
      </w:r>
      <w:r w:rsidRPr="00CA2CC1">
        <w:rPr>
          <w:rFonts w:cs="Calibri"/>
          <w:color w:val="414042"/>
          <w:szCs w:val="22"/>
        </w:rPr>
        <w:t>12</w:t>
      </w:r>
      <w:r w:rsidRPr="00CA2CC1">
        <w:rPr>
          <w:rFonts w:cs="Calibri"/>
          <w:color w:val="414042"/>
          <w:spacing w:val="-5"/>
          <w:szCs w:val="22"/>
        </w:rPr>
        <w:t xml:space="preserve"> </w:t>
      </w:r>
      <w:r w:rsidRPr="00CA2CC1">
        <w:rPr>
          <w:rFonts w:cs="Calibri"/>
          <w:color w:val="414042"/>
          <w:szCs w:val="22"/>
        </w:rPr>
        <w:t>months</w:t>
      </w:r>
      <w:r w:rsidRPr="00CA2CC1">
        <w:rPr>
          <w:rFonts w:cs="Calibri"/>
          <w:color w:val="414042"/>
          <w:spacing w:val="-5"/>
          <w:szCs w:val="22"/>
        </w:rPr>
        <w:t xml:space="preserve"> </w:t>
      </w:r>
      <w:r w:rsidRPr="00CA2CC1">
        <w:rPr>
          <w:rFonts w:cs="Calibri"/>
          <w:color w:val="414042"/>
          <w:szCs w:val="22"/>
        </w:rPr>
        <w:t>reflect</w:t>
      </w:r>
      <w:r w:rsidRPr="00CA2CC1">
        <w:rPr>
          <w:rFonts w:cs="Calibri"/>
          <w:color w:val="414042"/>
          <w:spacing w:val="-5"/>
          <w:szCs w:val="22"/>
        </w:rPr>
        <w:t xml:space="preserve"> </w:t>
      </w:r>
      <w:r w:rsidRPr="00CA2CC1">
        <w:rPr>
          <w:rFonts w:cs="Calibri"/>
          <w:color w:val="414042"/>
          <w:szCs w:val="22"/>
        </w:rPr>
        <w:t>the</w:t>
      </w:r>
      <w:r w:rsidRPr="00CA2CC1">
        <w:rPr>
          <w:rFonts w:cs="Calibri"/>
          <w:color w:val="414042"/>
          <w:spacing w:val="-5"/>
          <w:szCs w:val="22"/>
        </w:rPr>
        <w:t xml:space="preserve"> </w:t>
      </w:r>
      <w:r w:rsidRPr="00CA2CC1">
        <w:rPr>
          <w:rFonts w:cs="Calibri"/>
          <w:color w:val="414042"/>
          <w:szCs w:val="22"/>
        </w:rPr>
        <w:t>increasing</w:t>
      </w:r>
      <w:r w:rsidRPr="00CA2CC1">
        <w:rPr>
          <w:rFonts w:cs="Calibri"/>
          <w:color w:val="414042"/>
          <w:spacing w:val="-5"/>
          <w:szCs w:val="22"/>
        </w:rPr>
        <w:t xml:space="preserve"> </w:t>
      </w:r>
      <w:r w:rsidRPr="00CA2CC1">
        <w:rPr>
          <w:rFonts w:cs="Calibri"/>
          <w:color w:val="414042"/>
          <w:szCs w:val="22"/>
        </w:rPr>
        <w:t>trust</w:t>
      </w:r>
      <w:r w:rsidRPr="00CA2CC1">
        <w:rPr>
          <w:rFonts w:cs="Calibri"/>
          <w:color w:val="414042"/>
          <w:spacing w:val="-5"/>
          <w:szCs w:val="22"/>
        </w:rPr>
        <w:t xml:space="preserve"> </w:t>
      </w:r>
      <w:r w:rsidRPr="00CA2CC1">
        <w:rPr>
          <w:rFonts w:cs="Calibri"/>
          <w:color w:val="414042"/>
          <w:szCs w:val="22"/>
        </w:rPr>
        <w:t>and</w:t>
      </w:r>
      <w:r w:rsidRPr="00CA2CC1">
        <w:rPr>
          <w:rFonts w:cs="Calibri"/>
          <w:color w:val="414042"/>
          <w:spacing w:val="-5"/>
          <w:szCs w:val="22"/>
        </w:rPr>
        <w:t xml:space="preserve"> </w:t>
      </w:r>
      <w:r w:rsidRPr="00CA2CC1">
        <w:rPr>
          <w:rFonts w:cs="Calibri"/>
          <w:color w:val="414042"/>
          <w:szCs w:val="22"/>
        </w:rPr>
        <w:t>respect in Infrastructure Victoria’s research, advice and advocacy.</w:t>
      </w:r>
    </w:p>
    <w:p w14:paraId="6986FFB0" w14:textId="77777777" w:rsidR="00FA4226" w:rsidRPr="00CA2CC1" w:rsidRDefault="00000000" w:rsidP="0043303B">
      <w:pPr>
        <w:pStyle w:val="BodyText"/>
        <w:rPr>
          <w:rFonts w:cs="Calibri"/>
          <w:szCs w:val="22"/>
        </w:rPr>
      </w:pPr>
      <w:r w:rsidRPr="00CA2CC1">
        <w:rPr>
          <w:rFonts w:cs="Calibri"/>
          <w:color w:val="414042"/>
          <w:szCs w:val="22"/>
        </w:rPr>
        <w:t>We</w:t>
      </w:r>
      <w:r w:rsidRPr="00CA2CC1">
        <w:rPr>
          <w:rFonts w:cs="Calibri"/>
          <w:color w:val="414042"/>
          <w:spacing w:val="-5"/>
          <w:szCs w:val="22"/>
        </w:rPr>
        <w:t xml:space="preserve"> </w:t>
      </w:r>
      <w:r w:rsidRPr="00CA2CC1">
        <w:rPr>
          <w:rFonts w:cs="Calibri"/>
          <w:color w:val="414042"/>
          <w:szCs w:val="22"/>
        </w:rPr>
        <w:t>look</w:t>
      </w:r>
      <w:r w:rsidRPr="00CA2CC1">
        <w:rPr>
          <w:rFonts w:cs="Calibri"/>
          <w:color w:val="414042"/>
          <w:spacing w:val="-5"/>
          <w:szCs w:val="22"/>
        </w:rPr>
        <w:t xml:space="preserve"> </w:t>
      </w:r>
      <w:r w:rsidRPr="00CA2CC1">
        <w:rPr>
          <w:rFonts w:cs="Calibri"/>
          <w:color w:val="414042"/>
          <w:szCs w:val="22"/>
        </w:rPr>
        <w:t>forward</w:t>
      </w:r>
      <w:r w:rsidRPr="00CA2CC1">
        <w:rPr>
          <w:rFonts w:cs="Calibri"/>
          <w:color w:val="414042"/>
          <w:spacing w:val="-5"/>
          <w:szCs w:val="22"/>
        </w:rPr>
        <w:t xml:space="preserve"> </w:t>
      </w:r>
      <w:r w:rsidRPr="00CA2CC1">
        <w:rPr>
          <w:rFonts w:cs="Calibri"/>
          <w:color w:val="414042"/>
          <w:szCs w:val="22"/>
        </w:rPr>
        <w:t>to</w:t>
      </w:r>
      <w:r w:rsidRPr="00CA2CC1">
        <w:rPr>
          <w:rFonts w:cs="Calibri"/>
          <w:color w:val="414042"/>
          <w:spacing w:val="-5"/>
          <w:szCs w:val="22"/>
        </w:rPr>
        <w:t xml:space="preserve"> </w:t>
      </w:r>
      <w:r w:rsidRPr="00CA2CC1">
        <w:rPr>
          <w:rFonts w:cs="Calibri"/>
          <w:color w:val="414042"/>
          <w:szCs w:val="22"/>
        </w:rPr>
        <w:t>continue</w:t>
      </w:r>
      <w:r w:rsidRPr="00CA2CC1">
        <w:rPr>
          <w:rFonts w:cs="Calibri"/>
          <w:color w:val="414042"/>
          <w:spacing w:val="-5"/>
          <w:szCs w:val="22"/>
        </w:rPr>
        <w:t xml:space="preserve"> </w:t>
      </w:r>
      <w:r w:rsidRPr="00CA2CC1">
        <w:rPr>
          <w:rFonts w:cs="Calibri"/>
          <w:color w:val="414042"/>
          <w:szCs w:val="22"/>
        </w:rPr>
        <w:t>building</w:t>
      </w:r>
      <w:r w:rsidRPr="00CA2CC1">
        <w:rPr>
          <w:rFonts w:cs="Calibri"/>
          <w:color w:val="414042"/>
          <w:spacing w:val="-5"/>
          <w:szCs w:val="22"/>
        </w:rPr>
        <w:t xml:space="preserve"> </w:t>
      </w:r>
      <w:r w:rsidRPr="00CA2CC1">
        <w:rPr>
          <w:rFonts w:cs="Calibri"/>
          <w:color w:val="414042"/>
          <w:szCs w:val="22"/>
        </w:rPr>
        <w:t>on</w:t>
      </w:r>
      <w:r w:rsidRPr="00CA2CC1">
        <w:rPr>
          <w:rFonts w:cs="Calibri"/>
          <w:color w:val="414042"/>
          <w:spacing w:val="-5"/>
          <w:szCs w:val="22"/>
        </w:rPr>
        <w:t xml:space="preserve"> </w:t>
      </w:r>
      <w:r w:rsidRPr="00CA2CC1">
        <w:rPr>
          <w:rFonts w:cs="Calibri"/>
          <w:color w:val="414042"/>
          <w:szCs w:val="22"/>
        </w:rPr>
        <w:t>this</w:t>
      </w:r>
      <w:r w:rsidRPr="00CA2CC1">
        <w:rPr>
          <w:rFonts w:cs="Calibri"/>
          <w:color w:val="414042"/>
          <w:spacing w:val="-5"/>
          <w:szCs w:val="22"/>
        </w:rPr>
        <w:t xml:space="preserve"> </w:t>
      </w:r>
      <w:r w:rsidRPr="00CA2CC1">
        <w:rPr>
          <w:rFonts w:cs="Calibri"/>
          <w:color w:val="414042"/>
          <w:szCs w:val="22"/>
        </w:rPr>
        <w:t>foundation to support better outcomes for all Victorians.</w:t>
      </w:r>
    </w:p>
    <w:p w14:paraId="7B0BF3B4" w14:textId="77777777" w:rsidR="00FA4226" w:rsidRPr="00CA2CC1" w:rsidRDefault="00FA4226" w:rsidP="0043303B">
      <w:pPr>
        <w:pStyle w:val="BodyText"/>
        <w:rPr>
          <w:rFonts w:cs="Calibri"/>
          <w:szCs w:val="22"/>
        </w:rPr>
      </w:pPr>
    </w:p>
    <w:p w14:paraId="14912865" w14:textId="77777777" w:rsidR="00FA4226" w:rsidRPr="00CA2CC1" w:rsidRDefault="00FA4226" w:rsidP="0043303B">
      <w:pPr>
        <w:pStyle w:val="BodyText"/>
        <w:spacing w:before="2"/>
        <w:rPr>
          <w:rFonts w:cs="Calibri"/>
          <w:szCs w:val="22"/>
        </w:rPr>
      </w:pPr>
    </w:p>
    <w:p w14:paraId="1FC762AA" w14:textId="77777777" w:rsidR="00FA4226" w:rsidRPr="00DE2BA1" w:rsidRDefault="00000000" w:rsidP="0043303B">
      <w:pPr>
        <w:pStyle w:val="BodyText"/>
        <w:rPr>
          <w:rFonts w:cs="Calibri"/>
          <w:b/>
          <w:bCs/>
          <w:szCs w:val="22"/>
        </w:rPr>
      </w:pPr>
      <w:r w:rsidRPr="00DE2BA1">
        <w:rPr>
          <w:rFonts w:cs="Calibri"/>
          <w:b/>
          <w:bCs/>
          <w:color w:val="414042"/>
          <w:szCs w:val="22"/>
        </w:rPr>
        <w:t xml:space="preserve">Jim </w:t>
      </w:r>
      <w:r w:rsidRPr="00DE2BA1">
        <w:rPr>
          <w:rFonts w:cs="Calibri"/>
          <w:b/>
          <w:bCs/>
          <w:color w:val="414042"/>
          <w:spacing w:val="-2"/>
          <w:szCs w:val="22"/>
        </w:rPr>
        <w:t>Miller</w:t>
      </w:r>
    </w:p>
    <w:p w14:paraId="3F20E189" w14:textId="77777777" w:rsidR="00FA4226" w:rsidRPr="00CA2CC1" w:rsidRDefault="00000000" w:rsidP="0043303B">
      <w:pPr>
        <w:pStyle w:val="BodyText"/>
        <w:rPr>
          <w:rFonts w:cs="Calibri"/>
          <w:szCs w:val="22"/>
        </w:rPr>
      </w:pPr>
      <w:r w:rsidRPr="00CA2CC1">
        <w:rPr>
          <w:rFonts w:cs="Calibri"/>
          <w:color w:val="414042"/>
          <w:szCs w:val="22"/>
        </w:rPr>
        <w:t>Chair,</w:t>
      </w:r>
      <w:r w:rsidRPr="00CA2CC1">
        <w:rPr>
          <w:rFonts w:cs="Calibri"/>
          <w:color w:val="414042"/>
          <w:spacing w:val="-11"/>
          <w:szCs w:val="22"/>
        </w:rPr>
        <w:t xml:space="preserve"> </w:t>
      </w:r>
      <w:r w:rsidRPr="00CA2CC1">
        <w:rPr>
          <w:rFonts w:cs="Calibri"/>
          <w:color w:val="414042"/>
          <w:szCs w:val="22"/>
        </w:rPr>
        <w:t>Infrastructure</w:t>
      </w:r>
      <w:r w:rsidRPr="00CA2CC1">
        <w:rPr>
          <w:rFonts w:cs="Calibri"/>
          <w:color w:val="414042"/>
          <w:spacing w:val="-10"/>
          <w:szCs w:val="22"/>
        </w:rPr>
        <w:t xml:space="preserve"> </w:t>
      </w:r>
      <w:r w:rsidRPr="00CA2CC1">
        <w:rPr>
          <w:rFonts w:cs="Calibri"/>
          <w:color w:val="414042"/>
          <w:spacing w:val="-2"/>
          <w:szCs w:val="22"/>
        </w:rPr>
        <w:t>Victoria</w:t>
      </w:r>
    </w:p>
    <w:p w14:paraId="6B790D13" w14:textId="77777777" w:rsidR="00FA4226" w:rsidRPr="00DE2BA1" w:rsidRDefault="00000000" w:rsidP="0043303B">
      <w:pPr>
        <w:pStyle w:val="BodyText"/>
        <w:spacing w:before="114"/>
        <w:rPr>
          <w:rFonts w:cs="Calibri"/>
          <w:b/>
          <w:bCs/>
          <w:szCs w:val="22"/>
        </w:rPr>
      </w:pPr>
      <w:r w:rsidRPr="00DE2BA1">
        <w:rPr>
          <w:rFonts w:cs="Calibri"/>
          <w:b/>
          <w:bCs/>
          <w:color w:val="414042"/>
          <w:szCs w:val="22"/>
        </w:rPr>
        <w:t xml:space="preserve">Jonathan </w:t>
      </w:r>
      <w:r w:rsidRPr="00DE2BA1">
        <w:rPr>
          <w:rFonts w:cs="Calibri"/>
          <w:b/>
          <w:bCs/>
          <w:color w:val="414042"/>
          <w:spacing w:val="-2"/>
          <w:szCs w:val="22"/>
        </w:rPr>
        <w:t>Spear</w:t>
      </w:r>
    </w:p>
    <w:p w14:paraId="1DF7769C" w14:textId="77777777" w:rsidR="00FA4226" w:rsidRPr="00CA2CC1" w:rsidRDefault="00000000" w:rsidP="0043303B">
      <w:pPr>
        <w:pStyle w:val="BodyText"/>
        <w:rPr>
          <w:rFonts w:cs="Calibri"/>
          <w:szCs w:val="22"/>
        </w:rPr>
      </w:pPr>
      <w:r w:rsidRPr="00CA2CC1">
        <w:rPr>
          <w:rFonts w:cs="Calibri"/>
          <w:color w:val="414042"/>
          <w:szCs w:val="22"/>
        </w:rPr>
        <w:t>CEO,</w:t>
      </w:r>
      <w:r w:rsidRPr="00CA2CC1">
        <w:rPr>
          <w:rFonts w:cs="Calibri"/>
          <w:color w:val="414042"/>
          <w:spacing w:val="-2"/>
          <w:szCs w:val="22"/>
        </w:rPr>
        <w:t xml:space="preserve"> </w:t>
      </w:r>
      <w:r w:rsidRPr="00CA2CC1">
        <w:rPr>
          <w:rFonts w:cs="Calibri"/>
          <w:color w:val="414042"/>
          <w:szCs w:val="22"/>
        </w:rPr>
        <w:t>Infrastructure</w:t>
      </w:r>
      <w:r w:rsidRPr="00CA2CC1">
        <w:rPr>
          <w:rFonts w:cs="Calibri"/>
          <w:color w:val="414042"/>
          <w:spacing w:val="-2"/>
          <w:szCs w:val="22"/>
        </w:rPr>
        <w:t xml:space="preserve"> Victoria</w:t>
      </w:r>
    </w:p>
    <w:p w14:paraId="398DF6F2" w14:textId="77777777" w:rsidR="00FA4226" w:rsidRPr="00CA2CC1" w:rsidRDefault="00FA4226" w:rsidP="0043303B">
      <w:pPr>
        <w:rPr>
          <w:rFonts w:cs="Calibri"/>
        </w:rPr>
        <w:sectPr w:rsidR="00FA4226" w:rsidRPr="00CA2CC1" w:rsidSect="00E941A5">
          <w:type w:val="continuous"/>
          <w:pgSz w:w="11910" w:h="16840"/>
          <w:pgMar w:top="1134" w:right="1278" w:bottom="1134" w:left="1134" w:header="720" w:footer="720" w:gutter="0"/>
          <w:cols w:space="720"/>
        </w:sectPr>
      </w:pPr>
    </w:p>
    <w:p w14:paraId="450F9162" w14:textId="76E18707" w:rsidR="00FA4226" w:rsidRPr="00CA2CC1" w:rsidRDefault="00000000" w:rsidP="0043303B">
      <w:pPr>
        <w:pStyle w:val="Heading1"/>
        <w:spacing w:before="171"/>
        <w:rPr>
          <w:rFonts w:cs="Calibri"/>
          <w:color w:val="000000" w:themeColor="text1"/>
        </w:rPr>
      </w:pPr>
      <w:bookmarkStart w:id="0" w:name="Infrastructure_Victoria’s_functions"/>
      <w:bookmarkStart w:id="1" w:name="_bookmark1"/>
      <w:bookmarkEnd w:id="0"/>
      <w:bookmarkEnd w:id="1"/>
      <w:r w:rsidRPr="00CA2CC1">
        <w:rPr>
          <w:rFonts w:cs="Calibri"/>
          <w:color w:val="000000" w:themeColor="text1"/>
          <w:spacing w:val="-2"/>
          <w:w w:val="105"/>
        </w:rPr>
        <w:lastRenderedPageBreak/>
        <w:t>Infrastructure</w:t>
      </w:r>
      <w:r w:rsidR="006D4C79" w:rsidRPr="00CA2CC1">
        <w:rPr>
          <w:rFonts w:cs="Calibri"/>
          <w:color w:val="000000" w:themeColor="text1"/>
          <w:spacing w:val="-2"/>
          <w:w w:val="105"/>
        </w:rPr>
        <w:t xml:space="preserve"> </w:t>
      </w:r>
      <w:r w:rsidRPr="00CA2CC1">
        <w:rPr>
          <w:rFonts w:cs="Calibri"/>
          <w:color w:val="000000" w:themeColor="text1"/>
          <w:w w:val="105"/>
        </w:rPr>
        <w:t>Victoria’s</w:t>
      </w:r>
      <w:r w:rsidRPr="00CA2CC1">
        <w:rPr>
          <w:rFonts w:cs="Calibri"/>
          <w:color w:val="000000" w:themeColor="text1"/>
          <w:spacing w:val="-33"/>
          <w:w w:val="105"/>
        </w:rPr>
        <w:t xml:space="preserve"> </w:t>
      </w:r>
      <w:r w:rsidRPr="00CA2CC1">
        <w:rPr>
          <w:rFonts w:cs="Calibri"/>
          <w:color w:val="000000" w:themeColor="text1"/>
          <w:w w:val="105"/>
        </w:rPr>
        <w:t>functions</w:t>
      </w:r>
    </w:p>
    <w:p w14:paraId="236A3046" w14:textId="77777777" w:rsidR="00FA4226" w:rsidRPr="00CA2CC1" w:rsidRDefault="00FA4226" w:rsidP="0043303B">
      <w:pPr>
        <w:rPr>
          <w:rFonts w:cs="Calibri"/>
          <w:color w:val="000000" w:themeColor="text1"/>
          <w:sz w:val="20"/>
        </w:rPr>
        <w:sectPr w:rsidR="00FA4226" w:rsidRPr="00CA2CC1" w:rsidSect="00E941A5">
          <w:pgSz w:w="11910" w:h="16840"/>
          <w:pgMar w:top="1134" w:right="1278" w:bottom="1134" w:left="1134" w:header="720" w:footer="720" w:gutter="0"/>
          <w:cols w:space="720"/>
        </w:sectPr>
      </w:pPr>
    </w:p>
    <w:p w14:paraId="65D8D9D5" w14:textId="20757E55" w:rsidR="00D24214" w:rsidRPr="00CA2CC1" w:rsidRDefault="00000000" w:rsidP="0043303B">
      <w:pPr>
        <w:pStyle w:val="Heading5"/>
        <w:spacing w:before="226"/>
        <w:rPr>
          <w:rFonts w:cs="Calibri"/>
          <w:color w:val="000000" w:themeColor="text1"/>
          <w:w w:val="110"/>
        </w:rPr>
      </w:pPr>
      <w:r w:rsidRPr="00CA2CC1">
        <w:rPr>
          <w:rFonts w:cs="Calibri"/>
          <w:color w:val="000000" w:themeColor="text1"/>
          <w:w w:val="110"/>
        </w:rPr>
        <w:t>Infrastructure</w:t>
      </w:r>
      <w:r w:rsidRPr="00CA2CC1">
        <w:rPr>
          <w:rFonts w:cs="Calibri"/>
          <w:color w:val="000000" w:themeColor="text1"/>
          <w:spacing w:val="-11"/>
          <w:w w:val="110"/>
        </w:rPr>
        <w:t xml:space="preserve"> </w:t>
      </w:r>
      <w:r w:rsidRPr="00CA2CC1">
        <w:rPr>
          <w:rFonts w:cs="Calibri"/>
          <w:color w:val="000000" w:themeColor="text1"/>
          <w:w w:val="110"/>
        </w:rPr>
        <w:t>Victoria is a statutory authority</w:t>
      </w:r>
      <w:r w:rsidRPr="00CA2CC1">
        <w:rPr>
          <w:rFonts w:cs="Calibri"/>
          <w:color w:val="000000" w:themeColor="text1"/>
          <w:spacing w:val="-19"/>
          <w:w w:val="110"/>
        </w:rPr>
        <w:t xml:space="preserve"> </w:t>
      </w:r>
      <w:r w:rsidRPr="00CA2CC1">
        <w:rPr>
          <w:rFonts w:cs="Calibri"/>
          <w:color w:val="000000" w:themeColor="text1"/>
          <w:w w:val="110"/>
        </w:rPr>
        <w:t>which</w:t>
      </w:r>
      <w:r w:rsidRPr="00CA2CC1">
        <w:rPr>
          <w:rFonts w:cs="Calibri"/>
          <w:color w:val="000000" w:themeColor="text1"/>
          <w:spacing w:val="-16"/>
          <w:w w:val="110"/>
        </w:rPr>
        <w:t xml:space="preserve"> </w:t>
      </w:r>
      <w:r w:rsidRPr="00CA2CC1">
        <w:rPr>
          <w:rFonts w:cs="Calibri"/>
          <w:color w:val="000000" w:themeColor="text1"/>
          <w:w w:val="110"/>
        </w:rPr>
        <w:t>provides</w:t>
      </w:r>
      <w:r w:rsidRPr="00CA2CC1">
        <w:rPr>
          <w:rFonts w:cs="Calibri"/>
          <w:color w:val="000000" w:themeColor="text1"/>
          <w:spacing w:val="-17"/>
          <w:w w:val="110"/>
        </w:rPr>
        <w:t xml:space="preserve"> </w:t>
      </w:r>
      <w:r w:rsidRPr="00CA2CC1">
        <w:rPr>
          <w:rFonts w:cs="Calibri"/>
          <w:color w:val="000000" w:themeColor="text1"/>
          <w:w w:val="110"/>
        </w:rPr>
        <w:t>independent</w:t>
      </w:r>
      <w:r w:rsidRPr="00CA2CC1">
        <w:rPr>
          <w:rFonts w:cs="Calibri"/>
          <w:color w:val="000000" w:themeColor="text1"/>
          <w:spacing w:val="-16"/>
          <w:w w:val="110"/>
        </w:rPr>
        <w:t xml:space="preserve"> </w:t>
      </w:r>
      <w:r w:rsidRPr="00CA2CC1">
        <w:rPr>
          <w:rFonts w:cs="Calibri"/>
          <w:color w:val="000000" w:themeColor="text1"/>
          <w:w w:val="110"/>
        </w:rPr>
        <w:t>and expert</w:t>
      </w:r>
      <w:r w:rsidRPr="00CA2CC1">
        <w:rPr>
          <w:rFonts w:cs="Calibri"/>
          <w:color w:val="000000" w:themeColor="text1"/>
          <w:spacing w:val="-17"/>
          <w:w w:val="110"/>
        </w:rPr>
        <w:t xml:space="preserve"> </w:t>
      </w:r>
      <w:r w:rsidRPr="00CA2CC1">
        <w:rPr>
          <w:rFonts w:cs="Calibri"/>
          <w:color w:val="000000" w:themeColor="text1"/>
          <w:w w:val="110"/>
        </w:rPr>
        <w:t>advice</w:t>
      </w:r>
      <w:r w:rsidRPr="00CA2CC1">
        <w:rPr>
          <w:rFonts w:cs="Calibri"/>
          <w:color w:val="000000" w:themeColor="text1"/>
          <w:spacing w:val="-11"/>
          <w:w w:val="110"/>
        </w:rPr>
        <w:t xml:space="preserve"> </w:t>
      </w:r>
      <w:r w:rsidRPr="00CA2CC1">
        <w:rPr>
          <w:rFonts w:cs="Calibri"/>
          <w:color w:val="000000" w:themeColor="text1"/>
          <w:w w:val="110"/>
        </w:rPr>
        <w:t>about</w:t>
      </w:r>
      <w:r w:rsidRPr="00CA2CC1">
        <w:rPr>
          <w:rFonts w:cs="Calibri"/>
          <w:color w:val="000000" w:themeColor="text1"/>
          <w:spacing w:val="-30"/>
          <w:w w:val="110"/>
        </w:rPr>
        <w:t xml:space="preserve"> </w:t>
      </w:r>
      <w:r w:rsidRPr="00CA2CC1">
        <w:rPr>
          <w:rFonts w:cs="Calibri"/>
          <w:color w:val="000000" w:themeColor="text1"/>
          <w:w w:val="110"/>
        </w:rPr>
        <w:t>Victoria’s</w:t>
      </w:r>
      <w:r w:rsidRPr="00CA2CC1">
        <w:rPr>
          <w:rFonts w:cs="Calibri"/>
          <w:color w:val="000000" w:themeColor="text1"/>
          <w:spacing w:val="-11"/>
          <w:w w:val="110"/>
        </w:rPr>
        <w:t xml:space="preserve"> </w:t>
      </w:r>
      <w:r w:rsidRPr="00CA2CC1">
        <w:rPr>
          <w:rFonts w:cs="Calibri"/>
          <w:color w:val="000000" w:themeColor="text1"/>
          <w:w w:val="110"/>
        </w:rPr>
        <w:t>current</w:t>
      </w:r>
      <w:r w:rsidRPr="00CA2CC1">
        <w:rPr>
          <w:rFonts w:cs="Calibri"/>
          <w:color w:val="000000" w:themeColor="text1"/>
          <w:spacing w:val="-11"/>
          <w:w w:val="110"/>
        </w:rPr>
        <w:t xml:space="preserve"> </w:t>
      </w:r>
      <w:r w:rsidRPr="00CA2CC1">
        <w:rPr>
          <w:rFonts w:cs="Calibri"/>
          <w:color w:val="000000" w:themeColor="text1"/>
          <w:w w:val="110"/>
        </w:rPr>
        <w:t>and future infrastructure needs and priorities to</w:t>
      </w:r>
      <w:r w:rsidRPr="00CA2CC1">
        <w:rPr>
          <w:rFonts w:cs="Calibri"/>
          <w:color w:val="000000" w:themeColor="text1"/>
          <w:spacing w:val="-12"/>
          <w:w w:val="110"/>
        </w:rPr>
        <w:t xml:space="preserve"> </w:t>
      </w:r>
      <w:r w:rsidRPr="00CA2CC1">
        <w:rPr>
          <w:rFonts w:cs="Calibri"/>
          <w:color w:val="000000" w:themeColor="text1"/>
          <w:w w:val="110"/>
        </w:rPr>
        <w:t>support</w:t>
      </w:r>
      <w:r w:rsidRPr="00CA2CC1">
        <w:rPr>
          <w:rFonts w:cs="Calibri"/>
          <w:color w:val="000000" w:themeColor="text1"/>
          <w:spacing w:val="-10"/>
          <w:w w:val="110"/>
        </w:rPr>
        <w:t xml:space="preserve"> </w:t>
      </w:r>
      <w:r w:rsidRPr="00CA2CC1">
        <w:rPr>
          <w:rFonts w:cs="Calibri"/>
          <w:color w:val="000000" w:themeColor="text1"/>
          <w:w w:val="110"/>
        </w:rPr>
        <w:t>improved</w:t>
      </w:r>
      <w:r w:rsidRPr="00CA2CC1">
        <w:rPr>
          <w:rFonts w:cs="Calibri"/>
          <w:color w:val="000000" w:themeColor="text1"/>
          <w:spacing w:val="-10"/>
          <w:w w:val="110"/>
        </w:rPr>
        <w:t xml:space="preserve"> </w:t>
      </w:r>
      <w:r w:rsidRPr="00CA2CC1">
        <w:rPr>
          <w:rFonts w:cs="Calibri"/>
          <w:color w:val="000000" w:themeColor="text1"/>
          <w:w w:val="110"/>
        </w:rPr>
        <w:t>social,</w:t>
      </w:r>
      <w:r w:rsidRPr="00CA2CC1">
        <w:rPr>
          <w:rFonts w:cs="Calibri"/>
          <w:color w:val="000000" w:themeColor="text1"/>
          <w:spacing w:val="-17"/>
          <w:w w:val="110"/>
        </w:rPr>
        <w:t xml:space="preserve"> </w:t>
      </w:r>
      <w:r w:rsidRPr="00CA2CC1">
        <w:rPr>
          <w:rFonts w:cs="Calibri"/>
          <w:color w:val="000000" w:themeColor="text1"/>
          <w:w w:val="110"/>
        </w:rPr>
        <w:t>economic</w:t>
      </w:r>
      <w:r w:rsidRPr="00CA2CC1">
        <w:rPr>
          <w:rFonts w:cs="Calibri"/>
          <w:color w:val="000000" w:themeColor="text1"/>
          <w:spacing w:val="-10"/>
          <w:w w:val="110"/>
        </w:rPr>
        <w:t xml:space="preserve"> </w:t>
      </w:r>
      <w:r w:rsidRPr="00CA2CC1">
        <w:rPr>
          <w:rFonts w:cs="Calibri"/>
          <w:color w:val="000000" w:themeColor="text1"/>
          <w:w w:val="110"/>
        </w:rPr>
        <w:t>and environmental outcomes for the state.</w:t>
      </w:r>
    </w:p>
    <w:p w14:paraId="1E25DB58" w14:textId="77777777" w:rsidR="00D24214" w:rsidRPr="00CA2CC1" w:rsidRDefault="00D24214" w:rsidP="0043303B">
      <w:pPr>
        <w:pStyle w:val="BodyText"/>
        <w:rPr>
          <w:rFonts w:cs="Calibri"/>
        </w:rPr>
      </w:pPr>
    </w:p>
    <w:p w14:paraId="71ADDFD1" w14:textId="0B60DDB3" w:rsidR="00C73A45" w:rsidRPr="00CA2CC1" w:rsidRDefault="00000000" w:rsidP="0043303B">
      <w:pPr>
        <w:pStyle w:val="BodyText"/>
        <w:rPr>
          <w:rFonts w:cs="Calibri"/>
        </w:rPr>
      </w:pPr>
      <w:r w:rsidRPr="00CA2CC1">
        <w:rPr>
          <w:rFonts w:cs="Calibri"/>
        </w:rPr>
        <w:t xml:space="preserve">The </w:t>
      </w:r>
      <w:r w:rsidRPr="00CA2CC1">
        <w:rPr>
          <w:rFonts w:cs="Calibri"/>
          <w:i/>
        </w:rPr>
        <w:t xml:space="preserve">Infrastructure Victoria Act 2015 </w:t>
      </w:r>
      <w:r w:rsidRPr="00CA2CC1">
        <w:rPr>
          <w:rFonts w:cs="Calibri"/>
        </w:rPr>
        <w:t>came into effect on</w:t>
      </w:r>
      <w:r w:rsidRPr="00CA2CC1">
        <w:rPr>
          <w:rFonts w:cs="Calibri"/>
          <w:spacing w:val="-6"/>
        </w:rPr>
        <w:t xml:space="preserve"> </w:t>
      </w:r>
      <w:r w:rsidRPr="00CA2CC1">
        <w:rPr>
          <w:rFonts w:cs="Calibri"/>
        </w:rPr>
        <w:t>1</w:t>
      </w:r>
      <w:r w:rsidRPr="00CA2CC1">
        <w:rPr>
          <w:rFonts w:cs="Calibri"/>
          <w:spacing w:val="-6"/>
        </w:rPr>
        <w:t xml:space="preserve"> </w:t>
      </w:r>
      <w:r w:rsidRPr="00CA2CC1">
        <w:rPr>
          <w:rFonts w:cs="Calibri"/>
        </w:rPr>
        <w:t>October</w:t>
      </w:r>
      <w:r w:rsidRPr="00CA2CC1">
        <w:rPr>
          <w:rFonts w:cs="Calibri"/>
          <w:spacing w:val="-6"/>
        </w:rPr>
        <w:t xml:space="preserve"> </w:t>
      </w:r>
      <w:r w:rsidRPr="00CA2CC1">
        <w:rPr>
          <w:rFonts w:cs="Calibri"/>
        </w:rPr>
        <w:t>2015.</w:t>
      </w:r>
      <w:r w:rsidRPr="00CA2CC1">
        <w:rPr>
          <w:rFonts w:cs="Calibri"/>
          <w:spacing w:val="-6"/>
        </w:rPr>
        <w:t xml:space="preserve"> </w:t>
      </w:r>
      <w:r w:rsidRPr="00CA2CC1">
        <w:rPr>
          <w:rFonts w:cs="Calibri"/>
        </w:rPr>
        <w:t>The</w:t>
      </w:r>
      <w:r w:rsidRPr="00CA2CC1">
        <w:rPr>
          <w:rFonts w:cs="Calibri"/>
          <w:spacing w:val="-6"/>
        </w:rPr>
        <w:t xml:space="preserve"> </w:t>
      </w:r>
      <w:r w:rsidRPr="00CA2CC1">
        <w:rPr>
          <w:rFonts w:cs="Calibri"/>
        </w:rPr>
        <w:t>Act</w:t>
      </w:r>
      <w:r w:rsidRPr="00CA2CC1">
        <w:rPr>
          <w:rFonts w:cs="Calibri"/>
          <w:spacing w:val="-6"/>
        </w:rPr>
        <w:t xml:space="preserve"> </w:t>
      </w:r>
      <w:r w:rsidRPr="00CA2CC1">
        <w:rPr>
          <w:rFonts w:cs="Calibri"/>
        </w:rPr>
        <w:t>established</w:t>
      </w:r>
      <w:r w:rsidRPr="00CA2CC1">
        <w:rPr>
          <w:rFonts w:cs="Calibri"/>
          <w:spacing w:val="-6"/>
        </w:rPr>
        <w:t xml:space="preserve"> </w:t>
      </w:r>
      <w:r w:rsidRPr="00CA2CC1">
        <w:rPr>
          <w:rFonts w:cs="Calibri"/>
        </w:rPr>
        <w:t>Infrastructure</w:t>
      </w:r>
      <w:r w:rsidR="00E5756B" w:rsidRPr="00CA2CC1">
        <w:rPr>
          <w:rFonts w:cs="Calibri"/>
        </w:rPr>
        <w:t xml:space="preserve"> </w:t>
      </w:r>
      <w:r w:rsidRPr="00CA2CC1">
        <w:rPr>
          <w:rFonts w:cs="Calibri"/>
        </w:rPr>
        <w:t>Victoria</w:t>
      </w:r>
      <w:r w:rsidRPr="00CA2CC1">
        <w:rPr>
          <w:rFonts w:cs="Calibri"/>
          <w:spacing w:val="-7"/>
        </w:rPr>
        <w:t xml:space="preserve"> </w:t>
      </w:r>
      <w:r w:rsidRPr="00CA2CC1">
        <w:rPr>
          <w:rFonts w:cs="Calibri"/>
        </w:rPr>
        <w:t>as</w:t>
      </w:r>
      <w:r w:rsidRPr="00CA2CC1">
        <w:rPr>
          <w:rFonts w:cs="Calibri"/>
          <w:spacing w:val="-7"/>
        </w:rPr>
        <w:t xml:space="preserve"> </w:t>
      </w:r>
      <w:r w:rsidRPr="00CA2CC1">
        <w:rPr>
          <w:rFonts w:cs="Calibri"/>
        </w:rPr>
        <w:t>a</w:t>
      </w:r>
      <w:r w:rsidRPr="00CA2CC1">
        <w:rPr>
          <w:rFonts w:cs="Calibri"/>
          <w:spacing w:val="-7"/>
        </w:rPr>
        <w:t xml:space="preserve"> </w:t>
      </w:r>
      <w:r w:rsidRPr="00CA2CC1">
        <w:rPr>
          <w:rFonts w:cs="Calibri"/>
        </w:rPr>
        <w:t>statutory</w:t>
      </w:r>
      <w:r w:rsidRPr="00CA2CC1">
        <w:rPr>
          <w:rFonts w:cs="Calibri"/>
          <w:spacing w:val="-7"/>
        </w:rPr>
        <w:t xml:space="preserve"> </w:t>
      </w:r>
      <w:r w:rsidRPr="00CA2CC1">
        <w:rPr>
          <w:rFonts w:cs="Calibri"/>
        </w:rPr>
        <w:t>authority,</w:t>
      </w:r>
      <w:r w:rsidRPr="00CA2CC1">
        <w:rPr>
          <w:rFonts w:cs="Calibri"/>
          <w:spacing w:val="-7"/>
        </w:rPr>
        <w:t xml:space="preserve"> </w:t>
      </w:r>
      <w:r w:rsidRPr="00CA2CC1">
        <w:rPr>
          <w:rFonts w:cs="Calibri"/>
        </w:rPr>
        <w:t>with</w:t>
      </w:r>
      <w:r w:rsidRPr="00CA2CC1">
        <w:rPr>
          <w:rFonts w:cs="Calibri"/>
          <w:spacing w:val="-7"/>
        </w:rPr>
        <w:t xml:space="preserve"> </w:t>
      </w:r>
      <w:r w:rsidRPr="00CA2CC1">
        <w:rPr>
          <w:rFonts w:cs="Calibri"/>
        </w:rPr>
        <w:t>the</w:t>
      </w:r>
      <w:r w:rsidRPr="00CA2CC1">
        <w:rPr>
          <w:rFonts w:cs="Calibri"/>
          <w:spacing w:val="-7"/>
        </w:rPr>
        <w:t xml:space="preserve"> </w:t>
      </w:r>
      <w:r w:rsidRPr="00CA2CC1">
        <w:rPr>
          <w:rFonts w:cs="Calibri"/>
        </w:rPr>
        <w:t>independence</w:t>
      </w:r>
      <w:r w:rsidRPr="00CA2CC1">
        <w:rPr>
          <w:rFonts w:cs="Calibri"/>
          <w:spacing w:val="-7"/>
        </w:rPr>
        <w:t xml:space="preserve"> </w:t>
      </w:r>
      <w:r w:rsidRPr="00CA2CC1">
        <w:rPr>
          <w:rFonts w:cs="Calibri"/>
        </w:rPr>
        <w:t>and appropriate powers to support its role to provide trusted, evidence-based advice to the Victorian Government, Parliament and the community.</w:t>
      </w:r>
    </w:p>
    <w:p w14:paraId="1394B7E3" w14:textId="77777777" w:rsidR="00C73A45" w:rsidRPr="00CA2CC1" w:rsidRDefault="00C73A45" w:rsidP="0043303B">
      <w:pPr>
        <w:pStyle w:val="BodyText"/>
        <w:rPr>
          <w:rFonts w:cs="Calibri"/>
        </w:rPr>
      </w:pPr>
    </w:p>
    <w:p w14:paraId="642F2864" w14:textId="2780CF12" w:rsidR="00FA4226" w:rsidRPr="00CA2CC1" w:rsidRDefault="00000000" w:rsidP="0043303B">
      <w:pPr>
        <w:pStyle w:val="Heading3"/>
        <w:rPr>
          <w:rFonts w:cs="Calibri"/>
          <w:color w:val="000000" w:themeColor="text1"/>
        </w:rPr>
      </w:pPr>
      <w:r w:rsidRPr="00CA2CC1">
        <w:rPr>
          <w:rFonts w:cs="Calibri"/>
          <w:color w:val="000000" w:themeColor="text1"/>
        </w:rPr>
        <w:t>Functions</w:t>
      </w:r>
    </w:p>
    <w:p w14:paraId="002D6357" w14:textId="77777777" w:rsidR="00FA4226" w:rsidRPr="00CA2CC1" w:rsidRDefault="00000000" w:rsidP="0043303B">
      <w:pPr>
        <w:pStyle w:val="BodyText"/>
        <w:spacing w:before="87"/>
        <w:rPr>
          <w:rFonts w:cs="Calibri"/>
        </w:rPr>
      </w:pPr>
      <w:r w:rsidRPr="00CA2CC1">
        <w:rPr>
          <w:rFonts w:cs="Calibri"/>
        </w:rPr>
        <w:t>Infrastructure Victoria promotes rigorous and transparent decision-making and improves public debate and consensus</w:t>
      </w:r>
      <w:r w:rsidRPr="00CA2CC1">
        <w:rPr>
          <w:rFonts w:cs="Calibri"/>
          <w:spacing w:val="-7"/>
        </w:rPr>
        <w:t xml:space="preserve"> </w:t>
      </w:r>
      <w:r w:rsidRPr="00CA2CC1">
        <w:rPr>
          <w:rFonts w:cs="Calibri"/>
        </w:rPr>
        <w:t>about</w:t>
      </w:r>
      <w:r w:rsidRPr="00CA2CC1">
        <w:rPr>
          <w:rFonts w:cs="Calibri"/>
          <w:spacing w:val="-7"/>
        </w:rPr>
        <w:t xml:space="preserve"> </w:t>
      </w:r>
      <w:r w:rsidRPr="00CA2CC1">
        <w:rPr>
          <w:rFonts w:cs="Calibri"/>
        </w:rPr>
        <w:t>priority</w:t>
      </w:r>
      <w:r w:rsidRPr="00CA2CC1">
        <w:rPr>
          <w:rFonts w:cs="Calibri"/>
          <w:spacing w:val="-7"/>
        </w:rPr>
        <w:t xml:space="preserve"> </w:t>
      </w:r>
      <w:r w:rsidRPr="00CA2CC1">
        <w:rPr>
          <w:rFonts w:cs="Calibri"/>
        </w:rPr>
        <w:t>infrastructure</w:t>
      </w:r>
      <w:r w:rsidRPr="00CA2CC1">
        <w:rPr>
          <w:rFonts w:cs="Calibri"/>
          <w:spacing w:val="-7"/>
        </w:rPr>
        <w:t xml:space="preserve"> </w:t>
      </w:r>
      <w:r w:rsidRPr="00CA2CC1">
        <w:rPr>
          <w:rFonts w:cs="Calibri"/>
        </w:rPr>
        <w:t>projects</w:t>
      </w:r>
      <w:r w:rsidRPr="00CA2CC1">
        <w:rPr>
          <w:rFonts w:cs="Calibri"/>
          <w:spacing w:val="-7"/>
        </w:rPr>
        <w:t xml:space="preserve"> </w:t>
      </w:r>
      <w:r w:rsidRPr="00CA2CC1">
        <w:rPr>
          <w:rFonts w:cs="Calibri"/>
        </w:rPr>
        <w:t>for</w:t>
      </w:r>
      <w:r w:rsidRPr="00CA2CC1">
        <w:rPr>
          <w:rFonts w:cs="Calibri"/>
          <w:spacing w:val="-7"/>
        </w:rPr>
        <w:t xml:space="preserve"> </w:t>
      </w:r>
      <w:r w:rsidRPr="00CA2CC1">
        <w:rPr>
          <w:rFonts w:cs="Calibri"/>
        </w:rPr>
        <w:t>Victoria.</w:t>
      </w:r>
    </w:p>
    <w:p w14:paraId="6848C05E" w14:textId="77777777" w:rsidR="00FA4226" w:rsidRPr="00CA2CC1" w:rsidRDefault="00000000" w:rsidP="0043303B">
      <w:pPr>
        <w:pStyle w:val="BodyText"/>
        <w:rPr>
          <w:rFonts w:cs="Calibri"/>
        </w:rPr>
      </w:pPr>
      <w:r w:rsidRPr="00CA2CC1">
        <w:rPr>
          <w:rFonts w:cs="Calibri"/>
        </w:rPr>
        <w:t>Infrastructure</w:t>
      </w:r>
      <w:r w:rsidRPr="00CA2CC1">
        <w:rPr>
          <w:rFonts w:cs="Calibri"/>
          <w:spacing w:val="-7"/>
        </w:rPr>
        <w:t xml:space="preserve"> </w:t>
      </w:r>
      <w:r w:rsidRPr="00CA2CC1">
        <w:rPr>
          <w:rFonts w:cs="Calibri"/>
        </w:rPr>
        <w:t>Victoria</w:t>
      </w:r>
      <w:r w:rsidRPr="00CA2CC1">
        <w:rPr>
          <w:rFonts w:cs="Calibri"/>
          <w:spacing w:val="-7"/>
        </w:rPr>
        <w:t xml:space="preserve"> </w:t>
      </w:r>
      <w:r w:rsidRPr="00CA2CC1">
        <w:rPr>
          <w:rFonts w:cs="Calibri"/>
        </w:rPr>
        <w:t>has</w:t>
      </w:r>
      <w:r w:rsidRPr="00CA2CC1">
        <w:rPr>
          <w:rFonts w:cs="Calibri"/>
          <w:spacing w:val="-7"/>
        </w:rPr>
        <w:t xml:space="preserve"> </w:t>
      </w:r>
      <w:r w:rsidRPr="00CA2CC1">
        <w:rPr>
          <w:rFonts w:cs="Calibri"/>
        </w:rPr>
        <w:t>three</w:t>
      </w:r>
      <w:r w:rsidRPr="00CA2CC1">
        <w:rPr>
          <w:rFonts w:cs="Calibri"/>
          <w:spacing w:val="-7"/>
        </w:rPr>
        <w:t xml:space="preserve"> </w:t>
      </w:r>
      <w:r w:rsidRPr="00CA2CC1">
        <w:rPr>
          <w:rFonts w:cs="Calibri"/>
        </w:rPr>
        <w:t>key</w:t>
      </w:r>
      <w:r w:rsidRPr="00CA2CC1">
        <w:rPr>
          <w:rFonts w:cs="Calibri"/>
          <w:spacing w:val="-7"/>
        </w:rPr>
        <w:t xml:space="preserve"> </w:t>
      </w:r>
      <w:r w:rsidRPr="00CA2CC1">
        <w:rPr>
          <w:rFonts w:cs="Calibri"/>
        </w:rPr>
        <w:t>functions</w:t>
      </w:r>
      <w:r w:rsidRPr="00CA2CC1">
        <w:rPr>
          <w:rFonts w:cs="Calibri"/>
          <w:spacing w:val="-7"/>
        </w:rPr>
        <w:t xml:space="preserve"> </w:t>
      </w:r>
      <w:r w:rsidRPr="00CA2CC1">
        <w:rPr>
          <w:rFonts w:cs="Calibri"/>
        </w:rPr>
        <w:t xml:space="preserve">pursuant to the </w:t>
      </w:r>
      <w:r w:rsidRPr="00CA2CC1">
        <w:rPr>
          <w:rFonts w:cs="Calibri"/>
          <w:i/>
        </w:rPr>
        <w:t>Infrastructure Act 2015</w:t>
      </w:r>
      <w:r w:rsidRPr="00CA2CC1">
        <w:rPr>
          <w:rFonts w:cs="Calibri"/>
        </w:rPr>
        <w:t>:</w:t>
      </w:r>
    </w:p>
    <w:p w14:paraId="4A08C618" w14:textId="77777777" w:rsidR="00FA4226" w:rsidRPr="00CA2CC1" w:rsidRDefault="00000000" w:rsidP="0043303B">
      <w:pPr>
        <w:pStyle w:val="BodyText"/>
        <w:numPr>
          <w:ilvl w:val="0"/>
          <w:numId w:val="23"/>
        </w:numPr>
        <w:rPr>
          <w:rFonts w:cs="Calibri"/>
        </w:rPr>
      </w:pPr>
      <w:r w:rsidRPr="00CA2CC1">
        <w:rPr>
          <w:rFonts w:cs="Calibri"/>
        </w:rPr>
        <w:t>prepare</w:t>
      </w:r>
      <w:r w:rsidRPr="00CA2CC1">
        <w:rPr>
          <w:rFonts w:cs="Calibri"/>
          <w:spacing w:val="-2"/>
        </w:rPr>
        <w:t xml:space="preserve"> </w:t>
      </w:r>
      <w:r w:rsidRPr="00CA2CC1">
        <w:rPr>
          <w:rFonts w:cs="Calibri"/>
        </w:rPr>
        <w:t>a</w:t>
      </w:r>
      <w:r w:rsidRPr="00CA2CC1">
        <w:rPr>
          <w:rFonts w:cs="Calibri"/>
          <w:spacing w:val="-2"/>
        </w:rPr>
        <w:t xml:space="preserve"> </w:t>
      </w:r>
      <w:r w:rsidRPr="00CA2CC1">
        <w:rPr>
          <w:rFonts w:cs="Calibri"/>
        </w:rPr>
        <w:t>30-year</w:t>
      </w:r>
      <w:r w:rsidRPr="00CA2CC1">
        <w:rPr>
          <w:rFonts w:cs="Calibri"/>
          <w:spacing w:val="-2"/>
        </w:rPr>
        <w:t xml:space="preserve"> </w:t>
      </w:r>
      <w:r w:rsidRPr="00CA2CC1">
        <w:rPr>
          <w:rFonts w:cs="Calibri"/>
        </w:rPr>
        <w:t>infrastructure</w:t>
      </w:r>
      <w:r w:rsidRPr="00CA2CC1">
        <w:rPr>
          <w:rFonts w:cs="Calibri"/>
          <w:spacing w:val="-2"/>
        </w:rPr>
        <w:t xml:space="preserve"> </w:t>
      </w:r>
      <w:r w:rsidRPr="00CA2CC1">
        <w:rPr>
          <w:rFonts w:cs="Calibri"/>
        </w:rPr>
        <w:t>strategy</w:t>
      </w:r>
      <w:r w:rsidRPr="00CA2CC1">
        <w:rPr>
          <w:rFonts w:cs="Calibri"/>
          <w:spacing w:val="-2"/>
        </w:rPr>
        <w:t xml:space="preserve"> </w:t>
      </w:r>
      <w:r w:rsidRPr="00CA2CC1">
        <w:rPr>
          <w:rFonts w:cs="Calibri"/>
        </w:rPr>
        <w:t>for</w:t>
      </w:r>
      <w:r w:rsidRPr="00CA2CC1">
        <w:rPr>
          <w:rFonts w:cs="Calibri"/>
          <w:spacing w:val="-2"/>
        </w:rPr>
        <w:t xml:space="preserve"> Victoria</w:t>
      </w:r>
    </w:p>
    <w:p w14:paraId="4DA456D1" w14:textId="77777777" w:rsidR="00FA4226" w:rsidRPr="00CA2CC1" w:rsidRDefault="00000000" w:rsidP="0043303B">
      <w:pPr>
        <w:pStyle w:val="BodyText"/>
        <w:numPr>
          <w:ilvl w:val="0"/>
          <w:numId w:val="23"/>
        </w:numPr>
        <w:rPr>
          <w:rFonts w:cs="Calibri"/>
        </w:rPr>
      </w:pPr>
      <w:r w:rsidRPr="00CA2CC1">
        <w:rPr>
          <w:rFonts w:cs="Calibri"/>
        </w:rPr>
        <w:t>provide</w:t>
      </w:r>
      <w:r w:rsidRPr="00CA2CC1">
        <w:rPr>
          <w:rFonts w:cs="Calibri"/>
          <w:spacing w:val="-6"/>
        </w:rPr>
        <w:t xml:space="preserve"> </w:t>
      </w:r>
      <w:r w:rsidRPr="00CA2CC1">
        <w:rPr>
          <w:rFonts w:cs="Calibri"/>
        </w:rPr>
        <w:t>advice</w:t>
      </w:r>
      <w:r w:rsidRPr="00CA2CC1">
        <w:rPr>
          <w:rFonts w:cs="Calibri"/>
          <w:spacing w:val="-6"/>
        </w:rPr>
        <w:t xml:space="preserve"> </w:t>
      </w:r>
      <w:r w:rsidRPr="00CA2CC1">
        <w:rPr>
          <w:rFonts w:cs="Calibri"/>
        </w:rPr>
        <w:t>to</w:t>
      </w:r>
      <w:r w:rsidRPr="00CA2CC1">
        <w:rPr>
          <w:rFonts w:cs="Calibri"/>
          <w:spacing w:val="-6"/>
        </w:rPr>
        <w:t xml:space="preserve"> </w:t>
      </w:r>
      <w:r w:rsidRPr="00CA2CC1">
        <w:rPr>
          <w:rFonts w:cs="Calibri"/>
        </w:rPr>
        <w:t>the</w:t>
      </w:r>
      <w:r w:rsidRPr="00CA2CC1">
        <w:rPr>
          <w:rFonts w:cs="Calibri"/>
          <w:spacing w:val="-6"/>
        </w:rPr>
        <w:t xml:space="preserve"> </w:t>
      </w:r>
      <w:r w:rsidRPr="00CA2CC1">
        <w:rPr>
          <w:rFonts w:cs="Calibri"/>
        </w:rPr>
        <w:t>Victorian</w:t>
      </w:r>
      <w:r w:rsidRPr="00CA2CC1">
        <w:rPr>
          <w:rFonts w:cs="Calibri"/>
          <w:spacing w:val="-6"/>
        </w:rPr>
        <w:t xml:space="preserve"> </w:t>
      </w:r>
      <w:r w:rsidRPr="00CA2CC1">
        <w:rPr>
          <w:rFonts w:cs="Calibri"/>
        </w:rPr>
        <w:t>Government</w:t>
      </w:r>
      <w:r w:rsidRPr="00CA2CC1">
        <w:rPr>
          <w:rFonts w:cs="Calibri"/>
          <w:spacing w:val="-6"/>
        </w:rPr>
        <w:t xml:space="preserve"> </w:t>
      </w:r>
      <w:r w:rsidRPr="00CA2CC1">
        <w:rPr>
          <w:rFonts w:cs="Calibri"/>
        </w:rPr>
        <w:t>on infrastructure matters</w:t>
      </w:r>
    </w:p>
    <w:p w14:paraId="34A3706F" w14:textId="77777777" w:rsidR="00FA4226" w:rsidRPr="00CA2CC1" w:rsidRDefault="00000000" w:rsidP="0043303B">
      <w:pPr>
        <w:pStyle w:val="BodyText"/>
        <w:numPr>
          <w:ilvl w:val="0"/>
          <w:numId w:val="23"/>
        </w:numPr>
        <w:rPr>
          <w:rFonts w:cs="Calibri"/>
        </w:rPr>
      </w:pPr>
      <w:r w:rsidRPr="00CA2CC1">
        <w:rPr>
          <w:rFonts w:cs="Calibri"/>
        </w:rPr>
        <w:t>publish</w:t>
      </w:r>
      <w:r w:rsidRPr="00CA2CC1">
        <w:rPr>
          <w:rFonts w:cs="Calibri"/>
          <w:spacing w:val="-5"/>
        </w:rPr>
        <w:t xml:space="preserve"> </w:t>
      </w:r>
      <w:r w:rsidRPr="00CA2CC1">
        <w:rPr>
          <w:rFonts w:cs="Calibri"/>
        </w:rPr>
        <w:t>research</w:t>
      </w:r>
      <w:r w:rsidRPr="00CA2CC1">
        <w:rPr>
          <w:rFonts w:cs="Calibri"/>
          <w:spacing w:val="-3"/>
        </w:rPr>
        <w:t xml:space="preserve"> </w:t>
      </w:r>
      <w:r w:rsidRPr="00CA2CC1">
        <w:rPr>
          <w:rFonts w:cs="Calibri"/>
        </w:rPr>
        <w:t>on</w:t>
      </w:r>
      <w:r w:rsidRPr="00CA2CC1">
        <w:rPr>
          <w:rFonts w:cs="Calibri"/>
          <w:spacing w:val="-3"/>
        </w:rPr>
        <w:t xml:space="preserve"> </w:t>
      </w:r>
      <w:r w:rsidRPr="00CA2CC1">
        <w:rPr>
          <w:rFonts w:cs="Calibri"/>
        </w:rPr>
        <w:t>infrastructure</w:t>
      </w:r>
      <w:r w:rsidRPr="00CA2CC1">
        <w:rPr>
          <w:rFonts w:cs="Calibri"/>
          <w:spacing w:val="-3"/>
        </w:rPr>
        <w:t xml:space="preserve"> </w:t>
      </w:r>
      <w:r w:rsidRPr="00CA2CC1">
        <w:rPr>
          <w:rFonts w:cs="Calibri"/>
          <w:spacing w:val="-2"/>
        </w:rPr>
        <w:t>matters</w:t>
      </w:r>
    </w:p>
    <w:p w14:paraId="7D1D2A5D" w14:textId="77777777" w:rsidR="00FA4226" w:rsidRPr="00CA2CC1" w:rsidRDefault="00000000" w:rsidP="0043303B">
      <w:pPr>
        <w:pStyle w:val="BodyText"/>
        <w:spacing w:before="117"/>
        <w:rPr>
          <w:rFonts w:cs="Calibri"/>
        </w:rPr>
      </w:pPr>
      <w:r w:rsidRPr="00CA2CC1">
        <w:rPr>
          <w:rFonts w:cs="Calibri"/>
        </w:rPr>
        <w:t>Infrastructure Victoria also supports the development of sectoral</w:t>
      </w:r>
      <w:r w:rsidRPr="00CA2CC1">
        <w:rPr>
          <w:rFonts w:cs="Calibri"/>
          <w:spacing w:val="-7"/>
        </w:rPr>
        <w:t xml:space="preserve"> </w:t>
      </w:r>
      <w:r w:rsidRPr="00CA2CC1">
        <w:rPr>
          <w:rFonts w:cs="Calibri"/>
        </w:rPr>
        <w:t>infrastructure</w:t>
      </w:r>
      <w:r w:rsidRPr="00CA2CC1">
        <w:rPr>
          <w:rFonts w:cs="Calibri"/>
          <w:spacing w:val="-7"/>
        </w:rPr>
        <w:t xml:space="preserve"> </w:t>
      </w:r>
      <w:r w:rsidRPr="00CA2CC1">
        <w:rPr>
          <w:rFonts w:cs="Calibri"/>
        </w:rPr>
        <w:t>plans</w:t>
      </w:r>
      <w:r w:rsidRPr="00CA2CC1">
        <w:rPr>
          <w:rFonts w:cs="Calibri"/>
          <w:spacing w:val="-7"/>
        </w:rPr>
        <w:t xml:space="preserve"> </w:t>
      </w:r>
      <w:r w:rsidRPr="00CA2CC1">
        <w:rPr>
          <w:rFonts w:cs="Calibri"/>
        </w:rPr>
        <w:t>by</w:t>
      </w:r>
      <w:r w:rsidRPr="00CA2CC1">
        <w:rPr>
          <w:rFonts w:cs="Calibri"/>
          <w:spacing w:val="-7"/>
        </w:rPr>
        <w:t xml:space="preserve"> </w:t>
      </w:r>
      <w:r w:rsidRPr="00CA2CC1">
        <w:rPr>
          <w:rFonts w:cs="Calibri"/>
        </w:rPr>
        <w:t>government</w:t>
      </w:r>
      <w:r w:rsidRPr="00CA2CC1">
        <w:rPr>
          <w:rFonts w:cs="Calibri"/>
          <w:spacing w:val="-7"/>
        </w:rPr>
        <w:t xml:space="preserve"> </w:t>
      </w:r>
      <w:r w:rsidRPr="00CA2CC1">
        <w:rPr>
          <w:rFonts w:cs="Calibri"/>
        </w:rPr>
        <w:t>departments and agencies.</w:t>
      </w:r>
    </w:p>
    <w:p w14:paraId="62EF1C08" w14:textId="77777777" w:rsidR="00FA4226" w:rsidRPr="00CA2CC1" w:rsidRDefault="00000000" w:rsidP="0043303B">
      <w:pPr>
        <w:pStyle w:val="BodyText"/>
        <w:spacing w:before="117"/>
        <w:rPr>
          <w:rFonts w:cs="Calibri"/>
        </w:rPr>
      </w:pPr>
      <w:r w:rsidRPr="00CA2CC1">
        <w:rPr>
          <w:rFonts w:cs="Calibri"/>
        </w:rPr>
        <w:t>Infrastructure Victoria takes a whole of Victoria approach in considering infrastructure needs including central and metropolitan</w:t>
      </w:r>
      <w:r w:rsidRPr="00CA2CC1">
        <w:rPr>
          <w:rFonts w:cs="Calibri"/>
          <w:spacing w:val="-8"/>
        </w:rPr>
        <w:t xml:space="preserve"> </w:t>
      </w:r>
      <w:r w:rsidRPr="00CA2CC1">
        <w:rPr>
          <w:rFonts w:cs="Calibri"/>
        </w:rPr>
        <w:t>Melbourne,</w:t>
      </w:r>
      <w:r w:rsidRPr="00CA2CC1">
        <w:rPr>
          <w:rFonts w:cs="Calibri"/>
          <w:spacing w:val="-8"/>
        </w:rPr>
        <w:t xml:space="preserve"> </w:t>
      </w:r>
      <w:r w:rsidRPr="00CA2CC1">
        <w:rPr>
          <w:rFonts w:cs="Calibri"/>
        </w:rPr>
        <w:t>interface</w:t>
      </w:r>
      <w:r w:rsidRPr="00CA2CC1">
        <w:rPr>
          <w:rFonts w:cs="Calibri"/>
          <w:spacing w:val="-8"/>
        </w:rPr>
        <w:t xml:space="preserve"> </w:t>
      </w:r>
      <w:r w:rsidRPr="00CA2CC1">
        <w:rPr>
          <w:rFonts w:cs="Calibri"/>
        </w:rPr>
        <w:t>councils,</w:t>
      </w:r>
      <w:r w:rsidRPr="00CA2CC1">
        <w:rPr>
          <w:rFonts w:cs="Calibri"/>
          <w:spacing w:val="-8"/>
        </w:rPr>
        <w:t xml:space="preserve"> </w:t>
      </w:r>
      <w:r w:rsidRPr="00CA2CC1">
        <w:rPr>
          <w:rFonts w:cs="Calibri"/>
        </w:rPr>
        <w:t>regional</w:t>
      </w:r>
      <w:r w:rsidRPr="00CA2CC1">
        <w:rPr>
          <w:rFonts w:cs="Calibri"/>
          <w:spacing w:val="-8"/>
        </w:rPr>
        <w:t xml:space="preserve"> </w:t>
      </w:r>
      <w:r w:rsidRPr="00CA2CC1">
        <w:rPr>
          <w:rFonts w:cs="Calibri"/>
        </w:rPr>
        <w:t>cities and rural and regional Victoria.</w:t>
      </w:r>
    </w:p>
    <w:p w14:paraId="5A41FE3A" w14:textId="0EDA4691" w:rsidR="000E4B47" w:rsidRPr="00CA2CC1" w:rsidRDefault="00000000" w:rsidP="0043303B">
      <w:pPr>
        <w:pStyle w:val="BodyText"/>
        <w:spacing w:before="115"/>
        <w:rPr>
          <w:rFonts w:cs="Calibri"/>
        </w:rPr>
      </w:pPr>
      <w:r w:rsidRPr="00CA2CC1">
        <w:rPr>
          <w:rFonts w:cs="Calibri"/>
        </w:rPr>
        <w:t>It</w:t>
      </w:r>
      <w:r w:rsidRPr="00CA2CC1">
        <w:rPr>
          <w:rFonts w:cs="Calibri"/>
          <w:spacing w:val="-6"/>
        </w:rPr>
        <w:t xml:space="preserve"> </w:t>
      </w:r>
      <w:r w:rsidRPr="00CA2CC1">
        <w:rPr>
          <w:rFonts w:cs="Calibri"/>
        </w:rPr>
        <w:t>also</w:t>
      </w:r>
      <w:r w:rsidRPr="00CA2CC1">
        <w:rPr>
          <w:rFonts w:cs="Calibri"/>
          <w:spacing w:val="-6"/>
        </w:rPr>
        <w:t xml:space="preserve"> </w:t>
      </w:r>
      <w:r w:rsidRPr="00CA2CC1">
        <w:rPr>
          <w:rFonts w:cs="Calibri"/>
        </w:rPr>
        <w:t>takes</w:t>
      </w:r>
      <w:r w:rsidRPr="00CA2CC1">
        <w:rPr>
          <w:rFonts w:cs="Calibri"/>
          <w:spacing w:val="-6"/>
        </w:rPr>
        <w:t xml:space="preserve"> </w:t>
      </w:r>
      <w:r w:rsidRPr="00CA2CC1">
        <w:rPr>
          <w:rFonts w:cs="Calibri"/>
        </w:rPr>
        <w:t>a</w:t>
      </w:r>
      <w:r w:rsidRPr="00CA2CC1">
        <w:rPr>
          <w:rFonts w:cs="Calibri"/>
          <w:spacing w:val="-6"/>
        </w:rPr>
        <w:t xml:space="preserve"> </w:t>
      </w:r>
      <w:r w:rsidRPr="00CA2CC1">
        <w:rPr>
          <w:rFonts w:cs="Calibri"/>
        </w:rPr>
        <w:t>broad</w:t>
      </w:r>
      <w:r w:rsidRPr="00CA2CC1">
        <w:rPr>
          <w:rFonts w:cs="Calibri"/>
          <w:spacing w:val="-6"/>
        </w:rPr>
        <w:t xml:space="preserve"> </w:t>
      </w:r>
      <w:r w:rsidRPr="00CA2CC1">
        <w:rPr>
          <w:rFonts w:cs="Calibri"/>
        </w:rPr>
        <w:t>view</w:t>
      </w:r>
      <w:r w:rsidRPr="00CA2CC1">
        <w:rPr>
          <w:rFonts w:cs="Calibri"/>
          <w:spacing w:val="-6"/>
        </w:rPr>
        <w:t xml:space="preserve"> </w:t>
      </w:r>
      <w:r w:rsidRPr="00CA2CC1">
        <w:rPr>
          <w:rFonts w:cs="Calibri"/>
        </w:rPr>
        <w:t>of</w:t>
      </w:r>
      <w:r w:rsidRPr="00CA2CC1">
        <w:rPr>
          <w:rFonts w:cs="Calibri"/>
          <w:spacing w:val="-6"/>
        </w:rPr>
        <w:t xml:space="preserve"> </w:t>
      </w:r>
      <w:r w:rsidRPr="00CA2CC1">
        <w:rPr>
          <w:rFonts w:cs="Calibri"/>
        </w:rPr>
        <w:t>infrastructure</w:t>
      </w:r>
      <w:r w:rsidRPr="00CA2CC1">
        <w:rPr>
          <w:rFonts w:cs="Calibri"/>
          <w:spacing w:val="-6"/>
        </w:rPr>
        <w:t xml:space="preserve"> </w:t>
      </w:r>
      <w:r w:rsidRPr="00CA2CC1">
        <w:rPr>
          <w:rFonts w:cs="Calibri"/>
        </w:rPr>
        <w:t>covering 10 key sectors:</w:t>
      </w:r>
    </w:p>
    <w:p w14:paraId="44245A22" w14:textId="77777777" w:rsidR="000E4B47" w:rsidRPr="00CA2CC1" w:rsidRDefault="00596092" w:rsidP="0043303B">
      <w:pPr>
        <w:pStyle w:val="BodyText"/>
        <w:numPr>
          <w:ilvl w:val="0"/>
          <w:numId w:val="20"/>
        </w:numPr>
        <w:ind w:left="360"/>
        <w:rPr>
          <w:rFonts w:cs="Calibri"/>
        </w:rPr>
      </w:pPr>
      <w:r w:rsidRPr="00CA2CC1">
        <w:rPr>
          <w:rFonts w:cs="Calibri"/>
        </w:rPr>
        <w:t xml:space="preserve">culture, sport and community   </w:t>
      </w:r>
    </w:p>
    <w:p w14:paraId="61B919AD" w14:textId="7C181D2E" w:rsidR="00596092" w:rsidRPr="00CA2CC1" w:rsidRDefault="00596092" w:rsidP="0043303B">
      <w:pPr>
        <w:pStyle w:val="BodyText"/>
        <w:numPr>
          <w:ilvl w:val="0"/>
          <w:numId w:val="20"/>
        </w:numPr>
        <w:ind w:left="360"/>
        <w:rPr>
          <w:rFonts w:cs="Calibri"/>
        </w:rPr>
      </w:pPr>
      <w:r w:rsidRPr="00CA2CC1">
        <w:rPr>
          <w:rFonts w:cs="Calibri"/>
        </w:rPr>
        <w:t>education and training</w:t>
      </w:r>
    </w:p>
    <w:p w14:paraId="46F40C5D" w14:textId="4E797408" w:rsidR="00596092" w:rsidRPr="00CA2CC1" w:rsidRDefault="00596092" w:rsidP="0043303B">
      <w:pPr>
        <w:pStyle w:val="BodyText"/>
        <w:numPr>
          <w:ilvl w:val="0"/>
          <w:numId w:val="20"/>
        </w:numPr>
        <w:ind w:left="360"/>
        <w:rPr>
          <w:rFonts w:cs="Calibri"/>
        </w:rPr>
      </w:pPr>
      <w:r w:rsidRPr="00CA2CC1">
        <w:rPr>
          <w:rFonts w:cs="Calibri"/>
        </w:rPr>
        <w:t>energy</w:t>
      </w:r>
    </w:p>
    <w:p w14:paraId="41D397F5" w14:textId="6CEFEE94" w:rsidR="00596092" w:rsidRPr="00CA2CC1" w:rsidRDefault="00596092" w:rsidP="0043303B">
      <w:pPr>
        <w:pStyle w:val="BodyText"/>
        <w:numPr>
          <w:ilvl w:val="0"/>
          <w:numId w:val="20"/>
        </w:numPr>
        <w:ind w:left="360"/>
        <w:rPr>
          <w:rFonts w:cs="Calibri"/>
        </w:rPr>
      </w:pPr>
      <w:r w:rsidRPr="00CA2CC1">
        <w:rPr>
          <w:rFonts w:cs="Calibri"/>
        </w:rPr>
        <w:t>environment</w:t>
      </w:r>
    </w:p>
    <w:p w14:paraId="63902D24" w14:textId="1D40AA52" w:rsidR="00596092" w:rsidRPr="00CA2CC1" w:rsidRDefault="00596092" w:rsidP="0043303B">
      <w:pPr>
        <w:pStyle w:val="BodyText"/>
        <w:numPr>
          <w:ilvl w:val="0"/>
          <w:numId w:val="20"/>
        </w:numPr>
        <w:ind w:left="360"/>
        <w:rPr>
          <w:rFonts w:cs="Calibri"/>
        </w:rPr>
      </w:pPr>
      <w:r w:rsidRPr="00CA2CC1">
        <w:rPr>
          <w:rFonts w:cs="Calibri"/>
        </w:rPr>
        <w:t>health and human services</w:t>
      </w:r>
    </w:p>
    <w:p w14:paraId="16904857" w14:textId="77777777" w:rsidR="000E4B47" w:rsidRPr="00CA2CC1" w:rsidRDefault="00596092" w:rsidP="0043303B">
      <w:pPr>
        <w:pStyle w:val="BodyText"/>
        <w:numPr>
          <w:ilvl w:val="0"/>
          <w:numId w:val="20"/>
        </w:numPr>
        <w:ind w:left="360"/>
        <w:rPr>
          <w:rFonts w:cs="Calibri"/>
        </w:rPr>
      </w:pPr>
      <w:r w:rsidRPr="00CA2CC1">
        <w:rPr>
          <w:rFonts w:cs="Calibri"/>
        </w:rPr>
        <w:t xml:space="preserve">information and communications technology   </w:t>
      </w:r>
    </w:p>
    <w:p w14:paraId="2D20BAD6" w14:textId="41A29DE6" w:rsidR="00596092" w:rsidRPr="00CA2CC1" w:rsidRDefault="00596092" w:rsidP="0043303B">
      <w:pPr>
        <w:pStyle w:val="BodyText"/>
        <w:numPr>
          <w:ilvl w:val="0"/>
          <w:numId w:val="20"/>
        </w:numPr>
        <w:ind w:left="360"/>
        <w:rPr>
          <w:rFonts w:cs="Calibri"/>
        </w:rPr>
      </w:pPr>
      <w:r w:rsidRPr="00CA2CC1">
        <w:rPr>
          <w:rFonts w:cs="Calibri"/>
        </w:rPr>
        <w:t>justice and emergency services</w:t>
      </w:r>
    </w:p>
    <w:p w14:paraId="39F96787" w14:textId="77777777" w:rsidR="000E4B47" w:rsidRPr="00CA2CC1" w:rsidRDefault="00596092" w:rsidP="0043303B">
      <w:pPr>
        <w:pStyle w:val="BodyText"/>
        <w:numPr>
          <w:ilvl w:val="0"/>
          <w:numId w:val="20"/>
        </w:numPr>
        <w:ind w:left="360"/>
        <w:rPr>
          <w:rFonts w:cs="Calibri"/>
        </w:rPr>
      </w:pPr>
      <w:r w:rsidRPr="00CA2CC1">
        <w:rPr>
          <w:rFonts w:cs="Calibri"/>
        </w:rPr>
        <w:t xml:space="preserve">land use planning   </w:t>
      </w:r>
    </w:p>
    <w:p w14:paraId="51B336FD" w14:textId="3833E588" w:rsidR="00596092" w:rsidRPr="00CA2CC1" w:rsidRDefault="00596092" w:rsidP="0043303B">
      <w:pPr>
        <w:pStyle w:val="BodyText"/>
        <w:numPr>
          <w:ilvl w:val="0"/>
          <w:numId w:val="20"/>
        </w:numPr>
        <w:ind w:left="360"/>
        <w:rPr>
          <w:rFonts w:cs="Calibri"/>
        </w:rPr>
      </w:pPr>
      <w:r w:rsidRPr="00CA2CC1">
        <w:rPr>
          <w:rFonts w:cs="Calibri"/>
        </w:rPr>
        <w:t>transport</w:t>
      </w:r>
    </w:p>
    <w:p w14:paraId="00161470" w14:textId="050FFEEB" w:rsidR="00596092" w:rsidRPr="00CA2CC1" w:rsidRDefault="00596092" w:rsidP="0043303B">
      <w:pPr>
        <w:pStyle w:val="BodyText"/>
        <w:numPr>
          <w:ilvl w:val="0"/>
          <w:numId w:val="20"/>
        </w:numPr>
        <w:ind w:left="360"/>
        <w:rPr>
          <w:rFonts w:cs="Calibri"/>
        </w:rPr>
      </w:pPr>
      <w:r w:rsidRPr="00CA2CC1">
        <w:rPr>
          <w:rFonts w:cs="Calibri"/>
        </w:rPr>
        <w:t>water</w:t>
      </w:r>
    </w:p>
    <w:p w14:paraId="003E6734" w14:textId="77777777" w:rsidR="00596092" w:rsidRPr="00CA2CC1" w:rsidRDefault="00596092" w:rsidP="0043303B">
      <w:pPr>
        <w:pStyle w:val="BodyText"/>
        <w:spacing w:before="115"/>
        <w:ind w:left="-360"/>
        <w:rPr>
          <w:rFonts w:cs="Calibri"/>
        </w:rPr>
      </w:pPr>
    </w:p>
    <w:p w14:paraId="21B6638E" w14:textId="7F49E4DA" w:rsidR="00FA4226" w:rsidRPr="00CA2CC1" w:rsidRDefault="00FA4226" w:rsidP="0043303B">
      <w:pPr>
        <w:pStyle w:val="BodyText"/>
        <w:spacing w:before="7"/>
        <w:rPr>
          <w:rFonts w:cs="Calibri"/>
          <w:sz w:val="9"/>
        </w:rPr>
      </w:pPr>
    </w:p>
    <w:p w14:paraId="418F414B" w14:textId="77777777" w:rsidR="00FA4226" w:rsidRPr="00CA2CC1" w:rsidRDefault="00FA4226" w:rsidP="0043303B">
      <w:pPr>
        <w:rPr>
          <w:rFonts w:cs="Calibri"/>
        </w:rPr>
        <w:sectPr w:rsidR="00FA4226" w:rsidRPr="00CA2CC1" w:rsidSect="00E941A5">
          <w:type w:val="continuous"/>
          <w:pgSz w:w="11910" w:h="16840"/>
          <w:pgMar w:top="1134" w:right="1278" w:bottom="1134" w:left="1134" w:header="720" w:footer="720" w:gutter="0"/>
          <w:cols w:space="720"/>
        </w:sectPr>
      </w:pPr>
    </w:p>
    <w:p w14:paraId="2FC8A600" w14:textId="77777777" w:rsidR="00FA4226" w:rsidRPr="00CA2CC1" w:rsidRDefault="00FA4226" w:rsidP="0043303B">
      <w:pPr>
        <w:pStyle w:val="BodyText"/>
        <w:spacing w:before="3"/>
        <w:rPr>
          <w:rFonts w:cs="Calibri"/>
          <w:sz w:val="6"/>
        </w:rPr>
      </w:pPr>
    </w:p>
    <w:p w14:paraId="3F9519FA" w14:textId="7CD68AE7" w:rsidR="00FA4226" w:rsidRPr="00CA2CC1" w:rsidRDefault="00FA4226" w:rsidP="0043303B">
      <w:pPr>
        <w:pStyle w:val="BodyText"/>
        <w:rPr>
          <w:rFonts w:cs="Calibri"/>
          <w:sz w:val="2"/>
        </w:rPr>
      </w:pPr>
    </w:p>
    <w:p w14:paraId="56126CB4" w14:textId="77777777" w:rsidR="00FA4226" w:rsidRPr="00CA2CC1" w:rsidRDefault="00FA4226" w:rsidP="0043303B">
      <w:pPr>
        <w:rPr>
          <w:rFonts w:cs="Calibri"/>
          <w:sz w:val="2"/>
        </w:rPr>
        <w:sectPr w:rsidR="00FA4226" w:rsidRPr="00CA2CC1" w:rsidSect="00E941A5">
          <w:type w:val="continuous"/>
          <w:pgSz w:w="11910" w:h="16840"/>
          <w:pgMar w:top="1134" w:right="1278" w:bottom="1134" w:left="1134" w:header="720" w:footer="720" w:gutter="0"/>
          <w:cols w:space="720"/>
        </w:sectPr>
      </w:pPr>
    </w:p>
    <w:p w14:paraId="1CEF615C" w14:textId="1B7C9022" w:rsidR="00FA4226" w:rsidRPr="00CA2CC1" w:rsidRDefault="00000000" w:rsidP="0043303B">
      <w:pPr>
        <w:pStyle w:val="Heading1"/>
        <w:spacing w:before="193"/>
        <w:rPr>
          <w:rFonts w:cs="Calibri"/>
        </w:rPr>
      </w:pPr>
      <w:bookmarkStart w:id="2" w:name="Infrastructure_Victoria’s_independence"/>
      <w:bookmarkStart w:id="3" w:name="Objective_of_independence"/>
      <w:bookmarkStart w:id="4" w:name="_bookmark2"/>
      <w:bookmarkEnd w:id="2"/>
      <w:bookmarkEnd w:id="3"/>
      <w:bookmarkEnd w:id="4"/>
      <w:r w:rsidRPr="00CA2CC1">
        <w:rPr>
          <w:rFonts w:cs="Calibri"/>
          <w:color w:val="231F20"/>
          <w:spacing w:val="-2"/>
          <w:w w:val="110"/>
        </w:rPr>
        <w:lastRenderedPageBreak/>
        <w:t>Infrastructure</w:t>
      </w:r>
      <w:r w:rsidR="006D4C79" w:rsidRPr="00CA2CC1">
        <w:rPr>
          <w:rFonts w:cs="Calibri"/>
          <w:color w:val="231F20"/>
          <w:spacing w:val="80"/>
          <w:w w:val="110"/>
        </w:rPr>
        <w:t xml:space="preserve"> </w:t>
      </w:r>
      <w:r w:rsidRPr="00CA2CC1">
        <w:rPr>
          <w:rFonts w:cs="Calibri"/>
          <w:color w:val="231F20"/>
        </w:rPr>
        <w:t>Victoria’s</w:t>
      </w:r>
      <w:r w:rsidR="006D4C79" w:rsidRPr="00CA2CC1">
        <w:rPr>
          <w:rFonts w:cs="Calibri"/>
          <w:color w:val="231F20"/>
          <w:spacing w:val="73"/>
          <w:w w:val="150"/>
        </w:rPr>
        <w:t xml:space="preserve"> </w:t>
      </w:r>
      <w:r w:rsidRPr="00CA2CC1">
        <w:rPr>
          <w:rFonts w:cs="Calibri"/>
          <w:color w:val="231F20"/>
        </w:rPr>
        <w:t>independence</w:t>
      </w:r>
    </w:p>
    <w:p w14:paraId="0A2E64E3" w14:textId="77777777" w:rsidR="00FA4226" w:rsidRPr="00CA2CC1" w:rsidRDefault="00FA4226" w:rsidP="0043303B">
      <w:pPr>
        <w:pStyle w:val="BodyText"/>
        <w:ind w:left="-1134"/>
        <w:rPr>
          <w:rFonts w:cs="Calibri"/>
          <w:sz w:val="20"/>
        </w:rPr>
      </w:pPr>
    </w:p>
    <w:p w14:paraId="30E116BB" w14:textId="77777777" w:rsidR="00FA4226" w:rsidRPr="00CA2CC1" w:rsidRDefault="00FA4226" w:rsidP="0043303B">
      <w:pPr>
        <w:rPr>
          <w:rFonts w:cs="Calibri"/>
          <w:sz w:val="20"/>
        </w:rPr>
        <w:sectPr w:rsidR="00FA4226" w:rsidRPr="00CA2CC1" w:rsidSect="00E941A5">
          <w:pgSz w:w="11910" w:h="16840"/>
          <w:pgMar w:top="1134" w:right="1278" w:bottom="1134" w:left="1134" w:header="720" w:footer="720" w:gutter="0"/>
          <w:cols w:space="720"/>
        </w:sectPr>
      </w:pPr>
    </w:p>
    <w:p w14:paraId="4631DB9A" w14:textId="45678779" w:rsidR="00FA4226" w:rsidRPr="00CA2CC1" w:rsidRDefault="00000000" w:rsidP="0043303B">
      <w:pPr>
        <w:spacing w:before="227"/>
        <w:rPr>
          <w:rFonts w:cs="Calibri"/>
          <w:color w:val="000000" w:themeColor="text1"/>
          <w:sz w:val="24"/>
        </w:rPr>
      </w:pPr>
      <w:r w:rsidRPr="00CA2CC1">
        <w:rPr>
          <w:rFonts w:cs="Calibri"/>
          <w:color w:val="000000" w:themeColor="text1"/>
          <w:w w:val="110"/>
          <w:sz w:val="24"/>
        </w:rPr>
        <w:t xml:space="preserve">The Act has key provisions which </w:t>
      </w:r>
      <w:r w:rsidRPr="00CA2CC1">
        <w:rPr>
          <w:rFonts w:cs="Calibri"/>
          <w:color w:val="000000" w:themeColor="text1"/>
          <w:spacing w:val="-2"/>
          <w:w w:val="110"/>
          <w:sz w:val="24"/>
        </w:rPr>
        <w:t>ensure Infrastructure</w:t>
      </w:r>
      <w:r w:rsidRPr="00CA2CC1">
        <w:rPr>
          <w:rFonts w:cs="Calibri"/>
          <w:color w:val="000000" w:themeColor="text1"/>
          <w:spacing w:val="-30"/>
          <w:w w:val="110"/>
          <w:sz w:val="24"/>
        </w:rPr>
        <w:t xml:space="preserve"> </w:t>
      </w:r>
      <w:r w:rsidRPr="00CA2CC1">
        <w:rPr>
          <w:rFonts w:cs="Calibri"/>
          <w:color w:val="000000" w:themeColor="text1"/>
          <w:spacing w:val="-2"/>
          <w:w w:val="110"/>
          <w:sz w:val="24"/>
        </w:rPr>
        <w:t>Victoria operates independently:</w:t>
      </w:r>
    </w:p>
    <w:p w14:paraId="01C26A5B" w14:textId="77777777" w:rsidR="00FA4226" w:rsidRPr="00CA2CC1" w:rsidRDefault="00FA4226" w:rsidP="0043303B">
      <w:pPr>
        <w:pStyle w:val="BodyText"/>
        <w:spacing w:before="9"/>
        <w:rPr>
          <w:rFonts w:cs="Calibri"/>
          <w:sz w:val="25"/>
        </w:rPr>
      </w:pPr>
    </w:p>
    <w:p w14:paraId="1A76DC82" w14:textId="77777777" w:rsidR="00FA4226" w:rsidRPr="00CA2CC1" w:rsidRDefault="00000000" w:rsidP="0043303B">
      <w:pPr>
        <w:pStyle w:val="Heading3"/>
        <w:rPr>
          <w:rFonts w:cs="Calibri"/>
          <w:color w:val="000000" w:themeColor="text1"/>
        </w:rPr>
      </w:pPr>
      <w:r w:rsidRPr="00CA2CC1">
        <w:rPr>
          <w:rFonts w:cs="Calibri"/>
          <w:color w:val="000000" w:themeColor="text1"/>
        </w:rPr>
        <w:t xml:space="preserve">Objective of </w:t>
      </w:r>
      <w:r w:rsidRPr="00CA2CC1">
        <w:rPr>
          <w:rFonts w:cs="Calibri"/>
          <w:color w:val="000000" w:themeColor="text1"/>
          <w:spacing w:val="-2"/>
        </w:rPr>
        <w:t>independence</w:t>
      </w:r>
    </w:p>
    <w:p w14:paraId="5CF62A97" w14:textId="77777777" w:rsidR="00FA4226" w:rsidRPr="00CA2CC1" w:rsidRDefault="00000000" w:rsidP="0043303B">
      <w:pPr>
        <w:pStyle w:val="BodyText"/>
        <w:spacing w:before="88"/>
        <w:rPr>
          <w:rFonts w:cs="Calibri"/>
        </w:rPr>
      </w:pPr>
      <w:r w:rsidRPr="00CA2CC1">
        <w:rPr>
          <w:rFonts w:cs="Calibri"/>
        </w:rPr>
        <w:t>Infrastructure Victoria’s legislated objective is to provide independent</w:t>
      </w:r>
      <w:r w:rsidRPr="00CA2CC1">
        <w:rPr>
          <w:rFonts w:cs="Calibri"/>
          <w:spacing w:val="-9"/>
        </w:rPr>
        <w:t xml:space="preserve"> </w:t>
      </w:r>
      <w:r w:rsidRPr="00CA2CC1">
        <w:rPr>
          <w:rFonts w:cs="Calibri"/>
        </w:rPr>
        <w:t>and</w:t>
      </w:r>
      <w:r w:rsidRPr="00CA2CC1">
        <w:rPr>
          <w:rFonts w:cs="Calibri"/>
          <w:spacing w:val="-9"/>
        </w:rPr>
        <w:t xml:space="preserve"> </w:t>
      </w:r>
      <w:r w:rsidRPr="00CA2CC1">
        <w:rPr>
          <w:rFonts w:cs="Calibri"/>
        </w:rPr>
        <w:t>expert</w:t>
      </w:r>
      <w:r w:rsidRPr="00CA2CC1">
        <w:rPr>
          <w:rFonts w:cs="Calibri"/>
          <w:spacing w:val="-9"/>
        </w:rPr>
        <w:t xml:space="preserve"> </w:t>
      </w:r>
      <w:r w:rsidRPr="00CA2CC1">
        <w:rPr>
          <w:rFonts w:cs="Calibri"/>
        </w:rPr>
        <w:t>advice</w:t>
      </w:r>
      <w:r w:rsidRPr="00CA2CC1">
        <w:rPr>
          <w:rFonts w:cs="Calibri"/>
          <w:spacing w:val="-9"/>
        </w:rPr>
        <w:t xml:space="preserve"> </w:t>
      </w:r>
      <w:r w:rsidRPr="00CA2CC1">
        <w:rPr>
          <w:rFonts w:cs="Calibri"/>
        </w:rPr>
        <w:t>about</w:t>
      </w:r>
      <w:r w:rsidRPr="00CA2CC1">
        <w:rPr>
          <w:rFonts w:cs="Calibri"/>
          <w:spacing w:val="-9"/>
        </w:rPr>
        <w:t xml:space="preserve"> </w:t>
      </w:r>
      <w:r w:rsidRPr="00CA2CC1">
        <w:rPr>
          <w:rFonts w:cs="Calibri"/>
        </w:rPr>
        <w:t>Victoria’s</w:t>
      </w:r>
      <w:r w:rsidRPr="00CA2CC1">
        <w:rPr>
          <w:rFonts w:cs="Calibri"/>
          <w:spacing w:val="-9"/>
        </w:rPr>
        <w:t xml:space="preserve"> </w:t>
      </w:r>
      <w:r w:rsidRPr="00CA2CC1">
        <w:rPr>
          <w:rFonts w:cs="Calibri"/>
        </w:rPr>
        <w:t>current</w:t>
      </w:r>
      <w:r w:rsidRPr="00CA2CC1">
        <w:rPr>
          <w:rFonts w:cs="Calibri"/>
          <w:spacing w:val="-9"/>
        </w:rPr>
        <w:t xml:space="preserve"> </w:t>
      </w:r>
      <w:r w:rsidRPr="00CA2CC1">
        <w:rPr>
          <w:rFonts w:cs="Calibri"/>
        </w:rPr>
        <w:t>and future infrastructure needs. This independence strongly informs the organisation’s culture and behaviour.</w:t>
      </w:r>
    </w:p>
    <w:p w14:paraId="6ACCB8A5" w14:textId="77777777" w:rsidR="00FA4226" w:rsidRPr="00CA2CC1" w:rsidRDefault="00FA4226" w:rsidP="0043303B">
      <w:pPr>
        <w:pStyle w:val="BodyText"/>
        <w:spacing w:before="2"/>
        <w:rPr>
          <w:rFonts w:cs="Calibri"/>
        </w:rPr>
      </w:pPr>
    </w:p>
    <w:p w14:paraId="4AD49152" w14:textId="77777777" w:rsidR="00FA4226" w:rsidRPr="00CA2CC1" w:rsidRDefault="00000000" w:rsidP="0043303B">
      <w:pPr>
        <w:pStyle w:val="Heading3"/>
        <w:rPr>
          <w:rFonts w:cs="Calibri"/>
          <w:color w:val="000000" w:themeColor="text1"/>
        </w:rPr>
      </w:pPr>
      <w:r w:rsidRPr="00CA2CC1">
        <w:rPr>
          <w:rFonts w:cs="Calibri"/>
          <w:color w:val="000000" w:themeColor="text1"/>
        </w:rPr>
        <w:t xml:space="preserve">Independent </w:t>
      </w:r>
      <w:r w:rsidRPr="00CA2CC1">
        <w:rPr>
          <w:rFonts w:cs="Calibri"/>
          <w:color w:val="000000" w:themeColor="text1"/>
          <w:spacing w:val="-2"/>
        </w:rPr>
        <w:t>board</w:t>
      </w:r>
    </w:p>
    <w:p w14:paraId="692728A8" w14:textId="76933861" w:rsidR="00150610" w:rsidRPr="00CA2CC1" w:rsidRDefault="00000000" w:rsidP="0043303B">
      <w:pPr>
        <w:pStyle w:val="BodyText"/>
        <w:spacing w:before="88"/>
        <w:rPr>
          <w:rFonts w:cs="Calibri"/>
        </w:rPr>
      </w:pPr>
      <w:r w:rsidRPr="00CA2CC1">
        <w:rPr>
          <w:rFonts w:cs="Calibri"/>
        </w:rPr>
        <w:t>Infrastructure Victoria’s board consists of 7 directors. Four</w:t>
      </w:r>
      <w:r w:rsidRPr="00CA2CC1">
        <w:rPr>
          <w:rFonts w:cs="Calibri"/>
          <w:spacing w:val="40"/>
        </w:rPr>
        <w:t xml:space="preserve"> </w:t>
      </w:r>
      <w:r w:rsidRPr="00CA2CC1">
        <w:rPr>
          <w:rFonts w:cs="Calibri"/>
        </w:rPr>
        <w:t>of these directors are appointed by the Governor in Council and must meet private sector knowledge and experience requirements. Appointed board members cannot be removed without the agreement of the Governor of Victoria. The chair of the board cannot be removed without a statement</w:t>
      </w:r>
      <w:r w:rsidRPr="00CA2CC1">
        <w:rPr>
          <w:rFonts w:cs="Calibri"/>
          <w:spacing w:val="-7"/>
        </w:rPr>
        <w:t xml:space="preserve"> </w:t>
      </w:r>
      <w:r w:rsidRPr="00CA2CC1">
        <w:rPr>
          <w:rFonts w:cs="Calibri"/>
        </w:rPr>
        <w:t>of</w:t>
      </w:r>
      <w:r w:rsidRPr="00CA2CC1">
        <w:rPr>
          <w:rFonts w:cs="Calibri"/>
          <w:spacing w:val="-7"/>
        </w:rPr>
        <w:t xml:space="preserve"> </w:t>
      </w:r>
      <w:r w:rsidRPr="00CA2CC1">
        <w:rPr>
          <w:rFonts w:cs="Calibri"/>
        </w:rPr>
        <w:t>grounds</w:t>
      </w:r>
      <w:r w:rsidRPr="00CA2CC1">
        <w:rPr>
          <w:rFonts w:cs="Calibri"/>
          <w:spacing w:val="-7"/>
        </w:rPr>
        <w:t xml:space="preserve"> </w:t>
      </w:r>
      <w:r w:rsidRPr="00CA2CC1">
        <w:rPr>
          <w:rFonts w:cs="Calibri"/>
        </w:rPr>
        <w:t>being</w:t>
      </w:r>
      <w:r w:rsidRPr="00CA2CC1">
        <w:rPr>
          <w:rFonts w:cs="Calibri"/>
          <w:spacing w:val="-7"/>
        </w:rPr>
        <w:t xml:space="preserve"> </w:t>
      </w:r>
      <w:r w:rsidRPr="00CA2CC1">
        <w:rPr>
          <w:rFonts w:cs="Calibri"/>
        </w:rPr>
        <w:t>provided</w:t>
      </w:r>
      <w:r w:rsidRPr="00CA2CC1">
        <w:rPr>
          <w:rFonts w:cs="Calibri"/>
          <w:spacing w:val="-7"/>
        </w:rPr>
        <w:t xml:space="preserve"> </w:t>
      </w:r>
      <w:r w:rsidRPr="00CA2CC1">
        <w:rPr>
          <w:rFonts w:cs="Calibri"/>
        </w:rPr>
        <w:t>to</w:t>
      </w:r>
      <w:r w:rsidRPr="00CA2CC1">
        <w:rPr>
          <w:rFonts w:cs="Calibri"/>
          <w:spacing w:val="-7"/>
        </w:rPr>
        <w:t xml:space="preserve"> </w:t>
      </w:r>
      <w:r w:rsidRPr="00CA2CC1">
        <w:rPr>
          <w:rFonts w:cs="Calibri"/>
        </w:rPr>
        <w:t>Parliament.</w:t>
      </w:r>
      <w:r w:rsidRPr="00CA2CC1">
        <w:rPr>
          <w:rFonts w:cs="Calibri"/>
          <w:spacing w:val="-7"/>
        </w:rPr>
        <w:t xml:space="preserve"> </w:t>
      </w:r>
      <w:r w:rsidRPr="00CA2CC1">
        <w:rPr>
          <w:rFonts w:cs="Calibri"/>
        </w:rPr>
        <w:t>Three</w:t>
      </w:r>
      <w:r w:rsidRPr="00CA2CC1">
        <w:rPr>
          <w:rFonts w:cs="Calibri"/>
          <w:spacing w:val="-7"/>
        </w:rPr>
        <w:t xml:space="preserve"> </w:t>
      </w:r>
      <w:r w:rsidRPr="00CA2CC1">
        <w:rPr>
          <w:rFonts w:cs="Calibri"/>
        </w:rPr>
        <w:t>of the board directors are secretaries of Victorian Government departments. These departmental secretaries appropriately represent and inform Infrastructure Victoria. While acting</w:t>
      </w:r>
      <w:r w:rsidR="006C7AFF" w:rsidRPr="00CA2CC1">
        <w:rPr>
          <w:rFonts w:cs="Calibri"/>
        </w:rPr>
        <w:t xml:space="preserve"> </w:t>
      </w:r>
      <w:r w:rsidRPr="00CA2CC1">
        <w:rPr>
          <w:rFonts w:cs="Calibri"/>
        </w:rPr>
        <w:t>in their role with Infrastructure Victoria, all board directors have</w:t>
      </w:r>
      <w:r w:rsidRPr="00CA2CC1">
        <w:rPr>
          <w:rFonts w:cs="Calibri"/>
          <w:spacing w:val="-4"/>
        </w:rPr>
        <w:t xml:space="preserve"> </w:t>
      </w:r>
      <w:r w:rsidRPr="00CA2CC1">
        <w:rPr>
          <w:rFonts w:cs="Calibri"/>
        </w:rPr>
        <w:t>a</w:t>
      </w:r>
      <w:r w:rsidRPr="00CA2CC1">
        <w:rPr>
          <w:rFonts w:cs="Calibri"/>
          <w:spacing w:val="-4"/>
        </w:rPr>
        <w:t xml:space="preserve"> </w:t>
      </w:r>
      <w:r w:rsidRPr="00CA2CC1">
        <w:rPr>
          <w:rFonts w:cs="Calibri"/>
        </w:rPr>
        <w:t>legal</w:t>
      </w:r>
      <w:r w:rsidRPr="00CA2CC1">
        <w:rPr>
          <w:rFonts w:cs="Calibri"/>
          <w:spacing w:val="-4"/>
        </w:rPr>
        <w:t xml:space="preserve"> </w:t>
      </w:r>
      <w:r w:rsidRPr="00CA2CC1">
        <w:rPr>
          <w:rFonts w:cs="Calibri"/>
        </w:rPr>
        <w:t>duty</w:t>
      </w:r>
      <w:r w:rsidRPr="00CA2CC1">
        <w:rPr>
          <w:rFonts w:cs="Calibri"/>
          <w:spacing w:val="-4"/>
        </w:rPr>
        <w:t xml:space="preserve"> </w:t>
      </w:r>
      <w:r w:rsidRPr="00CA2CC1">
        <w:rPr>
          <w:rFonts w:cs="Calibri"/>
        </w:rPr>
        <w:t>to</w:t>
      </w:r>
      <w:r w:rsidRPr="00CA2CC1">
        <w:rPr>
          <w:rFonts w:cs="Calibri"/>
          <w:spacing w:val="-4"/>
        </w:rPr>
        <w:t xml:space="preserve"> </w:t>
      </w:r>
      <w:r w:rsidRPr="00CA2CC1">
        <w:rPr>
          <w:rFonts w:cs="Calibri"/>
        </w:rPr>
        <w:t>give</w:t>
      </w:r>
      <w:r w:rsidRPr="00CA2CC1">
        <w:rPr>
          <w:rFonts w:cs="Calibri"/>
          <w:spacing w:val="-4"/>
        </w:rPr>
        <w:t xml:space="preserve"> </w:t>
      </w:r>
      <w:r w:rsidRPr="00CA2CC1">
        <w:rPr>
          <w:rFonts w:cs="Calibri"/>
        </w:rPr>
        <w:t>priority</w:t>
      </w:r>
      <w:r w:rsidRPr="00CA2CC1">
        <w:rPr>
          <w:rFonts w:cs="Calibri"/>
          <w:spacing w:val="-4"/>
        </w:rPr>
        <w:t xml:space="preserve"> </w:t>
      </w:r>
      <w:r w:rsidRPr="00CA2CC1">
        <w:rPr>
          <w:rFonts w:cs="Calibri"/>
        </w:rPr>
        <w:t>to</w:t>
      </w:r>
      <w:r w:rsidRPr="00CA2CC1">
        <w:rPr>
          <w:rFonts w:cs="Calibri"/>
          <w:spacing w:val="-4"/>
        </w:rPr>
        <w:t xml:space="preserve"> </w:t>
      </w:r>
      <w:r w:rsidRPr="00CA2CC1">
        <w:rPr>
          <w:rFonts w:cs="Calibri"/>
        </w:rPr>
        <w:t>the</w:t>
      </w:r>
      <w:r w:rsidRPr="00CA2CC1">
        <w:rPr>
          <w:rFonts w:cs="Calibri"/>
          <w:spacing w:val="-4"/>
        </w:rPr>
        <w:t xml:space="preserve"> </w:t>
      </w:r>
      <w:r w:rsidRPr="00CA2CC1">
        <w:rPr>
          <w:rFonts w:cs="Calibri"/>
        </w:rPr>
        <w:t>best</w:t>
      </w:r>
      <w:r w:rsidRPr="00CA2CC1">
        <w:rPr>
          <w:rFonts w:cs="Calibri"/>
          <w:spacing w:val="-4"/>
        </w:rPr>
        <w:t xml:space="preserve"> </w:t>
      </w:r>
      <w:r w:rsidRPr="00CA2CC1">
        <w:rPr>
          <w:rFonts w:cs="Calibri"/>
        </w:rPr>
        <w:t>interests</w:t>
      </w:r>
      <w:r w:rsidRPr="00CA2CC1">
        <w:rPr>
          <w:rFonts w:cs="Calibri"/>
          <w:spacing w:val="-4"/>
        </w:rPr>
        <w:t xml:space="preserve"> </w:t>
      </w:r>
      <w:r w:rsidRPr="00CA2CC1">
        <w:rPr>
          <w:rFonts w:cs="Calibri"/>
        </w:rPr>
        <w:t>of</w:t>
      </w:r>
      <w:r w:rsidRPr="00CA2CC1">
        <w:rPr>
          <w:rFonts w:cs="Calibri"/>
          <w:spacing w:val="-4"/>
        </w:rPr>
        <w:t xml:space="preserve"> </w:t>
      </w:r>
      <w:r w:rsidRPr="00CA2CC1">
        <w:rPr>
          <w:rFonts w:cs="Calibri"/>
        </w:rPr>
        <w:t xml:space="preserve">the </w:t>
      </w:r>
      <w:r w:rsidRPr="00CA2CC1">
        <w:rPr>
          <w:rFonts w:cs="Calibri"/>
          <w:spacing w:val="-2"/>
        </w:rPr>
        <w:t>organisation.</w:t>
      </w:r>
    </w:p>
    <w:p w14:paraId="1DFF8BD9" w14:textId="77777777" w:rsidR="00150610" w:rsidRPr="00CA2CC1" w:rsidRDefault="00150610" w:rsidP="0043303B">
      <w:pPr>
        <w:pStyle w:val="BodyText"/>
        <w:rPr>
          <w:rFonts w:cs="Calibri"/>
        </w:rPr>
      </w:pPr>
    </w:p>
    <w:p w14:paraId="6AB88C17" w14:textId="129B415C" w:rsidR="00FA4226" w:rsidRPr="00CA2CC1" w:rsidRDefault="00000000" w:rsidP="0043303B">
      <w:pPr>
        <w:pStyle w:val="Heading3"/>
        <w:rPr>
          <w:rFonts w:cs="Calibri"/>
          <w:color w:val="000000" w:themeColor="text1"/>
        </w:rPr>
      </w:pPr>
      <w:r w:rsidRPr="00CA2CC1">
        <w:rPr>
          <w:rFonts w:cs="Calibri"/>
          <w:color w:val="000000" w:themeColor="text1"/>
        </w:rPr>
        <w:t>No ministerial direction or control</w:t>
      </w:r>
    </w:p>
    <w:p w14:paraId="5D3B8D49" w14:textId="1D8B9068" w:rsidR="00FA4226" w:rsidRPr="00CA2CC1" w:rsidRDefault="00000000" w:rsidP="0043303B">
      <w:pPr>
        <w:pStyle w:val="BodyText"/>
        <w:spacing w:before="88"/>
        <w:rPr>
          <w:rFonts w:cs="Calibri"/>
        </w:rPr>
      </w:pPr>
      <w:r w:rsidRPr="00CA2CC1">
        <w:rPr>
          <w:rFonts w:cs="Calibri"/>
        </w:rPr>
        <w:t>Infrastructure Victoria is not subject to direction or control</w:t>
      </w:r>
      <w:r w:rsidRPr="00CA2CC1">
        <w:rPr>
          <w:rFonts w:cs="Calibri"/>
          <w:spacing w:val="-5"/>
        </w:rPr>
        <w:t xml:space="preserve"> </w:t>
      </w:r>
      <w:r w:rsidRPr="00CA2CC1">
        <w:rPr>
          <w:rFonts w:cs="Calibri"/>
        </w:rPr>
        <w:t>of</w:t>
      </w:r>
      <w:r w:rsidRPr="00CA2CC1">
        <w:rPr>
          <w:rFonts w:cs="Calibri"/>
          <w:spacing w:val="-5"/>
        </w:rPr>
        <w:t xml:space="preserve"> </w:t>
      </w:r>
      <w:r w:rsidRPr="00CA2CC1">
        <w:rPr>
          <w:rFonts w:cs="Calibri"/>
        </w:rPr>
        <w:t>the</w:t>
      </w:r>
      <w:r w:rsidRPr="00CA2CC1">
        <w:rPr>
          <w:rFonts w:cs="Calibri"/>
          <w:spacing w:val="-5"/>
        </w:rPr>
        <w:t xml:space="preserve"> </w:t>
      </w:r>
      <w:r w:rsidRPr="00CA2CC1">
        <w:rPr>
          <w:rFonts w:cs="Calibri"/>
        </w:rPr>
        <w:t>minister</w:t>
      </w:r>
      <w:r w:rsidRPr="00CA2CC1">
        <w:rPr>
          <w:rFonts w:cs="Calibri"/>
          <w:spacing w:val="-5"/>
        </w:rPr>
        <w:t xml:space="preserve"> </w:t>
      </w:r>
      <w:r w:rsidRPr="00CA2CC1">
        <w:rPr>
          <w:rFonts w:cs="Calibri"/>
        </w:rPr>
        <w:t>when</w:t>
      </w:r>
      <w:r w:rsidRPr="00CA2CC1">
        <w:rPr>
          <w:rFonts w:cs="Calibri"/>
          <w:spacing w:val="-5"/>
        </w:rPr>
        <w:t xml:space="preserve"> </w:t>
      </w:r>
      <w:r w:rsidRPr="00CA2CC1">
        <w:rPr>
          <w:rFonts w:cs="Calibri"/>
        </w:rPr>
        <w:t>it</w:t>
      </w:r>
      <w:r w:rsidRPr="00CA2CC1">
        <w:rPr>
          <w:rFonts w:cs="Calibri"/>
          <w:spacing w:val="-5"/>
        </w:rPr>
        <w:t xml:space="preserve"> </w:t>
      </w:r>
      <w:r w:rsidRPr="00CA2CC1">
        <w:rPr>
          <w:rFonts w:cs="Calibri"/>
        </w:rPr>
        <w:t>performs</w:t>
      </w:r>
      <w:r w:rsidRPr="00CA2CC1">
        <w:rPr>
          <w:rFonts w:cs="Calibri"/>
          <w:spacing w:val="-5"/>
        </w:rPr>
        <w:t xml:space="preserve"> </w:t>
      </w:r>
      <w:r w:rsidRPr="00CA2CC1">
        <w:rPr>
          <w:rFonts w:cs="Calibri"/>
        </w:rPr>
        <w:t>functions</w:t>
      </w:r>
      <w:r w:rsidRPr="00CA2CC1">
        <w:rPr>
          <w:rFonts w:cs="Calibri"/>
          <w:spacing w:val="-5"/>
        </w:rPr>
        <w:t xml:space="preserve"> </w:t>
      </w:r>
      <w:r w:rsidRPr="00CA2CC1">
        <w:rPr>
          <w:rFonts w:cs="Calibri"/>
        </w:rPr>
        <w:t>such as development of the 30-year infrastructure strategy,</w:t>
      </w:r>
      <w:r w:rsidR="006C7AFF" w:rsidRPr="00CA2CC1">
        <w:rPr>
          <w:rFonts w:cs="Calibri"/>
        </w:rPr>
        <w:t xml:space="preserve"> </w:t>
      </w:r>
      <w:r w:rsidRPr="00CA2CC1">
        <w:rPr>
          <w:rFonts w:cs="Calibri"/>
        </w:rPr>
        <w:t>undertaking</w:t>
      </w:r>
      <w:r w:rsidRPr="00CA2CC1">
        <w:rPr>
          <w:rFonts w:cs="Calibri"/>
          <w:spacing w:val="-7"/>
        </w:rPr>
        <w:t xml:space="preserve"> </w:t>
      </w:r>
      <w:r w:rsidRPr="00CA2CC1">
        <w:rPr>
          <w:rFonts w:cs="Calibri"/>
        </w:rPr>
        <w:t>research</w:t>
      </w:r>
      <w:r w:rsidRPr="00CA2CC1">
        <w:rPr>
          <w:rFonts w:cs="Calibri"/>
          <w:spacing w:val="-7"/>
        </w:rPr>
        <w:t xml:space="preserve"> </w:t>
      </w:r>
      <w:r w:rsidRPr="00CA2CC1">
        <w:rPr>
          <w:rFonts w:cs="Calibri"/>
        </w:rPr>
        <w:t>or</w:t>
      </w:r>
      <w:r w:rsidRPr="00CA2CC1">
        <w:rPr>
          <w:rFonts w:cs="Calibri"/>
          <w:spacing w:val="-7"/>
        </w:rPr>
        <w:t xml:space="preserve"> </w:t>
      </w:r>
      <w:r w:rsidRPr="00CA2CC1">
        <w:rPr>
          <w:rFonts w:cs="Calibri"/>
        </w:rPr>
        <w:t>supporting</w:t>
      </w:r>
      <w:r w:rsidRPr="00CA2CC1">
        <w:rPr>
          <w:rFonts w:cs="Calibri"/>
          <w:spacing w:val="-7"/>
        </w:rPr>
        <w:t xml:space="preserve"> </w:t>
      </w:r>
      <w:r w:rsidRPr="00CA2CC1">
        <w:rPr>
          <w:rFonts w:cs="Calibri"/>
        </w:rPr>
        <w:t>development</w:t>
      </w:r>
      <w:r w:rsidRPr="00CA2CC1">
        <w:rPr>
          <w:rFonts w:cs="Calibri"/>
          <w:spacing w:val="-7"/>
        </w:rPr>
        <w:t xml:space="preserve"> </w:t>
      </w:r>
      <w:r w:rsidRPr="00CA2CC1">
        <w:rPr>
          <w:rFonts w:cs="Calibri"/>
        </w:rPr>
        <w:t>of</w:t>
      </w:r>
      <w:r w:rsidRPr="00CA2CC1">
        <w:rPr>
          <w:rFonts w:cs="Calibri"/>
          <w:spacing w:val="-7"/>
        </w:rPr>
        <w:t xml:space="preserve"> </w:t>
      </w:r>
      <w:r w:rsidRPr="00CA2CC1">
        <w:rPr>
          <w:rFonts w:cs="Calibri"/>
        </w:rPr>
        <w:t>sectoral infrastructure strategies. A departmental secretary cannot be directed by a minister in relation to his or her role as a director of Infrastructure Victoria.</w:t>
      </w:r>
    </w:p>
    <w:p w14:paraId="50A81C29" w14:textId="77777777" w:rsidR="00FA4226" w:rsidRPr="00CA2CC1" w:rsidRDefault="00FA4226" w:rsidP="0043303B">
      <w:pPr>
        <w:pStyle w:val="BodyText"/>
        <w:spacing w:before="12"/>
        <w:rPr>
          <w:rFonts w:cs="Calibri"/>
          <w:sz w:val="21"/>
        </w:rPr>
      </w:pPr>
    </w:p>
    <w:p w14:paraId="5C4D2749" w14:textId="77777777" w:rsidR="00FA4226" w:rsidRPr="00CA2CC1" w:rsidRDefault="00000000" w:rsidP="0043303B">
      <w:pPr>
        <w:pStyle w:val="Heading3"/>
        <w:rPr>
          <w:rFonts w:cs="Calibri"/>
          <w:color w:val="000000" w:themeColor="text1"/>
        </w:rPr>
      </w:pPr>
      <w:r w:rsidRPr="00CA2CC1">
        <w:rPr>
          <w:rFonts w:cs="Calibri"/>
          <w:color w:val="000000" w:themeColor="text1"/>
        </w:rPr>
        <w:t>Freedom</w:t>
      </w:r>
      <w:r w:rsidRPr="00CA2CC1">
        <w:rPr>
          <w:rFonts w:cs="Calibri"/>
          <w:color w:val="000000" w:themeColor="text1"/>
          <w:spacing w:val="-5"/>
        </w:rPr>
        <w:t xml:space="preserve"> </w:t>
      </w:r>
      <w:r w:rsidRPr="00CA2CC1">
        <w:rPr>
          <w:rFonts w:cs="Calibri"/>
          <w:color w:val="000000" w:themeColor="text1"/>
        </w:rPr>
        <w:t>to</w:t>
      </w:r>
      <w:r w:rsidRPr="00CA2CC1">
        <w:rPr>
          <w:rFonts w:cs="Calibri"/>
          <w:color w:val="000000" w:themeColor="text1"/>
          <w:spacing w:val="-3"/>
        </w:rPr>
        <w:t xml:space="preserve"> </w:t>
      </w:r>
      <w:r w:rsidRPr="00CA2CC1">
        <w:rPr>
          <w:rFonts w:cs="Calibri"/>
          <w:color w:val="000000" w:themeColor="text1"/>
          <w:spacing w:val="-2"/>
        </w:rPr>
        <w:t>publish</w:t>
      </w:r>
    </w:p>
    <w:p w14:paraId="0494DF84" w14:textId="28E1EDF9" w:rsidR="00FA4226" w:rsidRPr="00CA2CC1" w:rsidRDefault="00000000" w:rsidP="0043303B">
      <w:pPr>
        <w:pStyle w:val="BodyText"/>
        <w:spacing w:before="88"/>
        <w:rPr>
          <w:rFonts w:cs="Calibri"/>
        </w:rPr>
      </w:pPr>
      <w:r w:rsidRPr="00CA2CC1">
        <w:rPr>
          <w:rFonts w:cs="Calibri"/>
        </w:rPr>
        <w:t>Infrastructure</w:t>
      </w:r>
      <w:r w:rsidRPr="00CA2CC1">
        <w:rPr>
          <w:rFonts w:cs="Calibri"/>
          <w:spacing w:val="-6"/>
        </w:rPr>
        <w:t xml:space="preserve"> </w:t>
      </w:r>
      <w:r w:rsidRPr="00CA2CC1">
        <w:rPr>
          <w:rFonts w:cs="Calibri"/>
        </w:rPr>
        <w:t>Victoria</w:t>
      </w:r>
      <w:r w:rsidRPr="00CA2CC1">
        <w:rPr>
          <w:rFonts w:cs="Calibri"/>
          <w:spacing w:val="-6"/>
        </w:rPr>
        <w:t xml:space="preserve"> </w:t>
      </w:r>
      <w:r w:rsidRPr="00CA2CC1">
        <w:rPr>
          <w:rFonts w:cs="Calibri"/>
        </w:rPr>
        <w:t>does</w:t>
      </w:r>
      <w:r w:rsidRPr="00CA2CC1">
        <w:rPr>
          <w:rFonts w:cs="Calibri"/>
          <w:spacing w:val="-6"/>
        </w:rPr>
        <w:t xml:space="preserve"> </w:t>
      </w:r>
      <w:r w:rsidRPr="00CA2CC1">
        <w:rPr>
          <w:rFonts w:cs="Calibri"/>
        </w:rPr>
        <w:t>not</w:t>
      </w:r>
      <w:r w:rsidRPr="00CA2CC1">
        <w:rPr>
          <w:rFonts w:cs="Calibri"/>
          <w:spacing w:val="-6"/>
        </w:rPr>
        <w:t xml:space="preserve"> </w:t>
      </w:r>
      <w:r w:rsidRPr="00CA2CC1">
        <w:rPr>
          <w:rFonts w:cs="Calibri"/>
        </w:rPr>
        <w:t>require</w:t>
      </w:r>
      <w:r w:rsidRPr="00CA2CC1">
        <w:rPr>
          <w:rFonts w:cs="Calibri"/>
          <w:spacing w:val="-6"/>
        </w:rPr>
        <w:t xml:space="preserve"> </w:t>
      </w:r>
      <w:r w:rsidRPr="00CA2CC1">
        <w:rPr>
          <w:rFonts w:cs="Calibri"/>
        </w:rPr>
        <w:t>the</w:t>
      </w:r>
      <w:r w:rsidRPr="00CA2CC1">
        <w:rPr>
          <w:rFonts w:cs="Calibri"/>
          <w:spacing w:val="-6"/>
        </w:rPr>
        <w:t xml:space="preserve"> </w:t>
      </w:r>
      <w:r w:rsidRPr="00CA2CC1">
        <w:rPr>
          <w:rFonts w:cs="Calibri"/>
        </w:rPr>
        <w:t>approval</w:t>
      </w:r>
      <w:r w:rsidRPr="00CA2CC1">
        <w:rPr>
          <w:rFonts w:cs="Calibri"/>
          <w:spacing w:val="-6"/>
        </w:rPr>
        <w:t xml:space="preserve"> </w:t>
      </w:r>
      <w:r w:rsidRPr="00CA2CC1">
        <w:rPr>
          <w:rFonts w:cs="Calibri"/>
        </w:rPr>
        <w:t>of</w:t>
      </w:r>
      <w:r w:rsidRPr="00CA2CC1">
        <w:rPr>
          <w:rFonts w:cs="Calibri"/>
          <w:spacing w:val="-6"/>
        </w:rPr>
        <w:t xml:space="preserve"> </w:t>
      </w:r>
      <w:r w:rsidRPr="00CA2CC1">
        <w:rPr>
          <w:rFonts w:cs="Calibri"/>
        </w:rPr>
        <w:t>the government to publish its 30-year strategy or research.</w:t>
      </w:r>
      <w:r w:rsidR="002C0778" w:rsidRPr="00CA2CC1">
        <w:rPr>
          <w:rFonts w:cs="Calibri"/>
        </w:rPr>
        <w:t xml:space="preserve"> </w:t>
      </w:r>
      <w:r w:rsidRPr="00CA2CC1">
        <w:rPr>
          <w:rFonts w:cs="Calibri"/>
        </w:rPr>
        <w:t>The</w:t>
      </w:r>
      <w:r w:rsidRPr="00CA2CC1">
        <w:rPr>
          <w:rFonts w:cs="Calibri"/>
          <w:spacing w:val="-4"/>
        </w:rPr>
        <w:t xml:space="preserve"> </w:t>
      </w:r>
      <w:r w:rsidRPr="00CA2CC1">
        <w:rPr>
          <w:rFonts w:cs="Calibri"/>
        </w:rPr>
        <w:t>30-year</w:t>
      </w:r>
      <w:r w:rsidRPr="00CA2CC1">
        <w:rPr>
          <w:rFonts w:cs="Calibri"/>
          <w:spacing w:val="-4"/>
        </w:rPr>
        <w:t xml:space="preserve"> </w:t>
      </w:r>
      <w:r w:rsidRPr="00CA2CC1">
        <w:rPr>
          <w:rFonts w:cs="Calibri"/>
        </w:rPr>
        <w:t>strategy</w:t>
      </w:r>
      <w:r w:rsidRPr="00CA2CC1">
        <w:rPr>
          <w:rFonts w:cs="Calibri"/>
          <w:spacing w:val="-4"/>
        </w:rPr>
        <w:t xml:space="preserve"> </w:t>
      </w:r>
      <w:r w:rsidRPr="00CA2CC1">
        <w:rPr>
          <w:rFonts w:cs="Calibri"/>
        </w:rPr>
        <w:t>is</w:t>
      </w:r>
      <w:r w:rsidRPr="00CA2CC1">
        <w:rPr>
          <w:rFonts w:cs="Calibri"/>
          <w:spacing w:val="-4"/>
        </w:rPr>
        <w:t xml:space="preserve"> </w:t>
      </w:r>
      <w:r w:rsidRPr="00CA2CC1">
        <w:rPr>
          <w:rFonts w:cs="Calibri"/>
        </w:rPr>
        <w:t>transmitted</w:t>
      </w:r>
      <w:r w:rsidRPr="00CA2CC1">
        <w:rPr>
          <w:rFonts w:cs="Calibri"/>
          <w:spacing w:val="-4"/>
        </w:rPr>
        <w:t xml:space="preserve"> </w:t>
      </w:r>
      <w:r w:rsidRPr="00CA2CC1">
        <w:rPr>
          <w:rFonts w:cs="Calibri"/>
        </w:rPr>
        <w:t>to</w:t>
      </w:r>
      <w:r w:rsidRPr="00CA2CC1">
        <w:rPr>
          <w:rFonts w:cs="Calibri"/>
          <w:spacing w:val="-4"/>
        </w:rPr>
        <w:t xml:space="preserve"> </w:t>
      </w:r>
      <w:r w:rsidRPr="00CA2CC1">
        <w:rPr>
          <w:rFonts w:cs="Calibri"/>
        </w:rPr>
        <w:t>the</w:t>
      </w:r>
      <w:r w:rsidRPr="00CA2CC1">
        <w:rPr>
          <w:rFonts w:cs="Calibri"/>
          <w:spacing w:val="-4"/>
        </w:rPr>
        <w:t xml:space="preserve"> </w:t>
      </w:r>
      <w:r w:rsidRPr="00CA2CC1">
        <w:rPr>
          <w:rFonts w:cs="Calibri"/>
        </w:rPr>
        <w:t>Parliament</w:t>
      </w:r>
      <w:r w:rsidRPr="00CA2CC1">
        <w:rPr>
          <w:rFonts w:cs="Calibri"/>
          <w:spacing w:val="-4"/>
        </w:rPr>
        <w:t xml:space="preserve"> </w:t>
      </w:r>
      <w:r w:rsidRPr="00CA2CC1">
        <w:rPr>
          <w:rFonts w:cs="Calibri"/>
        </w:rPr>
        <w:t>for</w:t>
      </w:r>
      <w:r w:rsidRPr="00CA2CC1">
        <w:rPr>
          <w:rFonts w:cs="Calibri"/>
          <w:spacing w:val="-4"/>
        </w:rPr>
        <w:t xml:space="preserve"> </w:t>
      </w:r>
      <w:r w:rsidRPr="00CA2CC1">
        <w:rPr>
          <w:rFonts w:cs="Calibri"/>
        </w:rPr>
        <w:t>all Victorians to see as soon as possible after it is</w:t>
      </w:r>
      <w:r w:rsidRPr="00CA2CC1">
        <w:rPr>
          <w:rFonts w:cs="Calibri"/>
          <w:spacing w:val="1"/>
        </w:rPr>
        <w:t xml:space="preserve"> </w:t>
      </w:r>
      <w:r w:rsidRPr="00CA2CC1">
        <w:rPr>
          <w:rFonts w:cs="Calibri"/>
          <w:spacing w:val="-2"/>
        </w:rPr>
        <w:t>completed.</w:t>
      </w:r>
    </w:p>
    <w:p w14:paraId="5E4F87F1" w14:textId="77777777" w:rsidR="00FA4226" w:rsidRPr="00CA2CC1" w:rsidRDefault="00FA4226" w:rsidP="0043303B">
      <w:pPr>
        <w:pStyle w:val="BodyText"/>
        <w:spacing w:before="2"/>
        <w:rPr>
          <w:rFonts w:cs="Calibri"/>
        </w:rPr>
      </w:pPr>
    </w:p>
    <w:p w14:paraId="2C1F2336" w14:textId="77777777" w:rsidR="00FA4226" w:rsidRPr="00CA2CC1" w:rsidRDefault="00000000" w:rsidP="0043303B">
      <w:pPr>
        <w:pStyle w:val="Heading3"/>
        <w:rPr>
          <w:rFonts w:cs="Calibri"/>
          <w:color w:val="000000" w:themeColor="text1"/>
        </w:rPr>
      </w:pPr>
      <w:r w:rsidRPr="00CA2CC1">
        <w:rPr>
          <w:rFonts w:cs="Calibri"/>
          <w:color w:val="000000" w:themeColor="text1"/>
        </w:rPr>
        <w:t>Independence</w:t>
      </w:r>
      <w:r w:rsidRPr="00CA2CC1">
        <w:rPr>
          <w:rFonts w:cs="Calibri"/>
          <w:color w:val="000000" w:themeColor="text1"/>
          <w:spacing w:val="-2"/>
        </w:rPr>
        <w:t xml:space="preserve"> </w:t>
      </w:r>
      <w:r w:rsidRPr="00CA2CC1">
        <w:rPr>
          <w:rFonts w:cs="Calibri"/>
          <w:color w:val="000000" w:themeColor="text1"/>
        </w:rPr>
        <w:t xml:space="preserve">of </w:t>
      </w:r>
      <w:r w:rsidRPr="00CA2CC1">
        <w:rPr>
          <w:rFonts w:cs="Calibri"/>
          <w:color w:val="000000" w:themeColor="text1"/>
          <w:spacing w:val="-2"/>
        </w:rPr>
        <w:t>advice</w:t>
      </w:r>
    </w:p>
    <w:p w14:paraId="41968F5B" w14:textId="77777777" w:rsidR="00FA4226" w:rsidRPr="00CA2CC1" w:rsidRDefault="00000000" w:rsidP="0043303B">
      <w:pPr>
        <w:pStyle w:val="BodyText"/>
        <w:spacing w:before="88"/>
        <w:rPr>
          <w:rFonts w:cs="Calibri"/>
        </w:rPr>
      </w:pPr>
      <w:r w:rsidRPr="00CA2CC1">
        <w:rPr>
          <w:rFonts w:cs="Calibri"/>
        </w:rPr>
        <w:t>The</w:t>
      </w:r>
      <w:r w:rsidRPr="00CA2CC1">
        <w:rPr>
          <w:rFonts w:cs="Calibri"/>
          <w:spacing w:val="-7"/>
        </w:rPr>
        <w:t xml:space="preserve"> </w:t>
      </w:r>
      <w:r w:rsidRPr="00CA2CC1">
        <w:rPr>
          <w:rFonts w:cs="Calibri"/>
        </w:rPr>
        <w:t>minister</w:t>
      </w:r>
      <w:r w:rsidRPr="00CA2CC1">
        <w:rPr>
          <w:rFonts w:cs="Calibri"/>
          <w:spacing w:val="-7"/>
        </w:rPr>
        <w:t xml:space="preserve"> </w:t>
      </w:r>
      <w:r w:rsidRPr="00CA2CC1">
        <w:rPr>
          <w:rFonts w:cs="Calibri"/>
        </w:rPr>
        <w:t>may</w:t>
      </w:r>
      <w:r w:rsidRPr="00CA2CC1">
        <w:rPr>
          <w:rFonts w:cs="Calibri"/>
          <w:spacing w:val="-7"/>
        </w:rPr>
        <w:t xml:space="preserve"> </w:t>
      </w:r>
      <w:r w:rsidRPr="00CA2CC1">
        <w:rPr>
          <w:rFonts w:cs="Calibri"/>
        </w:rPr>
        <w:t>request</w:t>
      </w:r>
      <w:r w:rsidRPr="00CA2CC1">
        <w:rPr>
          <w:rFonts w:cs="Calibri"/>
          <w:spacing w:val="-7"/>
        </w:rPr>
        <w:t xml:space="preserve"> </w:t>
      </w:r>
      <w:r w:rsidRPr="00CA2CC1">
        <w:rPr>
          <w:rFonts w:cs="Calibri"/>
        </w:rPr>
        <w:t>that</w:t>
      </w:r>
      <w:r w:rsidRPr="00CA2CC1">
        <w:rPr>
          <w:rFonts w:cs="Calibri"/>
          <w:spacing w:val="-7"/>
        </w:rPr>
        <w:t xml:space="preserve"> </w:t>
      </w:r>
      <w:r w:rsidRPr="00CA2CC1">
        <w:rPr>
          <w:rFonts w:cs="Calibri"/>
        </w:rPr>
        <w:t>Infrastructure</w:t>
      </w:r>
      <w:r w:rsidRPr="00CA2CC1">
        <w:rPr>
          <w:rFonts w:cs="Calibri"/>
          <w:spacing w:val="-7"/>
        </w:rPr>
        <w:t xml:space="preserve"> </w:t>
      </w:r>
      <w:r w:rsidRPr="00CA2CC1">
        <w:rPr>
          <w:rFonts w:cs="Calibri"/>
        </w:rPr>
        <w:t>Victoria</w:t>
      </w:r>
      <w:r w:rsidRPr="00CA2CC1">
        <w:rPr>
          <w:rFonts w:cs="Calibri"/>
          <w:spacing w:val="-7"/>
        </w:rPr>
        <w:t xml:space="preserve"> </w:t>
      </w:r>
      <w:r w:rsidRPr="00CA2CC1">
        <w:rPr>
          <w:rFonts w:cs="Calibri"/>
        </w:rPr>
        <w:t>provide the government with advice on infrastructure matters. The minister cannot direct what Infrastructure Victoria’s advice will be in response to such a request.</w:t>
      </w:r>
    </w:p>
    <w:p w14:paraId="48066D80" w14:textId="77777777" w:rsidR="00FA4226" w:rsidRPr="00CA2CC1" w:rsidRDefault="00FA4226" w:rsidP="0043303B">
      <w:pPr>
        <w:pStyle w:val="BodyText"/>
        <w:spacing w:before="1"/>
        <w:rPr>
          <w:rFonts w:cs="Calibri"/>
        </w:rPr>
      </w:pPr>
    </w:p>
    <w:p w14:paraId="39A3A05E" w14:textId="77777777" w:rsidR="00FA4226" w:rsidRPr="00CA2CC1" w:rsidRDefault="00000000" w:rsidP="0043303B">
      <w:pPr>
        <w:pStyle w:val="Heading3"/>
        <w:spacing w:before="1"/>
        <w:rPr>
          <w:rFonts w:cs="Calibri"/>
          <w:color w:val="000000" w:themeColor="text1"/>
        </w:rPr>
      </w:pPr>
      <w:r w:rsidRPr="00CA2CC1">
        <w:rPr>
          <w:rFonts w:cs="Calibri"/>
          <w:color w:val="000000" w:themeColor="text1"/>
        </w:rPr>
        <w:t xml:space="preserve">Power to obtain </w:t>
      </w:r>
      <w:r w:rsidRPr="00CA2CC1">
        <w:rPr>
          <w:rFonts w:cs="Calibri"/>
          <w:color w:val="000000" w:themeColor="text1"/>
          <w:spacing w:val="-2"/>
        </w:rPr>
        <w:t>information</w:t>
      </w:r>
    </w:p>
    <w:p w14:paraId="554BF9F5" w14:textId="77777777" w:rsidR="00FA4226" w:rsidRPr="00CA2CC1" w:rsidRDefault="00000000" w:rsidP="0043303B">
      <w:pPr>
        <w:pStyle w:val="BodyText"/>
        <w:spacing w:before="87"/>
        <w:rPr>
          <w:rFonts w:cs="Calibri"/>
        </w:rPr>
      </w:pPr>
      <w:r w:rsidRPr="00CA2CC1">
        <w:rPr>
          <w:rFonts w:cs="Calibri"/>
        </w:rPr>
        <w:t>Infrastructure Victoria has the power to request information from the public sector to perform its functions. This information must be provided in a timely and efficient manner.</w:t>
      </w:r>
      <w:r w:rsidRPr="00CA2CC1">
        <w:rPr>
          <w:rFonts w:cs="Calibri"/>
          <w:spacing w:val="-7"/>
        </w:rPr>
        <w:t xml:space="preserve"> </w:t>
      </w:r>
      <w:r w:rsidRPr="00CA2CC1">
        <w:rPr>
          <w:rFonts w:cs="Calibri"/>
        </w:rPr>
        <w:t>Infrastructure</w:t>
      </w:r>
      <w:r w:rsidRPr="00CA2CC1">
        <w:rPr>
          <w:rFonts w:cs="Calibri"/>
          <w:spacing w:val="-7"/>
        </w:rPr>
        <w:t xml:space="preserve"> </w:t>
      </w:r>
      <w:r w:rsidRPr="00CA2CC1">
        <w:rPr>
          <w:rFonts w:cs="Calibri"/>
        </w:rPr>
        <w:t>Victoria</w:t>
      </w:r>
      <w:r w:rsidRPr="00CA2CC1">
        <w:rPr>
          <w:rFonts w:cs="Calibri"/>
          <w:spacing w:val="-7"/>
        </w:rPr>
        <w:t xml:space="preserve"> </w:t>
      </w:r>
      <w:r w:rsidRPr="00CA2CC1">
        <w:rPr>
          <w:rFonts w:cs="Calibri"/>
        </w:rPr>
        <w:t>also</w:t>
      </w:r>
      <w:r w:rsidRPr="00CA2CC1">
        <w:rPr>
          <w:rFonts w:cs="Calibri"/>
          <w:spacing w:val="-7"/>
        </w:rPr>
        <w:t xml:space="preserve"> </w:t>
      </w:r>
      <w:r w:rsidRPr="00CA2CC1">
        <w:rPr>
          <w:rFonts w:cs="Calibri"/>
        </w:rPr>
        <w:t>has</w:t>
      </w:r>
      <w:r w:rsidRPr="00CA2CC1">
        <w:rPr>
          <w:rFonts w:cs="Calibri"/>
          <w:spacing w:val="-7"/>
        </w:rPr>
        <w:t xml:space="preserve"> </w:t>
      </w:r>
      <w:r w:rsidRPr="00CA2CC1">
        <w:rPr>
          <w:rFonts w:cs="Calibri"/>
        </w:rPr>
        <w:t>the</w:t>
      </w:r>
      <w:r w:rsidRPr="00CA2CC1">
        <w:rPr>
          <w:rFonts w:cs="Calibri"/>
          <w:spacing w:val="-7"/>
        </w:rPr>
        <w:t xml:space="preserve"> </w:t>
      </w:r>
      <w:r w:rsidRPr="00CA2CC1">
        <w:rPr>
          <w:rFonts w:cs="Calibri"/>
        </w:rPr>
        <w:t>power</w:t>
      </w:r>
      <w:r w:rsidRPr="00CA2CC1">
        <w:rPr>
          <w:rFonts w:cs="Calibri"/>
          <w:spacing w:val="-7"/>
        </w:rPr>
        <w:t xml:space="preserve"> </w:t>
      </w:r>
      <w:r w:rsidRPr="00CA2CC1">
        <w:rPr>
          <w:rFonts w:cs="Calibri"/>
        </w:rPr>
        <w:t>to</w:t>
      </w:r>
      <w:r w:rsidRPr="00CA2CC1">
        <w:rPr>
          <w:rFonts w:cs="Calibri"/>
          <w:spacing w:val="-7"/>
        </w:rPr>
        <w:t xml:space="preserve"> </w:t>
      </w:r>
      <w:r w:rsidRPr="00CA2CC1">
        <w:rPr>
          <w:rFonts w:cs="Calibri"/>
        </w:rPr>
        <w:t>receive confidential information from anyone and not disclose it – even to the government – without consent.</w:t>
      </w:r>
    </w:p>
    <w:p w14:paraId="5EC1149A" w14:textId="77777777" w:rsidR="00FA4226" w:rsidRPr="00CA2CC1" w:rsidRDefault="00FA4226" w:rsidP="0043303B">
      <w:pPr>
        <w:rPr>
          <w:rFonts w:cs="Calibri"/>
        </w:rPr>
        <w:sectPr w:rsidR="00FA4226" w:rsidRPr="00CA2CC1" w:rsidSect="00E941A5">
          <w:type w:val="continuous"/>
          <w:pgSz w:w="11910" w:h="16840"/>
          <w:pgMar w:top="1134" w:right="1278" w:bottom="1134" w:left="1134" w:header="720" w:footer="720" w:gutter="0"/>
          <w:cols w:space="720"/>
        </w:sectPr>
      </w:pPr>
    </w:p>
    <w:p w14:paraId="304047AA" w14:textId="5DC156AD" w:rsidR="00FA4226" w:rsidRPr="00CA2CC1" w:rsidRDefault="00000000" w:rsidP="0043303B">
      <w:pPr>
        <w:pStyle w:val="Heading1"/>
        <w:spacing w:before="165"/>
        <w:rPr>
          <w:rFonts w:cs="Calibri"/>
          <w:color w:val="000000" w:themeColor="text1"/>
        </w:rPr>
      </w:pPr>
      <w:bookmarkStart w:id="5" w:name="Infrastructure_Victoria’s_values"/>
      <w:bookmarkStart w:id="6" w:name="_bookmark3"/>
      <w:bookmarkEnd w:id="5"/>
      <w:bookmarkEnd w:id="6"/>
      <w:r w:rsidRPr="00CA2CC1">
        <w:rPr>
          <w:rFonts w:cs="Calibri"/>
          <w:color w:val="000000" w:themeColor="text1"/>
          <w:spacing w:val="-2"/>
          <w:w w:val="105"/>
        </w:rPr>
        <w:lastRenderedPageBreak/>
        <w:t xml:space="preserve">Infrastructure </w:t>
      </w:r>
      <w:r w:rsidRPr="00CA2CC1">
        <w:rPr>
          <w:rFonts w:cs="Calibri"/>
          <w:color w:val="000000" w:themeColor="text1"/>
          <w:spacing w:val="-6"/>
          <w:w w:val="105"/>
        </w:rPr>
        <w:t>Victoria’s</w:t>
      </w:r>
      <w:r w:rsidRPr="00CA2CC1">
        <w:rPr>
          <w:rFonts w:cs="Calibri"/>
          <w:color w:val="000000" w:themeColor="text1"/>
          <w:spacing w:val="-36"/>
          <w:w w:val="105"/>
        </w:rPr>
        <w:t xml:space="preserve"> </w:t>
      </w:r>
      <w:r w:rsidRPr="00CA2CC1">
        <w:rPr>
          <w:rFonts w:cs="Calibri"/>
          <w:color w:val="000000" w:themeColor="text1"/>
          <w:spacing w:val="-6"/>
          <w:w w:val="105"/>
        </w:rPr>
        <w:t>values</w:t>
      </w:r>
    </w:p>
    <w:p w14:paraId="5DDA7A8A" w14:textId="77777777" w:rsidR="00FA4226" w:rsidRPr="00CA2CC1" w:rsidRDefault="00FA4226" w:rsidP="0043303B">
      <w:pPr>
        <w:pStyle w:val="BodyText"/>
        <w:ind w:left="-1134"/>
        <w:rPr>
          <w:rFonts w:cs="Calibri"/>
          <w:sz w:val="20"/>
        </w:rPr>
      </w:pPr>
    </w:p>
    <w:p w14:paraId="219BF8C5" w14:textId="77777777" w:rsidR="00FA4226" w:rsidRPr="00CA2CC1" w:rsidRDefault="00FA4226" w:rsidP="0043303B">
      <w:pPr>
        <w:pStyle w:val="BodyText"/>
        <w:spacing w:before="7"/>
        <w:rPr>
          <w:rFonts w:cs="Calibri"/>
          <w:sz w:val="17"/>
        </w:rPr>
      </w:pPr>
    </w:p>
    <w:p w14:paraId="77A361F9" w14:textId="77777777" w:rsidR="00FA4226" w:rsidRPr="00CA2CC1" w:rsidRDefault="00000000" w:rsidP="0043303B">
      <w:pPr>
        <w:spacing w:before="91"/>
        <w:rPr>
          <w:rFonts w:cs="Calibri"/>
          <w:color w:val="000000" w:themeColor="text1"/>
          <w:sz w:val="40"/>
        </w:rPr>
      </w:pPr>
      <w:r w:rsidRPr="00CA2CC1">
        <w:rPr>
          <w:rFonts w:cs="Calibri"/>
          <w:color w:val="000000" w:themeColor="text1"/>
          <w:spacing w:val="-2"/>
          <w:w w:val="110"/>
          <w:sz w:val="40"/>
        </w:rPr>
        <w:t>Independence</w:t>
      </w:r>
    </w:p>
    <w:p w14:paraId="51F28771" w14:textId="77777777" w:rsidR="00FA4226" w:rsidRPr="00CA2CC1" w:rsidRDefault="00000000" w:rsidP="0043303B">
      <w:pPr>
        <w:pStyle w:val="Heading7"/>
        <w:spacing w:before="73"/>
        <w:rPr>
          <w:rFonts w:cs="Calibri"/>
          <w:color w:val="000000" w:themeColor="text1"/>
        </w:rPr>
      </w:pPr>
      <w:r w:rsidRPr="00CA2CC1">
        <w:rPr>
          <w:rFonts w:cs="Calibri"/>
          <w:color w:val="000000" w:themeColor="text1"/>
        </w:rPr>
        <w:t>We</w:t>
      </w:r>
      <w:r w:rsidRPr="00CA2CC1">
        <w:rPr>
          <w:rFonts w:cs="Calibri"/>
          <w:color w:val="000000" w:themeColor="text1"/>
          <w:spacing w:val="-8"/>
        </w:rPr>
        <w:t xml:space="preserve"> </w:t>
      </w:r>
      <w:r w:rsidRPr="00CA2CC1">
        <w:rPr>
          <w:rFonts w:cs="Calibri"/>
          <w:color w:val="000000" w:themeColor="text1"/>
        </w:rPr>
        <w:t>exercise</w:t>
      </w:r>
      <w:r w:rsidRPr="00CA2CC1">
        <w:rPr>
          <w:rFonts w:cs="Calibri"/>
          <w:color w:val="000000" w:themeColor="text1"/>
          <w:spacing w:val="-8"/>
        </w:rPr>
        <w:t xml:space="preserve"> </w:t>
      </w:r>
      <w:r w:rsidRPr="00CA2CC1">
        <w:rPr>
          <w:rFonts w:cs="Calibri"/>
          <w:color w:val="000000" w:themeColor="text1"/>
        </w:rPr>
        <w:t>our</w:t>
      </w:r>
      <w:r w:rsidRPr="00CA2CC1">
        <w:rPr>
          <w:rFonts w:cs="Calibri"/>
          <w:color w:val="000000" w:themeColor="text1"/>
          <w:spacing w:val="-8"/>
        </w:rPr>
        <w:t xml:space="preserve"> </w:t>
      </w:r>
      <w:r w:rsidRPr="00CA2CC1">
        <w:rPr>
          <w:rFonts w:cs="Calibri"/>
          <w:color w:val="000000" w:themeColor="text1"/>
        </w:rPr>
        <w:t>independence</w:t>
      </w:r>
      <w:r w:rsidRPr="00CA2CC1">
        <w:rPr>
          <w:rFonts w:cs="Calibri"/>
          <w:color w:val="000000" w:themeColor="text1"/>
          <w:spacing w:val="-8"/>
        </w:rPr>
        <w:t xml:space="preserve"> </w:t>
      </w:r>
      <w:r w:rsidRPr="00CA2CC1">
        <w:rPr>
          <w:rFonts w:cs="Calibri"/>
          <w:color w:val="000000" w:themeColor="text1"/>
        </w:rPr>
        <w:t>with</w:t>
      </w:r>
      <w:r w:rsidRPr="00CA2CC1">
        <w:rPr>
          <w:rFonts w:cs="Calibri"/>
          <w:color w:val="000000" w:themeColor="text1"/>
          <w:spacing w:val="-8"/>
        </w:rPr>
        <w:t xml:space="preserve"> </w:t>
      </w:r>
      <w:r w:rsidRPr="00CA2CC1">
        <w:rPr>
          <w:rFonts w:cs="Calibri"/>
          <w:color w:val="000000" w:themeColor="text1"/>
        </w:rPr>
        <w:t>integrity.</w:t>
      </w:r>
      <w:r w:rsidRPr="00CA2CC1">
        <w:rPr>
          <w:rFonts w:cs="Calibri"/>
          <w:color w:val="000000" w:themeColor="text1"/>
          <w:spacing w:val="-8"/>
        </w:rPr>
        <w:t xml:space="preserve"> </w:t>
      </w:r>
      <w:r w:rsidRPr="00CA2CC1">
        <w:rPr>
          <w:rFonts w:cs="Calibri"/>
          <w:color w:val="000000" w:themeColor="text1"/>
        </w:rPr>
        <w:t>It</w:t>
      </w:r>
      <w:r w:rsidRPr="00CA2CC1">
        <w:rPr>
          <w:rFonts w:cs="Calibri"/>
          <w:color w:val="000000" w:themeColor="text1"/>
          <w:spacing w:val="-8"/>
        </w:rPr>
        <w:t xml:space="preserve"> </w:t>
      </w:r>
      <w:r w:rsidRPr="00CA2CC1">
        <w:rPr>
          <w:rFonts w:cs="Calibri"/>
          <w:color w:val="000000" w:themeColor="text1"/>
        </w:rPr>
        <w:t>provides</w:t>
      </w:r>
      <w:r w:rsidRPr="00CA2CC1">
        <w:rPr>
          <w:rFonts w:cs="Calibri"/>
          <w:color w:val="000000" w:themeColor="text1"/>
          <w:spacing w:val="-8"/>
        </w:rPr>
        <w:t xml:space="preserve"> </w:t>
      </w:r>
      <w:r w:rsidRPr="00CA2CC1">
        <w:rPr>
          <w:rFonts w:cs="Calibri"/>
          <w:color w:val="000000" w:themeColor="text1"/>
        </w:rPr>
        <w:t>us</w:t>
      </w:r>
      <w:r w:rsidRPr="00CA2CC1">
        <w:rPr>
          <w:rFonts w:cs="Calibri"/>
          <w:color w:val="000000" w:themeColor="text1"/>
          <w:spacing w:val="-8"/>
        </w:rPr>
        <w:t xml:space="preserve"> </w:t>
      </w:r>
      <w:r w:rsidRPr="00CA2CC1">
        <w:rPr>
          <w:rFonts w:cs="Calibri"/>
          <w:color w:val="000000" w:themeColor="text1"/>
        </w:rPr>
        <w:t>freedom to challenge, consider new ideas and create consensus.</w:t>
      </w:r>
    </w:p>
    <w:p w14:paraId="6042C8CC" w14:textId="77777777" w:rsidR="00FA4226" w:rsidRPr="00CA2CC1" w:rsidRDefault="00000000" w:rsidP="0043303B">
      <w:pPr>
        <w:spacing w:before="189"/>
        <w:rPr>
          <w:rFonts w:cs="Calibri"/>
          <w:color w:val="000000" w:themeColor="text1"/>
          <w:sz w:val="40"/>
        </w:rPr>
      </w:pPr>
      <w:r w:rsidRPr="00CA2CC1">
        <w:rPr>
          <w:rFonts w:cs="Calibri"/>
          <w:color w:val="000000" w:themeColor="text1"/>
          <w:spacing w:val="-2"/>
          <w:w w:val="105"/>
          <w:sz w:val="40"/>
        </w:rPr>
        <w:t>Influence</w:t>
      </w:r>
    </w:p>
    <w:p w14:paraId="7D1E36A3" w14:textId="77777777" w:rsidR="00FA4226" w:rsidRPr="00CA2CC1" w:rsidRDefault="00000000" w:rsidP="0043303B">
      <w:pPr>
        <w:pStyle w:val="Heading7"/>
        <w:spacing w:before="74"/>
        <w:rPr>
          <w:rFonts w:cs="Calibri"/>
          <w:color w:val="000000" w:themeColor="text1"/>
        </w:rPr>
      </w:pPr>
      <w:r w:rsidRPr="00CA2CC1">
        <w:rPr>
          <w:rFonts w:cs="Calibri"/>
          <w:color w:val="000000" w:themeColor="text1"/>
        </w:rPr>
        <w:t>We</w:t>
      </w:r>
      <w:r w:rsidRPr="00CA2CC1">
        <w:rPr>
          <w:rFonts w:cs="Calibri"/>
          <w:color w:val="000000" w:themeColor="text1"/>
          <w:spacing w:val="-2"/>
        </w:rPr>
        <w:t xml:space="preserve"> </w:t>
      </w:r>
      <w:r w:rsidRPr="00CA2CC1">
        <w:rPr>
          <w:rFonts w:cs="Calibri"/>
          <w:color w:val="000000" w:themeColor="text1"/>
        </w:rPr>
        <w:t>aim</w:t>
      </w:r>
      <w:r w:rsidRPr="00CA2CC1">
        <w:rPr>
          <w:rFonts w:cs="Calibri"/>
          <w:color w:val="000000" w:themeColor="text1"/>
          <w:spacing w:val="-1"/>
        </w:rPr>
        <w:t xml:space="preserve"> </w:t>
      </w:r>
      <w:r w:rsidRPr="00CA2CC1">
        <w:rPr>
          <w:rFonts w:cs="Calibri"/>
          <w:color w:val="000000" w:themeColor="text1"/>
        </w:rPr>
        <w:t>to</w:t>
      </w:r>
      <w:r w:rsidRPr="00CA2CC1">
        <w:rPr>
          <w:rFonts w:cs="Calibri"/>
          <w:color w:val="000000" w:themeColor="text1"/>
          <w:spacing w:val="-1"/>
        </w:rPr>
        <w:t xml:space="preserve"> </w:t>
      </w:r>
      <w:r w:rsidRPr="00CA2CC1">
        <w:rPr>
          <w:rFonts w:cs="Calibri"/>
          <w:color w:val="000000" w:themeColor="text1"/>
        </w:rPr>
        <w:t>change</w:t>
      </w:r>
      <w:r w:rsidRPr="00CA2CC1">
        <w:rPr>
          <w:rFonts w:cs="Calibri"/>
          <w:color w:val="000000" w:themeColor="text1"/>
          <w:spacing w:val="-2"/>
        </w:rPr>
        <w:t xml:space="preserve"> </w:t>
      </w:r>
      <w:r w:rsidRPr="00CA2CC1">
        <w:rPr>
          <w:rFonts w:cs="Calibri"/>
          <w:color w:val="000000" w:themeColor="text1"/>
        </w:rPr>
        <w:t>the</w:t>
      </w:r>
      <w:r w:rsidRPr="00CA2CC1">
        <w:rPr>
          <w:rFonts w:cs="Calibri"/>
          <w:color w:val="000000" w:themeColor="text1"/>
          <w:spacing w:val="-1"/>
        </w:rPr>
        <w:t xml:space="preserve"> </w:t>
      </w:r>
      <w:r w:rsidRPr="00CA2CC1">
        <w:rPr>
          <w:rFonts w:cs="Calibri"/>
          <w:color w:val="000000" w:themeColor="text1"/>
        </w:rPr>
        <w:t>culture</w:t>
      </w:r>
      <w:r w:rsidRPr="00CA2CC1">
        <w:rPr>
          <w:rFonts w:cs="Calibri"/>
          <w:color w:val="000000" w:themeColor="text1"/>
          <w:spacing w:val="-1"/>
        </w:rPr>
        <w:t xml:space="preserve"> </w:t>
      </w:r>
      <w:r w:rsidRPr="00CA2CC1">
        <w:rPr>
          <w:rFonts w:cs="Calibri"/>
          <w:color w:val="000000" w:themeColor="text1"/>
        </w:rPr>
        <w:t>of</w:t>
      </w:r>
      <w:r w:rsidRPr="00CA2CC1">
        <w:rPr>
          <w:rFonts w:cs="Calibri"/>
          <w:color w:val="000000" w:themeColor="text1"/>
          <w:spacing w:val="-2"/>
        </w:rPr>
        <w:t xml:space="preserve"> </w:t>
      </w:r>
      <w:r w:rsidRPr="00CA2CC1">
        <w:rPr>
          <w:rFonts w:cs="Calibri"/>
          <w:color w:val="000000" w:themeColor="text1"/>
        </w:rPr>
        <w:t>infrastructure</w:t>
      </w:r>
      <w:r w:rsidRPr="00CA2CC1">
        <w:rPr>
          <w:rFonts w:cs="Calibri"/>
          <w:color w:val="000000" w:themeColor="text1"/>
          <w:spacing w:val="-1"/>
        </w:rPr>
        <w:t xml:space="preserve"> </w:t>
      </w:r>
      <w:r w:rsidRPr="00CA2CC1">
        <w:rPr>
          <w:rFonts w:cs="Calibri"/>
          <w:color w:val="000000" w:themeColor="text1"/>
        </w:rPr>
        <w:t>decision</w:t>
      </w:r>
      <w:r w:rsidRPr="00CA2CC1">
        <w:rPr>
          <w:rFonts w:cs="Calibri"/>
          <w:color w:val="000000" w:themeColor="text1"/>
          <w:spacing w:val="-1"/>
        </w:rPr>
        <w:t xml:space="preserve"> </w:t>
      </w:r>
      <w:r w:rsidRPr="00CA2CC1">
        <w:rPr>
          <w:rFonts w:cs="Calibri"/>
          <w:color w:val="000000" w:themeColor="text1"/>
          <w:spacing w:val="-2"/>
        </w:rPr>
        <w:t>making.</w:t>
      </w:r>
    </w:p>
    <w:p w14:paraId="0B230713" w14:textId="77777777" w:rsidR="00FA4226" w:rsidRPr="00CA2CC1" w:rsidRDefault="00000000" w:rsidP="0043303B">
      <w:pPr>
        <w:spacing w:before="4"/>
        <w:rPr>
          <w:rFonts w:cs="Calibri"/>
          <w:color w:val="000000" w:themeColor="text1"/>
          <w:sz w:val="20"/>
        </w:rPr>
      </w:pPr>
      <w:r w:rsidRPr="00CA2CC1">
        <w:rPr>
          <w:rFonts w:cs="Calibri"/>
          <w:color w:val="000000" w:themeColor="text1"/>
          <w:sz w:val="20"/>
        </w:rPr>
        <w:t>We</w:t>
      </w:r>
      <w:r w:rsidRPr="00CA2CC1">
        <w:rPr>
          <w:rFonts w:cs="Calibri"/>
          <w:color w:val="000000" w:themeColor="text1"/>
          <w:spacing w:val="-1"/>
          <w:sz w:val="20"/>
        </w:rPr>
        <w:t xml:space="preserve"> </w:t>
      </w:r>
      <w:r w:rsidRPr="00CA2CC1">
        <w:rPr>
          <w:rFonts w:cs="Calibri"/>
          <w:color w:val="000000" w:themeColor="text1"/>
          <w:sz w:val="20"/>
        </w:rPr>
        <w:t>build</w:t>
      </w:r>
      <w:r w:rsidRPr="00CA2CC1">
        <w:rPr>
          <w:rFonts w:cs="Calibri"/>
          <w:color w:val="000000" w:themeColor="text1"/>
          <w:spacing w:val="-1"/>
          <w:sz w:val="20"/>
        </w:rPr>
        <w:t xml:space="preserve"> </w:t>
      </w:r>
      <w:r w:rsidRPr="00CA2CC1">
        <w:rPr>
          <w:rFonts w:cs="Calibri"/>
          <w:color w:val="000000" w:themeColor="text1"/>
          <w:sz w:val="20"/>
        </w:rPr>
        <w:t>trust</w:t>
      </w:r>
      <w:r w:rsidRPr="00CA2CC1">
        <w:rPr>
          <w:rFonts w:cs="Calibri"/>
          <w:color w:val="000000" w:themeColor="text1"/>
          <w:spacing w:val="-1"/>
          <w:sz w:val="20"/>
        </w:rPr>
        <w:t xml:space="preserve"> </w:t>
      </w:r>
      <w:r w:rsidRPr="00CA2CC1">
        <w:rPr>
          <w:rFonts w:cs="Calibri"/>
          <w:color w:val="000000" w:themeColor="text1"/>
          <w:sz w:val="20"/>
        </w:rPr>
        <w:t>and</w:t>
      </w:r>
      <w:r w:rsidRPr="00CA2CC1">
        <w:rPr>
          <w:rFonts w:cs="Calibri"/>
          <w:color w:val="000000" w:themeColor="text1"/>
          <w:spacing w:val="-1"/>
          <w:sz w:val="20"/>
        </w:rPr>
        <w:t xml:space="preserve"> </w:t>
      </w:r>
      <w:r w:rsidRPr="00CA2CC1">
        <w:rPr>
          <w:rFonts w:cs="Calibri"/>
          <w:color w:val="000000" w:themeColor="text1"/>
          <w:sz w:val="20"/>
        </w:rPr>
        <w:t>influence</w:t>
      </w:r>
      <w:r w:rsidRPr="00CA2CC1">
        <w:rPr>
          <w:rFonts w:cs="Calibri"/>
          <w:color w:val="000000" w:themeColor="text1"/>
          <w:spacing w:val="-1"/>
          <w:sz w:val="20"/>
        </w:rPr>
        <w:t xml:space="preserve"> </w:t>
      </w:r>
      <w:r w:rsidRPr="00CA2CC1">
        <w:rPr>
          <w:rFonts w:cs="Calibri"/>
          <w:color w:val="000000" w:themeColor="text1"/>
          <w:sz w:val="20"/>
        </w:rPr>
        <w:t>through</w:t>
      </w:r>
      <w:r w:rsidRPr="00CA2CC1">
        <w:rPr>
          <w:rFonts w:cs="Calibri"/>
          <w:color w:val="000000" w:themeColor="text1"/>
          <w:spacing w:val="-1"/>
          <w:sz w:val="20"/>
        </w:rPr>
        <w:t xml:space="preserve"> </w:t>
      </w:r>
      <w:r w:rsidRPr="00CA2CC1">
        <w:rPr>
          <w:rFonts w:cs="Calibri"/>
          <w:color w:val="000000" w:themeColor="text1"/>
          <w:sz w:val="20"/>
        </w:rPr>
        <w:t>practical,</w:t>
      </w:r>
      <w:r w:rsidRPr="00CA2CC1">
        <w:rPr>
          <w:rFonts w:cs="Calibri"/>
          <w:color w:val="000000" w:themeColor="text1"/>
          <w:spacing w:val="-1"/>
          <w:sz w:val="20"/>
        </w:rPr>
        <w:t xml:space="preserve"> </w:t>
      </w:r>
      <w:r w:rsidRPr="00CA2CC1">
        <w:rPr>
          <w:rFonts w:cs="Calibri"/>
          <w:color w:val="000000" w:themeColor="text1"/>
          <w:sz w:val="20"/>
        </w:rPr>
        <w:t>evidence-based</w:t>
      </w:r>
      <w:r w:rsidRPr="00CA2CC1">
        <w:rPr>
          <w:rFonts w:cs="Calibri"/>
          <w:color w:val="000000" w:themeColor="text1"/>
          <w:spacing w:val="-1"/>
          <w:sz w:val="20"/>
        </w:rPr>
        <w:t xml:space="preserve"> </w:t>
      </w:r>
      <w:r w:rsidRPr="00CA2CC1">
        <w:rPr>
          <w:rFonts w:cs="Calibri"/>
          <w:color w:val="000000" w:themeColor="text1"/>
          <w:spacing w:val="-2"/>
          <w:sz w:val="20"/>
        </w:rPr>
        <w:t>advice.</w:t>
      </w:r>
    </w:p>
    <w:p w14:paraId="59D3211E" w14:textId="77777777" w:rsidR="00FA4226" w:rsidRPr="00CA2CC1" w:rsidRDefault="00000000" w:rsidP="0043303B">
      <w:pPr>
        <w:spacing w:before="190"/>
        <w:rPr>
          <w:rFonts w:cs="Calibri"/>
          <w:color w:val="000000" w:themeColor="text1"/>
          <w:sz w:val="40"/>
        </w:rPr>
      </w:pPr>
      <w:r w:rsidRPr="00CA2CC1">
        <w:rPr>
          <w:rFonts w:cs="Calibri"/>
          <w:color w:val="000000" w:themeColor="text1"/>
          <w:spacing w:val="-2"/>
          <w:w w:val="110"/>
          <w:sz w:val="40"/>
        </w:rPr>
        <w:t>Innovation</w:t>
      </w:r>
    </w:p>
    <w:p w14:paraId="13AA651A" w14:textId="77777777" w:rsidR="00FA4226" w:rsidRPr="00CA2CC1" w:rsidRDefault="00000000" w:rsidP="0043303B">
      <w:pPr>
        <w:pStyle w:val="Heading7"/>
        <w:spacing w:before="74"/>
        <w:rPr>
          <w:rFonts w:cs="Calibri"/>
          <w:color w:val="000000" w:themeColor="text1"/>
        </w:rPr>
      </w:pPr>
      <w:r w:rsidRPr="00CA2CC1">
        <w:rPr>
          <w:rFonts w:cs="Calibri"/>
          <w:color w:val="000000" w:themeColor="text1"/>
        </w:rPr>
        <w:t>We</w:t>
      </w:r>
      <w:r w:rsidRPr="00CA2CC1">
        <w:rPr>
          <w:rFonts w:cs="Calibri"/>
          <w:color w:val="000000" w:themeColor="text1"/>
          <w:spacing w:val="-2"/>
        </w:rPr>
        <w:t xml:space="preserve"> </w:t>
      </w:r>
      <w:r w:rsidRPr="00CA2CC1">
        <w:rPr>
          <w:rFonts w:cs="Calibri"/>
          <w:color w:val="000000" w:themeColor="text1"/>
        </w:rPr>
        <w:t>are</w:t>
      </w:r>
      <w:r w:rsidRPr="00CA2CC1">
        <w:rPr>
          <w:rFonts w:cs="Calibri"/>
          <w:color w:val="000000" w:themeColor="text1"/>
          <w:spacing w:val="-1"/>
        </w:rPr>
        <w:t xml:space="preserve"> </w:t>
      </w:r>
      <w:r w:rsidRPr="00CA2CC1">
        <w:rPr>
          <w:rFonts w:cs="Calibri"/>
          <w:color w:val="000000" w:themeColor="text1"/>
        </w:rPr>
        <w:t>bold,</w:t>
      </w:r>
      <w:r w:rsidRPr="00CA2CC1">
        <w:rPr>
          <w:rFonts w:cs="Calibri"/>
          <w:color w:val="000000" w:themeColor="text1"/>
          <w:spacing w:val="-1"/>
        </w:rPr>
        <w:t xml:space="preserve"> </w:t>
      </w:r>
      <w:r w:rsidRPr="00CA2CC1">
        <w:rPr>
          <w:rFonts w:cs="Calibri"/>
          <w:color w:val="000000" w:themeColor="text1"/>
        </w:rPr>
        <w:t>creative</w:t>
      </w:r>
      <w:r w:rsidRPr="00CA2CC1">
        <w:rPr>
          <w:rFonts w:cs="Calibri"/>
          <w:color w:val="000000" w:themeColor="text1"/>
          <w:spacing w:val="-1"/>
        </w:rPr>
        <w:t xml:space="preserve"> </w:t>
      </w:r>
      <w:r w:rsidRPr="00CA2CC1">
        <w:rPr>
          <w:rFonts w:cs="Calibri"/>
          <w:color w:val="000000" w:themeColor="text1"/>
        </w:rPr>
        <w:t>and</w:t>
      </w:r>
      <w:r w:rsidRPr="00CA2CC1">
        <w:rPr>
          <w:rFonts w:cs="Calibri"/>
          <w:color w:val="000000" w:themeColor="text1"/>
          <w:spacing w:val="-1"/>
        </w:rPr>
        <w:t xml:space="preserve"> </w:t>
      </w:r>
      <w:r w:rsidRPr="00CA2CC1">
        <w:rPr>
          <w:rFonts w:cs="Calibri"/>
          <w:color w:val="000000" w:themeColor="text1"/>
        </w:rPr>
        <w:t>open</w:t>
      </w:r>
      <w:r w:rsidRPr="00CA2CC1">
        <w:rPr>
          <w:rFonts w:cs="Calibri"/>
          <w:color w:val="000000" w:themeColor="text1"/>
          <w:spacing w:val="-2"/>
        </w:rPr>
        <w:t xml:space="preserve"> </w:t>
      </w:r>
      <w:r w:rsidRPr="00CA2CC1">
        <w:rPr>
          <w:rFonts w:cs="Calibri"/>
          <w:color w:val="000000" w:themeColor="text1"/>
        </w:rPr>
        <w:t>to</w:t>
      </w:r>
      <w:r w:rsidRPr="00CA2CC1">
        <w:rPr>
          <w:rFonts w:cs="Calibri"/>
          <w:color w:val="000000" w:themeColor="text1"/>
          <w:spacing w:val="-1"/>
        </w:rPr>
        <w:t xml:space="preserve"> </w:t>
      </w:r>
      <w:r w:rsidRPr="00CA2CC1">
        <w:rPr>
          <w:rFonts w:cs="Calibri"/>
          <w:color w:val="000000" w:themeColor="text1"/>
        </w:rPr>
        <w:t>change</w:t>
      </w:r>
      <w:r w:rsidRPr="00CA2CC1">
        <w:rPr>
          <w:rFonts w:cs="Calibri"/>
          <w:color w:val="000000" w:themeColor="text1"/>
          <w:spacing w:val="-1"/>
        </w:rPr>
        <w:t xml:space="preserve"> </w:t>
      </w:r>
      <w:r w:rsidRPr="00CA2CC1">
        <w:rPr>
          <w:rFonts w:cs="Calibri"/>
          <w:color w:val="000000" w:themeColor="text1"/>
        </w:rPr>
        <w:t>and</w:t>
      </w:r>
      <w:r w:rsidRPr="00CA2CC1">
        <w:rPr>
          <w:rFonts w:cs="Calibri"/>
          <w:color w:val="000000" w:themeColor="text1"/>
          <w:spacing w:val="-1"/>
        </w:rPr>
        <w:t xml:space="preserve"> </w:t>
      </w:r>
      <w:r w:rsidRPr="00CA2CC1">
        <w:rPr>
          <w:rFonts w:cs="Calibri"/>
          <w:color w:val="000000" w:themeColor="text1"/>
        </w:rPr>
        <w:t>new</w:t>
      </w:r>
      <w:r w:rsidRPr="00CA2CC1">
        <w:rPr>
          <w:rFonts w:cs="Calibri"/>
          <w:color w:val="000000" w:themeColor="text1"/>
          <w:spacing w:val="-1"/>
        </w:rPr>
        <w:t xml:space="preserve"> </w:t>
      </w:r>
      <w:r w:rsidRPr="00CA2CC1">
        <w:rPr>
          <w:rFonts w:cs="Calibri"/>
          <w:color w:val="000000" w:themeColor="text1"/>
          <w:spacing w:val="-2"/>
        </w:rPr>
        <w:t>ideas.</w:t>
      </w:r>
    </w:p>
    <w:p w14:paraId="0AF54AD3" w14:textId="77777777" w:rsidR="00FA4226" w:rsidRPr="00CA2CC1" w:rsidRDefault="00000000" w:rsidP="0043303B">
      <w:pPr>
        <w:spacing w:before="3"/>
        <w:rPr>
          <w:rFonts w:cs="Calibri"/>
          <w:color w:val="000000" w:themeColor="text1"/>
          <w:sz w:val="20"/>
        </w:rPr>
      </w:pPr>
      <w:r w:rsidRPr="00CA2CC1">
        <w:rPr>
          <w:rFonts w:cs="Calibri"/>
          <w:color w:val="000000" w:themeColor="text1"/>
          <w:sz w:val="20"/>
        </w:rPr>
        <w:t>We</w:t>
      </w:r>
      <w:r w:rsidRPr="00CA2CC1">
        <w:rPr>
          <w:rFonts w:cs="Calibri"/>
          <w:color w:val="000000" w:themeColor="text1"/>
          <w:spacing w:val="-4"/>
          <w:sz w:val="20"/>
        </w:rPr>
        <w:t xml:space="preserve"> </w:t>
      </w:r>
      <w:r w:rsidRPr="00CA2CC1">
        <w:rPr>
          <w:rFonts w:cs="Calibri"/>
          <w:color w:val="000000" w:themeColor="text1"/>
          <w:sz w:val="20"/>
        </w:rPr>
        <w:t>anticipate</w:t>
      </w:r>
      <w:r w:rsidRPr="00CA2CC1">
        <w:rPr>
          <w:rFonts w:cs="Calibri"/>
          <w:color w:val="000000" w:themeColor="text1"/>
          <w:spacing w:val="-3"/>
          <w:sz w:val="20"/>
        </w:rPr>
        <w:t xml:space="preserve"> </w:t>
      </w:r>
      <w:r w:rsidRPr="00CA2CC1">
        <w:rPr>
          <w:rFonts w:cs="Calibri"/>
          <w:color w:val="000000" w:themeColor="text1"/>
          <w:sz w:val="20"/>
        </w:rPr>
        <w:t>important</w:t>
      </w:r>
      <w:r w:rsidRPr="00CA2CC1">
        <w:rPr>
          <w:rFonts w:cs="Calibri"/>
          <w:color w:val="000000" w:themeColor="text1"/>
          <w:spacing w:val="-3"/>
          <w:sz w:val="20"/>
        </w:rPr>
        <w:t xml:space="preserve"> </w:t>
      </w:r>
      <w:r w:rsidRPr="00CA2CC1">
        <w:rPr>
          <w:rFonts w:cs="Calibri"/>
          <w:color w:val="000000" w:themeColor="text1"/>
          <w:sz w:val="20"/>
        </w:rPr>
        <w:t>issues</w:t>
      </w:r>
      <w:r w:rsidRPr="00CA2CC1">
        <w:rPr>
          <w:rFonts w:cs="Calibri"/>
          <w:color w:val="000000" w:themeColor="text1"/>
          <w:spacing w:val="-4"/>
          <w:sz w:val="20"/>
        </w:rPr>
        <w:t xml:space="preserve"> </w:t>
      </w:r>
      <w:r w:rsidRPr="00CA2CC1">
        <w:rPr>
          <w:rFonts w:cs="Calibri"/>
          <w:color w:val="000000" w:themeColor="text1"/>
          <w:sz w:val="20"/>
        </w:rPr>
        <w:t>and</w:t>
      </w:r>
      <w:r w:rsidRPr="00CA2CC1">
        <w:rPr>
          <w:rFonts w:cs="Calibri"/>
          <w:color w:val="000000" w:themeColor="text1"/>
          <w:spacing w:val="-3"/>
          <w:sz w:val="20"/>
        </w:rPr>
        <w:t xml:space="preserve"> </w:t>
      </w:r>
      <w:r w:rsidRPr="00CA2CC1">
        <w:rPr>
          <w:rFonts w:cs="Calibri"/>
          <w:color w:val="000000" w:themeColor="text1"/>
          <w:sz w:val="20"/>
        </w:rPr>
        <w:t>are</w:t>
      </w:r>
      <w:r w:rsidRPr="00CA2CC1">
        <w:rPr>
          <w:rFonts w:cs="Calibri"/>
          <w:color w:val="000000" w:themeColor="text1"/>
          <w:spacing w:val="-3"/>
          <w:sz w:val="20"/>
        </w:rPr>
        <w:t xml:space="preserve"> </w:t>
      </w:r>
      <w:r w:rsidRPr="00CA2CC1">
        <w:rPr>
          <w:rFonts w:cs="Calibri"/>
          <w:color w:val="000000" w:themeColor="text1"/>
          <w:sz w:val="20"/>
        </w:rPr>
        <w:t>invested</w:t>
      </w:r>
      <w:r w:rsidRPr="00CA2CC1">
        <w:rPr>
          <w:rFonts w:cs="Calibri"/>
          <w:color w:val="000000" w:themeColor="text1"/>
          <w:spacing w:val="-4"/>
          <w:sz w:val="20"/>
        </w:rPr>
        <w:t xml:space="preserve"> </w:t>
      </w:r>
      <w:r w:rsidRPr="00CA2CC1">
        <w:rPr>
          <w:rFonts w:cs="Calibri"/>
          <w:color w:val="000000" w:themeColor="text1"/>
          <w:sz w:val="20"/>
        </w:rPr>
        <w:t>in</w:t>
      </w:r>
      <w:r w:rsidRPr="00CA2CC1">
        <w:rPr>
          <w:rFonts w:cs="Calibri"/>
          <w:color w:val="000000" w:themeColor="text1"/>
          <w:spacing w:val="-3"/>
          <w:sz w:val="20"/>
        </w:rPr>
        <w:t xml:space="preserve"> </w:t>
      </w:r>
      <w:r w:rsidRPr="00CA2CC1">
        <w:rPr>
          <w:rFonts w:cs="Calibri"/>
          <w:color w:val="000000" w:themeColor="text1"/>
          <w:sz w:val="20"/>
        </w:rPr>
        <w:t>Victoria’s</w:t>
      </w:r>
      <w:r w:rsidRPr="00CA2CC1">
        <w:rPr>
          <w:rFonts w:cs="Calibri"/>
          <w:color w:val="000000" w:themeColor="text1"/>
          <w:spacing w:val="-3"/>
          <w:sz w:val="20"/>
        </w:rPr>
        <w:t xml:space="preserve"> </w:t>
      </w:r>
      <w:r w:rsidRPr="00CA2CC1">
        <w:rPr>
          <w:rFonts w:cs="Calibri"/>
          <w:color w:val="000000" w:themeColor="text1"/>
          <w:spacing w:val="-2"/>
          <w:sz w:val="20"/>
        </w:rPr>
        <w:t>future.</w:t>
      </w:r>
    </w:p>
    <w:p w14:paraId="7F4432DA" w14:textId="77777777" w:rsidR="00FA4226" w:rsidRPr="00CA2CC1" w:rsidRDefault="00000000" w:rsidP="0043303B">
      <w:pPr>
        <w:spacing w:before="191"/>
        <w:rPr>
          <w:rFonts w:cs="Calibri"/>
          <w:color w:val="000000" w:themeColor="text1"/>
          <w:sz w:val="40"/>
        </w:rPr>
      </w:pPr>
      <w:r w:rsidRPr="00CA2CC1">
        <w:rPr>
          <w:rFonts w:cs="Calibri"/>
          <w:color w:val="000000" w:themeColor="text1"/>
          <w:spacing w:val="-2"/>
          <w:w w:val="110"/>
          <w:sz w:val="40"/>
        </w:rPr>
        <w:t>Openness</w:t>
      </w:r>
    </w:p>
    <w:p w14:paraId="765FC9DB" w14:textId="77777777" w:rsidR="00FA4226" w:rsidRPr="00CA2CC1" w:rsidRDefault="00000000" w:rsidP="0043303B">
      <w:pPr>
        <w:pStyle w:val="Heading7"/>
        <w:spacing w:before="73"/>
        <w:rPr>
          <w:rFonts w:cs="Calibri"/>
          <w:color w:val="000000" w:themeColor="text1"/>
        </w:rPr>
      </w:pPr>
      <w:r w:rsidRPr="00CA2CC1">
        <w:rPr>
          <w:rFonts w:cs="Calibri"/>
          <w:color w:val="000000" w:themeColor="text1"/>
        </w:rPr>
        <w:t>We</w:t>
      </w:r>
      <w:r w:rsidRPr="00CA2CC1">
        <w:rPr>
          <w:rFonts w:cs="Calibri"/>
          <w:color w:val="000000" w:themeColor="text1"/>
          <w:spacing w:val="-6"/>
        </w:rPr>
        <w:t xml:space="preserve"> </w:t>
      </w:r>
      <w:r w:rsidRPr="00CA2CC1">
        <w:rPr>
          <w:rFonts w:cs="Calibri"/>
          <w:color w:val="000000" w:themeColor="text1"/>
        </w:rPr>
        <w:t>say</w:t>
      </w:r>
      <w:r w:rsidRPr="00CA2CC1">
        <w:rPr>
          <w:rFonts w:cs="Calibri"/>
          <w:color w:val="000000" w:themeColor="text1"/>
          <w:spacing w:val="-6"/>
        </w:rPr>
        <w:t xml:space="preserve"> </w:t>
      </w:r>
      <w:r w:rsidRPr="00CA2CC1">
        <w:rPr>
          <w:rFonts w:cs="Calibri"/>
          <w:color w:val="000000" w:themeColor="text1"/>
        </w:rPr>
        <w:t>what</w:t>
      </w:r>
      <w:r w:rsidRPr="00CA2CC1">
        <w:rPr>
          <w:rFonts w:cs="Calibri"/>
          <w:color w:val="000000" w:themeColor="text1"/>
          <w:spacing w:val="-6"/>
        </w:rPr>
        <w:t xml:space="preserve"> </w:t>
      </w:r>
      <w:r w:rsidRPr="00CA2CC1">
        <w:rPr>
          <w:rFonts w:cs="Calibri"/>
          <w:color w:val="000000" w:themeColor="text1"/>
        </w:rPr>
        <w:t>we</w:t>
      </w:r>
      <w:r w:rsidRPr="00CA2CC1">
        <w:rPr>
          <w:rFonts w:cs="Calibri"/>
          <w:color w:val="000000" w:themeColor="text1"/>
          <w:spacing w:val="-6"/>
        </w:rPr>
        <w:t xml:space="preserve"> </w:t>
      </w:r>
      <w:r w:rsidRPr="00CA2CC1">
        <w:rPr>
          <w:rFonts w:cs="Calibri"/>
          <w:color w:val="000000" w:themeColor="text1"/>
        </w:rPr>
        <w:t>mean.</w:t>
      </w:r>
      <w:r w:rsidRPr="00CA2CC1">
        <w:rPr>
          <w:rFonts w:cs="Calibri"/>
          <w:color w:val="000000" w:themeColor="text1"/>
          <w:spacing w:val="-6"/>
        </w:rPr>
        <w:t xml:space="preserve"> </w:t>
      </w:r>
      <w:r w:rsidRPr="00CA2CC1">
        <w:rPr>
          <w:rFonts w:cs="Calibri"/>
          <w:color w:val="000000" w:themeColor="text1"/>
        </w:rPr>
        <w:t>We</w:t>
      </w:r>
      <w:r w:rsidRPr="00CA2CC1">
        <w:rPr>
          <w:rFonts w:cs="Calibri"/>
          <w:color w:val="000000" w:themeColor="text1"/>
          <w:spacing w:val="-6"/>
        </w:rPr>
        <w:t xml:space="preserve"> </w:t>
      </w:r>
      <w:r w:rsidRPr="00CA2CC1">
        <w:rPr>
          <w:rFonts w:cs="Calibri"/>
          <w:color w:val="000000" w:themeColor="text1"/>
        </w:rPr>
        <w:t>are</w:t>
      </w:r>
      <w:r w:rsidRPr="00CA2CC1">
        <w:rPr>
          <w:rFonts w:cs="Calibri"/>
          <w:color w:val="000000" w:themeColor="text1"/>
          <w:spacing w:val="-6"/>
        </w:rPr>
        <w:t xml:space="preserve"> </w:t>
      </w:r>
      <w:r w:rsidRPr="00CA2CC1">
        <w:rPr>
          <w:rFonts w:cs="Calibri"/>
          <w:color w:val="000000" w:themeColor="text1"/>
        </w:rPr>
        <w:t>accountable</w:t>
      </w:r>
      <w:r w:rsidRPr="00CA2CC1">
        <w:rPr>
          <w:rFonts w:cs="Calibri"/>
          <w:color w:val="000000" w:themeColor="text1"/>
          <w:spacing w:val="-6"/>
        </w:rPr>
        <w:t xml:space="preserve"> </w:t>
      </w:r>
      <w:r w:rsidRPr="00CA2CC1">
        <w:rPr>
          <w:rFonts w:cs="Calibri"/>
          <w:color w:val="000000" w:themeColor="text1"/>
        </w:rPr>
        <w:t>and</w:t>
      </w:r>
      <w:r w:rsidRPr="00CA2CC1">
        <w:rPr>
          <w:rFonts w:cs="Calibri"/>
          <w:color w:val="000000" w:themeColor="text1"/>
          <w:spacing w:val="-6"/>
        </w:rPr>
        <w:t xml:space="preserve"> </w:t>
      </w:r>
      <w:r w:rsidRPr="00CA2CC1">
        <w:rPr>
          <w:rFonts w:cs="Calibri"/>
          <w:color w:val="000000" w:themeColor="text1"/>
        </w:rPr>
        <w:t>transparent. We offer up our evidence and thinking to scrutiny.</w:t>
      </w:r>
    </w:p>
    <w:p w14:paraId="53CFCFB7" w14:textId="77777777" w:rsidR="00FA4226" w:rsidRPr="00CA2CC1" w:rsidRDefault="00000000" w:rsidP="0043303B">
      <w:pPr>
        <w:spacing w:before="189"/>
        <w:rPr>
          <w:rFonts w:cs="Calibri"/>
          <w:color w:val="000000" w:themeColor="text1"/>
          <w:sz w:val="40"/>
        </w:rPr>
      </w:pPr>
      <w:r w:rsidRPr="00CA2CC1">
        <w:rPr>
          <w:rFonts w:cs="Calibri"/>
          <w:color w:val="000000" w:themeColor="text1"/>
          <w:spacing w:val="-2"/>
          <w:w w:val="110"/>
          <w:sz w:val="40"/>
        </w:rPr>
        <w:t>Engagement</w:t>
      </w:r>
    </w:p>
    <w:p w14:paraId="666094BE" w14:textId="77777777" w:rsidR="00FA4226" w:rsidRPr="00CA2CC1" w:rsidRDefault="00000000" w:rsidP="0043303B">
      <w:pPr>
        <w:pStyle w:val="Heading7"/>
        <w:spacing w:before="74"/>
        <w:jc w:val="both"/>
        <w:rPr>
          <w:rFonts w:cs="Calibri"/>
          <w:color w:val="000000" w:themeColor="text1"/>
        </w:rPr>
      </w:pPr>
      <w:r w:rsidRPr="00CA2CC1">
        <w:rPr>
          <w:rFonts w:cs="Calibri"/>
          <w:color w:val="000000" w:themeColor="text1"/>
        </w:rPr>
        <w:t>We</w:t>
      </w:r>
      <w:r w:rsidRPr="00CA2CC1">
        <w:rPr>
          <w:rFonts w:cs="Calibri"/>
          <w:color w:val="000000" w:themeColor="text1"/>
          <w:spacing w:val="-6"/>
        </w:rPr>
        <w:t xml:space="preserve"> </w:t>
      </w:r>
      <w:r w:rsidRPr="00CA2CC1">
        <w:rPr>
          <w:rFonts w:cs="Calibri"/>
          <w:color w:val="000000" w:themeColor="text1"/>
        </w:rPr>
        <w:t>value</w:t>
      </w:r>
      <w:r w:rsidRPr="00CA2CC1">
        <w:rPr>
          <w:rFonts w:cs="Calibri"/>
          <w:color w:val="000000" w:themeColor="text1"/>
          <w:spacing w:val="-6"/>
        </w:rPr>
        <w:t xml:space="preserve"> </w:t>
      </w:r>
      <w:r w:rsidRPr="00CA2CC1">
        <w:rPr>
          <w:rFonts w:cs="Calibri"/>
          <w:color w:val="000000" w:themeColor="text1"/>
        </w:rPr>
        <w:t>understanding</w:t>
      </w:r>
      <w:r w:rsidRPr="00CA2CC1">
        <w:rPr>
          <w:rFonts w:cs="Calibri"/>
          <w:color w:val="000000" w:themeColor="text1"/>
          <w:spacing w:val="-6"/>
        </w:rPr>
        <w:t xml:space="preserve"> </w:t>
      </w:r>
      <w:r w:rsidRPr="00CA2CC1">
        <w:rPr>
          <w:rFonts w:cs="Calibri"/>
          <w:color w:val="000000" w:themeColor="text1"/>
        </w:rPr>
        <w:t>the</w:t>
      </w:r>
      <w:r w:rsidRPr="00CA2CC1">
        <w:rPr>
          <w:rFonts w:cs="Calibri"/>
          <w:color w:val="000000" w:themeColor="text1"/>
          <w:spacing w:val="-6"/>
        </w:rPr>
        <w:t xml:space="preserve"> </w:t>
      </w:r>
      <w:r w:rsidRPr="00CA2CC1">
        <w:rPr>
          <w:rFonts w:cs="Calibri"/>
          <w:color w:val="000000" w:themeColor="text1"/>
        </w:rPr>
        <w:t>needs,</w:t>
      </w:r>
      <w:r w:rsidRPr="00CA2CC1">
        <w:rPr>
          <w:rFonts w:cs="Calibri"/>
          <w:color w:val="000000" w:themeColor="text1"/>
          <w:spacing w:val="-6"/>
        </w:rPr>
        <w:t xml:space="preserve"> </w:t>
      </w:r>
      <w:r w:rsidRPr="00CA2CC1">
        <w:rPr>
          <w:rFonts w:cs="Calibri"/>
          <w:color w:val="000000" w:themeColor="text1"/>
        </w:rPr>
        <w:t>interests</w:t>
      </w:r>
      <w:r w:rsidRPr="00CA2CC1">
        <w:rPr>
          <w:rFonts w:cs="Calibri"/>
          <w:color w:val="000000" w:themeColor="text1"/>
          <w:spacing w:val="-6"/>
        </w:rPr>
        <w:t xml:space="preserve"> </w:t>
      </w:r>
      <w:r w:rsidRPr="00CA2CC1">
        <w:rPr>
          <w:rFonts w:cs="Calibri"/>
          <w:color w:val="000000" w:themeColor="text1"/>
        </w:rPr>
        <w:t>and</w:t>
      </w:r>
      <w:r w:rsidRPr="00CA2CC1">
        <w:rPr>
          <w:rFonts w:cs="Calibri"/>
          <w:color w:val="000000" w:themeColor="text1"/>
          <w:spacing w:val="-6"/>
        </w:rPr>
        <w:t xml:space="preserve"> </w:t>
      </w:r>
      <w:r w:rsidRPr="00CA2CC1">
        <w:rPr>
          <w:rFonts w:cs="Calibri"/>
          <w:color w:val="000000" w:themeColor="text1"/>
        </w:rPr>
        <w:t>preferences</w:t>
      </w:r>
      <w:r w:rsidRPr="00CA2CC1">
        <w:rPr>
          <w:rFonts w:cs="Calibri"/>
          <w:color w:val="000000" w:themeColor="text1"/>
          <w:spacing w:val="-6"/>
        </w:rPr>
        <w:t xml:space="preserve"> </w:t>
      </w:r>
      <w:r w:rsidRPr="00CA2CC1">
        <w:rPr>
          <w:rFonts w:cs="Calibri"/>
          <w:color w:val="000000" w:themeColor="text1"/>
        </w:rPr>
        <w:t>of the</w:t>
      </w:r>
      <w:r w:rsidRPr="00CA2CC1">
        <w:rPr>
          <w:rFonts w:cs="Calibri"/>
          <w:color w:val="000000" w:themeColor="text1"/>
          <w:spacing w:val="-7"/>
        </w:rPr>
        <w:t xml:space="preserve"> </w:t>
      </w:r>
      <w:r w:rsidRPr="00CA2CC1">
        <w:rPr>
          <w:rFonts w:cs="Calibri"/>
          <w:color w:val="000000" w:themeColor="text1"/>
        </w:rPr>
        <w:t>community.</w:t>
      </w:r>
      <w:r w:rsidRPr="00CA2CC1">
        <w:rPr>
          <w:rFonts w:cs="Calibri"/>
          <w:color w:val="000000" w:themeColor="text1"/>
          <w:spacing w:val="-7"/>
        </w:rPr>
        <w:t xml:space="preserve"> </w:t>
      </w:r>
      <w:r w:rsidRPr="00CA2CC1">
        <w:rPr>
          <w:rFonts w:cs="Calibri"/>
          <w:color w:val="000000" w:themeColor="text1"/>
        </w:rPr>
        <w:t>We</w:t>
      </w:r>
      <w:r w:rsidRPr="00CA2CC1">
        <w:rPr>
          <w:rFonts w:cs="Calibri"/>
          <w:color w:val="000000" w:themeColor="text1"/>
          <w:spacing w:val="-7"/>
        </w:rPr>
        <w:t xml:space="preserve"> </w:t>
      </w:r>
      <w:r w:rsidRPr="00CA2CC1">
        <w:rPr>
          <w:rFonts w:cs="Calibri"/>
          <w:color w:val="000000" w:themeColor="text1"/>
        </w:rPr>
        <w:t>share</w:t>
      </w:r>
      <w:r w:rsidRPr="00CA2CC1">
        <w:rPr>
          <w:rFonts w:cs="Calibri"/>
          <w:color w:val="000000" w:themeColor="text1"/>
          <w:spacing w:val="-7"/>
        </w:rPr>
        <w:t xml:space="preserve"> </w:t>
      </w:r>
      <w:r w:rsidRPr="00CA2CC1">
        <w:rPr>
          <w:rFonts w:cs="Calibri"/>
          <w:color w:val="000000" w:themeColor="text1"/>
        </w:rPr>
        <w:t>information</w:t>
      </w:r>
      <w:r w:rsidRPr="00CA2CC1">
        <w:rPr>
          <w:rFonts w:cs="Calibri"/>
          <w:color w:val="000000" w:themeColor="text1"/>
          <w:spacing w:val="-7"/>
        </w:rPr>
        <w:t xml:space="preserve"> </w:t>
      </w:r>
      <w:r w:rsidRPr="00CA2CC1">
        <w:rPr>
          <w:rFonts w:cs="Calibri"/>
          <w:color w:val="000000" w:themeColor="text1"/>
        </w:rPr>
        <w:t>and</w:t>
      </w:r>
      <w:r w:rsidRPr="00CA2CC1">
        <w:rPr>
          <w:rFonts w:cs="Calibri"/>
          <w:color w:val="000000" w:themeColor="text1"/>
          <w:spacing w:val="-7"/>
        </w:rPr>
        <w:t xml:space="preserve"> </w:t>
      </w:r>
      <w:r w:rsidRPr="00CA2CC1">
        <w:rPr>
          <w:rFonts w:cs="Calibri"/>
          <w:color w:val="000000" w:themeColor="text1"/>
        </w:rPr>
        <w:t>respond</w:t>
      </w:r>
      <w:r w:rsidRPr="00CA2CC1">
        <w:rPr>
          <w:rFonts w:cs="Calibri"/>
          <w:color w:val="000000" w:themeColor="text1"/>
          <w:spacing w:val="-7"/>
        </w:rPr>
        <w:t xml:space="preserve"> </w:t>
      </w:r>
      <w:r w:rsidRPr="00CA2CC1">
        <w:rPr>
          <w:rFonts w:cs="Calibri"/>
          <w:color w:val="000000" w:themeColor="text1"/>
        </w:rPr>
        <w:t>to</w:t>
      </w:r>
      <w:r w:rsidRPr="00CA2CC1">
        <w:rPr>
          <w:rFonts w:cs="Calibri"/>
          <w:color w:val="000000" w:themeColor="text1"/>
          <w:spacing w:val="-7"/>
        </w:rPr>
        <w:t xml:space="preserve"> </w:t>
      </w:r>
      <w:r w:rsidRPr="00CA2CC1">
        <w:rPr>
          <w:rFonts w:cs="Calibri"/>
          <w:color w:val="000000" w:themeColor="text1"/>
        </w:rPr>
        <w:t>feedback. We collaborate with colleagues and stakeholders.</w:t>
      </w:r>
    </w:p>
    <w:p w14:paraId="22372121" w14:textId="77777777" w:rsidR="00FA4226" w:rsidRPr="00CA2CC1" w:rsidRDefault="00000000" w:rsidP="0043303B">
      <w:pPr>
        <w:spacing w:before="189"/>
        <w:rPr>
          <w:rFonts w:cs="Calibri"/>
          <w:color w:val="000000" w:themeColor="text1"/>
          <w:sz w:val="40"/>
        </w:rPr>
      </w:pPr>
      <w:r w:rsidRPr="00CA2CC1">
        <w:rPr>
          <w:rFonts w:cs="Calibri"/>
          <w:color w:val="000000" w:themeColor="text1"/>
          <w:spacing w:val="-2"/>
          <w:w w:val="105"/>
          <w:sz w:val="40"/>
        </w:rPr>
        <w:t>People</w:t>
      </w:r>
    </w:p>
    <w:p w14:paraId="37FEBC3D" w14:textId="77777777" w:rsidR="00FA4226" w:rsidRPr="00CA2CC1" w:rsidRDefault="00000000" w:rsidP="0043303B">
      <w:pPr>
        <w:pStyle w:val="Heading7"/>
        <w:spacing w:before="74"/>
        <w:rPr>
          <w:rFonts w:cs="Calibri"/>
          <w:color w:val="000000" w:themeColor="text1"/>
        </w:rPr>
      </w:pPr>
      <w:r w:rsidRPr="00CA2CC1">
        <w:rPr>
          <w:rFonts w:cs="Calibri"/>
          <w:color w:val="000000" w:themeColor="text1"/>
        </w:rPr>
        <w:t>We</w:t>
      </w:r>
      <w:r w:rsidRPr="00CA2CC1">
        <w:rPr>
          <w:rFonts w:cs="Calibri"/>
          <w:color w:val="000000" w:themeColor="text1"/>
          <w:spacing w:val="-5"/>
        </w:rPr>
        <w:t xml:space="preserve"> </w:t>
      </w:r>
      <w:r w:rsidRPr="00CA2CC1">
        <w:rPr>
          <w:rFonts w:cs="Calibri"/>
          <w:color w:val="000000" w:themeColor="text1"/>
        </w:rPr>
        <w:t>succeed</w:t>
      </w:r>
      <w:r w:rsidRPr="00CA2CC1">
        <w:rPr>
          <w:rFonts w:cs="Calibri"/>
          <w:color w:val="000000" w:themeColor="text1"/>
          <w:spacing w:val="-5"/>
        </w:rPr>
        <w:t xml:space="preserve"> </w:t>
      </w:r>
      <w:r w:rsidRPr="00CA2CC1">
        <w:rPr>
          <w:rFonts w:cs="Calibri"/>
          <w:color w:val="000000" w:themeColor="text1"/>
        </w:rPr>
        <w:t>through</w:t>
      </w:r>
      <w:r w:rsidRPr="00CA2CC1">
        <w:rPr>
          <w:rFonts w:cs="Calibri"/>
          <w:color w:val="000000" w:themeColor="text1"/>
          <w:spacing w:val="-5"/>
        </w:rPr>
        <w:t xml:space="preserve"> </w:t>
      </w:r>
      <w:r w:rsidRPr="00CA2CC1">
        <w:rPr>
          <w:rFonts w:cs="Calibri"/>
          <w:color w:val="000000" w:themeColor="text1"/>
        </w:rPr>
        <w:t>our</w:t>
      </w:r>
      <w:r w:rsidRPr="00CA2CC1">
        <w:rPr>
          <w:rFonts w:cs="Calibri"/>
          <w:color w:val="000000" w:themeColor="text1"/>
          <w:spacing w:val="-5"/>
        </w:rPr>
        <w:t xml:space="preserve"> </w:t>
      </w:r>
      <w:r w:rsidRPr="00CA2CC1">
        <w:rPr>
          <w:rFonts w:cs="Calibri"/>
          <w:color w:val="000000" w:themeColor="text1"/>
        </w:rPr>
        <w:t>people.</w:t>
      </w:r>
      <w:r w:rsidRPr="00CA2CC1">
        <w:rPr>
          <w:rFonts w:cs="Calibri"/>
          <w:color w:val="000000" w:themeColor="text1"/>
          <w:spacing w:val="-5"/>
        </w:rPr>
        <w:t xml:space="preserve"> </w:t>
      </w:r>
      <w:r w:rsidRPr="00CA2CC1">
        <w:rPr>
          <w:rFonts w:cs="Calibri"/>
          <w:color w:val="000000" w:themeColor="text1"/>
        </w:rPr>
        <w:t>Our</w:t>
      </w:r>
      <w:r w:rsidRPr="00CA2CC1">
        <w:rPr>
          <w:rFonts w:cs="Calibri"/>
          <w:color w:val="000000" w:themeColor="text1"/>
          <w:spacing w:val="-5"/>
        </w:rPr>
        <w:t xml:space="preserve"> </w:t>
      </w:r>
      <w:r w:rsidRPr="00CA2CC1">
        <w:rPr>
          <w:rFonts w:cs="Calibri"/>
          <w:color w:val="000000" w:themeColor="text1"/>
        </w:rPr>
        <w:t>culture</w:t>
      </w:r>
      <w:r w:rsidRPr="00CA2CC1">
        <w:rPr>
          <w:rFonts w:cs="Calibri"/>
          <w:color w:val="000000" w:themeColor="text1"/>
          <w:spacing w:val="-5"/>
        </w:rPr>
        <w:t xml:space="preserve"> </w:t>
      </w:r>
      <w:r w:rsidRPr="00CA2CC1">
        <w:rPr>
          <w:rFonts w:cs="Calibri"/>
          <w:color w:val="000000" w:themeColor="text1"/>
        </w:rPr>
        <w:t>esteems</w:t>
      </w:r>
      <w:r w:rsidRPr="00CA2CC1">
        <w:rPr>
          <w:rFonts w:cs="Calibri"/>
          <w:color w:val="000000" w:themeColor="text1"/>
          <w:spacing w:val="-5"/>
        </w:rPr>
        <w:t xml:space="preserve"> </w:t>
      </w:r>
      <w:r w:rsidRPr="00CA2CC1">
        <w:rPr>
          <w:rFonts w:cs="Calibri"/>
          <w:color w:val="000000" w:themeColor="text1"/>
        </w:rPr>
        <w:t>teamwork</w:t>
      </w:r>
      <w:r w:rsidRPr="00CA2CC1">
        <w:rPr>
          <w:rFonts w:cs="Calibri"/>
          <w:color w:val="000000" w:themeColor="text1"/>
          <w:spacing w:val="-5"/>
        </w:rPr>
        <w:t xml:space="preserve"> </w:t>
      </w:r>
      <w:r w:rsidRPr="00CA2CC1">
        <w:rPr>
          <w:rFonts w:cs="Calibri"/>
          <w:color w:val="000000" w:themeColor="text1"/>
        </w:rPr>
        <w:t>and welcomes diversity. We value, support and challenge our people.</w:t>
      </w:r>
    </w:p>
    <w:p w14:paraId="4288546A" w14:textId="77777777" w:rsidR="00FA4226" w:rsidRPr="00CA2CC1" w:rsidRDefault="00FA4226" w:rsidP="0043303B">
      <w:pPr>
        <w:pStyle w:val="BodyText"/>
        <w:rPr>
          <w:rFonts w:cs="Calibri"/>
          <w:sz w:val="20"/>
        </w:rPr>
      </w:pPr>
    </w:p>
    <w:p w14:paraId="031B41B3" w14:textId="77777777" w:rsidR="00FA4226" w:rsidRPr="00CA2CC1" w:rsidRDefault="00FA4226" w:rsidP="0043303B">
      <w:pPr>
        <w:pStyle w:val="BodyText"/>
        <w:rPr>
          <w:rFonts w:cs="Calibri"/>
          <w:sz w:val="20"/>
        </w:rPr>
      </w:pPr>
    </w:p>
    <w:p w14:paraId="47B425AD" w14:textId="77777777" w:rsidR="00FA4226" w:rsidRPr="00CA2CC1" w:rsidRDefault="00FA4226" w:rsidP="0043303B">
      <w:pPr>
        <w:pStyle w:val="BodyText"/>
        <w:rPr>
          <w:rFonts w:cs="Calibri"/>
          <w:sz w:val="20"/>
        </w:rPr>
      </w:pPr>
    </w:p>
    <w:p w14:paraId="651639C9" w14:textId="77777777" w:rsidR="00FA4226" w:rsidRPr="00CA2CC1" w:rsidRDefault="00FA4226" w:rsidP="0043303B">
      <w:pPr>
        <w:pStyle w:val="BodyText"/>
        <w:rPr>
          <w:rFonts w:cs="Calibri"/>
          <w:sz w:val="20"/>
        </w:rPr>
      </w:pPr>
    </w:p>
    <w:p w14:paraId="20B3BFFE" w14:textId="77777777" w:rsidR="00FA4226" w:rsidRPr="00CA2CC1" w:rsidRDefault="00FA4226" w:rsidP="0043303B">
      <w:pPr>
        <w:pStyle w:val="BodyText"/>
        <w:rPr>
          <w:rFonts w:cs="Calibri"/>
          <w:sz w:val="20"/>
        </w:rPr>
      </w:pPr>
    </w:p>
    <w:p w14:paraId="2AD9434C" w14:textId="77777777" w:rsidR="00FA4226" w:rsidRPr="00CA2CC1" w:rsidRDefault="00FA4226" w:rsidP="0043303B">
      <w:pPr>
        <w:pStyle w:val="BodyText"/>
        <w:rPr>
          <w:rFonts w:cs="Calibri"/>
          <w:sz w:val="20"/>
        </w:rPr>
      </w:pPr>
    </w:p>
    <w:p w14:paraId="6BF79425" w14:textId="77777777" w:rsidR="00FA4226" w:rsidRPr="00CA2CC1" w:rsidRDefault="00FA4226" w:rsidP="0043303B">
      <w:pPr>
        <w:pStyle w:val="BodyText"/>
        <w:rPr>
          <w:rFonts w:cs="Calibri"/>
          <w:sz w:val="20"/>
        </w:rPr>
      </w:pPr>
    </w:p>
    <w:p w14:paraId="13FB51F8" w14:textId="77777777" w:rsidR="00FA4226" w:rsidRPr="00CA2CC1" w:rsidRDefault="00FA4226" w:rsidP="0043303B">
      <w:pPr>
        <w:pStyle w:val="BodyText"/>
        <w:rPr>
          <w:rFonts w:cs="Calibri"/>
          <w:sz w:val="20"/>
        </w:rPr>
      </w:pPr>
    </w:p>
    <w:p w14:paraId="2B845A9B" w14:textId="77777777" w:rsidR="00FA4226" w:rsidRPr="00CA2CC1" w:rsidRDefault="00FA4226" w:rsidP="0043303B">
      <w:pPr>
        <w:pStyle w:val="BodyText"/>
        <w:rPr>
          <w:rFonts w:cs="Calibri"/>
          <w:sz w:val="20"/>
        </w:rPr>
      </w:pPr>
    </w:p>
    <w:p w14:paraId="0F94B90A" w14:textId="77777777" w:rsidR="00FA4226" w:rsidRPr="00CA2CC1" w:rsidRDefault="00FA4226" w:rsidP="0043303B">
      <w:pPr>
        <w:pStyle w:val="BodyText"/>
        <w:rPr>
          <w:rFonts w:cs="Calibri"/>
          <w:sz w:val="20"/>
        </w:rPr>
      </w:pPr>
    </w:p>
    <w:p w14:paraId="578B681C" w14:textId="77777777" w:rsidR="00FA4226" w:rsidRPr="00CA2CC1" w:rsidRDefault="00FA4226" w:rsidP="0043303B">
      <w:pPr>
        <w:pStyle w:val="BodyText"/>
        <w:rPr>
          <w:rFonts w:cs="Calibri"/>
          <w:sz w:val="20"/>
        </w:rPr>
      </w:pPr>
    </w:p>
    <w:p w14:paraId="1A25CBD9" w14:textId="77777777" w:rsidR="00FA4226" w:rsidRPr="00CA2CC1" w:rsidRDefault="00FA4226" w:rsidP="0043303B">
      <w:pPr>
        <w:pStyle w:val="BodyText"/>
        <w:rPr>
          <w:rFonts w:cs="Calibri"/>
          <w:sz w:val="20"/>
        </w:rPr>
      </w:pPr>
    </w:p>
    <w:p w14:paraId="3709F6DC" w14:textId="77777777" w:rsidR="00FA4226" w:rsidRPr="00CA2CC1" w:rsidRDefault="00FA4226" w:rsidP="0043303B">
      <w:pPr>
        <w:pStyle w:val="BodyText"/>
        <w:rPr>
          <w:rFonts w:cs="Calibri"/>
          <w:sz w:val="20"/>
        </w:rPr>
      </w:pPr>
    </w:p>
    <w:p w14:paraId="14502426" w14:textId="77777777" w:rsidR="00FA4226" w:rsidRPr="00CA2CC1" w:rsidRDefault="00FA4226" w:rsidP="0043303B">
      <w:pPr>
        <w:pStyle w:val="BodyText"/>
        <w:rPr>
          <w:rFonts w:cs="Calibri"/>
          <w:sz w:val="20"/>
        </w:rPr>
      </w:pPr>
    </w:p>
    <w:p w14:paraId="6187918E" w14:textId="77777777" w:rsidR="00FA4226" w:rsidRPr="00CA2CC1" w:rsidRDefault="00FA4226" w:rsidP="0043303B">
      <w:pPr>
        <w:pStyle w:val="BodyText"/>
        <w:rPr>
          <w:rFonts w:cs="Calibri"/>
          <w:sz w:val="20"/>
        </w:rPr>
      </w:pPr>
    </w:p>
    <w:p w14:paraId="28E7E6EE" w14:textId="77777777" w:rsidR="00FA4226" w:rsidRPr="00CA2CC1" w:rsidRDefault="00FA4226" w:rsidP="0043303B">
      <w:pPr>
        <w:pStyle w:val="BodyText"/>
        <w:rPr>
          <w:rFonts w:cs="Calibri"/>
          <w:sz w:val="20"/>
        </w:rPr>
      </w:pPr>
    </w:p>
    <w:p w14:paraId="18AC9084" w14:textId="77777777" w:rsidR="00DB4380" w:rsidRPr="00CA2CC1" w:rsidRDefault="00000000" w:rsidP="0043303B">
      <w:pPr>
        <w:pStyle w:val="Heading1"/>
        <w:spacing w:before="171"/>
        <w:rPr>
          <w:rFonts w:cs="Calibri"/>
        </w:rPr>
      </w:pPr>
      <w:bookmarkStart w:id="7" w:name="Key_achievements__and_projects"/>
      <w:bookmarkStart w:id="8" w:name="Government_action_on_our_recommendations"/>
      <w:bookmarkStart w:id="9" w:name="Community_and_stakeholder_influence_and_"/>
      <w:bookmarkStart w:id="10" w:name="_bookmark4"/>
      <w:bookmarkEnd w:id="7"/>
      <w:bookmarkEnd w:id="8"/>
      <w:bookmarkEnd w:id="9"/>
      <w:bookmarkEnd w:id="10"/>
      <w:r w:rsidRPr="00CA2CC1">
        <w:rPr>
          <w:rFonts w:cs="Calibri"/>
          <w:color w:val="231F20"/>
          <w:w w:val="105"/>
        </w:rPr>
        <w:lastRenderedPageBreak/>
        <w:t>Key achievements and projects</w:t>
      </w:r>
    </w:p>
    <w:p w14:paraId="3FDEE156" w14:textId="77777777" w:rsidR="007F6C03" w:rsidRPr="00CA2CC1" w:rsidRDefault="007F6C03" w:rsidP="0043303B">
      <w:pPr>
        <w:pStyle w:val="BodyText"/>
        <w:rPr>
          <w:rFonts w:cs="Calibri"/>
        </w:rPr>
      </w:pPr>
    </w:p>
    <w:p w14:paraId="26311BED" w14:textId="15CBA0A7" w:rsidR="00FA4226" w:rsidRPr="00CA2CC1" w:rsidRDefault="00000000" w:rsidP="0043303B">
      <w:pPr>
        <w:pStyle w:val="BodyText"/>
        <w:rPr>
          <w:rFonts w:cs="Calibri"/>
        </w:rPr>
      </w:pPr>
      <w:r w:rsidRPr="00CA2CC1">
        <w:rPr>
          <w:rFonts w:cs="Calibri"/>
        </w:rPr>
        <w:t>At</w:t>
      </w:r>
      <w:r w:rsidRPr="00CA2CC1">
        <w:rPr>
          <w:rFonts w:cs="Calibri"/>
          <w:spacing w:val="-5"/>
        </w:rPr>
        <w:t xml:space="preserve"> </w:t>
      </w:r>
      <w:r w:rsidRPr="00CA2CC1">
        <w:rPr>
          <w:rFonts w:cs="Calibri"/>
        </w:rPr>
        <w:t>Infrastructure</w:t>
      </w:r>
      <w:r w:rsidRPr="00CA2CC1">
        <w:rPr>
          <w:rFonts w:cs="Calibri"/>
          <w:spacing w:val="-5"/>
        </w:rPr>
        <w:t xml:space="preserve"> </w:t>
      </w:r>
      <w:r w:rsidRPr="00CA2CC1">
        <w:rPr>
          <w:rFonts w:cs="Calibri"/>
        </w:rPr>
        <w:t>Victoria,</w:t>
      </w:r>
      <w:r w:rsidRPr="00CA2CC1">
        <w:rPr>
          <w:rFonts w:cs="Calibri"/>
          <w:spacing w:val="-5"/>
        </w:rPr>
        <w:t xml:space="preserve"> </w:t>
      </w:r>
      <w:r w:rsidRPr="00CA2CC1">
        <w:rPr>
          <w:rFonts w:cs="Calibri"/>
        </w:rPr>
        <w:t>we</w:t>
      </w:r>
      <w:r w:rsidRPr="00CA2CC1">
        <w:rPr>
          <w:rFonts w:cs="Calibri"/>
          <w:spacing w:val="-5"/>
        </w:rPr>
        <w:t xml:space="preserve"> </w:t>
      </w:r>
      <w:r w:rsidRPr="00CA2CC1">
        <w:rPr>
          <w:rFonts w:cs="Calibri"/>
        </w:rPr>
        <w:t>pride</w:t>
      </w:r>
      <w:r w:rsidRPr="00CA2CC1">
        <w:rPr>
          <w:rFonts w:cs="Calibri"/>
          <w:spacing w:val="-5"/>
        </w:rPr>
        <w:t xml:space="preserve"> </w:t>
      </w:r>
      <w:r w:rsidRPr="00CA2CC1">
        <w:rPr>
          <w:rFonts w:cs="Calibri"/>
        </w:rPr>
        <w:t>ourselves</w:t>
      </w:r>
      <w:r w:rsidRPr="00CA2CC1">
        <w:rPr>
          <w:rFonts w:cs="Calibri"/>
          <w:spacing w:val="-5"/>
        </w:rPr>
        <w:t xml:space="preserve"> </w:t>
      </w:r>
      <w:r w:rsidRPr="00CA2CC1">
        <w:rPr>
          <w:rFonts w:cs="Calibri"/>
        </w:rPr>
        <w:t>on</w:t>
      </w:r>
      <w:r w:rsidRPr="00CA2CC1">
        <w:rPr>
          <w:rFonts w:cs="Calibri"/>
          <w:spacing w:val="-5"/>
        </w:rPr>
        <w:t xml:space="preserve"> </w:t>
      </w:r>
      <w:r w:rsidRPr="00CA2CC1">
        <w:rPr>
          <w:rFonts w:cs="Calibri"/>
        </w:rPr>
        <w:t>work</w:t>
      </w:r>
      <w:r w:rsidRPr="00CA2CC1">
        <w:rPr>
          <w:rFonts w:cs="Calibri"/>
          <w:spacing w:val="-5"/>
        </w:rPr>
        <w:t xml:space="preserve"> </w:t>
      </w:r>
      <w:r w:rsidRPr="00CA2CC1">
        <w:rPr>
          <w:rFonts w:cs="Calibri"/>
        </w:rPr>
        <w:t>that</w:t>
      </w:r>
      <w:r w:rsidRPr="00CA2CC1">
        <w:rPr>
          <w:rFonts w:cs="Calibri"/>
          <w:spacing w:val="-5"/>
        </w:rPr>
        <w:t xml:space="preserve"> </w:t>
      </w:r>
      <w:r w:rsidRPr="00CA2CC1">
        <w:rPr>
          <w:rFonts w:cs="Calibri"/>
        </w:rPr>
        <w:t>is rigorous,</w:t>
      </w:r>
      <w:r w:rsidRPr="00CA2CC1">
        <w:rPr>
          <w:rFonts w:cs="Calibri"/>
          <w:spacing w:val="-1"/>
        </w:rPr>
        <w:t xml:space="preserve"> </w:t>
      </w:r>
      <w:r w:rsidRPr="00CA2CC1">
        <w:rPr>
          <w:rFonts w:cs="Calibri"/>
        </w:rPr>
        <w:t>evidence-based</w:t>
      </w:r>
      <w:r w:rsidRPr="00CA2CC1">
        <w:rPr>
          <w:rFonts w:cs="Calibri"/>
          <w:spacing w:val="-1"/>
        </w:rPr>
        <w:t xml:space="preserve"> </w:t>
      </w:r>
      <w:r w:rsidRPr="00CA2CC1">
        <w:rPr>
          <w:rFonts w:cs="Calibri"/>
        </w:rPr>
        <w:t>and</w:t>
      </w:r>
      <w:r w:rsidRPr="00CA2CC1">
        <w:rPr>
          <w:rFonts w:cs="Calibri"/>
          <w:spacing w:val="-1"/>
        </w:rPr>
        <w:t xml:space="preserve"> </w:t>
      </w:r>
      <w:r w:rsidRPr="00CA2CC1">
        <w:rPr>
          <w:rFonts w:cs="Calibri"/>
        </w:rPr>
        <w:t>influential.</w:t>
      </w:r>
      <w:r w:rsidRPr="00CA2CC1">
        <w:rPr>
          <w:rFonts w:cs="Calibri"/>
          <w:spacing w:val="-1"/>
        </w:rPr>
        <w:t xml:space="preserve"> </w:t>
      </w:r>
      <w:r w:rsidRPr="00CA2CC1">
        <w:rPr>
          <w:rFonts w:cs="Calibri"/>
        </w:rPr>
        <w:t>We</w:t>
      </w:r>
      <w:r w:rsidRPr="00CA2CC1">
        <w:rPr>
          <w:rFonts w:cs="Calibri"/>
          <w:spacing w:val="-1"/>
        </w:rPr>
        <w:t xml:space="preserve"> </w:t>
      </w:r>
      <w:r w:rsidRPr="00CA2CC1">
        <w:rPr>
          <w:rFonts w:cs="Calibri"/>
        </w:rPr>
        <w:t>independently assess and help guide the infrastructure policy and investment decisions of the Victorian Government in the short, medium and long term.</w:t>
      </w:r>
    </w:p>
    <w:p w14:paraId="45090AC5" w14:textId="77777777" w:rsidR="00FA4226" w:rsidRPr="00CA2CC1" w:rsidRDefault="00000000" w:rsidP="0043303B">
      <w:pPr>
        <w:pStyle w:val="BodyText"/>
        <w:spacing w:before="108"/>
        <w:rPr>
          <w:rFonts w:cs="Calibri"/>
        </w:rPr>
      </w:pPr>
      <w:r w:rsidRPr="00CA2CC1">
        <w:rPr>
          <w:rFonts w:cs="Calibri"/>
          <w:color w:val="414042"/>
        </w:rPr>
        <w:t>Our job is</w:t>
      </w:r>
      <w:r w:rsidRPr="00CA2CC1">
        <w:rPr>
          <w:rFonts w:cs="Calibri"/>
          <w:color w:val="414042"/>
          <w:spacing w:val="1"/>
        </w:rPr>
        <w:t xml:space="preserve"> </w:t>
      </w:r>
      <w:r w:rsidRPr="00CA2CC1">
        <w:rPr>
          <w:rFonts w:cs="Calibri"/>
          <w:color w:val="414042"/>
        </w:rPr>
        <w:t>to advise,</w:t>
      </w:r>
      <w:r w:rsidRPr="00CA2CC1">
        <w:rPr>
          <w:rFonts w:cs="Calibri"/>
          <w:color w:val="414042"/>
          <w:spacing w:val="1"/>
        </w:rPr>
        <w:t xml:space="preserve"> </w:t>
      </w:r>
      <w:r w:rsidRPr="00CA2CC1">
        <w:rPr>
          <w:rFonts w:cs="Calibri"/>
          <w:color w:val="414042"/>
        </w:rPr>
        <w:t>the government</w:t>
      </w:r>
      <w:r w:rsidRPr="00CA2CC1">
        <w:rPr>
          <w:rFonts w:cs="Calibri"/>
          <w:color w:val="414042"/>
          <w:spacing w:val="1"/>
        </w:rPr>
        <w:t xml:space="preserve"> </w:t>
      </w:r>
      <w:r w:rsidRPr="00CA2CC1">
        <w:rPr>
          <w:rFonts w:cs="Calibri"/>
          <w:color w:val="414042"/>
          <w:spacing w:val="-2"/>
        </w:rPr>
        <w:t>decides.</w:t>
      </w:r>
    </w:p>
    <w:p w14:paraId="06EEFFD6" w14:textId="77777777" w:rsidR="00FA4226" w:rsidRPr="00CA2CC1" w:rsidRDefault="00000000" w:rsidP="0043303B">
      <w:pPr>
        <w:pStyle w:val="BodyText"/>
        <w:spacing w:before="118"/>
        <w:rPr>
          <w:rFonts w:cs="Calibri"/>
        </w:rPr>
      </w:pPr>
      <w:r w:rsidRPr="00CA2CC1">
        <w:rPr>
          <w:rFonts w:cs="Calibri"/>
          <w:color w:val="414042"/>
        </w:rPr>
        <w:t>A</w:t>
      </w:r>
      <w:r w:rsidRPr="00CA2CC1">
        <w:rPr>
          <w:rFonts w:cs="Calibri"/>
          <w:color w:val="414042"/>
          <w:spacing w:val="-5"/>
        </w:rPr>
        <w:t xml:space="preserve"> </w:t>
      </w:r>
      <w:r w:rsidRPr="00CA2CC1">
        <w:rPr>
          <w:rFonts w:cs="Calibri"/>
          <w:color w:val="414042"/>
        </w:rPr>
        <w:t>key</w:t>
      </w:r>
      <w:r w:rsidRPr="00CA2CC1">
        <w:rPr>
          <w:rFonts w:cs="Calibri"/>
          <w:color w:val="414042"/>
          <w:spacing w:val="-5"/>
        </w:rPr>
        <w:t xml:space="preserve"> </w:t>
      </w:r>
      <w:r w:rsidRPr="00CA2CC1">
        <w:rPr>
          <w:rFonts w:cs="Calibri"/>
          <w:color w:val="414042"/>
        </w:rPr>
        <w:t>measure</w:t>
      </w:r>
      <w:r w:rsidRPr="00CA2CC1">
        <w:rPr>
          <w:rFonts w:cs="Calibri"/>
          <w:color w:val="414042"/>
          <w:spacing w:val="-5"/>
        </w:rPr>
        <w:t xml:space="preserve"> </w:t>
      </w:r>
      <w:r w:rsidRPr="00CA2CC1">
        <w:rPr>
          <w:rFonts w:cs="Calibri"/>
          <w:color w:val="414042"/>
        </w:rPr>
        <w:t>for</w:t>
      </w:r>
      <w:r w:rsidRPr="00CA2CC1">
        <w:rPr>
          <w:rFonts w:cs="Calibri"/>
          <w:color w:val="414042"/>
          <w:spacing w:val="-5"/>
        </w:rPr>
        <w:t xml:space="preserve"> </w:t>
      </w:r>
      <w:r w:rsidRPr="00CA2CC1">
        <w:rPr>
          <w:rFonts w:cs="Calibri"/>
          <w:color w:val="414042"/>
        </w:rPr>
        <w:t>any</w:t>
      </w:r>
      <w:r w:rsidRPr="00CA2CC1">
        <w:rPr>
          <w:rFonts w:cs="Calibri"/>
          <w:color w:val="414042"/>
          <w:spacing w:val="-5"/>
        </w:rPr>
        <w:t xml:space="preserve"> </w:t>
      </w:r>
      <w:r w:rsidRPr="00CA2CC1">
        <w:rPr>
          <w:rFonts w:cs="Calibri"/>
          <w:color w:val="414042"/>
        </w:rPr>
        <w:t>advisory</w:t>
      </w:r>
      <w:r w:rsidRPr="00CA2CC1">
        <w:rPr>
          <w:rFonts w:cs="Calibri"/>
          <w:color w:val="414042"/>
          <w:spacing w:val="-5"/>
        </w:rPr>
        <w:t xml:space="preserve"> </w:t>
      </w:r>
      <w:r w:rsidRPr="00CA2CC1">
        <w:rPr>
          <w:rFonts w:cs="Calibri"/>
          <w:color w:val="414042"/>
        </w:rPr>
        <w:t>authority</w:t>
      </w:r>
      <w:r w:rsidRPr="00CA2CC1">
        <w:rPr>
          <w:rFonts w:cs="Calibri"/>
          <w:color w:val="414042"/>
          <w:spacing w:val="-5"/>
        </w:rPr>
        <w:t xml:space="preserve"> </w:t>
      </w:r>
      <w:r w:rsidRPr="00CA2CC1">
        <w:rPr>
          <w:rFonts w:cs="Calibri"/>
          <w:color w:val="414042"/>
        </w:rPr>
        <w:t>is</w:t>
      </w:r>
      <w:r w:rsidRPr="00CA2CC1">
        <w:rPr>
          <w:rFonts w:cs="Calibri"/>
          <w:color w:val="414042"/>
          <w:spacing w:val="-5"/>
        </w:rPr>
        <w:t xml:space="preserve"> </w:t>
      </w:r>
      <w:r w:rsidRPr="00CA2CC1">
        <w:rPr>
          <w:rFonts w:cs="Calibri"/>
          <w:color w:val="414042"/>
        </w:rPr>
        <w:t>demonstrated influence in informing government policy and decision- making. Infrastructure Victoria is proud of our strong record of impact over the past 8 years. More than 90%</w:t>
      </w:r>
      <w:r w:rsidRPr="00CA2CC1">
        <w:rPr>
          <w:rFonts w:cs="Calibri"/>
          <w:color w:val="414042"/>
          <w:spacing w:val="40"/>
        </w:rPr>
        <w:t xml:space="preserve"> </w:t>
      </w:r>
      <w:r w:rsidRPr="00CA2CC1">
        <w:rPr>
          <w:rFonts w:cs="Calibri"/>
          <w:color w:val="414042"/>
        </w:rPr>
        <w:t>of the 137 recommendations from Victoria’s first 30-year infrastructure strategy are now substantially complete or in progress.</w:t>
      </w:r>
    </w:p>
    <w:p w14:paraId="19D9672C" w14:textId="77777777" w:rsidR="00FA4226" w:rsidRPr="00CA2CC1" w:rsidRDefault="00000000" w:rsidP="0043303B">
      <w:pPr>
        <w:pStyle w:val="BodyText"/>
        <w:spacing w:before="112"/>
        <w:rPr>
          <w:rFonts w:cs="Calibri"/>
        </w:rPr>
      </w:pPr>
      <w:r w:rsidRPr="00CA2CC1">
        <w:rPr>
          <w:rFonts w:cs="Calibri"/>
          <w:color w:val="414042"/>
        </w:rPr>
        <w:t xml:space="preserve">We presented an updated 30-year strategy, </w:t>
      </w:r>
      <w:r w:rsidRPr="00CA2CC1">
        <w:rPr>
          <w:rFonts w:cs="Calibri"/>
          <w:i/>
          <w:color w:val="414042"/>
        </w:rPr>
        <w:t xml:space="preserve">Victoria’s infrastructure strategy 2021–2051, </w:t>
      </w:r>
      <w:r w:rsidRPr="00CA2CC1">
        <w:rPr>
          <w:rFonts w:cs="Calibri"/>
          <w:color w:val="414042"/>
        </w:rPr>
        <w:t>to the Victorian Parliament in August 2021. The strategy makes 94 recommendations</w:t>
      </w:r>
      <w:r w:rsidRPr="00CA2CC1">
        <w:rPr>
          <w:rFonts w:cs="Calibri"/>
          <w:color w:val="414042"/>
          <w:spacing w:val="-12"/>
        </w:rPr>
        <w:t xml:space="preserve"> </w:t>
      </w:r>
      <w:r w:rsidRPr="00CA2CC1">
        <w:rPr>
          <w:rFonts w:cs="Calibri"/>
          <w:color w:val="414042"/>
        </w:rPr>
        <w:t>and</w:t>
      </w:r>
      <w:r w:rsidRPr="00CA2CC1">
        <w:rPr>
          <w:rFonts w:cs="Calibri"/>
          <w:color w:val="414042"/>
          <w:spacing w:val="-12"/>
        </w:rPr>
        <w:t xml:space="preserve"> </w:t>
      </w:r>
      <w:r w:rsidRPr="00CA2CC1">
        <w:rPr>
          <w:rFonts w:cs="Calibri"/>
          <w:color w:val="414042"/>
        </w:rPr>
        <w:t>the</w:t>
      </w:r>
      <w:r w:rsidRPr="00CA2CC1">
        <w:rPr>
          <w:rFonts w:cs="Calibri"/>
          <w:color w:val="414042"/>
          <w:spacing w:val="-12"/>
        </w:rPr>
        <w:t xml:space="preserve"> </w:t>
      </w:r>
      <w:r w:rsidRPr="00CA2CC1">
        <w:rPr>
          <w:rFonts w:cs="Calibri"/>
          <w:color w:val="414042"/>
        </w:rPr>
        <w:t>Victorian</w:t>
      </w:r>
      <w:r w:rsidRPr="00CA2CC1">
        <w:rPr>
          <w:rFonts w:cs="Calibri"/>
          <w:color w:val="414042"/>
          <w:spacing w:val="-12"/>
        </w:rPr>
        <w:t xml:space="preserve"> </w:t>
      </w:r>
      <w:r w:rsidRPr="00CA2CC1">
        <w:rPr>
          <w:rFonts w:cs="Calibri"/>
          <w:color w:val="414042"/>
        </w:rPr>
        <w:t>Government’s</w:t>
      </w:r>
      <w:r w:rsidRPr="00CA2CC1">
        <w:rPr>
          <w:rFonts w:cs="Calibri"/>
          <w:color w:val="414042"/>
          <w:spacing w:val="-12"/>
        </w:rPr>
        <w:t xml:space="preserve"> </w:t>
      </w:r>
      <w:r w:rsidRPr="00CA2CC1">
        <w:rPr>
          <w:rFonts w:cs="Calibri"/>
          <w:color w:val="414042"/>
        </w:rPr>
        <w:t>5-year infrastructure plan indicates support in full, in part or in principle, for 88% of them</w:t>
      </w:r>
      <w:r w:rsidRPr="00CA2CC1">
        <w:rPr>
          <w:rFonts w:cs="Calibri"/>
          <w:i/>
          <w:color w:val="414042"/>
        </w:rPr>
        <w:t xml:space="preserve">. </w:t>
      </w:r>
      <w:r w:rsidRPr="00CA2CC1">
        <w:rPr>
          <w:rFonts w:cs="Calibri"/>
          <w:color w:val="414042"/>
        </w:rPr>
        <w:t>A further 5 recommendations are subject to additional consideration by government.</w:t>
      </w:r>
    </w:p>
    <w:p w14:paraId="4457BFD4" w14:textId="77777777" w:rsidR="00FA4226" w:rsidRPr="00CA2CC1" w:rsidRDefault="00FA4226" w:rsidP="0043303B">
      <w:pPr>
        <w:pStyle w:val="BodyText"/>
        <w:spacing w:before="1"/>
        <w:rPr>
          <w:rFonts w:cs="Calibri"/>
          <w:sz w:val="27"/>
        </w:rPr>
      </w:pPr>
    </w:p>
    <w:p w14:paraId="7566EE5F" w14:textId="77777777" w:rsidR="00FA4226" w:rsidRPr="00CA2CC1" w:rsidRDefault="00000000" w:rsidP="00867916">
      <w:pPr>
        <w:pStyle w:val="Heading3"/>
        <w:rPr>
          <w:rFonts w:cs="Calibri"/>
        </w:rPr>
      </w:pPr>
      <w:r w:rsidRPr="00CA2CC1">
        <w:rPr>
          <w:rFonts w:cs="Calibri"/>
        </w:rPr>
        <w:t>Government</w:t>
      </w:r>
      <w:r w:rsidRPr="00CA2CC1">
        <w:rPr>
          <w:rFonts w:cs="Calibri"/>
          <w:spacing w:val="-11"/>
        </w:rPr>
        <w:t xml:space="preserve"> </w:t>
      </w:r>
      <w:r w:rsidRPr="00CA2CC1">
        <w:rPr>
          <w:rFonts w:cs="Calibri"/>
        </w:rPr>
        <w:t>action</w:t>
      </w:r>
      <w:r w:rsidRPr="00CA2CC1">
        <w:rPr>
          <w:rFonts w:cs="Calibri"/>
          <w:spacing w:val="-11"/>
        </w:rPr>
        <w:t xml:space="preserve"> </w:t>
      </w:r>
      <w:r w:rsidRPr="00CA2CC1">
        <w:rPr>
          <w:rFonts w:cs="Calibri"/>
        </w:rPr>
        <w:t>on</w:t>
      </w:r>
      <w:r w:rsidRPr="00CA2CC1">
        <w:rPr>
          <w:rFonts w:cs="Calibri"/>
          <w:spacing w:val="-11"/>
        </w:rPr>
        <w:t xml:space="preserve"> </w:t>
      </w:r>
      <w:r w:rsidRPr="00CA2CC1">
        <w:rPr>
          <w:rFonts w:cs="Calibri"/>
        </w:rPr>
        <w:t xml:space="preserve">our </w:t>
      </w:r>
      <w:r w:rsidRPr="00CA2CC1">
        <w:rPr>
          <w:rFonts w:cs="Calibri"/>
          <w:spacing w:val="-2"/>
        </w:rPr>
        <w:t>recommendations</w:t>
      </w:r>
    </w:p>
    <w:p w14:paraId="08D3A1DC" w14:textId="77777777" w:rsidR="00FA4226" w:rsidRPr="00CA2CC1" w:rsidRDefault="00000000" w:rsidP="0043303B">
      <w:pPr>
        <w:pStyle w:val="BodyText"/>
        <w:rPr>
          <w:rFonts w:cs="Calibri"/>
        </w:rPr>
      </w:pPr>
      <w:r w:rsidRPr="00CA2CC1">
        <w:rPr>
          <w:rFonts w:cs="Calibri"/>
        </w:rPr>
        <w:t>During 2022–23, the Victorian Government committed funding which should deliver on many of the recommendations</w:t>
      </w:r>
      <w:r w:rsidRPr="00CA2CC1">
        <w:rPr>
          <w:rFonts w:cs="Calibri"/>
          <w:spacing w:val="-10"/>
        </w:rPr>
        <w:t xml:space="preserve"> </w:t>
      </w:r>
      <w:r w:rsidRPr="00CA2CC1">
        <w:rPr>
          <w:rFonts w:cs="Calibri"/>
        </w:rPr>
        <w:t>from</w:t>
      </w:r>
      <w:r w:rsidRPr="00CA2CC1">
        <w:rPr>
          <w:rFonts w:cs="Calibri"/>
          <w:spacing w:val="-10"/>
        </w:rPr>
        <w:t xml:space="preserve"> </w:t>
      </w:r>
      <w:r w:rsidRPr="00CA2CC1">
        <w:rPr>
          <w:rFonts w:cs="Calibri"/>
        </w:rPr>
        <w:t>our</w:t>
      </w:r>
      <w:r w:rsidRPr="00CA2CC1">
        <w:rPr>
          <w:rFonts w:cs="Calibri"/>
          <w:spacing w:val="-10"/>
        </w:rPr>
        <w:t xml:space="preserve"> </w:t>
      </w:r>
      <w:r w:rsidRPr="00CA2CC1">
        <w:rPr>
          <w:rFonts w:cs="Calibri"/>
        </w:rPr>
        <w:t>updated</w:t>
      </w:r>
      <w:r w:rsidRPr="00CA2CC1">
        <w:rPr>
          <w:rFonts w:cs="Calibri"/>
          <w:spacing w:val="-10"/>
        </w:rPr>
        <w:t xml:space="preserve"> </w:t>
      </w:r>
      <w:r w:rsidRPr="00CA2CC1">
        <w:rPr>
          <w:rFonts w:cs="Calibri"/>
        </w:rPr>
        <w:t>30-year</w:t>
      </w:r>
      <w:r w:rsidRPr="00CA2CC1">
        <w:rPr>
          <w:rFonts w:cs="Calibri"/>
          <w:spacing w:val="-10"/>
        </w:rPr>
        <w:t xml:space="preserve"> </w:t>
      </w:r>
      <w:r w:rsidRPr="00CA2CC1">
        <w:rPr>
          <w:rFonts w:cs="Calibri"/>
        </w:rPr>
        <w:t>infrastructure strategy over the coming years.</w:t>
      </w:r>
    </w:p>
    <w:p w14:paraId="39F52540" w14:textId="77777777" w:rsidR="00FA4226" w:rsidRPr="00CA2CC1" w:rsidRDefault="00000000" w:rsidP="0043303B">
      <w:pPr>
        <w:pStyle w:val="BodyText"/>
        <w:rPr>
          <w:rFonts w:cs="Calibri"/>
        </w:rPr>
      </w:pPr>
      <w:r w:rsidRPr="00CA2CC1">
        <w:rPr>
          <w:rFonts w:cs="Calibri"/>
        </w:rPr>
        <w:t>Highlights include a $2.34 billion redevelopment of the Royal Melbourne Hospital and Royal Women’s Hospital, announced in October 2022. We recommended the government prioritise renewal of the Royal Melbourne Hospital in Victoria’s infrastructure strategy 2021–2051. This infrastructure investment also aims to increase access to women’s health services and encourage private development in Melbourne’s new Arden precinct.</w:t>
      </w:r>
    </w:p>
    <w:p w14:paraId="4070BDFF" w14:textId="7A447BDE" w:rsidR="00150610" w:rsidRPr="00CA2CC1" w:rsidRDefault="00000000" w:rsidP="0043303B">
      <w:pPr>
        <w:pStyle w:val="BodyText"/>
        <w:rPr>
          <w:rFonts w:cs="Calibri"/>
        </w:rPr>
      </w:pPr>
      <w:r w:rsidRPr="00CA2CC1">
        <w:rPr>
          <w:rFonts w:cs="Calibri"/>
        </w:rPr>
        <w:t>In May 2023, the government announced an extra $2.8 billion in road repairs and upgrades over the next decade. This investment aims to help keep Victorian communities connected and drivers safer, it is the first-time road funding has been committed over a 10-year period. We recommended a 10-year funding program to deliver long-term certainty for regional road maintenance and upgrades in Victoria’s infrastructure strategy 2021–2051.</w:t>
      </w:r>
    </w:p>
    <w:p w14:paraId="098A495E" w14:textId="2075F582" w:rsidR="00FA4226" w:rsidRPr="00CA2CC1" w:rsidRDefault="00000000" w:rsidP="0043303B">
      <w:pPr>
        <w:pStyle w:val="BodyText"/>
        <w:rPr>
          <w:rFonts w:cs="Calibri"/>
        </w:rPr>
      </w:pPr>
      <w:r w:rsidRPr="00CA2CC1">
        <w:rPr>
          <w:rFonts w:cs="Calibri"/>
        </w:rPr>
        <w:t>Many more funding commitments are detailed in our first full year assessment of the Victorian Government’s delivery of its 5-year infrastructure plan. The Victorian infrastructure plan 2021 is the government’s response to</w:t>
      </w:r>
      <w:r w:rsidRPr="00CA2CC1">
        <w:rPr>
          <w:rFonts w:cs="Calibri"/>
          <w:spacing w:val="-7"/>
        </w:rPr>
        <w:t xml:space="preserve"> </w:t>
      </w:r>
      <w:r w:rsidRPr="00CA2CC1">
        <w:rPr>
          <w:rFonts w:cs="Calibri"/>
        </w:rPr>
        <w:t>our</w:t>
      </w:r>
      <w:r w:rsidRPr="00CA2CC1">
        <w:rPr>
          <w:rFonts w:cs="Calibri"/>
          <w:spacing w:val="-7"/>
        </w:rPr>
        <w:t xml:space="preserve"> </w:t>
      </w:r>
      <w:r w:rsidRPr="00CA2CC1">
        <w:rPr>
          <w:rFonts w:cs="Calibri"/>
        </w:rPr>
        <w:t>2021–2051 strategy recommendations. Future assessments will</w:t>
      </w:r>
      <w:r w:rsidR="00150610" w:rsidRPr="00CA2CC1">
        <w:rPr>
          <w:rFonts w:cs="Calibri"/>
        </w:rPr>
        <w:t xml:space="preserve"> </w:t>
      </w:r>
      <w:r w:rsidRPr="00CA2CC1">
        <w:rPr>
          <w:rFonts w:cs="Calibri"/>
        </w:rPr>
        <w:t>focus</w:t>
      </w:r>
      <w:r w:rsidRPr="00CA2CC1">
        <w:rPr>
          <w:rFonts w:cs="Calibri"/>
          <w:spacing w:val="-5"/>
        </w:rPr>
        <w:t xml:space="preserve"> </w:t>
      </w:r>
      <w:r w:rsidRPr="00CA2CC1">
        <w:rPr>
          <w:rFonts w:cs="Calibri"/>
        </w:rPr>
        <w:t>on</w:t>
      </w:r>
      <w:r w:rsidRPr="00CA2CC1">
        <w:rPr>
          <w:rFonts w:cs="Calibri"/>
          <w:spacing w:val="-5"/>
        </w:rPr>
        <w:t xml:space="preserve"> </w:t>
      </w:r>
      <w:r w:rsidRPr="00CA2CC1">
        <w:rPr>
          <w:rFonts w:cs="Calibri"/>
        </w:rPr>
        <w:t>government</w:t>
      </w:r>
      <w:r w:rsidRPr="00CA2CC1">
        <w:rPr>
          <w:rFonts w:cs="Calibri"/>
          <w:spacing w:val="-5"/>
        </w:rPr>
        <w:t xml:space="preserve"> </w:t>
      </w:r>
      <w:r w:rsidRPr="00CA2CC1">
        <w:rPr>
          <w:rFonts w:cs="Calibri"/>
        </w:rPr>
        <w:t>progress</w:t>
      </w:r>
      <w:r w:rsidRPr="00CA2CC1">
        <w:rPr>
          <w:rFonts w:cs="Calibri"/>
          <w:spacing w:val="-5"/>
        </w:rPr>
        <w:t xml:space="preserve"> </w:t>
      </w:r>
      <w:r w:rsidRPr="00CA2CC1">
        <w:rPr>
          <w:rFonts w:cs="Calibri"/>
        </w:rPr>
        <w:t>in</w:t>
      </w:r>
      <w:r w:rsidRPr="00CA2CC1">
        <w:rPr>
          <w:rFonts w:cs="Calibri"/>
          <w:spacing w:val="-5"/>
        </w:rPr>
        <w:t xml:space="preserve"> </w:t>
      </w:r>
      <w:r w:rsidRPr="00CA2CC1">
        <w:rPr>
          <w:rFonts w:cs="Calibri"/>
        </w:rPr>
        <w:t>delivering</w:t>
      </w:r>
      <w:r w:rsidRPr="00CA2CC1">
        <w:rPr>
          <w:rFonts w:cs="Calibri"/>
          <w:spacing w:val="-5"/>
        </w:rPr>
        <w:t xml:space="preserve"> </w:t>
      </w:r>
      <w:r w:rsidRPr="00CA2CC1">
        <w:rPr>
          <w:rFonts w:cs="Calibri"/>
        </w:rPr>
        <w:t>the</w:t>
      </w:r>
      <w:r w:rsidRPr="00CA2CC1">
        <w:rPr>
          <w:rFonts w:cs="Calibri"/>
          <w:spacing w:val="-5"/>
        </w:rPr>
        <w:t xml:space="preserve"> </w:t>
      </w:r>
      <w:r w:rsidRPr="00CA2CC1">
        <w:rPr>
          <w:rFonts w:cs="Calibri"/>
        </w:rPr>
        <w:t>plan</w:t>
      </w:r>
      <w:r w:rsidRPr="00CA2CC1">
        <w:rPr>
          <w:rFonts w:cs="Calibri"/>
          <w:spacing w:val="-5"/>
        </w:rPr>
        <w:t xml:space="preserve"> </w:t>
      </w:r>
      <w:r w:rsidRPr="00CA2CC1">
        <w:rPr>
          <w:rFonts w:cs="Calibri"/>
        </w:rPr>
        <w:t>and outcomes from infrastructure investments.</w:t>
      </w:r>
    </w:p>
    <w:p w14:paraId="192D53B9" w14:textId="77777777" w:rsidR="00FA4226" w:rsidRPr="00CA2CC1" w:rsidRDefault="00FA4226" w:rsidP="0043303B">
      <w:pPr>
        <w:pStyle w:val="BodyText"/>
        <w:rPr>
          <w:rFonts w:cs="Calibri"/>
          <w:sz w:val="27"/>
        </w:rPr>
      </w:pPr>
    </w:p>
    <w:p w14:paraId="7AF19900" w14:textId="77777777" w:rsidR="00FA4226" w:rsidRPr="00CA2CC1" w:rsidRDefault="00000000" w:rsidP="00867916">
      <w:pPr>
        <w:pStyle w:val="Heading3"/>
        <w:rPr>
          <w:rFonts w:cs="Calibri"/>
        </w:rPr>
      </w:pPr>
      <w:r w:rsidRPr="00CA2CC1">
        <w:rPr>
          <w:rFonts w:cs="Calibri"/>
        </w:rPr>
        <w:t>Community</w:t>
      </w:r>
      <w:r w:rsidRPr="00CA2CC1">
        <w:rPr>
          <w:rFonts w:cs="Calibri"/>
          <w:spacing w:val="-18"/>
        </w:rPr>
        <w:t xml:space="preserve"> </w:t>
      </w:r>
      <w:r w:rsidRPr="00CA2CC1">
        <w:rPr>
          <w:rFonts w:cs="Calibri"/>
        </w:rPr>
        <w:t>and</w:t>
      </w:r>
      <w:r w:rsidRPr="00CA2CC1">
        <w:rPr>
          <w:rFonts w:cs="Calibri"/>
          <w:spacing w:val="-18"/>
        </w:rPr>
        <w:t xml:space="preserve"> </w:t>
      </w:r>
      <w:r w:rsidRPr="00CA2CC1">
        <w:rPr>
          <w:rFonts w:cs="Calibri"/>
        </w:rPr>
        <w:t>stakeholder influence and impact</w:t>
      </w:r>
    </w:p>
    <w:p w14:paraId="21878911" w14:textId="77777777" w:rsidR="00FA4226" w:rsidRPr="00CA2CC1" w:rsidRDefault="00000000" w:rsidP="0043303B">
      <w:pPr>
        <w:pStyle w:val="BodyText"/>
        <w:spacing w:before="102"/>
        <w:rPr>
          <w:rFonts w:cs="Calibri"/>
        </w:rPr>
      </w:pPr>
      <w:r w:rsidRPr="00CA2CC1">
        <w:rPr>
          <w:rFonts w:cs="Calibri"/>
          <w:color w:val="414042"/>
        </w:rPr>
        <w:t>Meaningful and transparent community and stakeholder engagement is at the core of Infrastructure Victoria’s work. Through our 2022–23 consultation and engagement activities, we heard from more than 10,000 Victorian community</w:t>
      </w:r>
      <w:r w:rsidRPr="00CA2CC1">
        <w:rPr>
          <w:rFonts w:cs="Calibri"/>
          <w:color w:val="414042"/>
          <w:spacing w:val="-7"/>
        </w:rPr>
        <w:t xml:space="preserve"> </w:t>
      </w:r>
      <w:r w:rsidRPr="00CA2CC1">
        <w:rPr>
          <w:rFonts w:cs="Calibri"/>
          <w:color w:val="414042"/>
        </w:rPr>
        <w:t>members</w:t>
      </w:r>
      <w:r w:rsidRPr="00CA2CC1">
        <w:rPr>
          <w:rFonts w:cs="Calibri"/>
          <w:color w:val="414042"/>
          <w:spacing w:val="-7"/>
        </w:rPr>
        <w:t xml:space="preserve"> </w:t>
      </w:r>
      <w:r w:rsidRPr="00CA2CC1">
        <w:rPr>
          <w:rFonts w:cs="Calibri"/>
          <w:color w:val="414042"/>
        </w:rPr>
        <w:t>and</w:t>
      </w:r>
      <w:r w:rsidRPr="00CA2CC1">
        <w:rPr>
          <w:rFonts w:cs="Calibri"/>
          <w:color w:val="414042"/>
          <w:spacing w:val="-7"/>
        </w:rPr>
        <w:t xml:space="preserve"> </w:t>
      </w:r>
      <w:r w:rsidRPr="00CA2CC1">
        <w:rPr>
          <w:rFonts w:cs="Calibri"/>
          <w:color w:val="414042"/>
        </w:rPr>
        <w:t>several</w:t>
      </w:r>
      <w:r w:rsidRPr="00CA2CC1">
        <w:rPr>
          <w:rFonts w:cs="Calibri"/>
          <w:color w:val="414042"/>
          <w:spacing w:val="-7"/>
        </w:rPr>
        <w:t xml:space="preserve"> </w:t>
      </w:r>
      <w:r w:rsidRPr="00CA2CC1">
        <w:rPr>
          <w:rFonts w:cs="Calibri"/>
          <w:color w:val="414042"/>
        </w:rPr>
        <w:t>hundred</w:t>
      </w:r>
      <w:r w:rsidRPr="00CA2CC1">
        <w:rPr>
          <w:rFonts w:cs="Calibri"/>
          <w:color w:val="414042"/>
          <w:spacing w:val="-7"/>
        </w:rPr>
        <w:t xml:space="preserve"> </w:t>
      </w:r>
      <w:r w:rsidRPr="00CA2CC1">
        <w:rPr>
          <w:rFonts w:cs="Calibri"/>
          <w:color w:val="414042"/>
        </w:rPr>
        <w:t>key</w:t>
      </w:r>
      <w:r w:rsidRPr="00CA2CC1">
        <w:rPr>
          <w:rFonts w:cs="Calibri"/>
          <w:color w:val="414042"/>
          <w:spacing w:val="-7"/>
        </w:rPr>
        <w:t xml:space="preserve"> </w:t>
      </w:r>
      <w:r w:rsidRPr="00CA2CC1">
        <w:rPr>
          <w:rFonts w:cs="Calibri"/>
          <w:color w:val="414042"/>
        </w:rPr>
        <w:t>stakeholders.</w:t>
      </w:r>
    </w:p>
    <w:p w14:paraId="67A21296" w14:textId="77777777" w:rsidR="00FA4226" w:rsidRPr="00CA2CC1" w:rsidRDefault="00000000" w:rsidP="0043303B">
      <w:pPr>
        <w:pStyle w:val="BodyText"/>
        <w:spacing w:before="115"/>
        <w:rPr>
          <w:rFonts w:cs="Calibri"/>
        </w:rPr>
      </w:pPr>
      <w:r w:rsidRPr="00CA2CC1">
        <w:rPr>
          <w:rFonts w:cs="Calibri"/>
          <w:color w:val="414042"/>
        </w:rPr>
        <w:t>In July 2022, we published our advice to the Victorian Government</w:t>
      </w:r>
      <w:r w:rsidRPr="00CA2CC1">
        <w:rPr>
          <w:rFonts w:cs="Calibri"/>
          <w:color w:val="414042"/>
          <w:spacing w:val="-2"/>
        </w:rPr>
        <w:t xml:space="preserve"> </w:t>
      </w:r>
      <w:r w:rsidRPr="00CA2CC1">
        <w:rPr>
          <w:rFonts w:cs="Calibri"/>
          <w:color w:val="414042"/>
        </w:rPr>
        <w:t>on</w:t>
      </w:r>
      <w:r w:rsidRPr="00CA2CC1">
        <w:rPr>
          <w:rFonts w:cs="Calibri"/>
          <w:color w:val="414042"/>
          <w:spacing w:val="-2"/>
        </w:rPr>
        <w:t xml:space="preserve"> </w:t>
      </w:r>
      <w:r w:rsidRPr="00CA2CC1">
        <w:rPr>
          <w:rFonts w:cs="Calibri"/>
          <w:color w:val="414042"/>
        </w:rPr>
        <w:t>the</w:t>
      </w:r>
      <w:r w:rsidRPr="00CA2CC1">
        <w:rPr>
          <w:rFonts w:cs="Calibri"/>
          <w:color w:val="414042"/>
          <w:spacing w:val="-2"/>
        </w:rPr>
        <w:t xml:space="preserve"> </w:t>
      </w:r>
      <w:r w:rsidRPr="00CA2CC1">
        <w:rPr>
          <w:rFonts w:cs="Calibri"/>
          <w:color w:val="414042"/>
        </w:rPr>
        <w:t>future</w:t>
      </w:r>
      <w:r w:rsidRPr="00CA2CC1">
        <w:rPr>
          <w:rFonts w:cs="Calibri"/>
          <w:color w:val="414042"/>
          <w:spacing w:val="-2"/>
        </w:rPr>
        <w:t xml:space="preserve"> </w:t>
      </w:r>
      <w:r w:rsidRPr="00CA2CC1">
        <w:rPr>
          <w:rFonts w:cs="Calibri"/>
          <w:color w:val="414042"/>
        </w:rPr>
        <w:t>of</w:t>
      </w:r>
      <w:r w:rsidRPr="00CA2CC1">
        <w:rPr>
          <w:rFonts w:cs="Calibri"/>
          <w:color w:val="414042"/>
          <w:spacing w:val="-2"/>
        </w:rPr>
        <w:t xml:space="preserve"> </w:t>
      </w:r>
      <w:r w:rsidRPr="00CA2CC1">
        <w:rPr>
          <w:rFonts w:cs="Calibri"/>
          <w:color w:val="414042"/>
        </w:rPr>
        <w:t>the</w:t>
      </w:r>
      <w:r w:rsidRPr="00CA2CC1">
        <w:rPr>
          <w:rFonts w:cs="Calibri"/>
          <w:color w:val="414042"/>
          <w:spacing w:val="-2"/>
        </w:rPr>
        <w:t xml:space="preserve"> </w:t>
      </w:r>
      <w:r w:rsidRPr="00CA2CC1">
        <w:rPr>
          <w:rFonts w:cs="Calibri"/>
          <w:color w:val="414042"/>
        </w:rPr>
        <w:t>state’s</w:t>
      </w:r>
      <w:r w:rsidRPr="00CA2CC1">
        <w:rPr>
          <w:rFonts w:cs="Calibri"/>
          <w:color w:val="414042"/>
          <w:spacing w:val="-2"/>
        </w:rPr>
        <w:t xml:space="preserve"> </w:t>
      </w:r>
      <w:r w:rsidRPr="00CA2CC1">
        <w:rPr>
          <w:rFonts w:cs="Calibri"/>
          <w:color w:val="414042"/>
        </w:rPr>
        <w:t>gas</w:t>
      </w:r>
      <w:r w:rsidRPr="00CA2CC1">
        <w:rPr>
          <w:rFonts w:cs="Calibri"/>
          <w:color w:val="414042"/>
          <w:spacing w:val="-2"/>
        </w:rPr>
        <w:t xml:space="preserve"> </w:t>
      </w:r>
      <w:r w:rsidRPr="00CA2CC1">
        <w:rPr>
          <w:rFonts w:cs="Calibri"/>
          <w:color w:val="414042"/>
        </w:rPr>
        <w:t>infrastructure assets</w:t>
      </w:r>
      <w:r w:rsidRPr="00CA2CC1">
        <w:rPr>
          <w:rFonts w:cs="Calibri"/>
          <w:color w:val="414042"/>
          <w:spacing w:val="-4"/>
        </w:rPr>
        <w:t xml:space="preserve"> </w:t>
      </w:r>
      <w:r w:rsidRPr="00CA2CC1">
        <w:rPr>
          <w:rFonts w:cs="Calibri"/>
          <w:color w:val="414042"/>
        </w:rPr>
        <w:t>under</w:t>
      </w:r>
      <w:r w:rsidRPr="00CA2CC1">
        <w:rPr>
          <w:rFonts w:cs="Calibri"/>
          <w:color w:val="414042"/>
          <w:spacing w:val="-4"/>
        </w:rPr>
        <w:t xml:space="preserve"> </w:t>
      </w:r>
      <w:r w:rsidRPr="00CA2CC1">
        <w:rPr>
          <w:rFonts w:cs="Calibri"/>
          <w:color w:val="414042"/>
        </w:rPr>
        <w:t>a</w:t>
      </w:r>
      <w:r w:rsidRPr="00CA2CC1">
        <w:rPr>
          <w:rFonts w:cs="Calibri"/>
          <w:color w:val="414042"/>
          <w:spacing w:val="-4"/>
        </w:rPr>
        <w:t xml:space="preserve"> </w:t>
      </w:r>
      <w:r w:rsidRPr="00CA2CC1">
        <w:rPr>
          <w:rFonts w:cs="Calibri"/>
          <w:color w:val="414042"/>
        </w:rPr>
        <w:t>range</w:t>
      </w:r>
      <w:r w:rsidRPr="00CA2CC1">
        <w:rPr>
          <w:rFonts w:cs="Calibri"/>
          <w:color w:val="414042"/>
          <w:spacing w:val="-4"/>
        </w:rPr>
        <w:t xml:space="preserve"> </w:t>
      </w:r>
      <w:r w:rsidRPr="00CA2CC1">
        <w:rPr>
          <w:rFonts w:cs="Calibri"/>
          <w:color w:val="414042"/>
        </w:rPr>
        <w:t>of</w:t>
      </w:r>
      <w:r w:rsidRPr="00CA2CC1">
        <w:rPr>
          <w:rFonts w:cs="Calibri"/>
          <w:color w:val="414042"/>
          <w:spacing w:val="-4"/>
        </w:rPr>
        <w:t xml:space="preserve"> </w:t>
      </w:r>
      <w:r w:rsidRPr="00CA2CC1">
        <w:rPr>
          <w:rFonts w:cs="Calibri"/>
          <w:color w:val="414042"/>
        </w:rPr>
        <w:t>2050</w:t>
      </w:r>
      <w:r w:rsidRPr="00CA2CC1">
        <w:rPr>
          <w:rFonts w:cs="Calibri"/>
          <w:color w:val="414042"/>
          <w:spacing w:val="-4"/>
        </w:rPr>
        <w:t xml:space="preserve"> </w:t>
      </w:r>
      <w:r w:rsidRPr="00CA2CC1">
        <w:rPr>
          <w:rFonts w:cs="Calibri"/>
          <w:color w:val="414042"/>
        </w:rPr>
        <w:t>energy</w:t>
      </w:r>
      <w:r w:rsidRPr="00CA2CC1">
        <w:rPr>
          <w:rFonts w:cs="Calibri"/>
          <w:color w:val="414042"/>
          <w:spacing w:val="-4"/>
        </w:rPr>
        <w:t xml:space="preserve"> </w:t>
      </w:r>
      <w:r w:rsidRPr="00CA2CC1">
        <w:rPr>
          <w:rFonts w:cs="Calibri"/>
          <w:color w:val="414042"/>
        </w:rPr>
        <w:t>scenarios.</w:t>
      </w:r>
      <w:r w:rsidRPr="00CA2CC1">
        <w:rPr>
          <w:rFonts w:cs="Calibri"/>
          <w:color w:val="414042"/>
          <w:spacing w:val="-4"/>
        </w:rPr>
        <w:t xml:space="preserve"> </w:t>
      </w:r>
      <w:r w:rsidRPr="00CA2CC1">
        <w:rPr>
          <w:rFonts w:cs="Calibri"/>
          <w:color w:val="414042"/>
        </w:rPr>
        <w:t>Our</w:t>
      </w:r>
      <w:r w:rsidRPr="00CA2CC1">
        <w:rPr>
          <w:rFonts w:cs="Calibri"/>
          <w:color w:val="414042"/>
          <w:spacing w:val="-4"/>
        </w:rPr>
        <w:t xml:space="preserve"> </w:t>
      </w:r>
      <w:r w:rsidRPr="00CA2CC1">
        <w:rPr>
          <w:rFonts w:cs="Calibri"/>
          <w:color w:val="414042"/>
        </w:rPr>
        <w:t xml:space="preserve">work informed actions in the government’s </w:t>
      </w:r>
      <w:r w:rsidRPr="00CA2CC1">
        <w:rPr>
          <w:rFonts w:cs="Calibri"/>
          <w:i/>
          <w:color w:val="414042"/>
        </w:rPr>
        <w:t xml:space="preserve">Gas substitution </w:t>
      </w:r>
      <w:r w:rsidRPr="00CA2CC1">
        <w:rPr>
          <w:rFonts w:cs="Calibri"/>
          <w:i/>
          <w:color w:val="414042"/>
          <w:spacing w:val="-2"/>
        </w:rPr>
        <w:t>roadmap</w:t>
      </w:r>
      <w:r w:rsidRPr="00CA2CC1">
        <w:rPr>
          <w:rFonts w:cs="Calibri"/>
          <w:color w:val="414042"/>
          <w:spacing w:val="-2"/>
        </w:rPr>
        <w:t>.</w:t>
      </w:r>
    </w:p>
    <w:p w14:paraId="4FAFF449" w14:textId="77777777" w:rsidR="00FA4226" w:rsidRPr="00CA2CC1" w:rsidRDefault="00000000" w:rsidP="0043303B">
      <w:pPr>
        <w:pStyle w:val="BodyText"/>
        <w:spacing w:before="114"/>
        <w:rPr>
          <w:rFonts w:cs="Calibri"/>
        </w:rPr>
      </w:pPr>
      <w:r w:rsidRPr="00CA2CC1">
        <w:rPr>
          <w:rFonts w:cs="Calibri"/>
          <w:color w:val="414042"/>
        </w:rPr>
        <w:t>Our interim and final gas infrastructure advice reports also provided evidence that key stakeholders, including more than 10 local governments, drew upon to inform their own policy or advocacy positions. Consistent with our advice,</w:t>
      </w:r>
      <w:r w:rsidRPr="00CA2CC1">
        <w:rPr>
          <w:rFonts w:cs="Calibri"/>
          <w:color w:val="414042"/>
          <w:spacing w:val="40"/>
        </w:rPr>
        <w:t xml:space="preserve"> </w:t>
      </w:r>
      <w:r w:rsidRPr="00CA2CC1">
        <w:rPr>
          <w:rFonts w:cs="Calibri"/>
          <w:color w:val="414042"/>
        </w:rPr>
        <w:t>the</w:t>
      </w:r>
      <w:r w:rsidRPr="00CA2CC1">
        <w:rPr>
          <w:rFonts w:cs="Calibri"/>
          <w:color w:val="414042"/>
          <w:spacing w:val="-5"/>
        </w:rPr>
        <w:t xml:space="preserve"> </w:t>
      </w:r>
      <w:r w:rsidRPr="00CA2CC1">
        <w:rPr>
          <w:rFonts w:cs="Calibri"/>
          <w:color w:val="414042"/>
        </w:rPr>
        <w:t>Victorian</w:t>
      </w:r>
      <w:r w:rsidRPr="00CA2CC1">
        <w:rPr>
          <w:rFonts w:cs="Calibri"/>
          <w:color w:val="414042"/>
          <w:spacing w:val="-5"/>
        </w:rPr>
        <w:t xml:space="preserve"> </w:t>
      </w:r>
      <w:r w:rsidRPr="00CA2CC1">
        <w:rPr>
          <w:rFonts w:cs="Calibri"/>
          <w:color w:val="414042"/>
        </w:rPr>
        <w:t>Government</w:t>
      </w:r>
      <w:r w:rsidRPr="00CA2CC1">
        <w:rPr>
          <w:rFonts w:cs="Calibri"/>
          <w:color w:val="414042"/>
          <w:spacing w:val="-5"/>
        </w:rPr>
        <w:t xml:space="preserve"> </w:t>
      </w:r>
      <w:r w:rsidRPr="00CA2CC1">
        <w:rPr>
          <w:rFonts w:cs="Calibri"/>
          <w:color w:val="414042"/>
        </w:rPr>
        <w:t>recently</w:t>
      </w:r>
      <w:r w:rsidRPr="00CA2CC1">
        <w:rPr>
          <w:rFonts w:cs="Calibri"/>
          <w:color w:val="414042"/>
          <w:spacing w:val="-5"/>
        </w:rPr>
        <w:t xml:space="preserve"> </w:t>
      </w:r>
      <w:r w:rsidRPr="00CA2CC1">
        <w:rPr>
          <w:rFonts w:cs="Calibri"/>
          <w:color w:val="414042"/>
        </w:rPr>
        <w:t>announced</w:t>
      </w:r>
      <w:r w:rsidRPr="00CA2CC1">
        <w:rPr>
          <w:rFonts w:cs="Calibri"/>
          <w:color w:val="414042"/>
          <w:spacing w:val="-5"/>
        </w:rPr>
        <w:t xml:space="preserve"> </w:t>
      </w:r>
      <w:r w:rsidRPr="00CA2CC1">
        <w:rPr>
          <w:rFonts w:cs="Calibri"/>
          <w:color w:val="414042"/>
        </w:rPr>
        <w:t>a</w:t>
      </w:r>
      <w:r w:rsidRPr="00CA2CC1">
        <w:rPr>
          <w:rFonts w:cs="Calibri"/>
          <w:color w:val="414042"/>
          <w:spacing w:val="-5"/>
        </w:rPr>
        <w:t xml:space="preserve"> </w:t>
      </w:r>
      <w:r w:rsidRPr="00CA2CC1">
        <w:rPr>
          <w:rFonts w:cs="Calibri"/>
          <w:color w:val="414042"/>
        </w:rPr>
        <w:t>ban</w:t>
      </w:r>
      <w:r w:rsidRPr="00CA2CC1">
        <w:rPr>
          <w:rFonts w:cs="Calibri"/>
          <w:color w:val="414042"/>
          <w:spacing w:val="-5"/>
        </w:rPr>
        <w:t xml:space="preserve"> </w:t>
      </w:r>
      <w:r w:rsidRPr="00CA2CC1">
        <w:rPr>
          <w:rFonts w:cs="Calibri"/>
          <w:color w:val="414042"/>
        </w:rPr>
        <w:t>on</w:t>
      </w:r>
      <w:r w:rsidRPr="00CA2CC1">
        <w:rPr>
          <w:rFonts w:cs="Calibri"/>
          <w:color w:val="414042"/>
          <w:spacing w:val="-5"/>
        </w:rPr>
        <w:t xml:space="preserve"> </w:t>
      </w:r>
      <w:r w:rsidRPr="00CA2CC1">
        <w:rPr>
          <w:rFonts w:cs="Calibri"/>
          <w:color w:val="414042"/>
        </w:rPr>
        <w:t>new gas connections starting from 1 January 2024.</w:t>
      </w:r>
    </w:p>
    <w:p w14:paraId="2C3B6EA9" w14:textId="77777777" w:rsidR="00FA4226" w:rsidRPr="00CA2CC1" w:rsidRDefault="00000000" w:rsidP="0043303B">
      <w:pPr>
        <w:pStyle w:val="BodyText"/>
        <w:spacing w:before="113"/>
        <w:rPr>
          <w:rFonts w:cs="Calibri"/>
        </w:rPr>
      </w:pPr>
      <w:r w:rsidRPr="00CA2CC1">
        <w:rPr>
          <w:rFonts w:cs="Calibri"/>
          <w:color w:val="414042"/>
        </w:rPr>
        <w:lastRenderedPageBreak/>
        <w:t>As an independent advisory body, another important part</w:t>
      </w:r>
      <w:r w:rsidRPr="00CA2CC1">
        <w:rPr>
          <w:rFonts w:cs="Calibri"/>
          <w:color w:val="414042"/>
          <w:spacing w:val="40"/>
        </w:rPr>
        <w:t xml:space="preserve"> </w:t>
      </w:r>
      <w:r w:rsidRPr="00CA2CC1">
        <w:rPr>
          <w:rFonts w:cs="Calibri"/>
          <w:color w:val="414042"/>
        </w:rPr>
        <w:t>of</w:t>
      </w:r>
      <w:r w:rsidRPr="00CA2CC1">
        <w:rPr>
          <w:rFonts w:cs="Calibri"/>
          <w:color w:val="414042"/>
          <w:spacing w:val="-9"/>
        </w:rPr>
        <w:t xml:space="preserve"> </w:t>
      </w:r>
      <w:r w:rsidRPr="00CA2CC1">
        <w:rPr>
          <w:rFonts w:cs="Calibri"/>
          <w:color w:val="414042"/>
        </w:rPr>
        <w:t>Infrastructure</w:t>
      </w:r>
      <w:r w:rsidRPr="00CA2CC1">
        <w:rPr>
          <w:rFonts w:cs="Calibri"/>
          <w:color w:val="414042"/>
          <w:spacing w:val="-9"/>
        </w:rPr>
        <w:t xml:space="preserve"> </w:t>
      </w:r>
      <w:r w:rsidRPr="00CA2CC1">
        <w:rPr>
          <w:rFonts w:cs="Calibri"/>
          <w:color w:val="414042"/>
        </w:rPr>
        <w:t>Victoria’s</w:t>
      </w:r>
      <w:r w:rsidRPr="00CA2CC1">
        <w:rPr>
          <w:rFonts w:cs="Calibri"/>
          <w:color w:val="414042"/>
          <w:spacing w:val="-9"/>
        </w:rPr>
        <w:t xml:space="preserve"> </w:t>
      </w:r>
      <w:r w:rsidRPr="00CA2CC1">
        <w:rPr>
          <w:rFonts w:cs="Calibri"/>
          <w:color w:val="414042"/>
        </w:rPr>
        <w:t>role</w:t>
      </w:r>
      <w:r w:rsidRPr="00CA2CC1">
        <w:rPr>
          <w:rFonts w:cs="Calibri"/>
          <w:color w:val="414042"/>
          <w:spacing w:val="-9"/>
        </w:rPr>
        <w:t xml:space="preserve"> </w:t>
      </w:r>
      <w:r w:rsidRPr="00CA2CC1">
        <w:rPr>
          <w:rFonts w:cs="Calibri"/>
          <w:color w:val="414042"/>
        </w:rPr>
        <w:t>is</w:t>
      </w:r>
      <w:r w:rsidRPr="00CA2CC1">
        <w:rPr>
          <w:rFonts w:cs="Calibri"/>
          <w:color w:val="414042"/>
          <w:spacing w:val="-9"/>
        </w:rPr>
        <w:t xml:space="preserve"> </w:t>
      </w:r>
      <w:r w:rsidRPr="00CA2CC1">
        <w:rPr>
          <w:rFonts w:cs="Calibri"/>
          <w:color w:val="414042"/>
        </w:rPr>
        <w:t>informing</w:t>
      </w:r>
      <w:r w:rsidRPr="00CA2CC1">
        <w:rPr>
          <w:rFonts w:cs="Calibri"/>
          <w:color w:val="414042"/>
          <w:spacing w:val="-9"/>
        </w:rPr>
        <w:t xml:space="preserve"> </w:t>
      </w:r>
      <w:r w:rsidRPr="00CA2CC1">
        <w:rPr>
          <w:rFonts w:cs="Calibri"/>
          <w:color w:val="414042"/>
        </w:rPr>
        <w:t>public</w:t>
      </w:r>
      <w:r w:rsidRPr="00CA2CC1">
        <w:rPr>
          <w:rFonts w:cs="Calibri"/>
          <w:color w:val="414042"/>
          <w:spacing w:val="-9"/>
        </w:rPr>
        <w:t xml:space="preserve"> </w:t>
      </w:r>
      <w:r w:rsidRPr="00CA2CC1">
        <w:rPr>
          <w:rFonts w:cs="Calibri"/>
          <w:color w:val="414042"/>
        </w:rPr>
        <w:t>discussion about the major infrastructure priorities, challenges and opportunities for the state. In addition to our website and social media, mainstream media coverage helps create widespread</w:t>
      </w:r>
      <w:r w:rsidRPr="00CA2CC1">
        <w:rPr>
          <w:rFonts w:cs="Calibri"/>
          <w:color w:val="414042"/>
          <w:spacing w:val="-1"/>
        </w:rPr>
        <w:t xml:space="preserve"> </w:t>
      </w:r>
      <w:r w:rsidRPr="00CA2CC1">
        <w:rPr>
          <w:rFonts w:cs="Calibri"/>
          <w:color w:val="414042"/>
        </w:rPr>
        <w:t>community</w:t>
      </w:r>
      <w:r w:rsidRPr="00CA2CC1">
        <w:rPr>
          <w:rFonts w:cs="Calibri"/>
          <w:color w:val="414042"/>
          <w:spacing w:val="-1"/>
        </w:rPr>
        <w:t xml:space="preserve"> </w:t>
      </w:r>
      <w:r w:rsidRPr="00CA2CC1">
        <w:rPr>
          <w:rFonts w:cs="Calibri"/>
          <w:color w:val="414042"/>
        </w:rPr>
        <w:t>awareness</w:t>
      </w:r>
      <w:r w:rsidRPr="00CA2CC1">
        <w:rPr>
          <w:rFonts w:cs="Calibri"/>
          <w:color w:val="414042"/>
          <w:spacing w:val="-1"/>
        </w:rPr>
        <w:t xml:space="preserve"> </w:t>
      </w:r>
      <w:r w:rsidRPr="00CA2CC1">
        <w:rPr>
          <w:rFonts w:cs="Calibri"/>
          <w:color w:val="414042"/>
        </w:rPr>
        <w:t>and</w:t>
      </w:r>
      <w:r w:rsidRPr="00CA2CC1">
        <w:rPr>
          <w:rFonts w:cs="Calibri"/>
          <w:color w:val="414042"/>
          <w:spacing w:val="-1"/>
        </w:rPr>
        <w:t xml:space="preserve"> </w:t>
      </w:r>
      <w:r w:rsidRPr="00CA2CC1">
        <w:rPr>
          <w:rFonts w:cs="Calibri"/>
          <w:color w:val="414042"/>
        </w:rPr>
        <w:t>interest</w:t>
      </w:r>
      <w:r w:rsidRPr="00CA2CC1">
        <w:rPr>
          <w:rFonts w:cs="Calibri"/>
          <w:color w:val="414042"/>
          <w:spacing w:val="-1"/>
        </w:rPr>
        <w:t xml:space="preserve"> </w:t>
      </w:r>
      <w:r w:rsidRPr="00CA2CC1">
        <w:rPr>
          <w:rFonts w:cs="Calibri"/>
          <w:color w:val="414042"/>
        </w:rPr>
        <w:t>in</w:t>
      </w:r>
      <w:r w:rsidRPr="00CA2CC1">
        <w:rPr>
          <w:rFonts w:cs="Calibri"/>
          <w:color w:val="414042"/>
          <w:spacing w:val="-1"/>
        </w:rPr>
        <w:t xml:space="preserve"> </w:t>
      </w:r>
      <w:r w:rsidRPr="00CA2CC1">
        <w:rPr>
          <w:rFonts w:cs="Calibri"/>
          <w:color w:val="414042"/>
        </w:rPr>
        <w:t>our</w:t>
      </w:r>
      <w:r w:rsidRPr="00CA2CC1">
        <w:rPr>
          <w:rFonts w:cs="Calibri"/>
          <w:color w:val="414042"/>
          <w:spacing w:val="-1"/>
        </w:rPr>
        <w:t xml:space="preserve"> </w:t>
      </w:r>
      <w:r w:rsidRPr="00CA2CC1">
        <w:rPr>
          <w:rFonts w:cs="Calibri"/>
          <w:color w:val="414042"/>
        </w:rPr>
        <w:t>work and policy recommendations.</w:t>
      </w:r>
    </w:p>
    <w:p w14:paraId="7F111093" w14:textId="77777777" w:rsidR="00FA4226" w:rsidRPr="00CA2CC1" w:rsidRDefault="00000000" w:rsidP="0043303B">
      <w:pPr>
        <w:pStyle w:val="BodyText"/>
        <w:spacing w:before="113"/>
        <w:rPr>
          <w:rFonts w:cs="Calibri"/>
        </w:rPr>
      </w:pPr>
      <w:r w:rsidRPr="00CA2CC1">
        <w:rPr>
          <w:rFonts w:cs="Calibri"/>
          <w:color w:val="414042"/>
        </w:rPr>
        <w:t>During</w:t>
      </w:r>
      <w:r w:rsidRPr="00CA2CC1">
        <w:rPr>
          <w:rFonts w:cs="Calibri"/>
          <w:color w:val="414042"/>
          <w:spacing w:val="-8"/>
        </w:rPr>
        <w:t xml:space="preserve"> </w:t>
      </w:r>
      <w:r w:rsidRPr="00CA2CC1">
        <w:rPr>
          <w:rFonts w:cs="Calibri"/>
          <w:color w:val="414042"/>
        </w:rPr>
        <w:t>the</w:t>
      </w:r>
      <w:r w:rsidRPr="00CA2CC1">
        <w:rPr>
          <w:rFonts w:cs="Calibri"/>
          <w:color w:val="414042"/>
          <w:spacing w:val="-8"/>
        </w:rPr>
        <w:t xml:space="preserve"> </w:t>
      </w:r>
      <w:r w:rsidRPr="00CA2CC1">
        <w:rPr>
          <w:rFonts w:cs="Calibri"/>
          <w:color w:val="414042"/>
        </w:rPr>
        <w:t>financial</w:t>
      </w:r>
      <w:r w:rsidRPr="00CA2CC1">
        <w:rPr>
          <w:rFonts w:cs="Calibri"/>
          <w:color w:val="414042"/>
          <w:spacing w:val="-8"/>
        </w:rPr>
        <w:t xml:space="preserve"> </w:t>
      </w:r>
      <w:r w:rsidRPr="00CA2CC1">
        <w:rPr>
          <w:rFonts w:cs="Calibri"/>
          <w:color w:val="414042"/>
        </w:rPr>
        <w:t>year,</w:t>
      </w:r>
      <w:r w:rsidRPr="00CA2CC1">
        <w:rPr>
          <w:rFonts w:cs="Calibri"/>
          <w:color w:val="414042"/>
          <w:spacing w:val="-8"/>
        </w:rPr>
        <w:t xml:space="preserve"> </w:t>
      </w:r>
      <w:r w:rsidRPr="00CA2CC1">
        <w:rPr>
          <w:rFonts w:cs="Calibri"/>
          <w:color w:val="414042"/>
        </w:rPr>
        <w:t>our</w:t>
      </w:r>
      <w:r w:rsidRPr="00CA2CC1">
        <w:rPr>
          <w:rFonts w:cs="Calibri"/>
          <w:color w:val="414042"/>
          <w:spacing w:val="-8"/>
        </w:rPr>
        <w:t xml:space="preserve"> </w:t>
      </w:r>
      <w:r w:rsidRPr="00CA2CC1">
        <w:rPr>
          <w:rFonts w:cs="Calibri"/>
          <w:color w:val="414042"/>
        </w:rPr>
        <w:t>research,</w:t>
      </w:r>
      <w:r w:rsidRPr="00CA2CC1">
        <w:rPr>
          <w:rFonts w:cs="Calibri"/>
          <w:color w:val="414042"/>
          <w:spacing w:val="-8"/>
        </w:rPr>
        <w:t xml:space="preserve"> </w:t>
      </w:r>
      <w:r w:rsidRPr="00CA2CC1">
        <w:rPr>
          <w:rFonts w:cs="Calibri"/>
          <w:color w:val="414042"/>
        </w:rPr>
        <w:t>advice</w:t>
      </w:r>
      <w:r w:rsidRPr="00CA2CC1">
        <w:rPr>
          <w:rFonts w:cs="Calibri"/>
          <w:color w:val="414042"/>
          <w:spacing w:val="-8"/>
        </w:rPr>
        <w:t xml:space="preserve"> </w:t>
      </w:r>
      <w:r w:rsidRPr="00CA2CC1">
        <w:rPr>
          <w:rFonts w:cs="Calibri"/>
          <w:color w:val="414042"/>
        </w:rPr>
        <w:t>and</w:t>
      </w:r>
      <w:r w:rsidRPr="00CA2CC1">
        <w:rPr>
          <w:rFonts w:cs="Calibri"/>
          <w:color w:val="414042"/>
          <w:spacing w:val="-8"/>
        </w:rPr>
        <w:t xml:space="preserve"> </w:t>
      </w:r>
      <w:r w:rsidRPr="00CA2CC1">
        <w:rPr>
          <w:rFonts w:cs="Calibri"/>
          <w:color w:val="414042"/>
        </w:rPr>
        <w:t>strategy work generated extensive media coverage. This included opinion pieces and editorials in the state’s major daily newspapers recognising the importance of Infrastructure Victoria’s role in providing independent, evidence-based advice to guide infrastructure planning and investment.</w:t>
      </w:r>
    </w:p>
    <w:p w14:paraId="1D41F385" w14:textId="026ED198" w:rsidR="00FA4226" w:rsidRPr="00CA2CC1" w:rsidRDefault="00000000" w:rsidP="0043303B">
      <w:pPr>
        <w:pStyle w:val="BodyText"/>
        <w:spacing w:before="113"/>
        <w:rPr>
          <w:rFonts w:cs="Calibri"/>
        </w:rPr>
        <w:sectPr w:rsidR="00FA4226" w:rsidRPr="00CA2CC1" w:rsidSect="00E941A5">
          <w:pgSz w:w="11910" w:h="16840"/>
          <w:pgMar w:top="1134" w:right="1278" w:bottom="1134" w:left="1134" w:header="720" w:footer="720" w:gutter="0"/>
          <w:cols w:space="720"/>
        </w:sectPr>
      </w:pPr>
      <w:r w:rsidRPr="00CA2CC1">
        <w:rPr>
          <w:rFonts w:cs="Calibri"/>
          <w:color w:val="414042"/>
        </w:rPr>
        <w:t>In March 2023, the release of our research on home choices</w:t>
      </w:r>
      <w:r w:rsidRPr="00CA2CC1">
        <w:rPr>
          <w:rFonts w:cs="Calibri"/>
          <w:color w:val="414042"/>
          <w:spacing w:val="-7"/>
        </w:rPr>
        <w:t xml:space="preserve"> </w:t>
      </w:r>
      <w:r w:rsidRPr="00CA2CC1">
        <w:rPr>
          <w:rFonts w:cs="Calibri"/>
          <w:color w:val="414042"/>
        </w:rPr>
        <w:t>influenced</w:t>
      </w:r>
      <w:r w:rsidRPr="00CA2CC1">
        <w:rPr>
          <w:rFonts w:cs="Calibri"/>
          <w:color w:val="414042"/>
          <w:spacing w:val="-7"/>
        </w:rPr>
        <w:t xml:space="preserve"> </w:t>
      </w:r>
      <w:r w:rsidRPr="00CA2CC1">
        <w:rPr>
          <w:rFonts w:cs="Calibri"/>
          <w:color w:val="414042"/>
        </w:rPr>
        <w:t>stakeholder</w:t>
      </w:r>
      <w:r w:rsidRPr="00CA2CC1">
        <w:rPr>
          <w:rFonts w:cs="Calibri"/>
          <w:color w:val="414042"/>
          <w:spacing w:val="-7"/>
        </w:rPr>
        <w:t xml:space="preserve"> </w:t>
      </w:r>
      <w:r w:rsidRPr="00CA2CC1">
        <w:rPr>
          <w:rFonts w:cs="Calibri"/>
          <w:color w:val="414042"/>
        </w:rPr>
        <w:t>and</w:t>
      </w:r>
      <w:r w:rsidRPr="00CA2CC1">
        <w:rPr>
          <w:rFonts w:cs="Calibri"/>
          <w:color w:val="414042"/>
          <w:spacing w:val="-7"/>
        </w:rPr>
        <w:t xml:space="preserve"> </w:t>
      </w:r>
      <w:r w:rsidRPr="00CA2CC1">
        <w:rPr>
          <w:rFonts w:cs="Calibri"/>
          <w:color w:val="414042"/>
        </w:rPr>
        <w:t>community</w:t>
      </w:r>
      <w:r w:rsidRPr="00CA2CC1">
        <w:rPr>
          <w:rFonts w:cs="Calibri"/>
          <w:color w:val="414042"/>
          <w:spacing w:val="-7"/>
        </w:rPr>
        <w:t xml:space="preserve"> </w:t>
      </w:r>
      <w:r w:rsidRPr="00CA2CC1">
        <w:rPr>
          <w:rFonts w:cs="Calibri"/>
          <w:color w:val="414042"/>
        </w:rPr>
        <w:t>discussion about</w:t>
      </w:r>
      <w:r w:rsidRPr="00CA2CC1">
        <w:rPr>
          <w:rFonts w:cs="Calibri"/>
          <w:color w:val="414042"/>
          <w:spacing w:val="-7"/>
        </w:rPr>
        <w:t xml:space="preserve"> </w:t>
      </w:r>
      <w:r w:rsidRPr="00CA2CC1">
        <w:rPr>
          <w:rFonts w:cs="Calibri"/>
          <w:color w:val="414042"/>
        </w:rPr>
        <w:t>housing</w:t>
      </w:r>
      <w:r w:rsidRPr="00CA2CC1">
        <w:rPr>
          <w:rFonts w:cs="Calibri"/>
          <w:color w:val="414042"/>
          <w:spacing w:val="-7"/>
        </w:rPr>
        <w:t xml:space="preserve"> </w:t>
      </w:r>
      <w:r w:rsidRPr="00CA2CC1">
        <w:rPr>
          <w:rFonts w:cs="Calibri"/>
          <w:color w:val="414042"/>
        </w:rPr>
        <w:t>affordability,</w:t>
      </w:r>
      <w:r w:rsidRPr="00CA2CC1">
        <w:rPr>
          <w:rFonts w:cs="Calibri"/>
          <w:color w:val="414042"/>
          <w:spacing w:val="-7"/>
        </w:rPr>
        <w:t xml:space="preserve"> </w:t>
      </w:r>
      <w:r w:rsidRPr="00CA2CC1">
        <w:rPr>
          <w:rFonts w:cs="Calibri"/>
          <w:color w:val="414042"/>
        </w:rPr>
        <w:t>urban</w:t>
      </w:r>
      <w:r w:rsidRPr="00CA2CC1">
        <w:rPr>
          <w:rFonts w:cs="Calibri"/>
          <w:color w:val="414042"/>
          <w:spacing w:val="-7"/>
        </w:rPr>
        <w:t xml:space="preserve"> </w:t>
      </w:r>
      <w:r w:rsidRPr="00CA2CC1">
        <w:rPr>
          <w:rFonts w:cs="Calibri"/>
          <w:color w:val="414042"/>
        </w:rPr>
        <w:t>planning</w:t>
      </w:r>
      <w:r w:rsidRPr="00CA2CC1">
        <w:rPr>
          <w:rFonts w:cs="Calibri"/>
          <w:color w:val="414042"/>
          <w:spacing w:val="-7"/>
        </w:rPr>
        <w:t xml:space="preserve"> </w:t>
      </w:r>
      <w:r w:rsidRPr="00CA2CC1">
        <w:rPr>
          <w:rFonts w:cs="Calibri"/>
          <w:color w:val="414042"/>
        </w:rPr>
        <w:t>and</w:t>
      </w:r>
      <w:r w:rsidRPr="00CA2CC1">
        <w:rPr>
          <w:rFonts w:cs="Calibri"/>
          <w:color w:val="414042"/>
          <w:spacing w:val="-7"/>
        </w:rPr>
        <w:t xml:space="preserve"> </w:t>
      </w:r>
      <w:r w:rsidRPr="00CA2CC1">
        <w:rPr>
          <w:rFonts w:cs="Calibri"/>
          <w:color w:val="414042"/>
        </w:rPr>
        <w:t>the</w:t>
      </w:r>
      <w:r w:rsidRPr="00CA2CC1">
        <w:rPr>
          <w:rFonts w:cs="Calibri"/>
          <w:color w:val="414042"/>
          <w:spacing w:val="-7"/>
        </w:rPr>
        <w:t xml:space="preserve"> </w:t>
      </w:r>
      <w:r w:rsidRPr="00CA2CC1">
        <w:rPr>
          <w:rFonts w:cs="Calibri"/>
          <w:color w:val="414042"/>
        </w:rPr>
        <w:t>growth of Victoria’s capital and major regional cities. More than</w:t>
      </w:r>
      <w:r w:rsidR="001A0BFD" w:rsidRPr="00CA2CC1">
        <w:rPr>
          <w:rFonts w:cs="Calibri"/>
        </w:rPr>
        <w:t xml:space="preserve"> </w:t>
      </w:r>
      <w:r w:rsidRPr="00CA2CC1">
        <w:rPr>
          <w:rFonts w:cs="Calibri"/>
          <w:color w:val="414042"/>
        </w:rPr>
        <w:t>50 major news items referenced our findings. In the months</w:t>
      </w:r>
      <w:r w:rsidRPr="00CA2CC1">
        <w:rPr>
          <w:rFonts w:cs="Calibri"/>
          <w:color w:val="414042"/>
          <w:spacing w:val="-7"/>
        </w:rPr>
        <w:t xml:space="preserve"> </w:t>
      </w:r>
      <w:r w:rsidRPr="00CA2CC1">
        <w:rPr>
          <w:rFonts w:cs="Calibri"/>
          <w:color w:val="414042"/>
        </w:rPr>
        <w:t>afterwards,</w:t>
      </w:r>
      <w:r w:rsidRPr="00CA2CC1">
        <w:rPr>
          <w:rFonts w:cs="Calibri"/>
          <w:color w:val="414042"/>
          <w:spacing w:val="-7"/>
        </w:rPr>
        <w:t xml:space="preserve"> </w:t>
      </w:r>
      <w:r w:rsidRPr="00CA2CC1">
        <w:rPr>
          <w:rFonts w:cs="Calibri"/>
          <w:color w:val="414042"/>
        </w:rPr>
        <w:t>the</w:t>
      </w:r>
      <w:r w:rsidRPr="00CA2CC1">
        <w:rPr>
          <w:rFonts w:cs="Calibri"/>
          <w:color w:val="414042"/>
          <w:spacing w:val="-7"/>
        </w:rPr>
        <w:t xml:space="preserve"> </w:t>
      </w:r>
      <w:r w:rsidRPr="00CA2CC1">
        <w:rPr>
          <w:rFonts w:cs="Calibri"/>
          <w:color w:val="414042"/>
        </w:rPr>
        <w:t>public</w:t>
      </w:r>
      <w:r w:rsidRPr="00CA2CC1">
        <w:rPr>
          <w:rFonts w:cs="Calibri"/>
          <w:color w:val="414042"/>
          <w:spacing w:val="-7"/>
        </w:rPr>
        <w:t xml:space="preserve"> </w:t>
      </w:r>
      <w:r w:rsidRPr="00CA2CC1">
        <w:rPr>
          <w:rFonts w:cs="Calibri"/>
          <w:color w:val="414042"/>
        </w:rPr>
        <w:t>discussion</w:t>
      </w:r>
      <w:r w:rsidRPr="00CA2CC1">
        <w:rPr>
          <w:rFonts w:cs="Calibri"/>
          <w:color w:val="414042"/>
          <w:spacing w:val="-7"/>
        </w:rPr>
        <w:t xml:space="preserve"> </w:t>
      </w:r>
      <w:r w:rsidRPr="00CA2CC1">
        <w:rPr>
          <w:rFonts w:cs="Calibri"/>
          <w:color w:val="414042"/>
        </w:rPr>
        <w:t>on</w:t>
      </w:r>
      <w:r w:rsidRPr="00CA2CC1">
        <w:rPr>
          <w:rFonts w:cs="Calibri"/>
          <w:color w:val="414042"/>
          <w:spacing w:val="-7"/>
        </w:rPr>
        <w:t xml:space="preserve"> </w:t>
      </w:r>
      <w:r w:rsidRPr="00CA2CC1">
        <w:rPr>
          <w:rFonts w:cs="Calibri"/>
          <w:color w:val="414042"/>
        </w:rPr>
        <w:t>housing</w:t>
      </w:r>
      <w:r w:rsidR="00DB4380" w:rsidRPr="00CA2CC1">
        <w:rPr>
          <w:rFonts w:cs="Calibri"/>
        </w:rPr>
        <w:t xml:space="preserve"> </w:t>
      </w:r>
    </w:p>
    <w:p w14:paraId="062805B8" w14:textId="77777777" w:rsidR="00FA4226" w:rsidRPr="00CA2CC1" w:rsidRDefault="00000000" w:rsidP="0043303B">
      <w:pPr>
        <w:pStyle w:val="BodyText"/>
        <w:spacing w:before="87"/>
        <w:rPr>
          <w:rFonts w:cs="Calibri"/>
        </w:rPr>
      </w:pPr>
      <w:r w:rsidRPr="00CA2CC1">
        <w:rPr>
          <w:rFonts w:cs="Calibri"/>
          <w:color w:val="414042"/>
        </w:rPr>
        <w:t>affordability shifted towards the need for more home choices</w:t>
      </w:r>
      <w:r w:rsidRPr="00CA2CC1">
        <w:rPr>
          <w:rFonts w:cs="Calibri"/>
          <w:color w:val="414042"/>
          <w:spacing w:val="-5"/>
        </w:rPr>
        <w:t xml:space="preserve"> </w:t>
      </w:r>
      <w:r w:rsidRPr="00CA2CC1">
        <w:rPr>
          <w:rFonts w:cs="Calibri"/>
          <w:color w:val="414042"/>
        </w:rPr>
        <w:t>in</w:t>
      </w:r>
      <w:r w:rsidRPr="00CA2CC1">
        <w:rPr>
          <w:rFonts w:cs="Calibri"/>
          <w:color w:val="414042"/>
          <w:spacing w:val="-5"/>
        </w:rPr>
        <w:t xml:space="preserve"> </w:t>
      </w:r>
      <w:r w:rsidRPr="00CA2CC1">
        <w:rPr>
          <w:rFonts w:cs="Calibri"/>
          <w:color w:val="414042"/>
        </w:rPr>
        <w:t>established</w:t>
      </w:r>
      <w:r w:rsidRPr="00CA2CC1">
        <w:rPr>
          <w:rFonts w:cs="Calibri"/>
          <w:color w:val="414042"/>
          <w:spacing w:val="-5"/>
        </w:rPr>
        <w:t xml:space="preserve"> </w:t>
      </w:r>
      <w:r w:rsidRPr="00CA2CC1">
        <w:rPr>
          <w:rFonts w:cs="Calibri"/>
          <w:color w:val="414042"/>
        </w:rPr>
        <w:t>suburbs,</w:t>
      </w:r>
      <w:r w:rsidRPr="00CA2CC1">
        <w:rPr>
          <w:rFonts w:cs="Calibri"/>
          <w:color w:val="414042"/>
          <w:spacing w:val="-5"/>
        </w:rPr>
        <w:t xml:space="preserve"> </w:t>
      </w:r>
      <w:r w:rsidRPr="00CA2CC1">
        <w:rPr>
          <w:rFonts w:cs="Calibri"/>
          <w:color w:val="414042"/>
        </w:rPr>
        <w:t>closer</w:t>
      </w:r>
      <w:r w:rsidRPr="00CA2CC1">
        <w:rPr>
          <w:rFonts w:cs="Calibri"/>
          <w:color w:val="414042"/>
          <w:spacing w:val="-5"/>
        </w:rPr>
        <w:t xml:space="preserve"> </w:t>
      </w:r>
      <w:r w:rsidRPr="00CA2CC1">
        <w:rPr>
          <w:rFonts w:cs="Calibri"/>
          <w:color w:val="414042"/>
        </w:rPr>
        <w:t>to</w:t>
      </w:r>
      <w:r w:rsidRPr="00CA2CC1">
        <w:rPr>
          <w:rFonts w:cs="Calibri"/>
          <w:color w:val="414042"/>
          <w:spacing w:val="-5"/>
        </w:rPr>
        <w:t xml:space="preserve"> </w:t>
      </w:r>
      <w:r w:rsidRPr="00CA2CC1">
        <w:rPr>
          <w:rFonts w:cs="Calibri"/>
          <w:color w:val="414042"/>
        </w:rPr>
        <w:t>jobs</w:t>
      </w:r>
      <w:r w:rsidRPr="00CA2CC1">
        <w:rPr>
          <w:rFonts w:cs="Calibri"/>
          <w:color w:val="414042"/>
          <w:spacing w:val="-5"/>
        </w:rPr>
        <w:t xml:space="preserve"> </w:t>
      </w:r>
      <w:r w:rsidRPr="00CA2CC1">
        <w:rPr>
          <w:rFonts w:cs="Calibri"/>
          <w:color w:val="414042"/>
        </w:rPr>
        <w:t>and</w:t>
      </w:r>
      <w:r w:rsidRPr="00CA2CC1">
        <w:rPr>
          <w:rFonts w:cs="Calibri"/>
          <w:color w:val="414042"/>
          <w:spacing w:val="-5"/>
        </w:rPr>
        <w:t xml:space="preserve"> </w:t>
      </w:r>
      <w:r w:rsidRPr="00CA2CC1">
        <w:rPr>
          <w:rFonts w:cs="Calibri"/>
        </w:rPr>
        <w:t xml:space="preserve">existing </w:t>
      </w:r>
      <w:r w:rsidRPr="00CA2CC1">
        <w:rPr>
          <w:rFonts w:cs="Calibri"/>
          <w:spacing w:val="-2"/>
        </w:rPr>
        <w:t>infrastructure.</w:t>
      </w:r>
    </w:p>
    <w:p w14:paraId="0EA8DD0F" w14:textId="64B21B1C" w:rsidR="00FA4226" w:rsidRPr="00CA2CC1" w:rsidRDefault="00000000" w:rsidP="0043303B">
      <w:pPr>
        <w:pStyle w:val="BodyText"/>
        <w:spacing w:before="117"/>
        <w:jc w:val="both"/>
        <w:rPr>
          <w:rFonts w:cs="Calibri"/>
        </w:rPr>
      </w:pPr>
      <w:r w:rsidRPr="00CA2CC1">
        <w:rPr>
          <w:rFonts w:cs="Calibri"/>
        </w:rPr>
        <w:t>Our research, advice and strategy work attracted nearly 46,000 visitors to our website and generated hundreds of</w:t>
      </w:r>
      <w:r w:rsidRPr="00CA2CC1">
        <w:rPr>
          <w:rFonts w:cs="Calibri"/>
          <w:spacing w:val="-4"/>
        </w:rPr>
        <w:t xml:space="preserve"> </w:t>
      </w:r>
      <w:r w:rsidRPr="00CA2CC1">
        <w:rPr>
          <w:rFonts w:cs="Calibri"/>
        </w:rPr>
        <w:t>news</w:t>
      </w:r>
      <w:r w:rsidRPr="00CA2CC1">
        <w:rPr>
          <w:rFonts w:cs="Calibri"/>
          <w:spacing w:val="-3"/>
        </w:rPr>
        <w:t xml:space="preserve"> </w:t>
      </w:r>
      <w:r w:rsidRPr="00CA2CC1">
        <w:rPr>
          <w:rFonts w:cs="Calibri"/>
        </w:rPr>
        <w:t>stories</w:t>
      </w:r>
      <w:r w:rsidRPr="00CA2CC1">
        <w:rPr>
          <w:rFonts w:cs="Calibri"/>
          <w:spacing w:val="-3"/>
        </w:rPr>
        <w:t xml:space="preserve"> </w:t>
      </w:r>
      <w:r w:rsidRPr="00CA2CC1">
        <w:rPr>
          <w:rFonts w:cs="Calibri"/>
        </w:rPr>
        <w:t>throughout</w:t>
      </w:r>
      <w:r w:rsidRPr="00CA2CC1">
        <w:rPr>
          <w:rFonts w:cs="Calibri"/>
          <w:spacing w:val="-3"/>
        </w:rPr>
        <w:t xml:space="preserve"> </w:t>
      </w:r>
      <w:r w:rsidRPr="00CA2CC1">
        <w:rPr>
          <w:rFonts w:cs="Calibri"/>
        </w:rPr>
        <w:t>the</w:t>
      </w:r>
      <w:r w:rsidRPr="00CA2CC1">
        <w:rPr>
          <w:rFonts w:cs="Calibri"/>
          <w:spacing w:val="-3"/>
        </w:rPr>
        <w:t xml:space="preserve"> </w:t>
      </w:r>
      <w:r w:rsidRPr="00CA2CC1">
        <w:rPr>
          <w:rFonts w:cs="Calibri"/>
        </w:rPr>
        <w:t>financial</w:t>
      </w:r>
      <w:r w:rsidRPr="00CA2CC1">
        <w:rPr>
          <w:rFonts w:cs="Calibri"/>
          <w:spacing w:val="-3"/>
        </w:rPr>
        <w:t xml:space="preserve"> </w:t>
      </w:r>
      <w:r w:rsidRPr="00CA2CC1">
        <w:rPr>
          <w:rFonts w:cs="Calibri"/>
        </w:rPr>
        <w:t>year.</w:t>
      </w:r>
      <w:r w:rsidRPr="00CA2CC1">
        <w:rPr>
          <w:rFonts w:cs="Calibri"/>
          <w:spacing w:val="-3"/>
        </w:rPr>
        <w:t xml:space="preserve"> </w:t>
      </w:r>
      <w:r w:rsidRPr="00CA2CC1">
        <w:rPr>
          <w:rFonts w:cs="Calibri"/>
        </w:rPr>
        <w:t>There</w:t>
      </w:r>
      <w:r w:rsidRPr="00CA2CC1">
        <w:rPr>
          <w:rFonts w:cs="Calibri"/>
          <w:spacing w:val="-3"/>
        </w:rPr>
        <w:t xml:space="preserve"> </w:t>
      </w:r>
      <w:r w:rsidRPr="00CA2CC1">
        <w:rPr>
          <w:rFonts w:cs="Calibri"/>
          <w:spacing w:val="-4"/>
        </w:rPr>
        <w:t>were</w:t>
      </w:r>
      <w:r w:rsidR="001A0BFD" w:rsidRPr="00CA2CC1">
        <w:rPr>
          <w:rFonts w:cs="Calibri"/>
        </w:rPr>
        <w:t xml:space="preserve"> </w:t>
      </w:r>
      <w:r w:rsidRPr="00CA2CC1">
        <w:rPr>
          <w:rFonts w:cs="Calibri"/>
        </w:rPr>
        <w:t>nearly 500 press, broadcast and online media mentions of Infrastructure</w:t>
      </w:r>
      <w:r w:rsidRPr="00CA2CC1">
        <w:rPr>
          <w:rFonts w:cs="Calibri"/>
          <w:spacing w:val="-4"/>
        </w:rPr>
        <w:t xml:space="preserve"> </w:t>
      </w:r>
      <w:r w:rsidRPr="00CA2CC1">
        <w:rPr>
          <w:rFonts w:cs="Calibri"/>
        </w:rPr>
        <w:t>Victoria</w:t>
      </w:r>
      <w:r w:rsidRPr="00CA2CC1">
        <w:rPr>
          <w:rFonts w:cs="Calibri"/>
          <w:spacing w:val="-4"/>
        </w:rPr>
        <w:t xml:space="preserve"> </w:t>
      </w:r>
      <w:r w:rsidRPr="00CA2CC1">
        <w:rPr>
          <w:rFonts w:cs="Calibri"/>
        </w:rPr>
        <w:t>in</w:t>
      </w:r>
      <w:r w:rsidRPr="00CA2CC1">
        <w:rPr>
          <w:rFonts w:cs="Calibri"/>
          <w:spacing w:val="-4"/>
        </w:rPr>
        <w:t xml:space="preserve"> </w:t>
      </w:r>
      <w:r w:rsidRPr="00CA2CC1">
        <w:rPr>
          <w:rFonts w:cs="Calibri"/>
        </w:rPr>
        <w:t>the</w:t>
      </w:r>
      <w:r w:rsidRPr="00CA2CC1">
        <w:rPr>
          <w:rFonts w:cs="Calibri"/>
          <w:spacing w:val="-4"/>
        </w:rPr>
        <w:t xml:space="preserve"> </w:t>
      </w:r>
      <w:r w:rsidRPr="00CA2CC1">
        <w:rPr>
          <w:rFonts w:cs="Calibri"/>
        </w:rPr>
        <w:t>last</w:t>
      </w:r>
      <w:r w:rsidRPr="00CA2CC1">
        <w:rPr>
          <w:rFonts w:cs="Calibri"/>
          <w:spacing w:val="-4"/>
        </w:rPr>
        <w:t xml:space="preserve"> </w:t>
      </w:r>
      <w:r w:rsidRPr="00CA2CC1">
        <w:rPr>
          <w:rFonts w:cs="Calibri"/>
        </w:rPr>
        <w:t>3</w:t>
      </w:r>
      <w:r w:rsidRPr="00CA2CC1">
        <w:rPr>
          <w:rFonts w:cs="Calibri"/>
          <w:spacing w:val="-4"/>
        </w:rPr>
        <w:t xml:space="preserve"> </w:t>
      </w:r>
      <w:r w:rsidRPr="00CA2CC1">
        <w:rPr>
          <w:rFonts w:cs="Calibri"/>
        </w:rPr>
        <w:t>months</w:t>
      </w:r>
      <w:r w:rsidRPr="00CA2CC1">
        <w:rPr>
          <w:rFonts w:cs="Calibri"/>
          <w:spacing w:val="-4"/>
        </w:rPr>
        <w:t xml:space="preserve"> </w:t>
      </w:r>
      <w:r w:rsidRPr="00CA2CC1">
        <w:rPr>
          <w:rFonts w:cs="Calibri"/>
        </w:rPr>
        <w:t>of</w:t>
      </w:r>
      <w:r w:rsidRPr="00CA2CC1">
        <w:rPr>
          <w:rFonts w:cs="Calibri"/>
          <w:spacing w:val="-4"/>
        </w:rPr>
        <w:t xml:space="preserve"> </w:t>
      </w:r>
      <w:r w:rsidRPr="00CA2CC1">
        <w:rPr>
          <w:rFonts w:cs="Calibri"/>
        </w:rPr>
        <w:t>2022–23</w:t>
      </w:r>
      <w:r w:rsidRPr="00CA2CC1">
        <w:rPr>
          <w:rFonts w:cs="Calibri"/>
          <w:spacing w:val="-4"/>
        </w:rPr>
        <w:t xml:space="preserve"> </w:t>
      </w:r>
      <w:r w:rsidRPr="00CA2CC1">
        <w:rPr>
          <w:rFonts w:cs="Calibri"/>
        </w:rPr>
        <w:t>alone. Throughout</w:t>
      </w:r>
      <w:r w:rsidRPr="00CA2CC1">
        <w:rPr>
          <w:rFonts w:cs="Calibri"/>
          <w:spacing w:val="-8"/>
        </w:rPr>
        <w:t xml:space="preserve"> </w:t>
      </w:r>
      <w:r w:rsidRPr="00CA2CC1">
        <w:rPr>
          <w:rFonts w:cs="Calibri"/>
        </w:rPr>
        <w:t>the</w:t>
      </w:r>
      <w:r w:rsidRPr="00CA2CC1">
        <w:rPr>
          <w:rFonts w:cs="Calibri"/>
          <w:spacing w:val="-8"/>
        </w:rPr>
        <w:t xml:space="preserve"> </w:t>
      </w:r>
      <w:r w:rsidRPr="00CA2CC1">
        <w:rPr>
          <w:rFonts w:cs="Calibri"/>
        </w:rPr>
        <w:t>year,</w:t>
      </w:r>
      <w:r w:rsidRPr="00CA2CC1">
        <w:rPr>
          <w:rFonts w:cs="Calibri"/>
          <w:spacing w:val="-8"/>
        </w:rPr>
        <w:t xml:space="preserve"> </w:t>
      </w:r>
      <w:r w:rsidRPr="00CA2CC1">
        <w:rPr>
          <w:rFonts w:cs="Calibri"/>
        </w:rPr>
        <w:t>we</w:t>
      </w:r>
      <w:r w:rsidRPr="00CA2CC1">
        <w:rPr>
          <w:rFonts w:cs="Calibri"/>
          <w:spacing w:val="-8"/>
        </w:rPr>
        <w:t xml:space="preserve"> </w:t>
      </w:r>
      <w:r w:rsidRPr="00CA2CC1">
        <w:rPr>
          <w:rFonts w:cs="Calibri"/>
        </w:rPr>
        <w:t>also</w:t>
      </w:r>
      <w:r w:rsidRPr="00CA2CC1">
        <w:rPr>
          <w:rFonts w:cs="Calibri"/>
          <w:spacing w:val="-8"/>
        </w:rPr>
        <w:t xml:space="preserve"> </w:t>
      </w:r>
      <w:r w:rsidRPr="00CA2CC1">
        <w:rPr>
          <w:rFonts w:cs="Calibri"/>
        </w:rPr>
        <w:t>undertook</w:t>
      </w:r>
      <w:r w:rsidRPr="00CA2CC1">
        <w:rPr>
          <w:rFonts w:cs="Calibri"/>
          <w:spacing w:val="-8"/>
        </w:rPr>
        <w:t xml:space="preserve"> </w:t>
      </w:r>
      <w:r w:rsidRPr="00CA2CC1">
        <w:rPr>
          <w:rFonts w:cs="Calibri"/>
        </w:rPr>
        <w:t>nearly</w:t>
      </w:r>
      <w:r w:rsidRPr="00CA2CC1">
        <w:rPr>
          <w:rFonts w:cs="Calibri"/>
          <w:spacing w:val="-8"/>
        </w:rPr>
        <w:t xml:space="preserve"> </w:t>
      </w:r>
      <w:r w:rsidRPr="00CA2CC1">
        <w:rPr>
          <w:rFonts w:cs="Calibri"/>
        </w:rPr>
        <w:t>300</w:t>
      </w:r>
      <w:r w:rsidRPr="00CA2CC1">
        <w:rPr>
          <w:rFonts w:cs="Calibri"/>
          <w:spacing w:val="-8"/>
        </w:rPr>
        <w:t xml:space="preserve"> </w:t>
      </w:r>
      <w:r w:rsidRPr="00CA2CC1">
        <w:rPr>
          <w:rFonts w:cs="Calibri"/>
        </w:rPr>
        <w:t>speaking engagements,</w:t>
      </w:r>
      <w:r w:rsidRPr="00CA2CC1">
        <w:rPr>
          <w:rFonts w:cs="Calibri"/>
          <w:spacing w:val="-9"/>
        </w:rPr>
        <w:t xml:space="preserve"> </w:t>
      </w:r>
      <w:r w:rsidRPr="00CA2CC1">
        <w:rPr>
          <w:rFonts w:cs="Calibri"/>
        </w:rPr>
        <w:t>webinar</w:t>
      </w:r>
      <w:r w:rsidRPr="00CA2CC1">
        <w:rPr>
          <w:rFonts w:cs="Calibri"/>
          <w:spacing w:val="-9"/>
        </w:rPr>
        <w:t xml:space="preserve"> </w:t>
      </w:r>
      <w:r w:rsidRPr="00CA2CC1">
        <w:rPr>
          <w:rFonts w:cs="Calibri"/>
        </w:rPr>
        <w:t>presentations,</w:t>
      </w:r>
      <w:r w:rsidRPr="00CA2CC1">
        <w:rPr>
          <w:rFonts w:cs="Calibri"/>
          <w:spacing w:val="-9"/>
        </w:rPr>
        <w:t xml:space="preserve"> </w:t>
      </w:r>
      <w:r w:rsidRPr="00CA2CC1">
        <w:rPr>
          <w:rFonts w:cs="Calibri"/>
        </w:rPr>
        <w:t>panel</w:t>
      </w:r>
      <w:r w:rsidRPr="00CA2CC1">
        <w:rPr>
          <w:rFonts w:cs="Calibri"/>
          <w:spacing w:val="-9"/>
        </w:rPr>
        <w:t xml:space="preserve"> </w:t>
      </w:r>
      <w:r w:rsidRPr="00CA2CC1">
        <w:rPr>
          <w:rFonts w:cs="Calibri"/>
        </w:rPr>
        <w:t>discussions</w:t>
      </w:r>
      <w:r w:rsidRPr="00CA2CC1">
        <w:rPr>
          <w:rFonts w:cs="Calibri"/>
          <w:spacing w:val="-9"/>
        </w:rPr>
        <w:t xml:space="preserve"> </w:t>
      </w:r>
      <w:r w:rsidRPr="00CA2CC1">
        <w:rPr>
          <w:rFonts w:cs="Calibri"/>
        </w:rPr>
        <w:t>and workshops with key industry and government stakeholders.</w:t>
      </w:r>
    </w:p>
    <w:p w14:paraId="7F354DD4" w14:textId="77777777" w:rsidR="00FA4226" w:rsidRPr="00CA2CC1" w:rsidRDefault="00000000" w:rsidP="0043303B">
      <w:pPr>
        <w:pStyle w:val="BodyText"/>
        <w:spacing w:before="111"/>
        <w:rPr>
          <w:rFonts w:cs="Calibri"/>
        </w:rPr>
      </w:pPr>
      <w:r w:rsidRPr="00CA2CC1">
        <w:rPr>
          <w:rFonts w:cs="Calibri"/>
        </w:rPr>
        <w:t>Throughout the past year, Infrastructure Victoria delivered substantial new work across our strategy, research and advice</w:t>
      </w:r>
      <w:r w:rsidRPr="00CA2CC1">
        <w:rPr>
          <w:rFonts w:cs="Calibri"/>
          <w:spacing w:val="-6"/>
        </w:rPr>
        <w:t xml:space="preserve"> </w:t>
      </w:r>
      <w:r w:rsidRPr="00CA2CC1">
        <w:rPr>
          <w:rFonts w:cs="Calibri"/>
        </w:rPr>
        <w:t>programs.</w:t>
      </w:r>
      <w:r w:rsidRPr="00CA2CC1">
        <w:rPr>
          <w:rFonts w:cs="Calibri"/>
          <w:spacing w:val="38"/>
        </w:rPr>
        <w:t xml:space="preserve"> </w:t>
      </w:r>
      <w:r w:rsidRPr="00CA2CC1">
        <w:rPr>
          <w:rFonts w:cs="Calibri"/>
        </w:rPr>
        <w:t>Our</w:t>
      </w:r>
      <w:r w:rsidRPr="00CA2CC1">
        <w:rPr>
          <w:rFonts w:cs="Calibri"/>
          <w:spacing w:val="-6"/>
        </w:rPr>
        <w:t xml:space="preserve"> </w:t>
      </w:r>
      <w:r w:rsidRPr="00CA2CC1">
        <w:rPr>
          <w:rFonts w:cs="Calibri"/>
        </w:rPr>
        <w:t>major</w:t>
      </w:r>
      <w:r w:rsidRPr="00CA2CC1">
        <w:rPr>
          <w:rFonts w:cs="Calibri"/>
          <w:spacing w:val="-6"/>
        </w:rPr>
        <w:t xml:space="preserve"> </w:t>
      </w:r>
      <w:r w:rsidRPr="00CA2CC1">
        <w:rPr>
          <w:rFonts w:cs="Calibri"/>
        </w:rPr>
        <w:t>publications</w:t>
      </w:r>
      <w:r w:rsidRPr="00CA2CC1">
        <w:rPr>
          <w:rFonts w:cs="Calibri"/>
          <w:spacing w:val="-6"/>
        </w:rPr>
        <w:t xml:space="preserve"> </w:t>
      </w:r>
      <w:r w:rsidRPr="00CA2CC1">
        <w:rPr>
          <w:rFonts w:cs="Calibri"/>
        </w:rPr>
        <w:t>and</w:t>
      </w:r>
      <w:r w:rsidRPr="00CA2CC1">
        <w:rPr>
          <w:rFonts w:cs="Calibri"/>
          <w:spacing w:val="-6"/>
        </w:rPr>
        <w:t xml:space="preserve"> </w:t>
      </w:r>
      <w:r w:rsidRPr="00CA2CC1">
        <w:rPr>
          <w:rFonts w:cs="Calibri"/>
        </w:rPr>
        <w:t>engagement activities are outlined briefly on this page.</w:t>
      </w:r>
    </w:p>
    <w:p w14:paraId="3AF7C5DC" w14:textId="77777777" w:rsidR="00FA4226" w:rsidRPr="00CA2CC1" w:rsidRDefault="00FA4226" w:rsidP="0043303B">
      <w:pPr>
        <w:pStyle w:val="BodyText"/>
        <w:spacing w:before="1"/>
        <w:rPr>
          <w:rFonts w:cs="Calibri"/>
          <w:sz w:val="15"/>
        </w:rPr>
      </w:pPr>
    </w:p>
    <w:p w14:paraId="4E6E6EE6" w14:textId="77777777" w:rsidR="00FA4226" w:rsidRPr="00CA2CC1" w:rsidRDefault="00000000" w:rsidP="00867916">
      <w:pPr>
        <w:pStyle w:val="Heading7"/>
        <w:rPr>
          <w:rFonts w:cs="Calibri"/>
          <w:color w:val="000000" w:themeColor="text1"/>
        </w:rPr>
      </w:pPr>
      <w:r w:rsidRPr="00CA2CC1">
        <w:rPr>
          <w:rFonts w:cs="Calibri"/>
          <w:color w:val="000000" w:themeColor="text1"/>
        </w:rPr>
        <w:t>July</w:t>
      </w:r>
      <w:r w:rsidRPr="00CA2CC1">
        <w:rPr>
          <w:rFonts w:cs="Calibri"/>
          <w:color w:val="000000" w:themeColor="text1"/>
          <w:spacing w:val="-2"/>
        </w:rPr>
        <w:t xml:space="preserve"> </w:t>
      </w:r>
      <w:r w:rsidRPr="00CA2CC1">
        <w:rPr>
          <w:rFonts w:cs="Calibri"/>
          <w:color w:val="000000" w:themeColor="text1"/>
          <w:spacing w:val="-4"/>
        </w:rPr>
        <w:t>2022</w:t>
      </w:r>
    </w:p>
    <w:p w14:paraId="3C814255" w14:textId="6AD9A02A" w:rsidR="00FA4226" w:rsidRPr="00CA2CC1" w:rsidRDefault="00000000" w:rsidP="0043303B">
      <w:pPr>
        <w:pStyle w:val="BodyText"/>
        <w:rPr>
          <w:rFonts w:cs="Calibri"/>
        </w:rPr>
      </w:pPr>
      <w:r w:rsidRPr="00CA2CC1">
        <w:rPr>
          <w:rFonts w:cs="Calibri"/>
        </w:rPr>
        <w:t>We released Towards 2050: gas infrastructure in a net zero emissions economy – final report, the first independent, state-wide analysis of the implications of the energy transition for Victoria’s extensive gas infrastructure assets. The Victorian Government asked Infrastructure Victoria’s advice on what decisions were needed, and when,</w:t>
      </w:r>
      <w:r w:rsidR="007F6C03" w:rsidRPr="00CA2CC1">
        <w:rPr>
          <w:rFonts w:cs="Calibri"/>
        </w:rPr>
        <w:t xml:space="preserve"> </w:t>
      </w:r>
      <w:r w:rsidRPr="00CA2CC1">
        <w:rPr>
          <w:rFonts w:cs="Calibri"/>
        </w:rPr>
        <w:t>under a range of 2050 energy scenarios. We looked at the economic, social and environmental impacts of each scenario and our recommendations informed the</w:t>
      </w:r>
      <w:r w:rsidR="007F6C03" w:rsidRPr="00CA2CC1">
        <w:rPr>
          <w:rFonts w:cs="Calibri"/>
        </w:rPr>
        <w:t xml:space="preserve"> </w:t>
      </w:r>
      <w:r w:rsidRPr="00CA2CC1">
        <w:rPr>
          <w:rFonts w:cs="Calibri"/>
        </w:rPr>
        <w:t>government’s Gas substitution roadmap, also released in July 2022.</w:t>
      </w:r>
    </w:p>
    <w:p w14:paraId="45DA8E8C" w14:textId="77777777" w:rsidR="00FA4226" w:rsidRPr="00CA2CC1" w:rsidRDefault="00FA4226" w:rsidP="0043303B">
      <w:pPr>
        <w:pStyle w:val="BodyText"/>
        <w:rPr>
          <w:rFonts w:cs="Calibri"/>
        </w:rPr>
      </w:pPr>
    </w:p>
    <w:p w14:paraId="6C9B5843" w14:textId="77777777" w:rsidR="00FA4226" w:rsidRPr="00CA2CC1" w:rsidRDefault="00000000" w:rsidP="0043303B">
      <w:pPr>
        <w:pStyle w:val="Heading7"/>
        <w:rPr>
          <w:rFonts w:cs="Calibri"/>
          <w:color w:val="000000" w:themeColor="text1"/>
        </w:rPr>
      </w:pPr>
      <w:r w:rsidRPr="00CA2CC1">
        <w:rPr>
          <w:rFonts w:cs="Calibri"/>
          <w:color w:val="000000" w:themeColor="text1"/>
        </w:rPr>
        <w:t xml:space="preserve">December </w:t>
      </w:r>
      <w:r w:rsidRPr="00CA2CC1">
        <w:rPr>
          <w:rFonts w:cs="Calibri"/>
          <w:color w:val="000000" w:themeColor="text1"/>
          <w:spacing w:val="-4"/>
        </w:rPr>
        <w:t>2022</w:t>
      </w:r>
    </w:p>
    <w:p w14:paraId="1E960684" w14:textId="77777777" w:rsidR="00FA4226" w:rsidRPr="00CA2CC1" w:rsidRDefault="00000000" w:rsidP="0043303B">
      <w:pPr>
        <w:pStyle w:val="BodyText"/>
        <w:spacing w:before="112"/>
        <w:rPr>
          <w:rFonts w:cs="Calibri"/>
        </w:rPr>
      </w:pPr>
      <w:r w:rsidRPr="00CA2CC1">
        <w:rPr>
          <w:rFonts w:cs="Calibri"/>
        </w:rPr>
        <w:t xml:space="preserve">Infrastructure Victoria published </w:t>
      </w:r>
      <w:r w:rsidRPr="00CA2CC1">
        <w:rPr>
          <w:rFonts w:cs="Calibri"/>
          <w:i/>
        </w:rPr>
        <w:t>Get on board: making</w:t>
      </w:r>
      <w:r w:rsidRPr="00CA2CC1">
        <w:rPr>
          <w:rFonts w:cs="Calibri"/>
          <w:i/>
          <w:spacing w:val="40"/>
        </w:rPr>
        <w:t xml:space="preserve"> </w:t>
      </w:r>
      <w:r w:rsidRPr="00CA2CC1">
        <w:rPr>
          <w:rFonts w:cs="Calibri"/>
          <w:i/>
        </w:rPr>
        <w:t>the</w:t>
      </w:r>
      <w:r w:rsidRPr="00CA2CC1">
        <w:rPr>
          <w:rFonts w:cs="Calibri"/>
          <w:i/>
          <w:spacing w:val="-6"/>
        </w:rPr>
        <w:t xml:space="preserve"> </w:t>
      </w:r>
      <w:r w:rsidRPr="00CA2CC1">
        <w:rPr>
          <w:rFonts w:cs="Calibri"/>
          <w:i/>
        </w:rPr>
        <w:t>most</w:t>
      </w:r>
      <w:r w:rsidRPr="00CA2CC1">
        <w:rPr>
          <w:rFonts w:cs="Calibri"/>
          <w:i/>
          <w:spacing w:val="-6"/>
        </w:rPr>
        <w:t xml:space="preserve"> </w:t>
      </w:r>
      <w:r w:rsidRPr="00CA2CC1">
        <w:rPr>
          <w:rFonts w:cs="Calibri"/>
          <w:i/>
        </w:rPr>
        <w:t>of</w:t>
      </w:r>
      <w:r w:rsidRPr="00CA2CC1">
        <w:rPr>
          <w:rFonts w:cs="Calibri"/>
          <w:i/>
          <w:spacing w:val="-6"/>
        </w:rPr>
        <w:t xml:space="preserve"> </w:t>
      </w:r>
      <w:r w:rsidRPr="00CA2CC1">
        <w:rPr>
          <w:rFonts w:cs="Calibri"/>
          <w:i/>
        </w:rPr>
        <w:t>Melbourne’s</w:t>
      </w:r>
      <w:r w:rsidRPr="00CA2CC1">
        <w:rPr>
          <w:rFonts w:cs="Calibri"/>
          <w:i/>
          <w:spacing w:val="-6"/>
        </w:rPr>
        <w:t xml:space="preserve"> </w:t>
      </w:r>
      <w:r w:rsidRPr="00CA2CC1">
        <w:rPr>
          <w:rFonts w:cs="Calibri"/>
          <w:i/>
        </w:rPr>
        <w:t>buses</w:t>
      </w:r>
      <w:r w:rsidRPr="00CA2CC1">
        <w:rPr>
          <w:rFonts w:cs="Calibri"/>
        </w:rPr>
        <w:t>,</w:t>
      </w:r>
      <w:r w:rsidRPr="00CA2CC1">
        <w:rPr>
          <w:rFonts w:cs="Calibri"/>
          <w:spacing w:val="-6"/>
        </w:rPr>
        <w:t xml:space="preserve"> </w:t>
      </w:r>
      <w:r w:rsidRPr="00CA2CC1">
        <w:rPr>
          <w:rFonts w:cs="Calibri"/>
        </w:rPr>
        <w:t>a</w:t>
      </w:r>
      <w:r w:rsidRPr="00CA2CC1">
        <w:rPr>
          <w:rFonts w:cs="Calibri"/>
          <w:spacing w:val="-6"/>
        </w:rPr>
        <w:t xml:space="preserve"> </w:t>
      </w:r>
      <w:r w:rsidRPr="00CA2CC1">
        <w:rPr>
          <w:rFonts w:cs="Calibri"/>
        </w:rPr>
        <w:t>discussion</w:t>
      </w:r>
      <w:r w:rsidRPr="00CA2CC1">
        <w:rPr>
          <w:rFonts w:cs="Calibri"/>
          <w:spacing w:val="-6"/>
        </w:rPr>
        <w:t xml:space="preserve"> </w:t>
      </w:r>
      <w:r w:rsidRPr="00CA2CC1">
        <w:rPr>
          <w:rFonts w:cs="Calibri"/>
        </w:rPr>
        <w:t>paper</w:t>
      </w:r>
      <w:r w:rsidRPr="00CA2CC1">
        <w:rPr>
          <w:rFonts w:cs="Calibri"/>
          <w:spacing w:val="-6"/>
        </w:rPr>
        <w:t xml:space="preserve"> </w:t>
      </w:r>
      <w:r w:rsidRPr="00CA2CC1">
        <w:rPr>
          <w:rFonts w:cs="Calibri"/>
        </w:rPr>
        <w:t>which looked at issues and opportunities for further bus reform. Our research suggested much more could be made of Melbourne’s extensive bus network with the right route design, cheaper fares and more frequent services.</w:t>
      </w:r>
    </w:p>
    <w:p w14:paraId="7C84B94F" w14:textId="77777777" w:rsidR="00FA4226" w:rsidRPr="00CA2CC1" w:rsidRDefault="00FA4226" w:rsidP="0043303B">
      <w:pPr>
        <w:pStyle w:val="BodyText"/>
        <w:spacing w:before="13"/>
        <w:rPr>
          <w:rFonts w:cs="Calibri"/>
          <w:sz w:val="14"/>
        </w:rPr>
      </w:pPr>
    </w:p>
    <w:p w14:paraId="0AC61738" w14:textId="77777777" w:rsidR="00FA4226" w:rsidRPr="00CA2CC1" w:rsidRDefault="00000000" w:rsidP="0043303B">
      <w:pPr>
        <w:pStyle w:val="Heading7"/>
        <w:rPr>
          <w:rFonts w:cs="Calibri"/>
          <w:color w:val="000000" w:themeColor="text1"/>
        </w:rPr>
      </w:pPr>
      <w:r w:rsidRPr="00CA2CC1">
        <w:rPr>
          <w:rFonts w:cs="Calibri"/>
          <w:color w:val="000000" w:themeColor="text1"/>
        </w:rPr>
        <w:t>March</w:t>
      </w:r>
      <w:r w:rsidRPr="00CA2CC1">
        <w:rPr>
          <w:rFonts w:cs="Calibri"/>
          <w:color w:val="000000" w:themeColor="text1"/>
          <w:spacing w:val="-4"/>
        </w:rPr>
        <w:t xml:space="preserve"> 2023</w:t>
      </w:r>
    </w:p>
    <w:p w14:paraId="6C757B0F" w14:textId="77777777" w:rsidR="00FA4226" w:rsidRPr="00CA2CC1" w:rsidRDefault="00000000" w:rsidP="0043303B">
      <w:pPr>
        <w:pStyle w:val="BodyText"/>
        <w:rPr>
          <w:rFonts w:cs="Calibri"/>
        </w:rPr>
      </w:pPr>
      <w:r w:rsidRPr="00CA2CC1">
        <w:rPr>
          <w:rFonts w:cs="Calibri"/>
        </w:rPr>
        <w:t>We</w:t>
      </w:r>
      <w:r w:rsidRPr="00CA2CC1">
        <w:rPr>
          <w:rFonts w:cs="Calibri"/>
          <w:spacing w:val="-6"/>
        </w:rPr>
        <w:t xml:space="preserve"> </w:t>
      </w:r>
      <w:r w:rsidRPr="00CA2CC1">
        <w:rPr>
          <w:rFonts w:cs="Calibri"/>
        </w:rPr>
        <w:t>released</w:t>
      </w:r>
      <w:r w:rsidRPr="00CA2CC1">
        <w:rPr>
          <w:rFonts w:cs="Calibri"/>
          <w:spacing w:val="-6"/>
        </w:rPr>
        <w:t xml:space="preserve"> </w:t>
      </w:r>
      <w:r w:rsidRPr="00CA2CC1">
        <w:rPr>
          <w:rFonts w:cs="Calibri"/>
        </w:rPr>
        <w:t>Our</w:t>
      </w:r>
      <w:r w:rsidRPr="00CA2CC1">
        <w:rPr>
          <w:rFonts w:cs="Calibri"/>
          <w:spacing w:val="-6"/>
        </w:rPr>
        <w:t xml:space="preserve"> </w:t>
      </w:r>
      <w:r w:rsidRPr="00CA2CC1">
        <w:rPr>
          <w:rFonts w:cs="Calibri"/>
        </w:rPr>
        <w:t>home</w:t>
      </w:r>
      <w:r w:rsidRPr="00CA2CC1">
        <w:rPr>
          <w:rFonts w:cs="Calibri"/>
          <w:spacing w:val="-6"/>
        </w:rPr>
        <w:t xml:space="preserve"> </w:t>
      </w:r>
      <w:r w:rsidRPr="00CA2CC1">
        <w:rPr>
          <w:rFonts w:cs="Calibri"/>
        </w:rPr>
        <w:t>choices:</w:t>
      </w:r>
      <w:r w:rsidRPr="00CA2CC1">
        <w:rPr>
          <w:rFonts w:cs="Calibri"/>
          <w:spacing w:val="-6"/>
        </w:rPr>
        <w:t xml:space="preserve"> </w:t>
      </w:r>
      <w:r w:rsidRPr="00CA2CC1">
        <w:rPr>
          <w:rFonts w:cs="Calibri"/>
        </w:rPr>
        <w:t>how</w:t>
      </w:r>
      <w:r w:rsidRPr="00CA2CC1">
        <w:rPr>
          <w:rFonts w:cs="Calibri"/>
          <w:spacing w:val="-6"/>
        </w:rPr>
        <w:t xml:space="preserve"> </w:t>
      </w:r>
      <w:r w:rsidRPr="00CA2CC1">
        <w:rPr>
          <w:rFonts w:cs="Calibri"/>
        </w:rPr>
        <w:t>more</w:t>
      </w:r>
      <w:r w:rsidRPr="00CA2CC1">
        <w:rPr>
          <w:rFonts w:cs="Calibri"/>
          <w:spacing w:val="-6"/>
        </w:rPr>
        <w:t xml:space="preserve"> </w:t>
      </w:r>
      <w:r w:rsidRPr="00CA2CC1">
        <w:rPr>
          <w:rFonts w:cs="Calibri"/>
        </w:rPr>
        <w:t>housing</w:t>
      </w:r>
      <w:r w:rsidRPr="00CA2CC1">
        <w:rPr>
          <w:rFonts w:cs="Calibri"/>
          <w:spacing w:val="-6"/>
        </w:rPr>
        <w:t xml:space="preserve"> </w:t>
      </w:r>
      <w:r w:rsidRPr="00CA2CC1">
        <w:rPr>
          <w:rFonts w:cs="Calibri"/>
        </w:rPr>
        <w:t>options can make better use of Victoria’s existing infrastructure.</w:t>
      </w:r>
    </w:p>
    <w:p w14:paraId="6B5408B6" w14:textId="3784814C" w:rsidR="00EC0994" w:rsidRPr="00CA2CC1" w:rsidRDefault="00000000" w:rsidP="0043303B">
      <w:pPr>
        <w:pStyle w:val="BodyText"/>
        <w:rPr>
          <w:rFonts w:cs="Calibri"/>
        </w:rPr>
      </w:pPr>
      <w:r w:rsidRPr="00CA2CC1">
        <w:rPr>
          <w:rFonts w:cs="Calibri"/>
        </w:rPr>
        <w:t>Our</w:t>
      </w:r>
      <w:r w:rsidRPr="00CA2CC1">
        <w:rPr>
          <w:rFonts w:cs="Calibri"/>
          <w:spacing w:val="-6"/>
        </w:rPr>
        <w:t xml:space="preserve"> </w:t>
      </w:r>
      <w:r w:rsidRPr="00CA2CC1">
        <w:rPr>
          <w:rFonts w:cs="Calibri"/>
        </w:rPr>
        <w:t>18-month</w:t>
      </w:r>
      <w:r w:rsidRPr="00CA2CC1">
        <w:rPr>
          <w:rFonts w:cs="Calibri"/>
          <w:spacing w:val="-6"/>
        </w:rPr>
        <w:t xml:space="preserve"> </w:t>
      </w:r>
      <w:r w:rsidRPr="00CA2CC1">
        <w:rPr>
          <w:rFonts w:cs="Calibri"/>
        </w:rPr>
        <w:t>research</w:t>
      </w:r>
      <w:r w:rsidRPr="00CA2CC1">
        <w:rPr>
          <w:rFonts w:cs="Calibri"/>
          <w:spacing w:val="-6"/>
        </w:rPr>
        <w:t xml:space="preserve"> </w:t>
      </w:r>
      <w:r w:rsidRPr="00CA2CC1">
        <w:rPr>
          <w:rFonts w:cs="Calibri"/>
        </w:rPr>
        <w:t>project</w:t>
      </w:r>
      <w:r w:rsidRPr="00CA2CC1">
        <w:rPr>
          <w:rFonts w:cs="Calibri"/>
          <w:spacing w:val="-6"/>
        </w:rPr>
        <w:t xml:space="preserve"> </w:t>
      </w:r>
      <w:r w:rsidRPr="00CA2CC1">
        <w:rPr>
          <w:rFonts w:cs="Calibri"/>
        </w:rPr>
        <w:t>looked</w:t>
      </w:r>
      <w:r w:rsidRPr="00CA2CC1">
        <w:rPr>
          <w:rFonts w:cs="Calibri"/>
          <w:spacing w:val="-6"/>
        </w:rPr>
        <w:t xml:space="preserve"> </w:t>
      </w:r>
      <w:r w:rsidRPr="00CA2CC1">
        <w:rPr>
          <w:rFonts w:cs="Calibri"/>
        </w:rPr>
        <w:t>at</w:t>
      </w:r>
      <w:r w:rsidRPr="00CA2CC1">
        <w:rPr>
          <w:rFonts w:cs="Calibri"/>
          <w:spacing w:val="-6"/>
        </w:rPr>
        <w:t xml:space="preserve"> </w:t>
      </w:r>
      <w:r w:rsidRPr="00CA2CC1">
        <w:rPr>
          <w:rFonts w:cs="Calibri"/>
        </w:rPr>
        <w:t>how</w:t>
      </w:r>
      <w:r w:rsidRPr="00CA2CC1">
        <w:rPr>
          <w:rFonts w:cs="Calibri"/>
          <w:spacing w:val="-6"/>
        </w:rPr>
        <w:t xml:space="preserve"> </w:t>
      </w:r>
      <w:r w:rsidRPr="00CA2CC1">
        <w:rPr>
          <w:rFonts w:cs="Calibri"/>
        </w:rPr>
        <w:t>demand for</w:t>
      </w:r>
      <w:r w:rsidRPr="00CA2CC1">
        <w:rPr>
          <w:rFonts w:cs="Calibri"/>
          <w:spacing w:val="-1"/>
        </w:rPr>
        <w:t xml:space="preserve"> </w:t>
      </w:r>
      <w:r w:rsidRPr="00CA2CC1">
        <w:rPr>
          <w:rFonts w:cs="Calibri"/>
        </w:rPr>
        <w:t>housing in</w:t>
      </w:r>
      <w:r w:rsidRPr="00CA2CC1">
        <w:rPr>
          <w:rFonts w:cs="Calibri"/>
          <w:spacing w:val="-1"/>
        </w:rPr>
        <w:t xml:space="preserve"> </w:t>
      </w:r>
      <w:r w:rsidRPr="00CA2CC1">
        <w:rPr>
          <w:rFonts w:cs="Calibri"/>
        </w:rPr>
        <w:t>new greenfield</w:t>
      </w:r>
      <w:r w:rsidRPr="00CA2CC1">
        <w:rPr>
          <w:rFonts w:cs="Calibri"/>
          <w:spacing w:val="-1"/>
        </w:rPr>
        <w:t xml:space="preserve"> </w:t>
      </w:r>
      <w:r w:rsidRPr="00CA2CC1">
        <w:rPr>
          <w:rFonts w:cs="Calibri"/>
        </w:rPr>
        <w:t>suburbs can</w:t>
      </w:r>
      <w:r w:rsidRPr="00CA2CC1">
        <w:rPr>
          <w:rFonts w:cs="Calibri"/>
          <w:spacing w:val="-1"/>
        </w:rPr>
        <w:t xml:space="preserve"> </w:t>
      </w:r>
      <w:r w:rsidRPr="00CA2CC1">
        <w:rPr>
          <w:rFonts w:cs="Calibri"/>
        </w:rPr>
        <w:t xml:space="preserve">be shifted </w:t>
      </w:r>
      <w:r w:rsidRPr="00CA2CC1">
        <w:rPr>
          <w:rFonts w:cs="Calibri"/>
          <w:spacing w:val="-5"/>
        </w:rPr>
        <w:t>to</w:t>
      </w:r>
      <w:r w:rsidR="007F6C03" w:rsidRPr="00CA2CC1">
        <w:rPr>
          <w:rFonts w:cs="Calibri"/>
        </w:rPr>
        <w:t xml:space="preserve"> </w:t>
      </w:r>
      <w:r w:rsidRPr="00CA2CC1">
        <w:rPr>
          <w:rFonts w:cs="Calibri"/>
        </w:rPr>
        <w:t>established</w:t>
      </w:r>
      <w:r w:rsidRPr="00CA2CC1">
        <w:rPr>
          <w:rFonts w:cs="Calibri"/>
          <w:spacing w:val="-6"/>
        </w:rPr>
        <w:t xml:space="preserve"> </w:t>
      </w:r>
      <w:r w:rsidRPr="00CA2CC1">
        <w:rPr>
          <w:rFonts w:cs="Calibri"/>
        </w:rPr>
        <w:t>suburbs,</w:t>
      </w:r>
      <w:r w:rsidRPr="00CA2CC1">
        <w:rPr>
          <w:rFonts w:cs="Calibri"/>
          <w:spacing w:val="-6"/>
        </w:rPr>
        <w:t xml:space="preserve"> </w:t>
      </w:r>
      <w:r w:rsidRPr="00CA2CC1">
        <w:rPr>
          <w:rFonts w:cs="Calibri"/>
        </w:rPr>
        <w:t>closer</w:t>
      </w:r>
      <w:r w:rsidRPr="00CA2CC1">
        <w:rPr>
          <w:rFonts w:cs="Calibri"/>
          <w:spacing w:val="-6"/>
        </w:rPr>
        <w:t xml:space="preserve"> </w:t>
      </w:r>
      <w:r w:rsidRPr="00CA2CC1">
        <w:rPr>
          <w:rFonts w:cs="Calibri"/>
        </w:rPr>
        <w:t>to</w:t>
      </w:r>
      <w:r w:rsidRPr="00CA2CC1">
        <w:rPr>
          <w:rFonts w:cs="Calibri"/>
          <w:spacing w:val="-6"/>
        </w:rPr>
        <w:t xml:space="preserve"> </w:t>
      </w:r>
      <w:r w:rsidRPr="00CA2CC1">
        <w:rPr>
          <w:rFonts w:cs="Calibri"/>
        </w:rPr>
        <w:t>existing</w:t>
      </w:r>
      <w:r w:rsidRPr="00CA2CC1">
        <w:rPr>
          <w:rFonts w:cs="Calibri"/>
          <w:spacing w:val="-6"/>
        </w:rPr>
        <w:t xml:space="preserve"> </w:t>
      </w:r>
      <w:r w:rsidRPr="00CA2CC1">
        <w:rPr>
          <w:rFonts w:cs="Calibri"/>
        </w:rPr>
        <w:t>infrastructure</w:t>
      </w:r>
      <w:r w:rsidRPr="00CA2CC1">
        <w:rPr>
          <w:rFonts w:cs="Calibri"/>
          <w:spacing w:val="-6"/>
        </w:rPr>
        <w:t xml:space="preserve"> </w:t>
      </w:r>
      <w:r w:rsidRPr="00CA2CC1">
        <w:rPr>
          <w:rFonts w:cs="Calibri"/>
        </w:rPr>
        <w:t>such</w:t>
      </w:r>
      <w:r w:rsidRPr="00CA2CC1">
        <w:rPr>
          <w:rFonts w:cs="Calibri"/>
          <w:spacing w:val="-6"/>
        </w:rPr>
        <w:t xml:space="preserve"> </w:t>
      </w:r>
      <w:r w:rsidRPr="00CA2CC1">
        <w:rPr>
          <w:rFonts w:cs="Calibri"/>
        </w:rPr>
        <w:t>as schools,</w:t>
      </w:r>
      <w:r w:rsidRPr="00CA2CC1">
        <w:rPr>
          <w:rFonts w:cs="Calibri"/>
          <w:spacing w:val="-1"/>
        </w:rPr>
        <w:t xml:space="preserve"> </w:t>
      </w:r>
      <w:r w:rsidRPr="00CA2CC1">
        <w:rPr>
          <w:rFonts w:cs="Calibri"/>
        </w:rPr>
        <w:t>hospitals</w:t>
      </w:r>
      <w:r w:rsidRPr="00CA2CC1">
        <w:rPr>
          <w:rFonts w:cs="Calibri"/>
          <w:spacing w:val="-1"/>
        </w:rPr>
        <w:t xml:space="preserve"> </w:t>
      </w:r>
      <w:r w:rsidRPr="00CA2CC1">
        <w:rPr>
          <w:rFonts w:cs="Calibri"/>
        </w:rPr>
        <w:t>and</w:t>
      </w:r>
      <w:r w:rsidRPr="00CA2CC1">
        <w:rPr>
          <w:rFonts w:cs="Calibri"/>
          <w:spacing w:val="-1"/>
        </w:rPr>
        <w:t xml:space="preserve"> </w:t>
      </w:r>
      <w:r w:rsidRPr="00CA2CC1">
        <w:rPr>
          <w:rFonts w:cs="Calibri"/>
        </w:rPr>
        <w:t>public</w:t>
      </w:r>
      <w:r w:rsidRPr="00CA2CC1">
        <w:rPr>
          <w:rFonts w:cs="Calibri"/>
          <w:spacing w:val="-1"/>
        </w:rPr>
        <w:t xml:space="preserve"> </w:t>
      </w:r>
      <w:r w:rsidRPr="00CA2CC1">
        <w:rPr>
          <w:rFonts w:cs="Calibri"/>
        </w:rPr>
        <w:t>transport.</w:t>
      </w:r>
      <w:r w:rsidRPr="00CA2CC1">
        <w:rPr>
          <w:rFonts w:cs="Calibri"/>
          <w:spacing w:val="-1"/>
        </w:rPr>
        <w:t xml:space="preserve"> </w:t>
      </w:r>
      <w:r w:rsidRPr="00CA2CC1">
        <w:rPr>
          <w:rFonts w:cs="Calibri"/>
        </w:rPr>
        <w:t>We</w:t>
      </w:r>
      <w:r w:rsidRPr="00CA2CC1">
        <w:rPr>
          <w:rFonts w:cs="Calibri"/>
          <w:spacing w:val="-1"/>
        </w:rPr>
        <w:t xml:space="preserve"> </w:t>
      </w:r>
      <w:r w:rsidRPr="00CA2CC1">
        <w:rPr>
          <w:rFonts w:cs="Calibri"/>
        </w:rPr>
        <w:t>found</w:t>
      </w:r>
      <w:r w:rsidRPr="00CA2CC1">
        <w:rPr>
          <w:rFonts w:cs="Calibri"/>
          <w:spacing w:val="-1"/>
        </w:rPr>
        <w:t xml:space="preserve"> </w:t>
      </w:r>
      <w:r w:rsidRPr="00CA2CC1">
        <w:rPr>
          <w:rFonts w:cs="Calibri"/>
        </w:rPr>
        <w:t>that</w:t>
      </w:r>
      <w:r w:rsidRPr="00CA2CC1">
        <w:rPr>
          <w:rFonts w:cs="Calibri"/>
          <w:spacing w:val="-1"/>
        </w:rPr>
        <w:t xml:space="preserve"> </w:t>
      </w:r>
      <w:r w:rsidRPr="00CA2CC1">
        <w:rPr>
          <w:rFonts w:cs="Calibri"/>
        </w:rPr>
        <w:t>more choice and housing diversity is needed to meet people’s needs as Victoria’s population grows. Our findings offer 10 policy</w:t>
      </w:r>
      <w:r w:rsidRPr="00CA2CC1">
        <w:rPr>
          <w:rFonts w:cs="Calibri"/>
          <w:spacing w:val="-2"/>
        </w:rPr>
        <w:t xml:space="preserve"> </w:t>
      </w:r>
      <w:r w:rsidRPr="00CA2CC1">
        <w:rPr>
          <w:rFonts w:cs="Calibri"/>
        </w:rPr>
        <w:t>options</w:t>
      </w:r>
      <w:r w:rsidRPr="00CA2CC1">
        <w:rPr>
          <w:rFonts w:cs="Calibri"/>
          <w:spacing w:val="-2"/>
        </w:rPr>
        <w:t xml:space="preserve"> </w:t>
      </w:r>
      <w:r w:rsidRPr="00CA2CC1">
        <w:rPr>
          <w:rFonts w:cs="Calibri"/>
        </w:rPr>
        <w:t>for</w:t>
      </w:r>
      <w:r w:rsidRPr="00CA2CC1">
        <w:rPr>
          <w:rFonts w:cs="Calibri"/>
          <w:spacing w:val="-2"/>
        </w:rPr>
        <w:t xml:space="preserve"> </w:t>
      </w:r>
      <w:r w:rsidRPr="00CA2CC1">
        <w:rPr>
          <w:rFonts w:cs="Calibri"/>
        </w:rPr>
        <w:t>the</w:t>
      </w:r>
      <w:r w:rsidRPr="00CA2CC1">
        <w:rPr>
          <w:rFonts w:cs="Calibri"/>
          <w:spacing w:val="-2"/>
        </w:rPr>
        <w:t xml:space="preserve"> </w:t>
      </w:r>
      <w:r w:rsidRPr="00CA2CC1">
        <w:rPr>
          <w:rFonts w:cs="Calibri"/>
        </w:rPr>
        <w:t>Victorian</w:t>
      </w:r>
      <w:r w:rsidRPr="00CA2CC1">
        <w:rPr>
          <w:rFonts w:cs="Calibri"/>
          <w:spacing w:val="-2"/>
        </w:rPr>
        <w:t xml:space="preserve"> </w:t>
      </w:r>
      <w:r w:rsidRPr="00CA2CC1">
        <w:rPr>
          <w:rFonts w:cs="Calibri"/>
        </w:rPr>
        <w:t>Government</w:t>
      </w:r>
      <w:r w:rsidRPr="00CA2CC1">
        <w:rPr>
          <w:rFonts w:cs="Calibri"/>
          <w:spacing w:val="-2"/>
        </w:rPr>
        <w:t xml:space="preserve"> </w:t>
      </w:r>
      <w:r w:rsidRPr="00CA2CC1">
        <w:rPr>
          <w:rFonts w:cs="Calibri"/>
        </w:rPr>
        <w:t>to</w:t>
      </w:r>
      <w:r w:rsidRPr="00CA2CC1">
        <w:rPr>
          <w:rFonts w:cs="Calibri"/>
          <w:spacing w:val="-2"/>
        </w:rPr>
        <w:t xml:space="preserve"> </w:t>
      </w:r>
      <w:r w:rsidRPr="00CA2CC1">
        <w:rPr>
          <w:rFonts w:cs="Calibri"/>
        </w:rPr>
        <w:t>support</w:t>
      </w:r>
      <w:r w:rsidRPr="00CA2CC1">
        <w:rPr>
          <w:rFonts w:cs="Calibri"/>
          <w:spacing w:val="-2"/>
        </w:rPr>
        <w:t xml:space="preserve"> </w:t>
      </w:r>
      <w:r w:rsidRPr="00CA2CC1">
        <w:rPr>
          <w:rFonts w:cs="Calibri"/>
        </w:rPr>
        <w:t>more choice</w:t>
      </w:r>
      <w:r w:rsidRPr="00CA2CC1">
        <w:rPr>
          <w:rFonts w:cs="Calibri"/>
          <w:spacing w:val="-5"/>
        </w:rPr>
        <w:t xml:space="preserve"> </w:t>
      </w:r>
      <w:r w:rsidRPr="00CA2CC1">
        <w:rPr>
          <w:rFonts w:cs="Calibri"/>
        </w:rPr>
        <w:t>for</w:t>
      </w:r>
      <w:r w:rsidRPr="00CA2CC1">
        <w:rPr>
          <w:rFonts w:cs="Calibri"/>
          <w:spacing w:val="-5"/>
        </w:rPr>
        <w:t xml:space="preserve"> </w:t>
      </w:r>
      <w:r w:rsidRPr="00CA2CC1">
        <w:rPr>
          <w:rFonts w:cs="Calibri"/>
        </w:rPr>
        <w:t>moderate</w:t>
      </w:r>
      <w:r w:rsidRPr="00CA2CC1">
        <w:rPr>
          <w:rFonts w:cs="Calibri"/>
          <w:spacing w:val="-5"/>
        </w:rPr>
        <w:t xml:space="preserve"> </w:t>
      </w:r>
      <w:r w:rsidRPr="00CA2CC1">
        <w:rPr>
          <w:rFonts w:cs="Calibri"/>
        </w:rPr>
        <w:t>income</w:t>
      </w:r>
      <w:r w:rsidRPr="00CA2CC1">
        <w:rPr>
          <w:rFonts w:cs="Calibri"/>
          <w:spacing w:val="-5"/>
        </w:rPr>
        <w:t xml:space="preserve"> </w:t>
      </w:r>
      <w:r w:rsidRPr="00CA2CC1">
        <w:rPr>
          <w:rFonts w:cs="Calibri"/>
        </w:rPr>
        <w:t>households</w:t>
      </w:r>
      <w:r w:rsidRPr="00CA2CC1">
        <w:rPr>
          <w:rFonts w:cs="Calibri"/>
          <w:spacing w:val="-5"/>
        </w:rPr>
        <w:t xml:space="preserve"> </w:t>
      </w:r>
      <w:r w:rsidRPr="00CA2CC1">
        <w:rPr>
          <w:rFonts w:cs="Calibri"/>
        </w:rPr>
        <w:t>who</w:t>
      </w:r>
      <w:r w:rsidRPr="00CA2CC1">
        <w:rPr>
          <w:rFonts w:cs="Calibri"/>
          <w:spacing w:val="-5"/>
        </w:rPr>
        <w:t xml:space="preserve"> </w:t>
      </w:r>
      <w:r w:rsidRPr="00CA2CC1">
        <w:rPr>
          <w:rFonts w:cs="Calibri"/>
        </w:rPr>
        <w:t>prefer</w:t>
      </w:r>
      <w:r w:rsidRPr="00CA2CC1">
        <w:rPr>
          <w:rFonts w:cs="Calibri"/>
          <w:spacing w:val="-5"/>
        </w:rPr>
        <w:t xml:space="preserve"> </w:t>
      </w:r>
      <w:r w:rsidRPr="00CA2CC1">
        <w:rPr>
          <w:rFonts w:cs="Calibri"/>
        </w:rPr>
        <w:t>to</w:t>
      </w:r>
      <w:r w:rsidRPr="00CA2CC1">
        <w:rPr>
          <w:rFonts w:cs="Calibri"/>
          <w:spacing w:val="-5"/>
        </w:rPr>
        <w:t xml:space="preserve"> </w:t>
      </w:r>
      <w:r w:rsidRPr="00CA2CC1">
        <w:rPr>
          <w:rFonts w:cs="Calibri"/>
        </w:rPr>
        <w:t>live</w:t>
      </w:r>
      <w:r w:rsidRPr="00CA2CC1">
        <w:rPr>
          <w:rFonts w:cs="Calibri"/>
          <w:spacing w:val="-5"/>
        </w:rPr>
        <w:t xml:space="preserve"> </w:t>
      </w:r>
      <w:r w:rsidRPr="00CA2CC1">
        <w:rPr>
          <w:rFonts w:cs="Calibri"/>
        </w:rPr>
        <w:t>in established suburbs. Our research project fills existing gaps about the home types and spatial areas that are affordable for moderate income households in Melbourne. It also evaluates the economic value of housing proximity to many types of infrastructure.</w:t>
      </w:r>
    </w:p>
    <w:p w14:paraId="385A4479" w14:textId="77777777" w:rsidR="00EC0994" w:rsidRPr="00CA2CC1" w:rsidRDefault="00EC0994" w:rsidP="0043303B">
      <w:pPr>
        <w:pStyle w:val="BodyText"/>
        <w:rPr>
          <w:rFonts w:cs="Calibri"/>
        </w:rPr>
      </w:pPr>
    </w:p>
    <w:p w14:paraId="1C0D0015" w14:textId="11DF234F" w:rsidR="00FA4226" w:rsidRPr="00CA2CC1" w:rsidRDefault="00000000" w:rsidP="0043303B">
      <w:pPr>
        <w:pStyle w:val="BodyText"/>
        <w:rPr>
          <w:rFonts w:cs="Calibri"/>
        </w:rPr>
      </w:pPr>
      <w:r w:rsidRPr="00CA2CC1">
        <w:rPr>
          <w:rFonts w:cs="Calibri"/>
        </w:rPr>
        <w:lastRenderedPageBreak/>
        <w:t>March</w:t>
      </w:r>
      <w:r w:rsidRPr="00CA2CC1">
        <w:rPr>
          <w:rFonts w:cs="Calibri"/>
          <w:spacing w:val="-4"/>
        </w:rPr>
        <w:t xml:space="preserve"> 2023</w:t>
      </w:r>
    </w:p>
    <w:p w14:paraId="39C8F49B" w14:textId="77777777" w:rsidR="00FA4226" w:rsidRPr="00CA2CC1" w:rsidRDefault="00000000" w:rsidP="0043303B">
      <w:pPr>
        <w:pStyle w:val="BodyText"/>
        <w:spacing w:before="112"/>
        <w:rPr>
          <w:rFonts w:cs="Calibri"/>
        </w:rPr>
      </w:pPr>
      <w:r w:rsidRPr="00CA2CC1">
        <w:rPr>
          <w:rFonts w:cs="Calibri"/>
        </w:rPr>
        <w:t xml:space="preserve">Supporting our Victorian housing research project, </w:t>
      </w:r>
      <w:r w:rsidRPr="00CA2CC1">
        <w:rPr>
          <w:rFonts w:cs="Calibri"/>
          <w:i/>
        </w:rPr>
        <w:t>Our home choices: policy evidence</w:t>
      </w:r>
      <w:r w:rsidRPr="00CA2CC1">
        <w:rPr>
          <w:rFonts w:cs="Calibri"/>
          <w:i/>
          <w:spacing w:val="-1"/>
        </w:rPr>
        <w:t xml:space="preserve"> </w:t>
      </w:r>
      <w:r w:rsidRPr="00CA2CC1">
        <w:rPr>
          <w:rFonts w:cs="Calibri"/>
        </w:rPr>
        <w:t>describes the findings from Infrastructure Victoria’s literature reviews and qualitative stakeholder research. It includes robust evidence to support</w:t>
      </w:r>
      <w:r w:rsidRPr="00CA2CC1">
        <w:rPr>
          <w:rFonts w:cs="Calibri"/>
          <w:spacing w:val="-4"/>
        </w:rPr>
        <w:t xml:space="preserve"> </w:t>
      </w:r>
      <w:r w:rsidRPr="00CA2CC1">
        <w:rPr>
          <w:rFonts w:cs="Calibri"/>
        </w:rPr>
        <w:t>the</w:t>
      </w:r>
      <w:r w:rsidRPr="00CA2CC1">
        <w:rPr>
          <w:rFonts w:cs="Calibri"/>
          <w:spacing w:val="-4"/>
        </w:rPr>
        <w:t xml:space="preserve"> </w:t>
      </w:r>
      <w:r w:rsidRPr="00CA2CC1">
        <w:rPr>
          <w:rFonts w:cs="Calibri"/>
        </w:rPr>
        <w:t>selection</w:t>
      </w:r>
      <w:r w:rsidRPr="00CA2CC1">
        <w:rPr>
          <w:rFonts w:cs="Calibri"/>
          <w:spacing w:val="-4"/>
        </w:rPr>
        <w:t xml:space="preserve"> </w:t>
      </w:r>
      <w:r w:rsidRPr="00CA2CC1">
        <w:rPr>
          <w:rFonts w:cs="Calibri"/>
        </w:rPr>
        <w:t>of</w:t>
      </w:r>
      <w:r w:rsidRPr="00CA2CC1">
        <w:rPr>
          <w:rFonts w:cs="Calibri"/>
          <w:spacing w:val="-4"/>
        </w:rPr>
        <w:t xml:space="preserve"> </w:t>
      </w:r>
      <w:r w:rsidRPr="00CA2CC1">
        <w:rPr>
          <w:rFonts w:cs="Calibri"/>
        </w:rPr>
        <w:t>10</w:t>
      </w:r>
      <w:r w:rsidRPr="00CA2CC1">
        <w:rPr>
          <w:rFonts w:cs="Calibri"/>
          <w:spacing w:val="-4"/>
        </w:rPr>
        <w:t xml:space="preserve"> </w:t>
      </w:r>
      <w:r w:rsidRPr="00CA2CC1">
        <w:rPr>
          <w:rFonts w:cs="Calibri"/>
        </w:rPr>
        <w:t>policy</w:t>
      </w:r>
      <w:r w:rsidRPr="00CA2CC1">
        <w:rPr>
          <w:rFonts w:cs="Calibri"/>
          <w:spacing w:val="-4"/>
        </w:rPr>
        <w:t xml:space="preserve"> </w:t>
      </w:r>
      <w:r w:rsidRPr="00CA2CC1">
        <w:rPr>
          <w:rFonts w:cs="Calibri"/>
        </w:rPr>
        <w:t>options</w:t>
      </w:r>
      <w:r w:rsidRPr="00CA2CC1">
        <w:rPr>
          <w:rFonts w:cs="Calibri"/>
          <w:spacing w:val="-4"/>
        </w:rPr>
        <w:t xml:space="preserve"> </w:t>
      </w:r>
      <w:r w:rsidRPr="00CA2CC1">
        <w:rPr>
          <w:rFonts w:cs="Calibri"/>
        </w:rPr>
        <w:t>that</w:t>
      </w:r>
      <w:r w:rsidRPr="00CA2CC1">
        <w:rPr>
          <w:rFonts w:cs="Calibri"/>
          <w:spacing w:val="-4"/>
        </w:rPr>
        <w:t xml:space="preserve"> </w:t>
      </w:r>
      <w:r w:rsidRPr="00CA2CC1">
        <w:rPr>
          <w:rFonts w:cs="Calibri"/>
        </w:rPr>
        <w:t>the</w:t>
      </w:r>
      <w:r w:rsidRPr="00CA2CC1">
        <w:rPr>
          <w:rFonts w:cs="Calibri"/>
          <w:spacing w:val="-4"/>
        </w:rPr>
        <w:t xml:space="preserve"> </w:t>
      </w:r>
      <w:r w:rsidRPr="00CA2CC1">
        <w:rPr>
          <w:rFonts w:cs="Calibri"/>
        </w:rPr>
        <w:t>Victorian Government can apply if it wants to encourage increased housing choice and diversity for Victorians in established suburbs of Melbourne, Geelong and Ballarat.</w:t>
      </w:r>
    </w:p>
    <w:p w14:paraId="6D5CA304" w14:textId="77777777" w:rsidR="00FA4226" w:rsidRPr="00CA2CC1" w:rsidRDefault="00FA4226" w:rsidP="0043303B">
      <w:pPr>
        <w:pStyle w:val="BodyText"/>
        <w:spacing w:before="11"/>
        <w:rPr>
          <w:rFonts w:cs="Calibri"/>
          <w:sz w:val="14"/>
        </w:rPr>
      </w:pPr>
    </w:p>
    <w:p w14:paraId="15E6BFF3" w14:textId="77777777" w:rsidR="00FA4226" w:rsidRPr="00CA2CC1" w:rsidRDefault="00000000" w:rsidP="0043303B">
      <w:pPr>
        <w:pStyle w:val="Heading7"/>
        <w:rPr>
          <w:rFonts w:cs="Calibri"/>
          <w:color w:val="000000" w:themeColor="text1"/>
        </w:rPr>
      </w:pPr>
      <w:r w:rsidRPr="00CA2CC1">
        <w:rPr>
          <w:rFonts w:cs="Calibri"/>
          <w:color w:val="000000" w:themeColor="text1"/>
        </w:rPr>
        <w:t>March</w:t>
      </w:r>
      <w:r w:rsidRPr="00CA2CC1">
        <w:rPr>
          <w:rFonts w:cs="Calibri"/>
          <w:color w:val="000000" w:themeColor="text1"/>
          <w:spacing w:val="-4"/>
        </w:rPr>
        <w:t xml:space="preserve"> 2023</w:t>
      </w:r>
    </w:p>
    <w:p w14:paraId="505E8B8B" w14:textId="77777777" w:rsidR="00FA4226" w:rsidRPr="00CA2CC1" w:rsidRDefault="00000000" w:rsidP="0043303B">
      <w:pPr>
        <w:pStyle w:val="BodyText"/>
        <w:spacing w:before="115"/>
        <w:rPr>
          <w:rFonts w:cs="Calibri"/>
        </w:rPr>
      </w:pPr>
      <w:r w:rsidRPr="00CA2CC1">
        <w:rPr>
          <w:rFonts w:cs="Calibri"/>
          <w:i/>
        </w:rPr>
        <w:t xml:space="preserve">Measuring home price differences: how features, location and infrastructure affect Melbourne’s home prices </w:t>
      </w:r>
      <w:r w:rsidRPr="00CA2CC1">
        <w:rPr>
          <w:rFonts w:cs="Calibri"/>
        </w:rPr>
        <w:t>outlines new price models we developed to examine what features people value when choosing a home, like bedrooms, car spaces and being close to public transport. The hedonic price</w:t>
      </w:r>
      <w:r w:rsidRPr="00CA2CC1">
        <w:rPr>
          <w:rFonts w:cs="Calibri"/>
          <w:spacing w:val="-9"/>
        </w:rPr>
        <w:t xml:space="preserve"> </w:t>
      </w:r>
      <w:r w:rsidRPr="00CA2CC1">
        <w:rPr>
          <w:rFonts w:cs="Calibri"/>
        </w:rPr>
        <w:t>model</w:t>
      </w:r>
      <w:r w:rsidRPr="00CA2CC1">
        <w:rPr>
          <w:rFonts w:cs="Calibri"/>
          <w:spacing w:val="-9"/>
        </w:rPr>
        <w:t xml:space="preserve"> </w:t>
      </w:r>
      <w:r w:rsidRPr="00CA2CC1">
        <w:rPr>
          <w:rFonts w:cs="Calibri"/>
        </w:rPr>
        <w:t>helps</w:t>
      </w:r>
      <w:r w:rsidRPr="00CA2CC1">
        <w:rPr>
          <w:rFonts w:cs="Calibri"/>
          <w:spacing w:val="-9"/>
        </w:rPr>
        <w:t xml:space="preserve"> </w:t>
      </w:r>
      <w:r w:rsidRPr="00CA2CC1">
        <w:rPr>
          <w:rFonts w:cs="Calibri"/>
        </w:rPr>
        <w:t>to</w:t>
      </w:r>
      <w:r w:rsidRPr="00CA2CC1">
        <w:rPr>
          <w:rFonts w:cs="Calibri"/>
          <w:spacing w:val="-9"/>
        </w:rPr>
        <w:t xml:space="preserve"> </w:t>
      </w:r>
      <w:r w:rsidRPr="00CA2CC1">
        <w:rPr>
          <w:rFonts w:cs="Calibri"/>
        </w:rPr>
        <w:t>better</w:t>
      </w:r>
      <w:r w:rsidRPr="00CA2CC1">
        <w:rPr>
          <w:rFonts w:cs="Calibri"/>
          <w:spacing w:val="-9"/>
        </w:rPr>
        <w:t xml:space="preserve"> </w:t>
      </w:r>
      <w:r w:rsidRPr="00CA2CC1">
        <w:rPr>
          <w:rFonts w:cs="Calibri"/>
        </w:rPr>
        <w:t>understand</w:t>
      </w:r>
      <w:r w:rsidRPr="00CA2CC1">
        <w:rPr>
          <w:rFonts w:cs="Calibri"/>
          <w:spacing w:val="-9"/>
        </w:rPr>
        <w:t xml:space="preserve"> </w:t>
      </w:r>
      <w:r w:rsidRPr="00CA2CC1">
        <w:rPr>
          <w:rFonts w:cs="Calibri"/>
        </w:rPr>
        <w:t>people’s</w:t>
      </w:r>
      <w:r w:rsidRPr="00CA2CC1">
        <w:rPr>
          <w:rFonts w:cs="Calibri"/>
          <w:spacing w:val="-9"/>
        </w:rPr>
        <w:t xml:space="preserve"> </w:t>
      </w:r>
      <w:r w:rsidRPr="00CA2CC1">
        <w:rPr>
          <w:rFonts w:cs="Calibri"/>
        </w:rPr>
        <w:t>preferences for dwelling and location features and the type of homes moderate income households can afford. It gives insights about the drivers of housing demand, housing affordability and the alternative home types that could substitute for houses in new suburbs at similar market prices.</w:t>
      </w:r>
    </w:p>
    <w:p w14:paraId="561C2B29" w14:textId="77777777" w:rsidR="00FA4226" w:rsidRPr="00CA2CC1" w:rsidRDefault="00FA4226" w:rsidP="0043303B">
      <w:pPr>
        <w:pStyle w:val="BodyText"/>
        <w:spacing w:before="8"/>
        <w:rPr>
          <w:rFonts w:cs="Calibri"/>
          <w:sz w:val="14"/>
        </w:rPr>
      </w:pPr>
    </w:p>
    <w:p w14:paraId="11B0B1AB" w14:textId="77777777" w:rsidR="00FA4226" w:rsidRPr="00CA2CC1" w:rsidRDefault="00000000" w:rsidP="0043303B">
      <w:pPr>
        <w:pStyle w:val="Heading7"/>
        <w:rPr>
          <w:rFonts w:cs="Calibri"/>
          <w:color w:val="000000" w:themeColor="text1"/>
        </w:rPr>
      </w:pPr>
      <w:r w:rsidRPr="00CA2CC1">
        <w:rPr>
          <w:rFonts w:cs="Calibri"/>
          <w:color w:val="000000" w:themeColor="text1"/>
        </w:rPr>
        <w:t xml:space="preserve">May </w:t>
      </w:r>
      <w:r w:rsidRPr="00CA2CC1">
        <w:rPr>
          <w:rFonts w:cs="Calibri"/>
          <w:color w:val="000000" w:themeColor="text1"/>
          <w:spacing w:val="-4"/>
        </w:rPr>
        <w:t>2023</w:t>
      </w:r>
    </w:p>
    <w:p w14:paraId="429CA491" w14:textId="77777777" w:rsidR="00FA4226" w:rsidRPr="00CA2CC1" w:rsidRDefault="00000000" w:rsidP="0043303B">
      <w:pPr>
        <w:pStyle w:val="BodyText"/>
        <w:spacing w:before="112"/>
        <w:rPr>
          <w:rFonts w:cs="Calibri"/>
        </w:rPr>
      </w:pPr>
      <w:r w:rsidRPr="00CA2CC1">
        <w:rPr>
          <w:rFonts w:cs="Calibri"/>
        </w:rPr>
        <w:t>We undertook one of the largest ever studies of community attitudes towards Melbourne’s bus network. Quantum Market Research asked over 4,000 Melburnians how they feel about using buses, their attitudes towards various reforms and the trade-offs they were willing to make for a better service. The qualitative and quantitative research will help</w:t>
      </w:r>
      <w:r w:rsidRPr="00CA2CC1">
        <w:rPr>
          <w:rFonts w:cs="Calibri"/>
          <w:spacing w:val="-5"/>
        </w:rPr>
        <w:t xml:space="preserve"> </w:t>
      </w:r>
      <w:r w:rsidRPr="00CA2CC1">
        <w:rPr>
          <w:rFonts w:cs="Calibri"/>
        </w:rPr>
        <w:t>us</w:t>
      </w:r>
      <w:r w:rsidRPr="00CA2CC1">
        <w:rPr>
          <w:rFonts w:cs="Calibri"/>
          <w:spacing w:val="-5"/>
        </w:rPr>
        <w:t xml:space="preserve"> </w:t>
      </w:r>
      <w:r w:rsidRPr="00CA2CC1">
        <w:rPr>
          <w:rFonts w:cs="Calibri"/>
        </w:rPr>
        <w:t>to</w:t>
      </w:r>
      <w:r w:rsidRPr="00CA2CC1">
        <w:rPr>
          <w:rFonts w:cs="Calibri"/>
          <w:spacing w:val="-5"/>
        </w:rPr>
        <w:t xml:space="preserve"> </w:t>
      </w:r>
      <w:r w:rsidRPr="00CA2CC1">
        <w:rPr>
          <w:rFonts w:cs="Calibri"/>
        </w:rPr>
        <w:t>understand</w:t>
      </w:r>
      <w:r w:rsidRPr="00CA2CC1">
        <w:rPr>
          <w:rFonts w:cs="Calibri"/>
          <w:spacing w:val="-5"/>
        </w:rPr>
        <w:t xml:space="preserve"> </w:t>
      </w:r>
      <w:r w:rsidRPr="00CA2CC1">
        <w:rPr>
          <w:rFonts w:cs="Calibri"/>
        </w:rPr>
        <w:t>challenges</w:t>
      </w:r>
      <w:r w:rsidRPr="00CA2CC1">
        <w:rPr>
          <w:rFonts w:cs="Calibri"/>
          <w:spacing w:val="-5"/>
        </w:rPr>
        <w:t xml:space="preserve"> </w:t>
      </w:r>
      <w:r w:rsidRPr="00CA2CC1">
        <w:rPr>
          <w:rFonts w:cs="Calibri"/>
        </w:rPr>
        <w:t>and</w:t>
      </w:r>
      <w:r w:rsidRPr="00CA2CC1">
        <w:rPr>
          <w:rFonts w:cs="Calibri"/>
          <w:spacing w:val="-5"/>
        </w:rPr>
        <w:t xml:space="preserve"> </w:t>
      </w:r>
      <w:r w:rsidRPr="00CA2CC1">
        <w:rPr>
          <w:rFonts w:cs="Calibri"/>
        </w:rPr>
        <w:t>identify</w:t>
      </w:r>
      <w:r w:rsidRPr="00CA2CC1">
        <w:rPr>
          <w:rFonts w:cs="Calibri"/>
          <w:spacing w:val="-5"/>
        </w:rPr>
        <w:t xml:space="preserve"> </w:t>
      </w:r>
      <w:r w:rsidRPr="00CA2CC1">
        <w:rPr>
          <w:rFonts w:cs="Calibri"/>
        </w:rPr>
        <w:t>opportunities. We</w:t>
      </w:r>
      <w:r w:rsidRPr="00CA2CC1">
        <w:rPr>
          <w:rFonts w:cs="Calibri"/>
          <w:spacing w:val="-1"/>
        </w:rPr>
        <w:t xml:space="preserve"> </w:t>
      </w:r>
      <w:r w:rsidRPr="00CA2CC1">
        <w:rPr>
          <w:rFonts w:cs="Calibri"/>
        </w:rPr>
        <w:t>published</w:t>
      </w:r>
      <w:r w:rsidRPr="00CA2CC1">
        <w:rPr>
          <w:rFonts w:cs="Calibri"/>
          <w:spacing w:val="-1"/>
        </w:rPr>
        <w:t xml:space="preserve"> </w:t>
      </w:r>
      <w:r w:rsidRPr="00CA2CC1">
        <w:rPr>
          <w:rFonts w:cs="Calibri"/>
        </w:rPr>
        <w:t>the</w:t>
      </w:r>
      <w:r w:rsidRPr="00CA2CC1">
        <w:rPr>
          <w:rFonts w:cs="Calibri"/>
          <w:spacing w:val="-1"/>
        </w:rPr>
        <w:t xml:space="preserve"> </w:t>
      </w:r>
      <w:r w:rsidRPr="00CA2CC1">
        <w:rPr>
          <w:rFonts w:cs="Calibri"/>
        </w:rPr>
        <w:t>analysis</w:t>
      </w:r>
      <w:r w:rsidRPr="00CA2CC1">
        <w:rPr>
          <w:rFonts w:cs="Calibri"/>
          <w:spacing w:val="-1"/>
        </w:rPr>
        <w:t xml:space="preserve"> </w:t>
      </w:r>
      <w:r w:rsidRPr="00CA2CC1">
        <w:rPr>
          <w:rFonts w:cs="Calibri"/>
        </w:rPr>
        <w:t>in</w:t>
      </w:r>
      <w:r w:rsidRPr="00CA2CC1">
        <w:rPr>
          <w:rFonts w:cs="Calibri"/>
          <w:spacing w:val="-2"/>
        </w:rPr>
        <w:t xml:space="preserve"> </w:t>
      </w:r>
      <w:r w:rsidRPr="00CA2CC1">
        <w:rPr>
          <w:rFonts w:cs="Calibri"/>
          <w:i/>
        </w:rPr>
        <w:t>Next</w:t>
      </w:r>
      <w:r w:rsidRPr="00CA2CC1">
        <w:rPr>
          <w:rFonts w:cs="Calibri"/>
          <w:i/>
          <w:spacing w:val="-1"/>
        </w:rPr>
        <w:t xml:space="preserve"> </w:t>
      </w:r>
      <w:r w:rsidRPr="00CA2CC1">
        <w:rPr>
          <w:rFonts w:cs="Calibri"/>
          <w:i/>
        </w:rPr>
        <w:t>stop:</w:t>
      </w:r>
      <w:r w:rsidRPr="00CA2CC1">
        <w:rPr>
          <w:rFonts w:cs="Calibri"/>
          <w:i/>
          <w:spacing w:val="-1"/>
        </w:rPr>
        <w:t xml:space="preserve"> </w:t>
      </w:r>
      <w:r w:rsidRPr="00CA2CC1">
        <w:rPr>
          <w:rFonts w:cs="Calibri"/>
          <w:i/>
        </w:rPr>
        <w:t>community</w:t>
      </w:r>
      <w:r w:rsidRPr="00CA2CC1">
        <w:rPr>
          <w:rFonts w:cs="Calibri"/>
          <w:i/>
          <w:spacing w:val="-1"/>
        </w:rPr>
        <w:t xml:space="preserve"> </w:t>
      </w:r>
      <w:r w:rsidRPr="00CA2CC1">
        <w:rPr>
          <w:rFonts w:cs="Calibri"/>
          <w:i/>
        </w:rPr>
        <w:t xml:space="preserve">insights into Melbourne’s buses </w:t>
      </w:r>
      <w:r w:rsidRPr="00CA2CC1">
        <w:rPr>
          <w:rFonts w:cs="Calibri"/>
        </w:rPr>
        <w:t>and the findings will inform our broader research on network reform options.</w:t>
      </w:r>
    </w:p>
    <w:p w14:paraId="0E623867" w14:textId="77777777" w:rsidR="00FA4226" w:rsidRPr="00CA2CC1" w:rsidRDefault="00FA4226" w:rsidP="0043303B">
      <w:pPr>
        <w:pStyle w:val="BodyText"/>
        <w:spacing w:before="9"/>
        <w:rPr>
          <w:rFonts w:cs="Calibri"/>
          <w:sz w:val="14"/>
        </w:rPr>
      </w:pPr>
    </w:p>
    <w:p w14:paraId="691A8635" w14:textId="77777777" w:rsidR="00FA4226" w:rsidRPr="00CA2CC1" w:rsidRDefault="00000000" w:rsidP="0043303B">
      <w:pPr>
        <w:pStyle w:val="Heading7"/>
        <w:rPr>
          <w:rFonts w:cs="Calibri"/>
          <w:color w:val="000000" w:themeColor="text1"/>
        </w:rPr>
      </w:pPr>
      <w:r w:rsidRPr="00CA2CC1">
        <w:rPr>
          <w:rFonts w:cs="Calibri"/>
          <w:color w:val="000000" w:themeColor="text1"/>
        </w:rPr>
        <w:t xml:space="preserve">June </w:t>
      </w:r>
      <w:r w:rsidRPr="00CA2CC1">
        <w:rPr>
          <w:rFonts w:cs="Calibri"/>
          <w:color w:val="000000" w:themeColor="text1"/>
          <w:spacing w:val="-4"/>
        </w:rPr>
        <w:t>2023</w:t>
      </w:r>
    </w:p>
    <w:p w14:paraId="399B8156" w14:textId="77777777" w:rsidR="00FA4226" w:rsidRPr="00CA2CC1" w:rsidRDefault="00000000" w:rsidP="0043303B">
      <w:pPr>
        <w:pStyle w:val="BodyText"/>
        <w:rPr>
          <w:rFonts w:cs="Calibri"/>
          <w:szCs w:val="22"/>
        </w:rPr>
      </w:pPr>
      <w:r w:rsidRPr="00CA2CC1">
        <w:rPr>
          <w:rFonts w:cs="Calibri"/>
        </w:rPr>
        <w:t xml:space="preserve">From February to June 2023, we undertook a comprehensive engagement program with </w:t>
      </w:r>
      <w:r w:rsidRPr="00CA2CC1">
        <w:rPr>
          <w:rFonts w:cs="Calibri"/>
          <w:szCs w:val="22"/>
        </w:rPr>
        <w:t>hundreds of Victorian community members and stakeholders to help inform</w:t>
      </w:r>
      <w:r w:rsidRPr="00CA2CC1">
        <w:rPr>
          <w:rFonts w:cs="Calibri"/>
          <w:spacing w:val="-7"/>
          <w:szCs w:val="22"/>
        </w:rPr>
        <w:t xml:space="preserve"> </w:t>
      </w:r>
      <w:r w:rsidRPr="00CA2CC1">
        <w:rPr>
          <w:rFonts w:cs="Calibri"/>
          <w:szCs w:val="22"/>
        </w:rPr>
        <w:t>the</w:t>
      </w:r>
      <w:r w:rsidRPr="00CA2CC1">
        <w:rPr>
          <w:rFonts w:cs="Calibri"/>
          <w:spacing w:val="-7"/>
          <w:szCs w:val="22"/>
        </w:rPr>
        <w:t xml:space="preserve"> </w:t>
      </w:r>
      <w:r w:rsidRPr="00CA2CC1">
        <w:rPr>
          <w:rFonts w:cs="Calibri"/>
          <w:szCs w:val="22"/>
        </w:rPr>
        <w:t>direction</w:t>
      </w:r>
      <w:r w:rsidRPr="00CA2CC1">
        <w:rPr>
          <w:rFonts w:cs="Calibri"/>
          <w:spacing w:val="-7"/>
          <w:szCs w:val="22"/>
        </w:rPr>
        <w:t xml:space="preserve"> </w:t>
      </w:r>
      <w:r w:rsidRPr="00CA2CC1">
        <w:rPr>
          <w:rFonts w:cs="Calibri"/>
          <w:szCs w:val="22"/>
        </w:rPr>
        <w:t>and</w:t>
      </w:r>
      <w:r w:rsidRPr="00CA2CC1">
        <w:rPr>
          <w:rFonts w:cs="Calibri"/>
          <w:spacing w:val="-7"/>
          <w:szCs w:val="22"/>
        </w:rPr>
        <w:t xml:space="preserve"> </w:t>
      </w:r>
      <w:r w:rsidRPr="00CA2CC1">
        <w:rPr>
          <w:rFonts w:cs="Calibri"/>
          <w:szCs w:val="22"/>
        </w:rPr>
        <w:t>objectives</w:t>
      </w:r>
      <w:r w:rsidRPr="00CA2CC1">
        <w:rPr>
          <w:rFonts w:cs="Calibri"/>
          <w:spacing w:val="-7"/>
          <w:szCs w:val="22"/>
        </w:rPr>
        <w:t xml:space="preserve"> </w:t>
      </w:r>
      <w:r w:rsidRPr="00CA2CC1">
        <w:rPr>
          <w:rFonts w:cs="Calibri"/>
          <w:szCs w:val="22"/>
        </w:rPr>
        <w:t>for</w:t>
      </w:r>
      <w:r w:rsidRPr="00CA2CC1">
        <w:rPr>
          <w:rFonts w:cs="Calibri"/>
          <w:spacing w:val="-7"/>
          <w:szCs w:val="22"/>
        </w:rPr>
        <w:t xml:space="preserve"> </w:t>
      </w:r>
      <w:r w:rsidRPr="00CA2CC1">
        <w:rPr>
          <w:rFonts w:cs="Calibri"/>
          <w:szCs w:val="22"/>
        </w:rPr>
        <w:t>Victoria’s</w:t>
      </w:r>
      <w:r w:rsidRPr="00CA2CC1">
        <w:rPr>
          <w:rFonts w:cs="Calibri"/>
          <w:spacing w:val="-7"/>
          <w:szCs w:val="22"/>
        </w:rPr>
        <w:t xml:space="preserve"> </w:t>
      </w:r>
      <w:r w:rsidRPr="00CA2CC1">
        <w:rPr>
          <w:rFonts w:cs="Calibri"/>
          <w:szCs w:val="22"/>
        </w:rPr>
        <w:t>next</w:t>
      </w:r>
      <w:r w:rsidRPr="00CA2CC1">
        <w:rPr>
          <w:rFonts w:cs="Calibri"/>
          <w:spacing w:val="-7"/>
          <w:szCs w:val="22"/>
        </w:rPr>
        <w:t xml:space="preserve"> </w:t>
      </w:r>
      <w:r w:rsidRPr="00CA2CC1">
        <w:rPr>
          <w:rFonts w:cs="Calibri"/>
          <w:szCs w:val="22"/>
        </w:rPr>
        <w:t>30-year infrastructure strategy.</w:t>
      </w:r>
      <w:r w:rsidRPr="00CA2CC1">
        <w:rPr>
          <w:rFonts w:cs="Calibri"/>
          <w:spacing w:val="40"/>
          <w:szCs w:val="22"/>
        </w:rPr>
        <w:t xml:space="preserve"> </w:t>
      </w:r>
      <w:r w:rsidRPr="00CA2CC1">
        <w:rPr>
          <w:rFonts w:cs="Calibri"/>
          <w:szCs w:val="22"/>
        </w:rPr>
        <w:t>As we update the strategy over the next 2 years, we will continue to consult with Victorians.</w:t>
      </w:r>
    </w:p>
    <w:p w14:paraId="0C76D8B2" w14:textId="5C6DF5D7" w:rsidR="00FA4226" w:rsidRPr="00CA2CC1" w:rsidRDefault="00000000" w:rsidP="0043303B">
      <w:pPr>
        <w:pStyle w:val="BodyText"/>
        <w:rPr>
          <w:rFonts w:cs="Calibri"/>
          <w:szCs w:val="22"/>
        </w:rPr>
        <w:sectPr w:rsidR="00FA4226" w:rsidRPr="00CA2CC1" w:rsidSect="00E941A5">
          <w:type w:val="continuous"/>
          <w:pgSz w:w="11910" w:h="16840"/>
          <w:pgMar w:top="1134" w:right="1278" w:bottom="1134" w:left="1134" w:header="720" w:footer="720" w:gutter="0"/>
          <w:cols w:space="720"/>
        </w:sectPr>
      </w:pPr>
      <w:r w:rsidRPr="00CA2CC1">
        <w:rPr>
          <w:rFonts w:cs="Calibri"/>
          <w:szCs w:val="22"/>
        </w:rPr>
        <w:t xml:space="preserve">Our </w:t>
      </w:r>
      <w:r w:rsidRPr="00CA2CC1">
        <w:rPr>
          <w:rFonts w:cs="Calibri"/>
          <w:i/>
          <w:szCs w:val="22"/>
        </w:rPr>
        <w:t xml:space="preserve">Strategy objectives engagement report </w:t>
      </w:r>
      <w:r w:rsidRPr="00CA2CC1">
        <w:rPr>
          <w:rFonts w:cs="Calibri"/>
          <w:szCs w:val="22"/>
        </w:rPr>
        <w:t>summarises the</w:t>
      </w:r>
      <w:r w:rsidRPr="00CA2CC1">
        <w:rPr>
          <w:rFonts w:cs="Calibri"/>
          <w:spacing w:val="-5"/>
          <w:szCs w:val="22"/>
        </w:rPr>
        <w:t xml:space="preserve"> </w:t>
      </w:r>
      <w:r w:rsidRPr="00CA2CC1">
        <w:rPr>
          <w:rFonts w:cs="Calibri"/>
          <w:szCs w:val="22"/>
        </w:rPr>
        <w:t>first</w:t>
      </w:r>
      <w:r w:rsidRPr="00CA2CC1">
        <w:rPr>
          <w:rFonts w:cs="Calibri"/>
          <w:spacing w:val="-5"/>
          <w:szCs w:val="22"/>
        </w:rPr>
        <w:t xml:space="preserve"> </w:t>
      </w:r>
      <w:r w:rsidRPr="00CA2CC1">
        <w:rPr>
          <w:rFonts w:cs="Calibri"/>
          <w:szCs w:val="22"/>
        </w:rPr>
        <w:t>phase</w:t>
      </w:r>
      <w:r w:rsidRPr="00CA2CC1">
        <w:rPr>
          <w:rFonts w:cs="Calibri"/>
          <w:spacing w:val="-5"/>
          <w:szCs w:val="22"/>
        </w:rPr>
        <w:t xml:space="preserve"> </w:t>
      </w:r>
      <w:r w:rsidRPr="00CA2CC1">
        <w:rPr>
          <w:rFonts w:cs="Calibri"/>
          <w:szCs w:val="22"/>
        </w:rPr>
        <w:t>of</w:t>
      </w:r>
      <w:r w:rsidRPr="00CA2CC1">
        <w:rPr>
          <w:rFonts w:cs="Calibri"/>
          <w:spacing w:val="-5"/>
          <w:szCs w:val="22"/>
        </w:rPr>
        <w:t xml:space="preserve"> </w:t>
      </w:r>
      <w:r w:rsidRPr="00CA2CC1">
        <w:rPr>
          <w:rFonts w:cs="Calibri"/>
          <w:szCs w:val="22"/>
        </w:rPr>
        <w:t>our</w:t>
      </w:r>
      <w:r w:rsidRPr="00CA2CC1">
        <w:rPr>
          <w:rFonts w:cs="Calibri"/>
          <w:spacing w:val="-5"/>
          <w:szCs w:val="22"/>
        </w:rPr>
        <w:t xml:space="preserve"> </w:t>
      </w:r>
      <w:r w:rsidRPr="00CA2CC1">
        <w:rPr>
          <w:rFonts w:cs="Calibri"/>
          <w:szCs w:val="22"/>
        </w:rPr>
        <w:t>engagement</w:t>
      </w:r>
      <w:r w:rsidRPr="00CA2CC1">
        <w:rPr>
          <w:rFonts w:cs="Calibri"/>
          <w:spacing w:val="-5"/>
          <w:szCs w:val="22"/>
        </w:rPr>
        <w:t xml:space="preserve"> </w:t>
      </w:r>
      <w:r w:rsidRPr="00CA2CC1">
        <w:rPr>
          <w:rFonts w:cs="Calibri"/>
          <w:szCs w:val="22"/>
        </w:rPr>
        <w:t>program.</w:t>
      </w:r>
      <w:r w:rsidRPr="00CA2CC1">
        <w:rPr>
          <w:rFonts w:cs="Calibri"/>
          <w:spacing w:val="-5"/>
          <w:szCs w:val="22"/>
        </w:rPr>
        <w:t xml:space="preserve"> </w:t>
      </w:r>
      <w:r w:rsidRPr="00CA2CC1">
        <w:rPr>
          <w:rFonts w:cs="Calibri"/>
          <w:szCs w:val="22"/>
        </w:rPr>
        <w:t>It</w:t>
      </w:r>
      <w:r w:rsidRPr="00CA2CC1">
        <w:rPr>
          <w:rFonts w:cs="Calibri"/>
          <w:spacing w:val="-5"/>
          <w:szCs w:val="22"/>
        </w:rPr>
        <w:t xml:space="preserve"> </w:t>
      </w:r>
      <w:r w:rsidRPr="00CA2CC1">
        <w:rPr>
          <w:rFonts w:cs="Calibri"/>
          <w:szCs w:val="22"/>
        </w:rPr>
        <w:t>documents the different ways we engaged with people and the core feedback people gave us.</w:t>
      </w:r>
    </w:p>
    <w:p w14:paraId="61796FEE" w14:textId="77777777" w:rsidR="00FA4226" w:rsidRPr="00CA2CC1" w:rsidRDefault="00FA4226" w:rsidP="0043303B">
      <w:pPr>
        <w:pStyle w:val="BodyText"/>
        <w:rPr>
          <w:rFonts w:cs="Calibri"/>
          <w:szCs w:val="22"/>
        </w:rPr>
        <w:sectPr w:rsidR="00FA4226" w:rsidRPr="00CA2CC1" w:rsidSect="00E941A5">
          <w:type w:val="continuous"/>
          <w:pgSz w:w="11910" w:h="16840"/>
          <w:pgMar w:top="1134" w:right="1278" w:bottom="1134" w:left="1134" w:header="720" w:footer="720" w:gutter="0"/>
          <w:cols w:space="720"/>
        </w:sectPr>
      </w:pPr>
    </w:p>
    <w:p w14:paraId="32CBD1EB" w14:textId="59CB0439" w:rsidR="00FA4226" w:rsidRPr="00CA2CC1" w:rsidRDefault="00000000" w:rsidP="0043303B">
      <w:pPr>
        <w:pStyle w:val="Heading3"/>
        <w:spacing w:before="36"/>
        <w:jc w:val="both"/>
        <w:rPr>
          <w:rFonts w:cs="Calibri"/>
        </w:rPr>
      </w:pPr>
      <w:bookmarkStart w:id="11" w:name="Our_plan_and_our_people"/>
      <w:bookmarkStart w:id="12" w:name="_bookmark5"/>
      <w:bookmarkEnd w:id="11"/>
      <w:bookmarkEnd w:id="12"/>
      <w:r w:rsidRPr="00CA2CC1">
        <w:rPr>
          <w:rFonts w:cs="Calibri"/>
          <w:color w:val="34AFC8"/>
        </w:rPr>
        <w:lastRenderedPageBreak/>
        <w:t xml:space="preserve">Our plan and our </w:t>
      </w:r>
      <w:r w:rsidRPr="00CA2CC1">
        <w:rPr>
          <w:rFonts w:cs="Calibri"/>
          <w:color w:val="34AFC8"/>
          <w:spacing w:val="-2"/>
        </w:rPr>
        <w:t>people</w:t>
      </w:r>
    </w:p>
    <w:p w14:paraId="5040EA47" w14:textId="77777777" w:rsidR="00FA4226" w:rsidRPr="00CA2CC1" w:rsidRDefault="00000000" w:rsidP="0043303B">
      <w:pPr>
        <w:pStyle w:val="BodyText"/>
        <w:spacing w:before="88"/>
        <w:jc w:val="both"/>
        <w:rPr>
          <w:rFonts w:cs="Calibri"/>
        </w:rPr>
      </w:pPr>
      <w:r w:rsidRPr="00CA2CC1">
        <w:rPr>
          <w:rFonts w:cs="Calibri"/>
          <w:color w:val="414042"/>
        </w:rPr>
        <w:t>During</w:t>
      </w:r>
      <w:r w:rsidRPr="00CA2CC1">
        <w:rPr>
          <w:rFonts w:cs="Calibri"/>
          <w:color w:val="414042"/>
          <w:spacing w:val="-4"/>
        </w:rPr>
        <w:t xml:space="preserve"> </w:t>
      </w:r>
      <w:r w:rsidRPr="00CA2CC1">
        <w:rPr>
          <w:rFonts w:cs="Calibri"/>
          <w:color w:val="414042"/>
        </w:rPr>
        <w:t>the</w:t>
      </w:r>
      <w:r w:rsidRPr="00CA2CC1">
        <w:rPr>
          <w:rFonts w:cs="Calibri"/>
          <w:color w:val="414042"/>
          <w:spacing w:val="-4"/>
        </w:rPr>
        <w:t xml:space="preserve"> </w:t>
      </w:r>
      <w:r w:rsidRPr="00CA2CC1">
        <w:rPr>
          <w:rFonts w:cs="Calibri"/>
          <w:color w:val="414042"/>
        </w:rPr>
        <w:t>financial</w:t>
      </w:r>
      <w:r w:rsidRPr="00CA2CC1">
        <w:rPr>
          <w:rFonts w:cs="Calibri"/>
          <w:color w:val="414042"/>
          <w:spacing w:val="-4"/>
        </w:rPr>
        <w:t xml:space="preserve"> </w:t>
      </w:r>
      <w:r w:rsidRPr="00CA2CC1">
        <w:rPr>
          <w:rFonts w:cs="Calibri"/>
          <w:color w:val="414042"/>
        </w:rPr>
        <w:t>year,</w:t>
      </w:r>
      <w:r w:rsidRPr="00CA2CC1">
        <w:rPr>
          <w:rFonts w:cs="Calibri"/>
          <w:color w:val="414042"/>
          <w:spacing w:val="-4"/>
        </w:rPr>
        <w:t xml:space="preserve"> </w:t>
      </w:r>
      <w:r w:rsidRPr="00CA2CC1">
        <w:rPr>
          <w:rFonts w:cs="Calibri"/>
          <w:color w:val="414042"/>
        </w:rPr>
        <w:t>Infrastructure</w:t>
      </w:r>
      <w:r w:rsidRPr="00CA2CC1">
        <w:rPr>
          <w:rFonts w:cs="Calibri"/>
          <w:color w:val="414042"/>
          <w:spacing w:val="-4"/>
        </w:rPr>
        <w:t xml:space="preserve"> </w:t>
      </w:r>
      <w:r w:rsidRPr="00CA2CC1">
        <w:rPr>
          <w:rFonts w:cs="Calibri"/>
          <w:color w:val="414042"/>
        </w:rPr>
        <w:t>Victoria</w:t>
      </w:r>
      <w:r w:rsidRPr="00CA2CC1">
        <w:rPr>
          <w:rFonts w:cs="Calibri"/>
          <w:color w:val="414042"/>
          <w:spacing w:val="-4"/>
        </w:rPr>
        <w:t xml:space="preserve"> </w:t>
      </w:r>
      <w:r w:rsidRPr="00CA2CC1">
        <w:rPr>
          <w:rFonts w:cs="Calibri"/>
          <w:color w:val="414042"/>
        </w:rPr>
        <w:t>developed</w:t>
      </w:r>
      <w:r w:rsidRPr="00CA2CC1">
        <w:rPr>
          <w:rFonts w:cs="Calibri"/>
          <w:color w:val="414042"/>
          <w:spacing w:val="-4"/>
        </w:rPr>
        <w:t xml:space="preserve"> </w:t>
      </w:r>
      <w:r w:rsidRPr="00CA2CC1">
        <w:rPr>
          <w:rFonts w:cs="Calibri"/>
          <w:color w:val="414042"/>
        </w:rPr>
        <w:t>a</w:t>
      </w:r>
      <w:r w:rsidRPr="00CA2CC1">
        <w:rPr>
          <w:rFonts w:cs="Calibri"/>
          <w:color w:val="414042"/>
          <w:spacing w:val="-4"/>
        </w:rPr>
        <w:t xml:space="preserve"> </w:t>
      </w:r>
      <w:r w:rsidRPr="00CA2CC1">
        <w:rPr>
          <w:rFonts w:cs="Calibri"/>
          <w:color w:val="414042"/>
        </w:rPr>
        <w:t>new</w:t>
      </w:r>
      <w:r w:rsidRPr="00CA2CC1">
        <w:rPr>
          <w:rFonts w:cs="Calibri"/>
          <w:color w:val="414042"/>
          <w:spacing w:val="-4"/>
        </w:rPr>
        <w:t xml:space="preserve"> </w:t>
      </w:r>
      <w:r w:rsidRPr="00CA2CC1">
        <w:rPr>
          <w:rFonts w:cs="Calibri"/>
          <w:color w:val="414042"/>
        </w:rPr>
        <w:t>corporate</w:t>
      </w:r>
      <w:r w:rsidRPr="00CA2CC1">
        <w:rPr>
          <w:rFonts w:cs="Calibri"/>
          <w:color w:val="414042"/>
          <w:spacing w:val="-4"/>
        </w:rPr>
        <w:t xml:space="preserve"> </w:t>
      </w:r>
      <w:r w:rsidRPr="00CA2CC1">
        <w:rPr>
          <w:rFonts w:cs="Calibri"/>
          <w:color w:val="414042"/>
        </w:rPr>
        <w:t>plan</w:t>
      </w:r>
      <w:r w:rsidRPr="00CA2CC1">
        <w:rPr>
          <w:rFonts w:cs="Calibri"/>
          <w:color w:val="414042"/>
          <w:spacing w:val="-4"/>
        </w:rPr>
        <w:t xml:space="preserve"> </w:t>
      </w:r>
      <w:r w:rsidRPr="00CA2CC1">
        <w:rPr>
          <w:rFonts w:cs="Calibri"/>
          <w:color w:val="414042"/>
        </w:rPr>
        <w:t>focused</w:t>
      </w:r>
      <w:r w:rsidRPr="00CA2CC1">
        <w:rPr>
          <w:rFonts w:cs="Calibri"/>
          <w:color w:val="414042"/>
          <w:spacing w:val="-4"/>
        </w:rPr>
        <w:t xml:space="preserve"> </w:t>
      </w:r>
      <w:r w:rsidRPr="00CA2CC1">
        <w:rPr>
          <w:rFonts w:cs="Calibri"/>
          <w:color w:val="414042"/>
        </w:rPr>
        <w:t>on</w:t>
      </w:r>
      <w:r w:rsidRPr="00CA2CC1">
        <w:rPr>
          <w:rFonts w:cs="Calibri"/>
          <w:color w:val="414042"/>
          <w:spacing w:val="-4"/>
        </w:rPr>
        <w:t xml:space="preserve"> </w:t>
      </w:r>
      <w:r w:rsidRPr="00CA2CC1">
        <w:rPr>
          <w:rFonts w:cs="Calibri"/>
          <w:color w:val="414042"/>
        </w:rPr>
        <w:t>influencing</w:t>
      </w:r>
      <w:r w:rsidRPr="00CA2CC1">
        <w:rPr>
          <w:rFonts w:cs="Calibri"/>
          <w:color w:val="414042"/>
          <w:spacing w:val="-4"/>
        </w:rPr>
        <w:t xml:space="preserve"> </w:t>
      </w:r>
      <w:r w:rsidRPr="00CA2CC1">
        <w:rPr>
          <w:rFonts w:cs="Calibri"/>
          <w:color w:val="414042"/>
        </w:rPr>
        <w:t>change</w:t>
      </w:r>
      <w:r w:rsidRPr="00CA2CC1">
        <w:rPr>
          <w:rFonts w:cs="Calibri"/>
          <w:color w:val="414042"/>
          <w:spacing w:val="-4"/>
        </w:rPr>
        <w:t xml:space="preserve"> </w:t>
      </w:r>
      <w:r w:rsidRPr="00CA2CC1">
        <w:rPr>
          <w:rFonts w:cs="Calibri"/>
          <w:color w:val="414042"/>
        </w:rPr>
        <w:t>on</w:t>
      </w:r>
      <w:r w:rsidRPr="00CA2CC1">
        <w:rPr>
          <w:rFonts w:cs="Calibri"/>
          <w:color w:val="414042"/>
          <w:spacing w:val="-4"/>
        </w:rPr>
        <w:t xml:space="preserve"> </w:t>
      </w:r>
      <w:r w:rsidRPr="00CA2CC1">
        <w:rPr>
          <w:rFonts w:cs="Calibri"/>
          <w:color w:val="414042"/>
        </w:rPr>
        <w:t>the infrastructures</w:t>
      </w:r>
      <w:r w:rsidRPr="00CA2CC1">
        <w:rPr>
          <w:rFonts w:cs="Calibri"/>
          <w:color w:val="414042"/>
          <w:spacing w:val="-1"/>
        </w:rPr>
        <w:t xml:space="preserve"> </w:t>
      </w:r>
      <w:r w:rsidRPr="00CA2CC1">
        <w:rPr>
          <w:rFonts w:cs="Calibri"/>
          <w:color w:val="414042"/>
        </w:rPr>
        <w:t>issues</w:t>
      </w:r>
      <w:r w:rsidRPr="00CA2CC1">
        <w:rPr>
          <w:rFonts w:cs="Calibri"/>
          <w:color w:val="414042"/>
          <w:spacing w:val="-1"/>
        </w:rPr>
        <w:t xml:space="preserve"> </w:t>
      </w:r>
      <w:r w:rsidRPr="00CA2CC1">
        <w:rPr>
          <w:rFonts w:cs="Calibri"/>
          <w:color w:val="414042"/>
        </w:rPr>
        <w:t>that</w:t>
      </w:r>
      <w:r w:rsidRPr="00CA2CC1">
        <w:rPr>
          <w:rFonts w:cs="Calibri"/>
          <w:color w:val="414042"/>
          <w:spacing w:val="-1"/>
        </w:rPr>
        <w:t xml:space="preserve"> </w:t>
      </w:r>
      <w:r w:rsidRPr="00CA2CC1">
        <w:rPr>
          <w:rFonts w:cs="Calibri"/>
          <w:color w:val="414042"/>
        </w:rPr>
        <w:t>really</w:t>
      </w:r>
      <w:r w:rsidRPr="00CA2CC1">
        <w:rPr>
          <w:rFonts w:cs="Calibri"/>
          <w:color w:val="414042"/>
          <w:spacing w:val="-1"/>
        </w:rPr>
        <w:t xml:space="preserve"> </w:t>
      </w:r>
      <w:r w:rsidRPr="00CA2CC1">
        <w:rPr>
          <w:rFonts w:cs="Calibri"/>
          <w:color w:val="414042"/>
        </w:rPr>
        <w:t>matter.</w:t>
      </w:r>
      <w:r w:rsidRPr="00CA2CC1">
        <w:rPr>
          <w:rFonts w:cs="Calibri"/>
          <w:color w:val="414042"/>
          <w:spacing w:val="-1"/>
        </w:rPr>
        <w:t xml:space="preserve"> </w:t>
      </w:r>
      <w:r w:rsidRPr="00CA2CC1">
        <w:rPr>
          <w:rFonts w:cs="Calibri"/>
          <w:color w:val="414042"/>
        </w:rPr>
        <w:t>We</w:t>
      </w:r>
      <w:r w:rsidRPr="00CA2CC1">
        <w:rPr>
          <w:rFonts w:cs="Calibri"/>
          <w:color w:val="414042"/>
          <w:spacing w:val="-1"/>
        </w:rPr>
        <w:t xml:space="preserve"> </w:t>
      </w:r>
      <w:r w:rsidRPr="00CA2CC1">
        <w:rPr>
          <w:rFonts w:cs="Calibri"/>
          <w:color w:val="414042"/>
        </w:rPr>
        <w:t>strategically</w:t>
      </w:r>
      <w:r w:rsidRPr="00CA2CC1">
        <w:rPr>
          <w:rFonts w:cs="Calibri"/>
          <w:color w:val="414042"/>
          <w:spacing w:val="-1"/>
        </w:rPr>
        <w:t xml:space="preserve"> </w:t>
      </w:r>
      <w:r w:rsidRPr="00CA2CC1">
        <w:rPr>
          <w:rFonts w:cs="Calibri"/>
          <w:color w:val="414042"/>
        </w:rPr>
        <w:t>chose</w:t>
      </w:r>
      <w:r w:rsidRPr="00CA2CC1">
        <w:rPr>
          <w:rFonts w:cs="Calibri"/>
          <w:color w:val="414042"/>
          <w:spacing w:val="-1"/>
        </w:rPr>
        <w:t xml:space="preserve"> </w:t>
      </w:r>
      <w:r w:rsidRPr="00CA2CC1">
        <w:rPr>
          <w:rFonts w:cs="Calibri"/>
          <w:color w:val="414042"/>
        </w:rPr>
        <w:t>our</w:t>
      </w:r>
      <w:r w:rsidRPr="00CA2CC1">
        <w:rPr>
          <w:rFonts w:cs="Calibri"/>
          <w:color w:val="414042"/>
          <w:spacing w:val="-1"/>
        </w:rPr>
        <w:t xml:space="preserve"> </w:t>
      </w:r>
      <w:r w:rsidRPr="00CA2CC1">
        <w:rPr>
          <w:rFonts w:cs="Calibri"/>
          <w:color w:val="414042"/>
        </w:rPr>
        <w:t>priorities,</w:t>
      </w:r>
      <w:r w:rsidRPr="00CA2CC1">
        <w:rPr>
          <w:rFonts w:cs="Calibri"/>
          <w:color w:val="414042"/>
          <w:spacing w:val="-1"/>
        </w:rPr>
        <w:t xml:space="preserve"> </w:t>
      </w:r>
      <w:r w:rsidRPr="00CA2CC1">
        <w:rPr>
          <w:rFonts w:cs="Calibri"/>
          <w:color w:val="414042"/>
        </w:rPr>
        <w:t>considering</w:t>
      </w:r>
      <w:r w:rsidRPr="00CA2CC1">
        <w:rPr>
          <w:rFonts w:cs="Calibri"/>
          <w:color w:val="414042"/>
          <w:spacing w:val="-1"/>
        </w:rPr>
        <w:t xml:space="preserve"> </w:t>
      </w:r>
      <w:r w:rsidRPr="00CA2CC1">
        <w:rPr>
          <w:rFonts w:cs="Calibri"/>
          <w:color w:val="414042"/>
        </w:rPr>
        <w:t>the</w:t>
      </w:r>
      <w:r w:rsidRPr="00CA2CC1">
        <w:rPr>
          <w:rFonts w:cs="Calibri"/>
          <w:color w:val="414042"/>
          <w:spacing w:val="-1"/>
        </w:rPr>
        <w:t xml:space="preserve"> </w:t>
      </w:r>
      <w:r w:rsidRPr="00CA2CC1">
        <w:rPr>
          <w:rFonts w:cs="Calibri"/>
          <w:color w:val="414042"/>
        </w:rPr>
        <w:t>world</w:t>
      </w:r>
      <w:r w:rsidRPr="00CA2CC1">
        <w:rPr>
          <w:rFonts w:cs="Calibri"/>
          <w:color w:val="414042"/>
          <w:spacing w:val="-1"/>
        </w:rPr>
        <w:t xml:space="preserve"> </w:t>
      </w:r>
      <w:r w:rsidRPr="00CA2CC1">
        <w:rPr>
          <w:rFonts w:cs="Calibri"/>
          <w:color w:val="414042"/>
        </w:rPr>
        <w:t>around</w:t>
      </w:r>
      <w:r w:rsidRPr="00CA2CC1">
        <w:rPr>
          <w:rFonts w:cs="Calibri"/>
          <w:color w:val="414042"/>
          <w:spacing w:val="-1"/>
        </w:rPr>
        <w:t xml:space="preserve"> </w:t>
      </w:r>
      <w:r w:rsidRPr="00CA2CC1">
        <w:rPr>
          <w:rFonts w:cs="Calibri"/>
          <w:color w:val="414042"/>
        </w:rPr>
        <w:t>us</w:t>
      </w:r>
      <w:r w:rsidRPr="00CA2CC1">
        <w:rPr>
          <w:rFonts w:cs="Calibri"/>
          <w:color w:val="414042"/>
          <w:spacing w:val="-1"/>
        </w:rPr>
        <w:t xml:space="preserve"> </w:t>
      </w:r>
      <w:r w:rsidRPr="00CA2CC1">
        <w:rPr>
          <w:rFonts w:cs="Calibri"/>
          <w:color w:val="414042"/>
        </w:rPr>
        <w:t>and</w:t>
      </w:r>
      <w:r w:rsidRPr="00CA2CC1">
        <w:rPr>
          <w:rFonts w:cs="Calibri"/>
          <w:color w:val="414042"/>
          <w:spacing w:val="-1"/>
        </w:rPr>
        <w:t xml:space="preserve"> </w:t>
      </w:r>
      <w:r w:rsidRPr="00CA2CC1">
        <w:rPr>
          <w:rFonts w:cs="Calibri"/>
          <w:color w:val="414042"/>
        </w:rPr>
        <w:t>the challenges that Victorians face, on the issues we can best add value to with relevant, implementable advice.</w:t>
      </w:r>
    </w:p>
    <w:p w14:paraId="77A9FC5A" w14:textId="0F7EF6A0" w:rsidR="00FA4226" w:rsidRPr="00CA2CC1" w:rsidRDefault="00000000" w:rsidP="0043303B">
      <w:pPr>
        <w:pStyle w:val="BodyText"/>
        <w:spacing w:before="117"/>
        <w:rPr>
          <w:rFonts w:cs="Calibri"/>
        </w:rPr>
      </w:pPr>
      <w:r w:rsidRPr="00CA2CC1">
        <w:rPr>
          <w:rFonts w:cs="Calibri"/>
          <w:color w:val="414042"/>
        </w:rPr>
        <w:t>Our corporate plan defines our aspirations for the next 5 years, and how we will deliver them. It describes the choices we</w:t>
      </w:r>
      <w:r w:rsidRPr="00CA2CC1">
        <w:rPr>
          <w:rFonts w:cs="Calibri"/>
          <w:color w:val="414042"/>
          <w:spacing w:val="-3"/>
        </w:rPr>
        <w:t xml:space="preserve"> </w:t>
      </w:r>
      <w:r w:rsidRPr="00CA2CC1">
        <w:rPr>
          <w:rFonts w:cs="Calibri"/>
          <w:color w:val="414042"/>
        </w:rPr>
        <w:t>made</w:t>
      </w:r>
      <w:r w:rsidRPr="00CA2CC1">
        <w:rPr>
          <w:rFonts w:cs="Calibri"/>
          <w:color w:val="414042"/>
          <w:spacing w:val="-3"/>
        </w:rPr>
        <w:t xml:space="preserve"> </w:t>
      </w:r>
      <w:r w:rsidRPr="00CA2CC1">
        <w:rPr>
          <w:rFonts w:cs="Calibri"/>
          <w:color w:val="414042"/>
        </w:rPr>
        <w:t>to</w:t>
      </w:r>
      <w:r w:rsidRPr="00CA2CC1">
        <w:rPr>
          <w:rFonts w:cs="Calibri"/>
          <w:color w:val="414042"/>
          <w:spacing w:val="-3"/>
        </w:rPr>
        <w:t xml:space="preserve"> </w:t>
      </w:r>
      <w:r w:rsidRPr="00CA2CC1">
        <w:rPr>
          <w:rFonts w:cs="Calibri"/>
          <w:color w:val="414042"/>
        </w:rPr>
        <w:t>support</w:t>
      </w:r>
      <w:r w:rsidRPr="00CA2CC1">
        <w:rPr>
          <w:rFonts w:cs="Calibri"/>
          <w:color w:val="414042"/>
          <w:spacing w:val="-3"/>
        </w:rPr>
        <w:t xml:space="preserve"> </w:t>
      </w:r>
      <w:r w:rsidRPr="00CA2CC1">
        <w:rPr>
          <w:rFonts w:cs="Calibri"/>
          <w:color w:val="414042"/>
        </w:rPr>
        <w:t>our</w:t>
      </w:r>
      <w:r w:rsidRPr="00CA2CC1">
        <w:rPr>
          <w:rFonts w:cs="Calibri"/>
          <w:color w:val="414042"/>
          <w:spacing w:val="-3"/>
        </w:rPr>
        <w:t xml:space="preserve"> </w:t>
      </w:r>
      <w:r w:rsidRPr="00CA2CC1">
        <w:rPr>
          <w:rFonts w:cs="Calibri"/>
          <w:color w:val="414042"/>
        </w:rPr>
        <w:t>success</w:t>
      </w:r>
      <w:r w:rsidRPr="00CA2CC1">
        <w:rPr>
          <w:rFonts w:cs="Calibri"/>
          <w:color w:val="414042"/>
          <w:spacing w:val="-3"/>
        </w:rPr>
        <w:t xml:space="preserve"> </w:t>
      </w:r>
      <w:r w:rsidRPr="00CA2CC1">
        <w:rPr>
          <w:rFonts w:cs="Calibri"/>
          <w:color w:val="414042"/>
        </w:rPr>
        <w:t>and</w:t>
      </w:r>
      <w:r w:rsidRPr="00CA2CC1">
        <w:rPr>
          <w:rFonts w:cs="Calibri"/>
          <w:color w:val="414042"/>
          <w:spacing w:val="-3"/>
        </w:rPr>
        <w:t xml:space="preserve"> </w:t>
      </w:r>
      <w:r w:rsidRPr="00CA2CC1">
        <w:rPr>
          <w:rFonts w:cs="Calibri"/>
          <w:color w:val="414042"/>
        </w:rPr>
        <w:t>how</w:t>
      </w:r>
      <w:r w:rsidRPr="00CA2CC1">
        <w:rPr>
          <w:rFonts w:cs="Calibri"/>
          <w:color w:val="414042"/>
          <w:spacing w:val="-3"/>
        </w:rPr>
        <w:t xml:space="preserve"> </w:t>
      </w:r>
      <w:r w:rsidRPr="00CA2CC1">
        <w:rPr>
          <w:rFonts w:cs="Calibri"/>
          <w:color w:val="414042"/>
        </w:rPr>
        <w:t>we</w:t>
      </w:r>
      <w:r w:rsidRPr="00CA2CC1">
        <w:rPr>
          <w:rFonts w:cs="Calibri"/>
          <w:color w:val="414042"/>
          <w:spacing w:val="-3"/>
        </w:rPr>
        <w:t xml:space="preserve"> </w:t>
      </w:r>
      <w:r w:rsidRPr="00CA2CC1">
        <w:rPr>
          <w:rFonts w:cs="Calibri"/>
          <w:color w:val="414042"/>
        </w:rPr>
        <w:t>will</w:t>
      </w:r>
      <w:r w:rsidRPr="00CA2CC1">
        <w:rPr>
          <w:rFonts w:cs="Calibri"/>
          <w:color w:val="414042"/>
          <w:spacing w:val="-3"/>
        </w:rPr>
        <w:t xml:space="preserve"> </w:t>
      </w:r>
      <w:r w:rsidRPr="00CA2CC1">
        <w:rPr>
          <w:rFonts w:cs="Calibri"/>
          <w:color w:val="414042"/>
        </w:rPr>
        <w:t>position</w:t>
      </w:r>
      <w:r w:rsidRPr="00CA2CC1">
        <w:rPr>
          <w:rFonts w:cs="Calibri"/>
          <w:color w:val="414042"/>
          <w:spacing w:val="-3"/>
        </w:rPr>
        <w:t xml:space="preserve"> </w:t>
      </w:r>
      <w:r w:rsidRPr="00CA2CC1">
        <w:rPr>
          <w:rFonts w:cs="Calibri"/>
          <w:color w:val="414042"/>
        </w:rPr>
        <w:t>ourselves</w:t>
      </w:r>
      <w:r w:rsidRPr="00CA2CC1">
        <w:rPr>
          <w:rFonts w:cs="Calibri"/>
          <w:color w:val="414042"/>
          <w:spacing w:val="-3"/>
        </w:rPr>
        <w:t xml:space="preserve"> </w:t>
      </w:r>
      <w:r w:rsidRPr="00CA2CC1">
        <w:rPr>
          <w:rFonts w:cs="Calibri"/>
          <w:color w:val="414042"/>
        </w:rPr>
        <w:t>in</w:t>
      </w:r>
      <w:r w:rsidRPr="00CA2CC1">
        <w:rPr>
          <w:rFonts w:cs="Calibri"/>
          <w:color w:val="414042"/>
          <w:spacing w:val="-3"/>
        </w:rPr>
        <w:t xml:space="preserve"> </w:t>
      </w:r>
      <w:r w:rsidRPr="00CA2CC1">
        <w:rPr>
          <w:rFonts w:cs="Calibri"/>
          <w:color w:val="414042"/>
        </w:rPr>
        <w:t>a</w:t>
      </w:r>
      <w:r w:rsidRPr="00CA2CC1">
        <w:rPr>
          <w:rFonts w:cs="Calibri"/>
          <w:color w:val="414042"/>
          <w:spacing w:val="-3"/>
        </w:rPr>
        <w:t xml:space="preserve"> </w:t>
      </w:r>
      <w:r w:rsidRPr="00CA2CC1">
        <w:rPr>
          <w:rFonts w:cs="Calibri"/>
          <w:color w:val="414042"/>
        </w:rPr>
        <w:t>changing</w:t>
      </w:r>
      <w:r w:rsidRPr="00CA2CC1">
        <w:rPr>
          <w:rFonts w:cs="Calibri"/>
          <w:color w:val="414042"/>
          <w:spacing w:val="-3"/>
        </w:rPr>
        <w:t xml:space="preserve"> </w:t>
      </w:r>
      <w:r w:rsidRPr="00CA2CC1">
        <w:rPr>
          <w:rFonts w:cs="Calibri"/>
          <w:color w:val="414042"/>
        </w:rPr>
        <w:t>environment.</w:t>
      </w:r>
      <w:r w:rsidRPr="00CA2CC1">
        <w:rPr>
          <w:rFonts w:cs="Calibri"/>
          <w:color w:val="414042"/>
          <w:spacing w:val="-3"/>
        </w:rPr>
        <w:t xml:space="preserve"> </w:t>
      </w:r>
      <w:r w:rsidRPr="00CA2CC1">
        <w:rPr>
          <w:rFonts w:cs="Calibri"/>
          <w:color w:val="414042"/>
        </w:rPr>
        <w:t>We</w:t>
      </w:r>
      <w:r w:rsidRPr="00CA2CC1">
        <w:rPr>
          <w:rFonts w:cs="Calibri"/>
          <w:color w:val="414042"/>
          <w:spacing w:val="-3"/>
        </w:rPr>
        <w:t xml:space="preserve"> </w:t>
      </w:r>
      <w:r w:rsidRPr="00CA2CC1">
        <w:rPr>
          <w:rFonts w:cs="Calibri"/>
          <w:color w:val="414042"/>
        </w:rPr>
        <w:t>will</w:t>
      </w:r>
      <w:r w:rsidRPr="00CA2CC1">
        <w:rPr>
          <w:rFonts w:cs="Calibri"/>
          <w:color w:val="414042"/>
          <w:spacing w:val="-3"/>
        </w:rPr>
        <w:t xml:space="preserve"> </w:t>
      </w:r>
      <w:r w:rsidRPr="00CA2CC1">
        <w:rPr>
          <w:rFonts w:cs="Calibri"/>
          <w:color w:val="414042"/>
        </w:rPr>
        <w:t>annually</w:t>
      </w:r>
      <w:r w:rsidRPr="00CA2CC1">
        <w:rPr>
          <w:rFonts w:cs="Calibri"/>
          <w:color w:val="414042"/>
          <w:spacing w:val="-3"/>
        </w:rPr>
        <w:t xml:space="preserve"> </w:t>
      </w:r>
      <w:r w:rsidRPr="00CA2CC1">
        <w:rPr>
          <w:rFonts w:cs="Calibri"/>
          <w:color w:val="414042"/>
        </w:rPr>
        <w:t>review progress in delivering our plan.</w:t>
      </w:r>
    </w:p>
    <w:p w14:paraId="4F430CB8" w14:textId="77777777" w:rsidR="00FA4226" w:rsidRPr="00CA2CC1" w:rsidRDefault="00000000" w:rsidP="0043303B">
      <w:pPr>
        <w:spacing w:before="116"/>
        <w:rPr>
          <w:rFonts w:cs="Calibri"/>
          <w:sz w:val="24"/>
        </w:rPr>
      </w:pPr>
      <w:r w:rsidRPr="00CA2CC1">
        <w:rPr>
          <w:rFonts w:cs="Calibri"/>
          <w:color w:val="B86497"/>
          <w:w w:val="105"/>
          <w:sz w:val="24"/>
        </w:rPr>
        <w:t>Doing</w:t>
      </w:r>
      <w:r w:rsidRPr="00CA2CC1">
        <w:rPr>
          <w:rFonts w:cs="Calibri"/>
          <w:color w:val="B86497"/>
          <w:spacing w:val="17"/>
          <w:w w:val="105"/>
          <w:sz w:val="24"/>
        </w:rPr>
        <w:t xml:space="preserve"> </w:t>
      </w:r>
      <w:r w:rsidRPr="00CA2CC1">
        <w:rPr>
          <w:rFonts w:cs="Calibri"/>
          <w:color w:val="B86497"/>
          <w:w w:val="105"/>
          <w:sz w:val="24"/>
        </w:rPr>
        <w:t>more</w:t>
      </w:r>
      <w:r w:rsidRPr="00CA2CC1">
        <w:rPr>
          <w:rFonts w:cs="Calibri"/>
          <w:color w:val="B86497"/>
          <w:spacing w:val="13"/>
          <w:w w:val="105"/>
          <w:sz w:val="24"/>
        </w:rPr>
        <w:t xml:space="preserve"> </w:t>
      </w:r>
      <w:r w:rsidRPr="00CA2CC1">
        <w:rPr>
          <w:rFonts w:cs="Calibri"/>
          <w:color w:val="B86497"/>
          <w:w w:val="105"/>
          <w:sz w:val="24"/>
        </w:rPr>
        <w:t>with</w:t>
      </w:r>
      <w:r w:rsidRPr="00CA2CC1">
        <w:rPr>
          <w:rFonts w:cs="Calibri"/>
          <w:color w:val="B86497"/>
          <w:spacing w:val="20"/>
          <w:w w:val="105"/>
          <w:sz w:val="24"/>
        </w:rPr>
        <w:t xml:space="preserve"> </w:t>
      </w:r>
      <w:r w:rsidRPr="00CA2CC1">
        <w:rPr>
          <w:rFonts w:cs="Calibri"/>
          <w:color w:val="B86497"/>
          <w:spacing w:val="-4"/>
          <w:w w:val="105"/>
          <w:sz w:val="24"/>
        </w:rPr>
        <w:t>less</w:t>
      </w:r>
    </w:p>
    <w:p w14:paraId="28A96FE3" w14:textId="0BFACC7A" w:rsidR="00FA4226" w:rsidRPr="00CA2CC1" w:rsidRDefault="00000000" w:rsidP="0043303B">
      <w:pPr>
        <w:pStyle w:val="BodyText"/>
        <w:spacing w:before="104"/>
        <w:rPr>
          <w:rFonts w:cs="Calibri"/>
        </w:rPr>
      </w:pPr>
      <w:r w:rsidRPr="00CA2CC1">
        <w:rPr>
          <w:rFonts w:cs="Calibri"/>
          <w:color w:val="414042"/>
        </w:rPr>
        <w:t>Victoria</w:t>
      </w:r>
      <w:r w:rsidRPr="00CA2CC1">
        <w:rPr>
          <w:rFonts w:cs="Calibri"/>
          <w:color w:val="414042"/>
          <w:spacing w:val="-4"/>
        </w:rPr>
        <w:t xml:space="preserve"> </w:t>
      </w:r>
      <w:r w:rsidRPr="00CA2CC1">
        <w:rPr>
          <w:rFonts w:cs="Calibri"/>
          <w:color w:val="414042"/>
        </w:rPr>
        <w:t>has</w:t>
      </w:r>
      <w:r w:rsidRPr="00CA2CC1">
        <w:rPr>
          <w:rFonts w:cs="Calibri"/>
          <w:color w:val="414042"/>
          <w:spacing w:val="-4"/>
        </w:rPr>
        <w:t xml:space="preserve"> </w:t>
      </w:r>
      <w:r w:rsidRPr="00CA2CC1">
        <w:rPr>
          <w:rFonts w:cs="Calibri"/>
          <w:color w:val="414042"/>
        </w:rPr>
        <w:t>workforce,</w:t>
      </w:r>
      <w:r w:rsidRPr="00CA2CC1">
        <w:rPr>
          <w:rFonts w:cs="Calibri"/>
          <w:color w:val="414042"/>
          <w:spacing w:val="-4"/>
        </w:rPr>
        <w:t xml:space="preserve"> </w:t>
      </w:r>
      <w:r w:rsidRPr="00CA2CC1">
        <w:rPr>
          <w:rFonts w:cs="Calibri"/>
          <w:color w:val="414042"/>
        </w:rPr>
        <w:t>supply</w:t>
      </w:r>
      <w:r w:rsidRPr="00CA2CC1">
        <w:rPr>
          <w:rFonts w:cs="Calibri"/>
          <w:color w:val="414042"/>
          <w:spacing w:val="-4"/>
        </w:rPr>
        <w:t xml:space="preserve"> </w:t>
      </w:r>
      <w:r w:rsidRPr="00CA2CC1">
        <w:rPr>
          <w:rFonts w:cs="Calibri"/>
          <w:color w:val="414042"/>
        </w:rPr>
        <w:t>chain</w:t>
      </w:r>
      <w:r w:rsidRPr="00CA2CC1">
        <w:rPr>
          <w:rFonts w:cs="Calibri"/>
          <w:color w:val="414042"/>
          <w:spacing w:val="-4"/>
        </w:rPr>
        <w:t xml:space="preserve"> </w:t>
      </w:r>
      <w:r w:rsidRPr="00CA2CC1">
        <w:rPr>
          <w:rFonts w:cs="Calibri"/>
          <w:color w:val="414042"/>
        </w:rPr>
        <w:t>and</w:t>
      </w:r>
      <w:r w:rsidRPr="00CA2CC1">
        <w:rPr>
          <w:rFonts w:cs="Calibri"/>
          <w:color w:val="414042"/>
          <w:spacing w:val="-4"/>
        </w:rPr>
        <w:t xml:space="preserve"> </w:t>
      </w:r>
      <w:r w:rsidRPr="00CA2CC1">
        <w:rPr>
          <w:rFonts w:cs="Calibri"/>
          <w:color w:val="414042"/>
        </w:rPr>
        <w:t>financial</w:t>
      </w:r>
      <w:r w:rsidRPr="00CA2CC1">
        <w:rPr>
          <w:rFonts w:cs="Calibri"/>
          <w:color w:val="414042"/>
          <w:spacing w:val="-4"/>
        </w:rPr>
        <w:t xml:space="preserve"> </w:t>
      </w:r>
      <w:r w:rsidRPr="00CA2CC1">
        <w:rPr>
          <w:rFonts w:cs="Calibri"/>
          <w:color w:val="414042"/>
        </w:rPr>
        <w:t>constraints.</w:t>
      </w:r>
      <w:r w:rsidRPr="00CA2CC1">
        <w:rPr>
          <w:rFonts w:cs="Calibri"/>
          <w:color w:val="414042"/>
          <w:spacing w:val="-4"/>
        </w:rPr>
        <w:t xml:space="preserve"> </w:t>
      </w:r>
      <w:r w:rsidRPr="00CA2CC1">
        <w:rPr>
          <w:rFonts w:cs="Calibri"/>
          <w:color w:val="414042"/>
        </w:rPr>
        <w:t>Productivity</w:t>
      </w:r>
      <w:r w:rsidRPr="00CA2CC1">
        <w:rPr>
          <w:rFonts w:cs="Calibri"/>
          <w:color w:val="414042"/>
          <w:spacing w:val="-4"/>
        </w:rPr>
        <w:t xml:space="preserve"> </w:t>
      </w:r>
      <w:r w:rsidRPr="00CA2CC1">
        <w:rPr>
          <w:rFonts w:cs="Calibri"/>
          <w:color w:val="414042"/>
        </w:rPr>
        <w:t>growth</w:t>
      </w:r>
      <w:r w:rsidRPr="00CA2CC1">
        <w:rPr>
          <w:rFonts w:cs="Calibri"/>
          <w:color w:val="414042"/>
          <w:spacing w:val="-4"/>
        </w:rPr>
        <w:t xml:space="preserve"> </w:t>
      </w:r>
      <w:r w:rsidRPr="00CA2CC1">
        <w:rPr>
          <w:rFonts w:cs="Calibri"/>
          <w:color w:val="414042"/>
        </w:rPr>
        <w:t>in</w:t>
      </w:r>
      <w:r w:rsidRPr="00CA2CC1">
        <w:rPr>
          <w:rFonts w:cs="Calibri"/>
          <w:color w:val="414042"/>
          <w:spacing w:val="-4"/>
        </w:rPr>
        <w:t xml:space="preserve"> </w:t>
      </w:r>
      <w:r w:rsidRPr="00CA2CC1">
        <w:rPr>
          <w:rFonts w:cs="Calibri"/>
          <w:color w:val="414042"/>
        </w:rPr>
        <w:t>many</w:t>
      </w:r>
      <w:r w:rsidRPr="00CA2CC1">
        <w:rPr>
          <w:rFonts w:cs="Calibri"/>
          <w:color w:val="414042"/>
          <w:spacing w:val="-4"/>
        </w:rPr>
        <w:t xml:space="preserve"> </w:t>
      </w:r>
      <w:r w:rsidRPr="00CA2CC1">
        <w:rPr>
          <w:rFonts w:cs="Calibri"/>
          <w:color w:val="414042"/>
        </w:rPr>
        <w:t>industries</w:t>
      </w:r>
      <w:r w:rsidRPr="00CA2CC1">
        <w:rPr>
          <w:rFonts w:cs="Calibri"/>
          <w:color w:val="414042"/>
          <w:spacing w:val="-4"/>
        </w:rPr>
        <w:t xml:space="preserve"> </w:t>
      </w:r>
      <w:r w:rsidRPr="00CA2CC1">
        <w:rPr>
          <w:rFonts w:cs="Calibri"/>
          <w:color w:val="414042"/>
        </w:rPr>
        <w:t>is</w:t>
      </w:r>
      <w:r w:rsidRPr="00CA2CC1">
        <w:rPr>
          <w:rFonts w:cs="Calibri"/>
          <w:color w:val="414042"/>
          <w:spacing w:val="-4"/>
        </w:rPr>
        <w:t xml:space="preserve"> </w:t>
      </w:r>
      <w:r w:rsidRPr="00CA2CC1">
        <w:rPr>
          <w:rFonts w:cs="Calibri"/>
          <w:color w:val="414042"/>
        </w:rPr>
        <w:t>slow. The</w:t>
      </w:r>
      <w:r w:rsidRPr="00CA2CC1">
        <w:rPr>
          <w:rFonts w:cs="Calibri"/>
          <w:color w:val="414042"/>
          <w:spacing w:val="-7"/>
        </w:rPr>
        <w:t xml:space="preserve"> </w:t>
      </w:r>
      <w:r w:rsidRPr="00CA2CC1">
        <w:rPr>
          <w:rFonts w:cs="Calibri"/>
          <w:color w:val="414042"/>
        </w:rPr>
        <w:t>government</w:t>
      </w:r>
      <w:r w:rsidRPr="00CA2CC1">
        <w:rPr>
          <w:rFonts w:cs="Calibri"/>
          <w:color w:val="414042"/>
          <w:spacing w:val="-7"/>
        </w:rPr>
        <w:t xml:space="preserve"> </w:t>
      </w:r>
      <w:r w:rsidRPr="00CA2CC1">
        <w:rPr>
          <w:rFonts w:cs="Calibri"/>
          <w:color w:val="414042"/>
        </w:rPr>
        <w:t>and</w:t>
      </w:r>
      <w:r w:rsidRPr="00CA2CC1">
        <w:rPr>
          <w:rFonts w:cs="Calibri"/>
          <w:color w:val="414042"/>
          <w:spacing w:val="-7"/>
        </w:rPr>
        <w:t xml:space="preserve"> </w:t>
      </w:r>
      <w:r w:rsidRPr="00CA2CC1">
        <w:rPr>
          <w:rFonts w:cs="Calibri"/>
          <w:color w:val="414042"/>
        </w:rPr>
        <w:t>industries</w:t>
      </w:r>
      <w:r w:rsidRPr="00CA2CC1">
        <w:rPr>
          <w:rFonts w:cs="Calibri"/>
          <w:color w:val="414042"/>
          <w:spacing w:val="-7"/>
        </w:rPr>
        <w:t xml:space="preserve"> </w:t>
      </w:r>
      <w:r w:rsidRPr="00CA2CC1">
        <w:rPr>
          <w:rFonts w:cs="Calibri"/>
          <w:color w:val="414042"/>
        </w:rPr>
        <w:t>both</w:t>
      </w:r>
      <w:r w:rsidRPr="00CA2CC1">
        <w:rPr>
          <w:rFonts w:cs="Calibri"/>
          <w:color w:val="414042"/>
          <w:spacing w:val="-7"/>
        </w:rPr>
        <w:t xml:space="preserve"> </w:t>
      </w:r>
      <w:r w:rsidRPr="00CA2CC1">
        <w:rPr>
          <w:rFonts w:cs="Calibri"/>
          <w:color w:val="414042"/>
        </w:rPr>
        <w:t>want</w:t>
      </w:r>
      <w:r w:rsidRPr="00CA2CC1">
        <w:rPr>
          <w:rFonts w:cs="Calibri"/>
          <w:color w:val="414042"/>
          <w:spacing w:val="-7"/>
        </w:rPr>
        <w:t xml:space="preserve"> </w:t>
      </w:r>
      <w:r w:rsidRPr="00CA2CC1">
        <w:rPr>
          <w:rFonts w:cs="Calibri"/>
          <w:color w:val="414042"/>
        </w:rPr>
        <w:t>to</w:t>
      </w:r>
      <w:r w:rsidRPr="00CA2CC1">
        <w:rPr>
          <w:rFonts w:cs="Calibri"/>
          <w:color w:val="414042"/>
          <w:spacing w:val="-7"/>
        </w:rPr>
        <w:t xml:space="preserve"> </w:t>
      </w:r>
      <w:r w:rsidRPr="00CA2CC1">
        <w:rPr>
          <w:rFonts w:cs="Calibri"/>
          <w:color w:val="414042"/>
        </w:rPr>
        <w:t>increase</w:t>
      </w:r>
      <w:r w:rsidRPr="00CA2CC1">
        <w:rPr>
          <w:rFonts w:cs="Calibri"/>
          <w:color w:val="414042"/>
          <w:spacing w:val="-7"/>
        </w:rPr>
        <w:t xml:space="preserve"> </w:t>
      </w:r>
      <w:r w:rsidRPr="00CA2CC1">
        <w:rPr>
          <w:rFonts w:cs="Calibri"/>
          <w:color w:val="414042"/>
        </w:rPr>
        <w:t>productivity,</w:t>
      </w:r>
      <w:r w:rsidRPr="00CA2CC1">
        <w:rPr>
          <w:rFonts w:cs="Calibri"/>
          <w:color w:val="414042"/>
          <w:spacing w:val="-7"/>
        </w:rPr>
        <w:t xml:space="preserve"> </w:t>
      </w:r>
      <w:r w:rsidRPr="00CA2CC1">
        <w:rPr>
          <w:rFonts w:cs="Calibri"/>
          <w:color w:val="414042"/>
        </w:rPr>
        <w:t>but</w:t>
      </w:r>
      <w:r w:rsidRPr="00CA2CC1">
        <w:rPr>
          <w:rFonts w:cs="Calibri"/>
          <w:color w:val="414042"/>
          <w:spacing w:val="-7"/>
        </w:rPr>
        <w:t xml:space="preserve"> </w:t>
      </w:r>
      <w:r w:rsidRPr="00CA2CC1">
        <w:rPr>
          <w:rFonts w:cs="Calibri"/>
          <w:color w:val="414042"/>
        </w:rPr>
        <w:t>misconceptions</w:t>
      </w:r>
      <w:r w:rsidRPr="00CA2CC1">
        <w:rPr>
          <w:rFonts w:cs="Calibri"/>
          <w:color w:val="414042"/>
          <w:spacing w:val="-7"/>
        </w:rPr>
        <w:t xml:space="preserve"> </w:t>
      </w:r>
      <w:r w:rsidRPr="00CA2CC1">
        <w:rPr>
          <w:rFonts w:cs="Calibri"/>
          <w:color w:val="414042"/>
        </w:rPr>
        <w:t>about</w:t>
      </w:r>
      <w:r w:rsidRPr="00CA2CC1">
        <w:rPr>
          <w:rFonts w:cs="Calibri"/>
          <w:color w:val="414042"/>
          <w:spacing w:val="-7"/>
        </w:rPr>
        <w:t xml:space="preserve"> </w:t>
      </w:r>
      <w:r w:rsidRPr="00CA2CC1">
        <w:rPr>
          <w:rFonts w:cs="Calibri"/>
          <w:color w:val="414042"/>
        </w:rPr>
        <w:t>infrastructure’s productivity benefits can limit improvements. As Victoria needs to ‘do more with less’, we can influence productivity in specific infrastructure sectors, better use infrastructure, and help decision makers choose</w:t>
      </w:r>
      <w:r w:rsidR="008861B7" w:rsidRPr="00CA2CC1">
        <w:rPr>
          <w:rFonts w:cs="Calibri"/>
        </w:rPr>
        <w:t xml:space="preserve"> </w:t>
      </w:r>
      <w:r w:rsidRPr="00CA2CC1">
        <w:rPr>
          <w:rFonts w:cs="Calibri"/>
          <w:color w:val="414042"/>
        </w:rPr>
        <w:t>the</w:t>
      </w:r>
      <w:r w:rsidRPr="00CA2CC1">
        <w:rPr>
          <w:rFonts w:cs="Calibri"/>
          <w:color w:val="414042"/>
          <w:spacing w:val="-2"/>
        </w:rPr>
        <w:t xml:space="preserve"> </w:t>
      </w:r>
      <w:r w:rsidRPr="00CA2CC1">
        <w:rPr>
          <w:rFonts w:cs="Calibri"/>
          <w:color w:val="414042"/>
        </w:rPr>
        <w:t>right</w:t>
      </w:r>
      <w:r w:rsidRPr="00CA2CC1">
        <w:rPr>
          <w:rFonts w:cs="Calibri"/>
          <w:color w:val="414042"/>
          <w:spacing w:val="-1"/>
        </w:rPr>
        <w:t xml:space="preserve"> </w:t>
      </w:r>
      <w:r w:rsidRPr="00CA2CC1">
        <w:rPr>
          <w:rFonts w:cs="Calibri"/>
          <w:color w:val="414042"/>
        </w:rPr>
        <w:t>infrastructure</w:t>
      </w:r>
      <w:r w:rsidRPr="00CA2CC1">
        <w:rPr>
          <w:rFonts w:cs="Calibri"/>
          <w:color w:val="414042"/>
          <w:spacing w:val="-1"/>
        </w:rPr>
        <w:t xml:space="preserve"> </w:t>
      </w:r>
      <w:r w:rsidRPr="00CA2CC1">
        <w:rPr>
          <w:rFonts w:cs="Calibri"/>
          <w:color w:val="414042"/>
        </w:rPr>
        <w:t>to</w:t>
      </w:r>
      <w:r w:rsidRPr="00CA2CC1">
        <w:rPr>
          <w:rFonts w:cs="Calibri"/>
          <w:color w:val="414042"/>
          <w:spacing w:val="-2"/>
        </w:rPr>
        <w:t xml:space="preserve"> </w:t>
      </w:r>
      <w:r w:rsidRPr="00CA2CC1">
        <w:rPr>
          <w:rFonts w:cs="Calibri"/>
          <w:color w:val="414042"/>
        </w:rPr>
        <w:t>activate</w:t>
      </w:r>
      <w:r w:rsidRPr="00CA2CC1">
        <w:rPr>
          <w:rFonts w:cs="Calibri"/>
          <w:color w:val="414042"/>
          <w:spacing w:val="-1"/>
        </w:rPr>
        <w:t xml:space="preserve"> </w:t>
      </w:r>
      <w:r w:rsidRPr="00CA2CC1">
        <w:rPr>
          <w:rFonts w:cs="Calibri"/>
          <w:color w:val="414042"/>
        </w:rPr>
        <w:t>productivity</w:t>
      </w:r>
      <w:r w:rsidRPr="00CA2CC1">
        <w:rPr>
          <w:rFonts w:cs="Calibri"/>
          <w:color w:val="414042"/>
          <w:spacing w:val="-1"/>
        </w:rPr>
        <w:t xml:space="preserve"> </w:t>
      </w:r>
      <w:r w:rsidRPr="00CA2CC1">
        <w:rPr>
          <w:rFonts w:cs="Calibri"/>
          <w:color w:val="414042"/>
          <w:spacing w:val="-2"/>
        </w:rPr>
        <w:t>growth.</w:t>
      </w:r>
    </w:p>
    <w:p w14:paraId="07361270" w14:textId="2327329B" w:rsidR="00FA4226" w:rsidRPr="00CA2CC1" w:rsidRDefault="00FA4226" w:rsidP="0043303B">
      <w:pPr>
        <w:pStyle w:val="BodyText"/>
        <w:spacing w:before="5"/>
        <w:rPr>
          <w:rFonts w:cs="Calibri"/>
          <w:sz w:val="9"/>
        </w:rPr>
      </w:pPr>
    </w:p>
    <w:p w14:paraId="406E044A" w14:textId="77777777" w:rsidR="00FA4226" w:rsidRPr="00CA2CC1" w:rsidRDefault="00000000" w:rsidP="0043303B">
      <w:pPr>
        <w:spacing w:before="59"/>
        <w:rPr>
          <w:rFonts w:cs="Calibri"/>
          <w:sz w:val="24"/>
        </w:rPr>
      </w:pPr>
      <w:r w:rsidRPr="00CA2CC1">
        <w:rPr>
          <w:rFonts w:cs="Calibri"/>
          <w:color w:val="B86497"/>
          <w:sz w:val="24"/>
        </w:rPr>
        <w:t>Navigating</w:t>
      </w:r>
      <w:r w:rsidRPr="00CA2CC1">
        <w:rPr>
          <w:rFonts w:cs="Calibri"/>
          <w:color w:val="B86497"/>
          <w:spacing w:val="57"/>
          <w:sz w:val="24"/>
        </w:rPr>
        <w:t xml:space="preserve"> </w:t>
      </w:r>
      <w:r w:rsidRPr="00CA2CC1">
        <w:rPr>
          <w:rFonts w:cs="Calibri"/>
          <w:color w:val="B86497"/>
          <w:sz w:val="24"/>
        </w:rPr>
        <w:t>change</w:t>
      </w:r>
      <w:r w:rsidRPr="00CA2CC1">
        <w:rPr>
          <w:rFonts w:cs="Calibri"/>
          <w:color w:val="B86497"/>
          <w:spacing w:val="57"/>
          <w:sz w:val="24"/>
        </w:rPr>
        <w:t xml:space="preserve"> </w:t>
      </w:r>
      <w:r w:rsidRPr="00CA2CC1">
        <w:rPr>
          <w:rFonts w:cs="Calibri"/>
          <w:color w:val="B86497"/>
          <w:sz w:val="24"/>
        </w:rPr>
        <w:t>and</w:t>
      </w:r>
      <w:r w:rsidRPr="00CA2CC1">
        <w:rPr>
          <w:rFonts w:cs="Calibri"/>
          <w:color w:val="B86497"/>
          <w:spacing w:val="57"/>
          <w:sz w:val="24"/>
        </w:rPr>
        <w:t xml:space="preserve"> </w:t>
      </w:r>
      <w:r w:rsidRPr="00CA2CC1">
        <w:rPr>
          <w:rFonts w:cs="Calibri"/>
          <w:color w:val="B86497"/>
          <w:spacing w:val="-2"/>
          <w:sz w:val="24"/>
        </w:rPr>
        <w:t>disruption</w:t>
      </w:r>
    </w:p>
    <w:p w14:paraId="57A76E29" w14:textId="77777777" w:rsidR="00FA4226" w:rsidRPr="00CA2CC1" w:rsidRDefault="00000000" w:rsidP="0043303B">
      <w:pPr>
        <w:pStyle w:val="BodyText"/>
        <w:spacing w:before="104"/>
        <w:rPr>
          <w:rFonts w:cs="Calibri"/>
        </w:rPr>
      </w:pPr>
      <w:r w:rsidRPr="00CA2CC1">
        <w:rPr>
          <w:rFonts w:cs="Calibri"/>
          <w:color w:val="414042"/>
        </w:rPr>
        <w:t>Victoria’s</w:t>
      </w:r>
      <w:r w:rsidRPr="00CA2CC1">
        <w:rPr>
          <w:rFonts w:cs="Calibri"/>
          <w:color w:val="414042"/>
          <w:spacing w:val="-8"/>
        </w:rPr>
        <w:t xml:space="preserve"> </w:t>
      </w:r>
      <w:r w:rsidRPr="00CA2CC1">
        <w:rPr>
          <w:rFonts w:cs="Calibri"/>
          <w:color w:val="414042"/>
        </w:rPr>
        <w:t>infrastructure</w:t>
      </w:r>
      <w:r w:rsidRPr="00CA2CC1">
        <w:rPr>
          <w:rFonts w:cs="Calibri"/>
          <w:color w:val="414042"/>
          <w:spacing w:val="-8"/>
        </w:rPr>
        <w:t xml:space="preserve"> </w:t>
      </w:r>
      <w:r w:rsidRPr="00CA2CC1">
        <w:rPr>
          <w:rFonts w:cs="Calibri"/>
          <w:color w:val="414042"/>
        </w:rPr>
        <w:t>planning</w:t>
      </w:r>
      <w:r w:rsidRPr="00CA2CC1">
        <w:rPr>
          <w:rFonts w:cs="Calibri"/>
          <w:color w:val="414042"/>
          <w:spacing w:val="-8"/>
        </w:rPr>
        <w:t xml:space="preserve"> </w:t>
      </w:r>
      <w:r w:rsidRPr="00CA2CC1">
        <w:rPr>
          <w:rFonts w:cs="Calibri"/>
          <w:color w:val="414042"/>
        </w:rPr>
        <w:t>must</w:t>
      </w:r>
      <w:r w:rsidRPr="00CA2CC1">
        <w:rPr>
          <w:rFonts w:cs="Calibri"/>
          <w:color w:val="414042"/>
          <w:spacing w:val="-8"/>
        </w:rPr>
        <w:t xml:space="preserve"> </w:t>
      </w:r>
      <w:r w:rsidRPr="00CA2CC1">
        <w:rPr>
          <w:rFonts w:cs="Calibri"/>
          <w:color w:val="414042"/>
        </w:rPr>
        <w:t>adapt</w:t>
      </w:r>
      <w:r w:rsidRPr="00CA2CC1">
        <w:rPr>
          <w:rFonts w:cs="Calibri"/>
          <w:color w:val="414042"/>
          <w:spacing w:val="-8"/>
        </w:rPr>
        <w:t xml:space="preserve"> </w:t>
      </w:r>
      <w:r w:rsidRPr="00CA2CC1">
        <w:rPr>
          <w:rFonts w:cs="Calibri"/>
          <w:color w:val="414042"/>
        </w:rPr>
        <w:t>to</w:t>
      </w:r>
      <w:r w:rsidRPr="00CA2CC1">
        <w:rPr>
          <w:rFonts w:cs="Calibri"/>
          <w:color w:val="414042"/>
          <w:spacing w:val="-8"/>
        </w:rPr>
        <w:t xml:space="preserve"> </w:t>
      </w:r>
      <w:r w:rsidRPr="00CA2CC1">
        <w:rPr>
          <w:rFonts w:cs="Calibri"/>
          <w:color w:val="414042"/>
        </w:rPr>
        <w:t>emerging</w:t>
      </w:r>
      <w:r w:rsidRPr="00CA2CC1">
        <w:rPr>
          <w:rFonts w:cs="Calibri"/>
          <w:color w:val="414042"/>
          <w:spacing w:val="-8"/>
        </w:rPr>
        <w:t xml:space="preserve"> </w:t>
      </w:r>
      <w:r w:rsidRPr="00CA2CC1">
        <w:rPr>
          <w:rFonts w:cs="Calibri"/>
          <w:color w:val="414042"/>
        </w:rPr>
        <w:t>changes</w:t>
      </w:r>
      <w:r w:rsidRPr="00CA2CC1">
        <w:rPr>
          <w:rFonts w:cs="Calibri"/>
          <w:color w:val="414042"/>
          <w:spacing w:val="-8"/>
        </w:rPr>
        <w:t xml:space="preserve"> </w:t>
      </w:r>
      <w:r w:rsidRPr="00CA2CC1">
        <w:rPr>
          <w:rFonts w:cs="Calibri"/>
          <w:color w:val="414042"/>
        </w:rPr>
        <w:t>in</w:t>
      </w:r>
      <w:r w:rsidRPr="00CA2CC1">
        <w:rPr>
          <w:rFonts w:cs="Calibri"/>
          <w:color w:val="414042"/>
          <w:spacing w:val="-8"/>
        </w:rPr>
        <w:t xml:space="preserve"> </w:t>
      </w:r>
      <w:r w:rsidRPr="00CA2CC1">
        <w:rPr>
          <w:rFonts w:cs="Calibri"/>
          <w:color w:val="414042"/>
        </w:rPr>
        <w:t>technology,</w:t>
      </w:r>
      <w:r w:rsidRPr="00CA2CC1">
        <w:rPr>
          <w:rFonts w:cs="Calibri"/>
          <w:color w:val="414042"/>
          <w:spacing w:val="-8"/>
        </w:rPr>
        <w:t xml:space="preserve"> </w:t>
      </w:r>
      <w:r w:rsidRPr="00CA2CC1">
        <w:rPr>
          <w:rFonts w:cs="Calibri"/>
          <w:color w:val="414042"/>
        </w:rPr>
        <w:t>population,</w:t>
      </w:r>
      <w:r w:rsidRPr="00CA2CC1">
        <w:rPr>
          <w:rFonts w:cs="Calibri"/>
          <w:color w:val="414042"/>
          <w:spacing w:val="-8"/>
        </w:rPr>
        <w:t xml:space="preserve"> </w:t>
      </w:r>
      <w:r w:rsidRPr="00CA2CC1">
        <w:rPr>
          <w:rFonts w:cs="Calibri"/>
          <w:color w:val="414042"/>
        </w:rPr>
        <w:t>preferences and ways of working. Victoria has a growing population and is part of a globally connected economy.</w:t>
      </w:r>
    </w:p>
    <w:p w14:paraId="474E555A" w14:textId="11189DF1" w:rsidR="00FA4226" w:rsidRPr="00CA2CC1" w:rsidRDefault="00000000" w:rsidP="0043303B">
      <w:pPr>
        <w:pStyle w:val="BodyText"/>
        <w:rPr>
          <w:rFonts w:cs="Calibri"/>
        </w:rPr>
      </w:pPr>
      <w:r w:rsidRPr="00CA2CC1">
        <w:rPr>
          <w:rFonts w:cs="Calibri"/>
          <w:color w:val="414042"/>
        </w:rPr>
        <w:t>Better infrastructure planning will help us be more resilient to these changes and other future shocks. Digital</w:t>
      </w:r>
      <w:r w:rsidRPr="00CA2CC1">
        <w:rPr>
          <w:rFonts w:cs="Calibri"/>
          <w:color w:val="414042"/>
          <w:spacing w:val="-4"/>
        </w:rPr>
        <w:t xml:space="preserve"> </w:t>
      </w:r>
      <w:r w:rsidRPr="00CA2CC1">
        <w:rPr>
          <w:rFonts w:cs="Calibri"/>
          <w:color w:val="414042"/>
        </w:rPr>
        <w:t>technologies,</w:t>
      </w:r>
      <w:r w:rsidRPr="00CA2CC1">
        <w:rPr>
          <w:rFonts w:cs="Calibri"/>
          <w:color w:val="414042"/>
          <w:spacing w:val="-4"/>
        </w:rPr>
        <w:t xml:space="preserve"> </w:t>
      </w:r>
      <w:r w:rsidRPr="00CA2CC1">
        <w:rPr>
          <w:rFonts w:cs="Calibri"/>
          <w:color w:val="414042"/>
        </w:rPr>
        <w:t>like</w:t>
      </w:r>
      <w:r w:rsidRPr="00CA2CC1">
        <w:rPr>
          <w:rFonts w:cs="Calibri"/>
          <w:color w:val="414042"/>
          <w:spacing w:val="-4"/>
        </w:rPr>
        <w:t xml:space="preserve"> </w:t>
      </w:r>
      <w:r w:rsidRPr="00CA2CC1">
        <w:rPr>
          <w:rFonts w:cs="Calibri"/>
          <w:color w:val="414042"/>
        </w:rPr>
        <w:t>artificial</w:t>
      </w:r>
      <w:r w:rsidRPr="00CA2CC1">
        <w:rPr>
          <w:rFonts w:cs="Calibri"/>
          <w:color w:val="414042"/>
          <w:spacing w:val="-4"/>
        </w:rPr>
        <w:t xml:space="preserve"> </w:t>
      </w:r>
      <w:r w:rsidRPr="00CA2CC1">
        <w:rPr>
          <w:rFonts w:cs="Calibri"/>
          <w:color w:val="414042"/>
        </w:rPr>
        <w:t>intelligence,</w:t>
      </w:r>
      <w:r w:rsidRPr="00CA2CC1">
        <w:rPr>
          <w:rFonts w:cs="Calibri"/>
          <w:color w:val="414042"/>
          <w:spacing w:val="-4"/>
        </w:rPr>
        <w:t xml:space="preserve"> </w:t>
      </w:r>
      <w:r w:rsidRPr="00CA2CC1">
        <w:rPr>
          <w:rFonts w:cs="Calibri"/>
          <w:color w:val="414042"/>
        </w:rPr>
        <w:t>can</w:t>
      </w:r>
      <w:r w:rsidRPr="00CA2CC1">
        <w:rPr>
          <w:rFonts w:cs="Calibri"/>
          <w:color w:val="414042"/>
          <w:spacing w:val="-4"/>
        </w:rPr>
        <w:t xml:space="preserve"> </w:t>
      </w:r>
      <w:r w:rsidRPr="00CA2CC1">
        <w:rPr>
          <w:rFonts w:cs="Calibri"/>
          <w:color w:val="414042"/>
        </w:rPr>
        <w:t>produce</w:t>
      </w:r>
      <w:r w:rsidRPr="00CA2CC1">
        <w:rPr>
          <w:rFonts w:cs="Calibri"/>
          <w:color w:val="414042"/>
          <w:spacing w:val="-4"/>
        </w:rPr>
        <w:t xml:space="preserve"> </w:t>
      </w:r>
      <w:r w:rsidRPr="00CA2CC1">
        <w:rPr>
          <w:rFonts w:cs="Calibri"/>
          <w:color w:val="414042"/>
        </w:rPr>
        <w:t>new</w:t>
      </w:r>
      <w:r w:rsidRPr="00CA2CC1">
        <w:rPr>
          <w:rFonts w:cs="Calibri"/>
          <w:color w:val="414042"/>
          <w:spacing w:val="-4"/>
        </w:rPr>
        <w:t xml:space="preserve"> </w:t>
      </w:r>
      <w:r w:rsidRPr="00CA2CC1">
        <w:rPr>
          <w:rFonts w:cs="Calibri"/>
          <w:color w:val="414042"/>
        </w:rPr>
        <w:t>tools</w:t>
      </w:r>
      <w:r w:rsidRPr="00CA2CC1">
        <w:rPr>
          <w:rFonts w:cs="Calibri"/>
          <w:color w:val="414042"/>
          <w:spacing w:val="-4"/>
        </w:rPr>
        <w:t xml:space="preserve"> </w:t>
      </w:r>
      <w:r w:rsidRPr="00CA2CC1">
        <w:rPr>
          <w:rFonts w:cs="Calibri"/>
          <w:color w:val="414042"/>
        </w:rPr>
        <w:t>to</w:t>
      </w:r>
      <w:r w:rsidRPr="00CA2CC1">
        <w:rPr>
          <w:rFonts w:cs="Calibri"/>
          <w:color w:val="414042"/>
          <w:spacing w:val="-4"/>
        </w:rPr>
        <w:t xml:space="preserve"> </w:t>
      </w:r>
      <w:r w:rsidRPr="00CA2CC1">
        <w:rPr>
          <w:rFonts w:cs="Calibri"/>
          <w:color w:val="414042"/>
        </w:rPr>
        <w:t>manage</w:t>
      </w:r>
      <w:r w:rsidRPr="00CA2CC1">
        <w:rPr>
          <w:rFonts w:cs="Calibri"/>
          <w:color w:val="414042"/>
          <w:spacing w:val="-4"/>
        </w:rPr>
        <w:t xml:space="preserve"> </w:t>
      </w:r>
      <w:r w:rsidRPr="00CA2CC1">
        <w:rPr>
          <w:rFonts w:cs="Calibri"/>
          <w:color w:val="414042"/>
        </w:rPr>
        <w:t>infrastructure.</w:t>
      </w:r>
      <w:r w:rsidRPr="00CA2CC1">
        <w:rPr>
          <w:rFonts w:cs="Calibri"/>
          <w:color w:val="414042"/>
          <w:spacing w:val="-4"/>
        </w:rPr>
        <w:t xml:space="preserve"> </w:t>
      </w:r>
      <w:r w:rsidRPr="00CA2CC1">
        <w:rPr>
          <w:rFonts w:cs="Calibri"/>
          <w:color w:val="414042"/>
        </w:rPr>
        <w:t>Monitoring developments in these technologies can help keep pace with their changes and help us advise on using</w:t>
      </w:r>
      <w:r w:rsidR="00993739" w:rsidRPr="00CA2CC1">
        <w:rPr>
          <w:rFonts w:cs="Calibri"/>
        </w:rPr>
        <w:t xml:space="preserve"> </w:t>
      </w:r>
      <w:r w:rsidRPr="00CA2CC1">
        <w:rPr>
          <w:rFonts w:cs="Calibri"/>
          <w:color w:val="414042"/>
        </w:rPr>
        <w:t>technology</w:t>
      </w:r>
      <w:r w:rsidRPr="00CA2CC1">
        <w:rPr>
          <w:rFonts w:cs="Calibri"/>
          <w:color w:val="414042"/>
          <w:spacing w:val="-3"/>
        </w:rPr>
        <w:t xml:space="preserve"> </w:t>
      </w:r>
      <w:r w:rsidRPr="00CA2CC1">
        <w:rPr>
          <w:rFonts w:cs="Calibri"/>
          <w:color w:val="414042"/>
        </w:rPr>
        <w:t>to</w:t>
      </w:r>
      <w:r w:rsidRPr="00CA2CC1">
        <w:rPr>
          <w:rFonts w:cs="Calibri"/>
          <w:color w:val="414042"/>
          <w:spacing w:val="-3"/>
        </w:rPr>
        <w:t xml:space="preserve"> </w:t>
      </w:r>
      <w:r w:rsidRPr="00CA2CC1">
        <w:rPr>
          <w:rFonts w:cs="Calibri"/>
          <w:color w:val="414042"/>
        </w:rPr>
        <w:t>change</w:t>
      </w:r>
      <w:r w:rsidRPr="00CA2CC1">
        <w:rPr>
          <w:rFonts w:cs="Calibri"/>
          <w:color w:val="414042"/>
          <w:spacing w:val="-3"/>
        </w:rPr>
        <w:t xml:space="preserve"> </w:t>
      </w:r>
      <w:r w:rsidRPr="00CA2CC1">
        <w:rPr>
          <w:rFonts w:cs="Calibri"/>
          <w:color w:val="414042"/>
        </w:rPr>
        <w:t>the</w:t>
      </w:r>
      <w:r w:rsidRPr="00CA2CC1">
        <w:rPr>
          <w:rFonts w:cs="Calibri"/>
          <w:color w:val="414042"/>
          <w:spacing w:val="-3"/>
        </w:rPr>
        <w:t xml:space="preserve"> </w:t>
      </w:r>
      <w:r w:rsidRPr="00CA2CC1">
        <w:rPr>
          <w:rFonts w:cs="Calibri"/>
          <w:color w:val="414042"/>
        </w:rPr>
        <w:t>way</w:t>
      </w:r>
      <w:r w:rsidRPr="00CA2CC1">
        <w:rPr>
          <w:rFonts w:cs="Calibri"/>
          <w:color w:val="414042"/>
          <w:spacing w:val="-3"/>
        </w:rPr>
        <w:t xml:space="preserve"> </w:t>
      </w:r>
      <w:r w:rsidRPr="00CA2CC1">
        <w:rPr>
          <w:rFonts w:cs="Calibri"/>
          <w:color w:val="414042"/>
        </w:rPr>
        <w:t>people</w:t>
      </w:r>
      <w:r w:rsidRPr="00CA2CC1">
        <w:rPr>
          <w:rFonts w:cs="Calibri"/>
          <w:color w:val="414042"/>
          <w:spacing w:val="-3"/>
        </w:rPr>
        <w:t xml:space="preserve"> </w:t>
      </w:r>
      <w:r w:rsidRPr="00CA2CC1">
        <w:rPr>
          <w:rFonts w:cs="Calibri"/>
          <w:color w:val="414042"/>
        </w:rPr>
        <w:t>use</w:t>
      </w:r>
      <w:r w:rsidRPr="00CA2CC1">
        <w:rPr>
          <w:rFonts w:cs="Calibri"/>
          <w:color w:val="414042"/>
          <w:spacing w:val="-3"/>
        </w:rPr>
        <w:t xml:space="preserve"> </w:t>
      </w:r>
      <w:r w:rsidRPr="00CA2CC1">
        <w:rPr>
          <w:rFonts w:cs="Calibri"/>
          <w:color w:val="414042"/>
        </w:rPr>
        <w:t>and</w:t>
      </w:r>
      <w:r w:rsidRPr="00CA2CC1">
        <w:rPr>
          <w:rFonts w:cs="Calibri"/>
          <w:color w:val="414042"/>
          <w:spacing w:val="-3"/>
        </w:rPr>
        <w:t xml:space="preserve"> </w:t>
      </w:r>
      <w:r w:rsidRPr="00CA2CC1">
        <w:rPr>
          <w:rFonts w:cs="Calibri"/>
          <w:color w:val="414042"/>
        </w:rPr>
        <w:t>manage</w:t>
      </w:r>
      <w:r w:rsidRPr="00CA2CC1">
        <w:rPr>
          <w:rFonts w:cs="Calibri"/>
          <w:color w:val="414042"/>
          <w:spacing w:val="-3"/>
        </w:rPr>
        <w:t xml:space="preserve"> </w:t>
      </w:r>
      <w:r w:rsidRPr="00CA2CC1">
        <w:rPr>
          <w:rFonts w:cs="Calibri"/>
          <w:color w:val="414042"/>
        </w:rPr>
        <w:t>infrastructure.</w:t>
      </w:r>
      <w:r w:rsidRPr="00CA2CC1">
        <w:rPr>
          <w:rFonts w:cs="Calibri"/>
          <w:color w:val="414042"/>
          <w:spacing w:val="-3"/>
        </w:rPr>
        <w:t xml:space="preserve"> </w:t>
      </w:r>
      <w:r w:rsidRPr="00CA2CC1">
        <w:rPr>
          <w:rFonts w:cs="Calibri"/>
          <w:color w:val="414042"/>
        </w:rPr>
        <w:t>We</w:t>
      </w:r>
      <w:r w:rsidRPr="00CA2CC1">
        <w:rPr>
          <w:rFonts w:cs="Calibri"/>
          <w:color w:val="414042"/>
          <w:spacing w:val="-3"/>
        </w:rPr>
        <w:t xml:space="preserve"> </w:t>
      </w:r>
      <w:r w:rsidRPr="00CA2CC1">
        <w:rPr>
          <w:rFonts w:cs="Calibri"/>
          <w:color w:val="414042"/>
        </w:rPr>
        <w:t>have</w:t>
      </w:r>
      <w:r w:rsidRPr="00CA2CC1">
        <w:rPr>
          <w:rFonts w:cs="Calibri"/>
          <w:color w:val="414042"/>
          <w:spacing w:val="-3"/>
        </w:rPr>
        <w:t xml:space="preserve"> </w:t>
      </w:r>
      <w:r w:rsidRPr="00CA2CC1">
        <w:rPr>
          <w:rFonts w:cs="Calibri"/>
          <w:color w:val="414042"/>
        </w:rPr>
        <w:t>an</w:t>
      </w:r>
      <w:r w:rsidRPr="00CA2CC1">
        <w:rPr>
          <w:rFonts w:cs="Calibri"/>
          <w:color w:val="414042"/>
          <w:spacing w:val="-3"/>
        </w:rPr>
        <w:t xml:space="preserve"> </w:t>
      </w:r>
      <w:r w:rsidRPr="00CA2CC1">
        <w:rPr>
          <w:rFonts w:cs="Calibri"/>
          <w:color w:val="414042"/>
        </w:rPr>
        <w:t>opportunity</w:t>
      </w:r>
      <w:r w:rsidRPr="00CA2CC1">
        <w:rPr>
          <w:rFonts w:cs="Calibri"/>
          <w:color w:val="414042"/>
          <w:spacing w:val="-3"/>
        </w:rPr>
        <w:t xml:space="preserve"> </w:t>
      </w:r>
      <w:r w:rsidRPr="00CA2CC1">
        <w:rPr>
          <w:rFonts w:cs="Calibri"/>
          <w:color w:val="414042"/>
        </w:rPr>
        <w:t>to</w:t>
      </w:r>
      <w:r w:rsidRPr="00CA2CC1">
        <w:rPr>
          <w:rFonts w:cs="Calibri"/>
          <w:color w:val="414042"/>
          <w:spacing w:val="-3"/>
        </w:rPr>
        <w:t xml:space="preserve"> </w:t>
      </w:r>
      <w:r w:rsidRPr="00CA2CC1">
        <w:rPr>
          <w:rFonts w:cs="Calibri"/>
          <w:color w:val="414042"/>
        </w:rPr>
        <w:t>help</w:t>
      </w:r>
      <w:r w:rsidRPr="00CA2CC1">
        <w:rPr>
          <w:rFonts w:cs="Calibri"/>
          <w:color w:val="414042"/>
          <w:spacing w:val="-3"/>
        </w:rPr>
        <w:t xml:space="preserve"> </w:t>
      </w:r>
      <w:r w:rsidRPr="00CA2CC1">
        <w:rPr>
          <w:rFonts w:cs="Calibri"/>
          <w:color w:val="414042"/>
        </w:rPr>
        <w:t>guide decisions and better plan for infrastructure under conditions of uncertainty.</w:t>
      </w:r>
    </w:p>
    <w:p w14:paraId="232D34C4" w14:textId="076E29A5" w:rsidR="00FA4226" w:rsidRPr="00CA2CC1" w:rsidRDefault="00FA4226" w:rsidP="0043303B">
      <w:pPr>
        <w:pStyle w:val="BodyText"/>
        <w:spacing w:before="13"/>
        <w:rPr>
          <w:rFonts w:cs="Calibri"/>
          <w:sz w:val="8"/>
        </w:rPr>
      </w:pPr>
    </w:p>
    <w:p w14:paraId="184DF93B" w14:textId="77777777" w:rsidR="00FA4226" w:rsidRPr="00CA2CC1" w:rsidRDefault="00000000" w:rsidP="0043303B">
      <w:pPr>
        <w:spacing w:before="59"/>
        <w:rPr>
          <w:rFonts w:cs="Calibri"/>
          <w:sz w:val="24"/>
        </w:rPr>
      </w:pPr>
      <w:r w:rsidRPr="00CA2CC1">
        <w:rPr>
          <w:rFonts w:cs="Calibri"/>
          <w:color w:val="B86497"/>
          <w:w w:val="105"/>
          <w:sz w:val="24"/>
        </w:rPr>
        <w:t>Improving</w:t>
      </w:r>
      <w:r w:rsidRPr="00CA2CC1">
        <w:rPr>
          <w:rFonts w:cs="Calibri"/>
          <w:color w:val="B86497"/>
          <w:spacing w:val="18"/>
          <w:w w:val="105"/>
          <w:sz w:val="24"/>
        </w:rPr>
        <w:t xml:space="preserve"> </w:t>
      </w:r>
      <w:r w:rsidRPr="00CA2CC1">
        <w:rPr>
          <w:rFonts w:cs="Calibri"/>
          <w:color w:val="B86497"/>
          <w:w w:val="105"/>
          <w:sz w:val="24"/>
        </w:rPr>
        <w:t>social</w:t>
      </w:r>
      <w:r w:rsidRPr="00CA2CC1">
        <w:rPr>
          <w:rFonts w:cs="Calibri"/>
          <w:color w:val="B86497"/>
          <w:spacing w:val="19"/>
          <w:w w:val="105"/>
          <w:sz w:val="24"/>
        </w:rPr>
        <w:t xml:space="preserve"> </w:t>
      </w:r>
      <w:r w:rsidRPr="00CA2CC1">
        <w:rPr>
          <w:rFonts w:cs="Calibri"/>
          <w:color w:val="B86497"/>
          <w:w w:val="105"/>
          <w:sz w:val="24"/>
        </w:rPr>
        <w:t>equity</w:t>
      </w:r>
      <w:r w:rsidRPr="00CA2CC1">
        <w:rPr>
          <w:rFonts w:cs="Calibri"/>
          <w:color w:val="B86497"/>
          <w:spacing w:val="16"/>
          <w:w w:val="105"/>
          <w:sz w:val="24"/>
        </w:rPr>
        <w:t xml:space="preserve"> </w:t>
      </w:r>
      <w:r w:rsidRPr="00CA2CC1">
        <w:rPr>
          <w:rFonts w:cs="Calibri"/>
          <w:color w:val="B86497"/>
          <w:w w:val="105"/>
          <w:sz w:val="24"/>
        </w:rPr>
        <w:t>through</w:t>
      </w:r>
      <w:r w:rsidRPr="00CA2CC1">
        <w:rPr>
          <w:rFonts w:cs="Calibri"/>
          <w:color w:val="B86497"/>
          <w:spacing w:val="19"/>
          <w:w w:val="105"/>
          <w:sz w:val="24"/>
        </w:rPr>
        <w:t xml:space="preserve"> </w:t>
      </w:r>
      <w:r w:rsidRPr="00CA2CC1">
        <w:rPr>
          <w:rFonts w:cs="Calibri"/>
          <w:color w:val="B86497"/>
          <w:spacing w:val="-2"/>
          <w:w w:val="105"/>
          <w:sz w:val="24"/>
        </w:rPr>
        <w:t>access</w:t>
      </w:r>
    </w:p>
    <w:p w14:paraId="025EFE7D" w14:textId="77777777" w:rsidR="00FA4226" w:rsidRPr="00CA2CC1" w:rsidRDefault="00000000" w:rsidP="0043303B">
      <w:pPr>
        <w:pStyle w:val="BodyText"/>
        <w:spacing w:before="104"/>
        <w:rPr>
          <w:rFonts w:cs="Calibri"/>
        </w:rPr>
      </w:pPr>
      <w:r w:rsidRPr="00CA2CC1">
        <w:rPr>
          <w:rFonts w:cs="Calibri"/>
          <w:color w:val="414042"/>
        </w:rPr>
        <w:t>Victoria</w:t>
      </w:r>
      <w:r w:rsidRPr="00CA2CC1">
        <w:rPr>
          <w:rFonts w:cs="Calibri"/>
          <w:color w:val="414042"/>
          <w:spacing w:val="-4"/>
        </w:rPr>
        <w:t xml:space="preserve"> </w:t>
      </w:r>
      <w:r w:rsidRPr="00CA2CC1">
        <w:rPr>
          <w:rFonts w:cs="Calibri"/>
          <w:color w:val="414042"/>
        </w:rPr>
        <w:t>should</w:t>
      </w:r>
      <w:r w:rsidRPr="00CA2CC1">
        <w:rPr>
          <w:rFonts w:cs="Calibri"/>
          <w:color w:val="414042"/>
          <w:spacing w:val="-4"/>
        </w:rPr>
        <w:t xml:space="preserve"> </w:t>
      </w:r>
      <w:r w:rsidRPr="00CA2CC1">
        <w:rPr>
          <w:rFonts w:cs="Calibri"/>
          <w:color w:val="414042"/>
        </w:rPr>
        <w:t>be</w:t>
      </w:r>
      <w:r w:rsidRPr="00CA2CC1">
        <w:rPr>
          <w:rFonts w:cs="Calibri"/>
          <w:color w:val="414042"/>
          <w:spacing w:val="-4"/>
        </w:rPr>
        <w:t xml:space="preserve"> </w:t>
      </w:r>
      <w:r w:rsidRPr="00CA2CC1">
        <w:rPr>
          <w:rFonts w:cs="Calibri"/>
          <w:color w:val="414042"/>
        </w:rPr>
        <w:t>a</w:t>
      </w:r>
      <w:r w:rsidRPr="00CA2CC1">
        <w:rPr>
          <w:rFonts w:cs="Calibri"/>
          <w:color w:val="414042"/>
          <w:spacing w:val="-4"/>
        </w:rPr>
        <w:t xml:space="preserve"> </w:t>
      </w:r>
      <w:r w:rsidRPr="00CA2CC1">
        <w:rPr>
          <w:rFonts w:cs="Calibri"/>
          <w:color w:val="414042"/>
        </w:rPr>
        <w:t>great</w:t>
      </w:r>
      <w:r w:rsidRPr="00CA2CC1">
        <w:rPr>
          <w:rFonts w:cs="Calibri"/>
          <w:color w:val="414042"/>
          <w:spacing w:val="-4"/>
        </w:rPr>
        <w:t xml:space="preserve"> </w:t>
      </w:r>
      <w:r w:rsidRPr="00CA2CC1">
        <w:rPr>
          <w:rFonts w:cs="Calibri"/>
          <w:color w:val="414042"/>
        </w:rPr>
        <w:t>place</w:t>
      </w:r>
      <w:r w:rsidRPr="00CA2CC1">
        <w:rPr>
          <w:rFonts w:cs="Calibri"/>
          <w:color w:val="414042"/>
          <w:spacing w:val="-4"/>
        </w:rPr>
        <w:t xml:space="preserve"> </w:t>
      </w:r>
      <w:r w:rsidRPr="00CA2CC1">
        <w:rPr>
          <w:rFonts w:cs="Calibri"/>
          <w:color w:val="414042"/>
        </w:rPr>
        <w:t>for</w:t>
      </w:r>
      <w:r w:rsidRPr="00CA2CC1">
        <w:rPr>
          <w:rFonts w:cs="Calibri"/>
          <w:color w:val="414042"/>
          <w:spacing w:val="-4"/>
        </w:rPr>
        <w:t xml:space="preserve"> </w:t>
      </w:r>
      <w:r w:rsidRPr="00CA2CC1">
        <w:rPr>
          <w:rFonts w:cs="Calibri"/>
          <w:color w:val="414042"/>
        </w:rPr>
        <w:t>everyone</w:t>
      </w:r>
      <w:r w:rsidRPr="00CA2CC1">
        <w:rPr>
          <w:rFonts w:cs="Calibri"/>
          <w:color w:val="414042"/>
          <w:spacing w:val="-4"/>
        </w:rPr>
        <w:t xml:space="preserve"> </w:t>
      </w:r>
      <w:r w:rsidRPr="00CA2CC1">
        <w:rPr>
          <w:rFonts w:cs="Calibri"/>
          <w:color w:val="414042"/>
        </w:rPr>
        <w:t>who</w:t>
      </w:r>
      <w:r w:rsidRPr="00CA2CC1">
        <w:rPr>
          <w:rFonts w:cs="Calibri"/>
          <w:color w:val="414042"/>
          <w:spacing w:val="-4"/>
        </w:rPr>
        <w:t xml:space="preserve"> </w:t>
      </w:r>
      <w:r w:rsidRPr="00CA2CC1">
        <w:rPr>
          <w:rFonts w:cs="Calibri"/>
          <w:color w:val="414042"/>
        </w:rPr>
        <w:t>lives</w:t>
      </w:r>
      <w:r w:rsidRPr="00CA2CC1">
        <w:rPr>
          <w:rFonts w:cs="Calibri"/>
          <w:color w:val="414042"/>
          <w:spacing w:val="-4"/>
        </w:rPr>
        <w:t xml:space="preserve"> </w:t>
      </w:r>
      <w:r w:rsidRPr="00CA2CC1">
        <w:rPr>
          <w:rFonts w:cs="Calibri"/>
          <w:color w:val="414042"/>
        </w:rPr>
        <w:t>here.</w:t>
      </w:r>
      <w:r w:rsidRPr="00CA2CC1">
        <w:rPr>
          <w:rFonts w:cs="Calibri"/>
          <w:color w:val="414042"/>
          <w:spacing w:val="-4"/>
        </w:rPr>
        <w:t xml:space="preserve"> </w:t>
      </w:r>
      <w:r w:rsidRPr="00CA2CC1">
        <w:rPr>
          <w:rFonts w:cs="Calibri"/>
          <w:color w:val="414042"/>
        </w:rPr>
        <w:t>With</w:t>
      </w:r>
      <w:r w:rsidRPr="00CA2CC1">
        <w:rPr>
          <w:rFonts w:cs="Calibri"/>
          <w:color w:val="414042"/>
          <w:spacing w:val="-4"/>
        </w:rPr>
        <w:t xml:space="preserve"> </w:t>
      </w:r>
      <w:r w:rsidRPr="00CA2CC1">
        <w:rPr>
          <w:rFonts w:cs="Calibri"/>
          <w:color w:val="414042"/>
        </w:rPr>
        <w:t>rigorous</w:t>
      </w:r>
      <w:r w:rsidRPr="00CA2CC1">
        <w:rPr>
          <w:rFonts w:cs="Calibri"/>
          <w:color w:val="414042"/>
          <w:spacing w:val="-4"/>
        </w:rPr>
        <w:t xml:space="preserve"> </w:t>
      </w:r>
      <w:r w:rsidRPr="00CA2CC1">
        <w:rPr>
          <w:rFonts w:cs="Calibri"/>
          <w:color w:val="414042"/>
        </w:rPr>
        <w:t>research,</w:t>
      </w:r>
      <w:r w:rsidRPr="00CA2CC1">
        <w:rPr>
          <w:rFonts w:cs="Calibri"/>
          <w:color w:val="414042"/>
          <w:spacing w:val="-4"/>
        </w:rPr>
        <w:t xml:space="preserve"> </w:t>
      </w:r>
      <w:r w:rsidRPr="00CA2CC1">
        <w:rPr>
          <w:rFonts w:cs="Calibri"/>
          <w:color w:val="414042"/>
        </w:rPr>
        <w:t>we</w:t>
      </w:r>
      <w:r w:rsidRPr="00CA2CC1">
        <w:rPr>
          <w:rFonts w:cs="Calibri"/>
          <w:color w:val="414042"/>
          <w:spacing w:val="-4"/>
        </w:rPr>
        <w:t xml:space="preserve"> </w:t>
      </w:r>
      <w:r w:rsidRPr="00CA2CC1">
        <w:rPr>
          <w:rFonts w:cs="Calibri"/>
          <w:color w:val="414042"/>
        </w:rPr>
        <w:t>will</w:t>
      </w:r>
      <w:r w:rsidRPr="00CA2CC1">
        <w:rPr>
          <w:rFonts w:cs="Calibri"/>
          <w:color w:val="414042"/>
          <w:spacing w:val="-4"/>
        </w:rPr>
        <w:t xml:space="preserve"> </w:t>
      </w:r>
      <w:r w:rsidRPr="00CA2CC1">
        <w:rPr>
          <w:rFonts w:cs="Calibri"/>
          <w:color w:val="414042"/>
        </w:rPr>
        <w:t>examine</w:t>
      </w:r>
      <w:r w:rsidRPr="00CA2CC1">
        <w:rPr>
          <w:rFonts w:cs="Calibri"/>
          <w:color w:val="414042"/>
          <w:spacing w:val="-4"/>
        </w:rPr>
        <w:t xml:space="preserve"> </w:t>
      </w:r>
      <w:r w:rsidRPr="00CA2CC1">
        <w:rPr>
          <w:rFonts w:cs="Calibri"/>
          <w:color w:val="414042"/>
        </w:rPr>
        <w:t>people’s different needs, the disparities between people and places, and the interventions that can make access to infrastructure</w:t>
      </w:r>
      <w:r w:rsidRPr="00CA2CC1">
        <w:rPr>
          <w:rFonts w:cs="Calibri"/>
          <w:color w:val="414042"/>
          <w:spacing w:val="-5"/>
        </w:rPr>
        <w:t xml:space="preserve"> </w:t>
      </w:r>
      <w:r w:rsidRPr="00CA2CC1">
        <w:rPr>
          <w:rFonts w:cs="Calibri"/>
          <w:color w:val="414042"/>
        </w:rPr>
        <w:t>fairer.</w:t>
      </w:r>
      <w:r w:rsidRPr="00CA2CC1">
        <w:rPr>
          <w:rFonts w:cs="Calibri"/>
          <w:color w:val="414042"/>
          <w:spacing w:val="-5"/>
        </w:rPr>
        <w:t xml:space="preserve"> </w:t>
      </w:r>
      <w:r w:rsidRPr="00CA2CC1">
        <w:rPr>
          <w:rFonts w:cs="Calibri"/>
          <w:color w:val="414042"/>
        </w:rPr>
        <w:t>These</w:t>
      </w:r>
      <w:r w:rsidRPr="00CA2CC1">
        <w:rPr>
          <w:rFonts w:cs="Calibri"/>
          <w:color w:val="414042"/>
          <w:spacing w:val="-5"/>
        </w:rPr>
        <w:t xml:space="preserve"> </w:t>
      </w:r>
      <w:r w:rsidRPr="00CA2CC1">
        <w:rPr>
          <w:rFonts w:cs="Calibri"/>
          <w:color w:val="414042"/>
        </w:rPr>
        <w:t>disparities</w:t>
      </w:r>
      <w:r w:rsidRPr="00CA2CC1">
        <w:rPr>
          <w:rFonts w:cs="Calibri"/>
          <w:color w:val="414042"/>
          <w:spacing w:val="-5"/>
        </w:rPr>
        <w:t xml:space="preserve"> </w:t>
      </w:r>
      <w:r w:rsidRPr="00CA2CC1">
        <w:rPr>
          <w:rFonts w:cs="Calibri"/>
          <w:color w:val="414042"/>
        </w:rPr>
        <w:t>are</w:t>
      </w:r>
      <w:r w:rsidRPr="00CA2CC1">
        <w:rPr>
          <w:rFonts w:cs="Calibri"/>
          <w:color w:val="414042"/>
          <w:spacing w:val="-5"/>
        </w:rPr>
        <w:t xml:space="preserve"> </w:t>
      </w:r>
      <w:r w:rsidRPr="00CA2CC1">
        <w:rPr>
          <w:rFonts w:cs="Calibri"/>
          <w:color w:val="414042"/>
        </w:rPr>
        <w:t>particularly</w:t>
      </w:r>
      <w:r w:rsidRPr="00CA2CC1">
        <w:rPr>
          <w:rFonts w:cs="Calibri"/>
          <w:color w:val="414042"/>
          <w:spacing w:val="-5"/>
        </w:rPr>
        <w:t xml:space="preserve"> </w:t>
      </w:r>
      <w:r w:rsidRPr="00CA2CC1">
        <w:rPr>
          <w:rFonts w:cs="Calibri"/>
          <w:color w:val="414042"/>
        </w:rPr>
        <w:t>visible</w:t>
      </w:r>
      <w:r w:rsidRPr="00CA2CC1">
        <w:rPr>
          <w:rFonts w:cs="Calibri"/>
          <w:color w:val="414042"/>
          <w:spacing w:val="-5"/>
        </w:rPr>
        <w:t xml:space="preserve"> </w:t>
      </w:r>
      <w:r w:rsidRPr="00CA2CC1">
        <w:rPr>
          <w:rFonts w:cs="Calibri"/>
          <w:color w:val="414042"/>
        </w:rPr>
        <w:t>in</w:t>
      </w:r>
      <w:r w:rsidRPr="00CA2CC1">
        <w:rPr>
          <w:rFonts w:cs="Calibri"/>
          <w:color w:val="414042"/>
          <w:spacing w:val="-5"/>
        </w:rPr>
        <w:t xml:space="preserve"> </w:t>
      </w:r>
      <w:r w:rsidRPr="00CA2CC1">
        <w:rPr>
          <w:rFonts w:cs="Calibri"/>
          <w:color w:val="414042"/>
        </w:rPr>
        <w:t>regional</w:t>
      </w:r>
      <w:r w:rsidRPr="00CA2CC1">
        <w:rPr>
          <w:rFonts w:cs="Calibri"/>
          <w:color w:val="414042"/>
          <w:spacing w:val="-5"/>
        </w:rPr>
        <w:t xml:space="preserve"> </w:t>
      </w:r>
      <w:r w:rsidRPr="00CA2CC1">
        <w:rPr>
          <w:rFonts w:cs="Calibri"/>
          <w:color w:val="414042"/>
        </w:rPr>
        <w:t>Victoria</w:t>
      </w:r>
      <w:r w:rsidRPr="00CA2CC1">
        <w:rPr>
          <w:rFonts w:cs="Calibri"/>
          <w:color w:val="414042"/>
          <w:spacing w:val="-5"/>
        </w:rPr>
        <w:t xml:space="preserve"> </w:t>
      </w:r>
      <w:r w:rsidRPr="00CA2CC1">
        <w:rPr>
          <w:rFonts w:cs="Calibri"/>
          <w:color w:val="414042"/>
        </w:rPr>
        <w:t>and</w:t>
      </w:r>
      <w:r w:rsidRPr="00CA2CC1">
        <w:rPr>
          <w:rFonts w:cs="Calibri"/>
          <w:color w:val="414042"/>
          <w:spacing w:val="-5"/>
        </w:rPr>
        <w:t xml:space="preserve"> </w:t>
      </w:r>
      <w:r w:rsidRPr="00CA2CC1">
        <w:rPr>
          <w:rFonts w:cs="Calibri"/>
          <w:color w:val="414042"/>
        </w:rPr>
        <w:t>Melbourne’s</w:t>
      </w:r>
      <w:r w:rsidRPr="00CA2CC1">
        <w:rPr>
          <w:rFonts w:cs="Calibri"/>
          <w:color w:val="414042"/>
          <w:spacing w:val="-5"/>
        </w:rPr>
        <w:t xml:space="preserve"> </w:t>
      </w:r>
      <w:r w:rsidRPr="00CA2CC1">
        <w:rPr>
          <w:rFonts w:cs="Calibri"/>
          <w:color w:val="414042"/>
        </w:rPr>
        <w:t>growth</w:t>
      </w:r>
      <w:r w:rsidRPr="00CA2CC1">
        <w:rPr>
          <w:rFonts w:cs="Calibri"/>
          <w:color w:val="414042"/>
          <w:spacing w:val="-5"/>
        </w:rPr>
        <w:t xml:space="preserve"> </w:t>
      </w:r>
      <w:r w:rsidRPr="00CA2CC1">
        <w:rPr>
          <w:rFonts w:cs="Calibri"/>
          <w:color w:val="414042"/>
        </w:rPr>
        <w:t>areas.</w:t>
      </w:r>
    </w:p>
    <w:p w14:paraId="1155C1C7" w14:textId="67B5BD66" w:rsidR="00FA4226" w:rsidRPr="00CA2CC1" w:rsidRDefault="00000000" w:rsidP="0043303B">
      <w:pPr>
        <w:pStyle w:val="BodyText"/>
        <w:rPr>
          <w:rFonts w:cs="Calibri"/>
        </w:rPr>
      </w:pPr>
      <w:r w:rsidRPr="00CA2CC1">
        <w:rPr>
          <w:rFonts w:cs="Calibri"/>
          <w:color w:val="414042"/>
        </w:rPr>
        <w:t>We</w:t>
      </w:r>
      <w:r w:rsidRPr="00CA2CC1">
        <w:rPr>
          <w:rFonts w:cs="Calibri"/>
          <w:color w:val="414042"/>
          <w:spacing w:val="-4"/>
        </w:rPr>
        <w:t xml:space="preserve"> </w:t>
      </w:r>
      <w:r w:rsidRPr="00CA2CC1">
        <w:rPr>
          <w:rFonts w:cs="Calibri"/>
          <w:color w:val="414042"/>
        </w:rPr>
        <w:t>will</w:t>
      </w:r>
      <w:r w:rsidRPr="00CA2CC1">
        <w:rPr>
          <w:rFonts w:cs="Calibri"/>
          <w:color w:val="414042"/>
          <w:spacing w:val="-4"/>
        </w:rPr>
        <w:t xml:space="preserve"> </w:t>
      </w:r>
      <w:r w:rsidRPr="00CA2CC1">
        <w:rPr>
          <w:rFonts w:cs="Calibri"/>
          <w:color w:val="414042"/>
        </w:rPr>
        <w:t>help</w:t>
      </w:r>
      <w:r w:rsidRPr="00CA2CC1">
        <w:rPr>
          <w:rFonts w:cs="Calibri"/>
          <w:color w:val="414042"/>
          <w:spacing w:val="-4"/>
        </w:rPr>
        <w:t xml:space="preserve"> </w:t>
      </w:r>
      <w:r w:rsidRPr="00CA2CC1">
        <w:rPr>
          <w:rFonts w:cs="Calibri"/>
          <w:color w:val="414042"/>
        </w:rPr>
        <w:t>people</w:t>
      </w:r>
      <w:r w:rsidRPr="00CA2CC1">
        <w:rPr>
          <w:rFonts w:cs="Calibri"/>
          <w:color w:val="414042"/>
          <w:spacing w:val="-4"/>
        </w:rPr>
        <w:t xml:space="preserve"> </w:t>
      </w:r>
      <w:r w:rsidRPr="00CA2CC1">
        <w:rPr>
          <w:rFonts w:cs="Calibri"/>
          <w:color w:val="414042"/>
        </w:rPr>
        <w:t>understand</w:t>
      </w:r>
      <w:r w:rsidRPr="00CA2CC1">
        <w:rPr>
          <w:rFonts w:cs="Calibri"/>
          <w:color w:val="414042"/>
          <w:spacing w:val="-4"/>
        </w:rPr>
        <w:t xml:space="preserve"> </w:t>
      </w:r>
      <w:r w:rsidRPr="00CA2CC1">
        <w:rPr>
          <w:rFonts w:cs="Calibri"/>
          <w:color w:val="414042"/>
        </w:rPr>
        <w:t>these</w:t>
      </w:r>
      <w:r w:rsidRPr="00CA2CC1">
        <w:rPr>
          <w:rFonts w:cs="Calibri"/>
          <w:color w:val="414042"/>
          <w:spacing w:val="-4"/>
        </w:rPr>
        <w:t xml:space="preserve"> </w:t>
      </w:r>
      <w:r w:rsidRPr="00CA2CC1">
        <w:rPr>
          <w:rFonts w:cs="Calibri"/>
          <w:color w:val="414042"/>
        </w:rPr>
        <w:t>differences</w:t>
      </w:r>
      <w:r w:rsidRPr="00CA2CC1">
        <w:rPr>
          <w:rFonts w:cs="Calibri"/>
          <w:color w:val="414042"/>
          <w:spacing w:val="-4"/>
        </w:rPr>
        <w:t xml:space="preserve"> </w:t>
      </w:r>
      <w:r w:rsidRPr="00CA2CC1">
        <w:rPr>
          <w:rFonts w:cs="Calibri"/>
          <w:color w:val="414042"/>
        </w:rPr>
        <w:t>and</w:t>
      </w:r>
      <w:r w:rsidRPr="00CA2CC1">
        <w:rPr>
          <w:rFonts w:cs="Calibri"/>
          <w:color w:val="414042"/>
          <w:spacing w:val="-4"/>
        </w:rPr>
        <w:t xml:space="preserve"> </w:t>
      </w:r>
      <w:r w:rsidRPr="00CA2CC1">
        <w:rPr>
          <w:rFonts w:cs="Calibri"/>
          <w:color w:val="414042"/>
        </w:rPr>
        <w:t>provide</w:t>
      </w:r>
      <w:r w:rsidRPr="00CA2CC1">
        <w:rPr>
          <w:rFonts w:cs="Calibri"/>
          <w:color w:val="414042"/>
          <w:spacing w:val="-4"/>
        </w:rPr>
        <w:t xml:space="preserve"> </w:t>
      </w:r>
      <w:r w:rsidRPr="00CA2CC1">
        <w:rPr>
          <w:rFonts w:cs="Calibri"/>
          <w:color w:val="414042"/>
        </w:rPr>
        <w:t>options</w:t>
      </w:r>
      <w:r w:rsidRPr="00CA2CC1">
        <w:rPr>
          <w:rFonts w:cs="Calibri"/>
          <w:color w:val="414042"/>
          <w:spacing w:val="-4"/>
        </w:rPr>
        <w:t xml:space="preserve"> </w:t>
      </w:r>
      <w:r w:rsidRPr="00CA2CC1">
        <w:rPr>
          <w:rFonts w:cs="Calibri"/>
          <w:color w:val="414042"/>
        </w:rPr>
        <w:t>to</w:t>
      </w:r>
      <w:r w:rsidRPr="00CA2CC1">
        <w:rPr>
          <w:rFonts w:cs="Calibri"/>
          <w:color w:val="414042"/>
          <w:spacing w:val="-4"/>
        </w:rPr>
        <w:t xml:space="preserve"> </w:t>
      </w:r>
      <w:r w:rsidRPr="00CA2CC1">
        <w:rPr>
          <w:rFonts w:cs="Calibri"/>
          <w:color w:val="414042"/>
        </w:rPr>
        <w:t>bridge</w:t>
      </w:r>
      <w:r w:rsidRPr="00CA2CC1">
        <w:rPr>
          <w:rFonts w:cs="Calibri"/>
          <w:color w:val="414042"/>
          <w:spacing w:val="-4"/>
        </w:rPr>
        <w:t xml:space="preserve"> </w:t>
      </w:r>
      <w:r w:rsidRPr="00CA2CC1">
        <w:rPr>
          <w:rFonts w:cs="Calibri"/>
          <w:color w:val="414042"/>
        </w:rPr>
        <w:t>the</w:t>
      </w:r>
      <w:r w:rsidRPr="00CA2CC1">
        <w:rPr>
          <w:rFonts w:cs="Calibri"/>
          <w:color w:val="414042"/>
          <w:spacing w:val="-4"/>
        </w:rPr>
        <w:t xml:space="preserve"> </w:t>
      </w:r>
      <w:r w:rsidRPr="00CA2CC1">
        <w:rPr>
          <w:rFonts w:cs="Calibri"/>
          <w:color w:val="414042"/>
        </w:rPr>
        <w:t>disparities</w:t>
      </w:r>
      <w:r w:rsidRPr="00CA2CC1">
        <w:rPr>
          <w:rFonts w:cs="Calibri"/>
          <w:color w:val="414042"/>
          <w:spacing w:val="-4"/>
        </w:rPr>
        <w:t xml:space="preserve"> </w:t>
      </w:r>
      <w:r w:rsidRPr="00CA2CC1">
        <w:rPr>
          <w:rFonts w:cs="Calibri"/>
          <w:color w:val="414042"/>
        </w:rPr>
        <w:t>in</w:t>
      </w:r>
      <w:r w:rsidRPr="00CA2CC1">
        <w:rPr>
          <w:rFonts w:cs="Calibri"/>
          <w:color w:val="414042"/>
          <w:spacing w:val="-4"/>
        </w:rPr>
        <w:t xml:space="preserve"> </w:t>
      </w:r>
      <w:r w:rsidRPr="00CA2CC1">
        <w:rPr>
          <w:rFonts w:cs="Calibri"/>
          <w:color w:val="414042"/>
        </w:rPr>
        <w:t>access to infrastructure.</w:t>
      </w:r>
    </w:p>
    <w:p w14:paraId="21F7A3E6" w14:textId="6E2E22B6" w:rsidR="00FA4226" w:rsidRPr="00CA2CC1" w:rsidRDefault="00FA4226" w:rsidP="0043303B">
      <w:pPr>
        <w:pStyle w:val="BodyText"/>
        <w:spacing w:before="2"/>
        <w:rPr>
          <w:rFonts w:cs="Calibri"/>
          <w:sz w:val="9"/>
        </w:rPr>
      </w:pPr>
    </w:p>
    <w:p w14:paraId="3457664D" w14:textId="77777777" w:rsidR="00FA4226" w:rsidRPr="00CA2CC1" w:rsidRDefault="00000000" w:rsidP="0043303B">
      <w:pPr>
        <w:spacing w:before="59"/>
        <w:rPr>
          <w:rFonts w:cs="Calibri"/>
          <w:sz w:val="24"/>
        </w:rPr>
      </w:pPr>
      <w:r w:rsidRPr="00CA2CC1">
        <w:rPr>
          <w:rFonts w:cs="Calibri"/>
          <w:color w:val="B86497"/>
          <w:w w:val="110"/>
          <w:sz w:val="24"/>
        </w:rPr>
        <w:t>Mitigating</w:t>
      </w:r>
      <w:r w:rsidRPr="00CA2CC1">
        <w:rPr>
          <w:rFonts w:cs="Calibri"/>
          <w:color w:val="B86497"/>
          <w:spacing w:val="-8"/>
          <w:w w:val="110"/>
          <w:sz w:val="24"/>
        </w:rPr>
        <w:t xml:space="preserve"> </w:t>
      </w:r>
      <w:r w:rsidRPr="00CA2CC1">
        <w:rPr>
          <w:rFonts w:cs="Calibri"/>
          <w:color w:val="B86497"/>
          <w:w w:val="110"/>
          <w:sz w:val="24"/>
        </w:rPr>
        <w:t>and</w:t>
      </w:r>
      <w:r w:rsidRPr="00CA2CC1">
        <w:rPr>
          <w:rFonts w:cs="Calibri"/>
          <w:color w:val="B86497"/>
          <w:spacing w:val="-8"/>
          <w:w w:val="110"/>
          <w:sz w:val="24"/>
        </w:rPr>
        <w:t xml:space="preserve"> </w:t>
      </w:r>
      <w:r w:rsidRPr="00CA2CC1">
        <w:rPr>
          <w:rFonts w:cs="Calibri"/>
          <w:color w:val="B86497"/>
          <w:w w:val="110"/>
          <w:sz w:val="24"/>
        </w:rPr>
        <w:t>adapting</w:t>
      </w:r>
      <w:r w:rsidRPr="00CA2CC1">
        <w:rPr>
          <w:rFonts w:cs="Calibri"/>
          <w:color w:val="B86497"/>
          <w:spacing w:val="-10"/>
          <w:w w:val="110"/>
          <w:sz w:val="24"/>
        </w:rPr>
        <w:t xml:space="preserve"> </w:t>
      </w:r>
      <w:r w:rsidRPr="00CA2CC1">
        <w:rPr>
          <w:rFonts w:cs="Calibri"/>
          <w:color w:val="B86497"/>
          <w:w w:val="110"/>
          <w:sz w:val="24"/>
        </w:rPr>
        <w:t>to</w:t>
      </w:r>
      <w:r w:rsidRPr="00CA2CC1">
        <w:rPr>
          <w:rFonts w:cs="Calibri"/>
          <w:color w:val="B86497"/>
          <w:spacing w:val="-8"/>
          <w:w w:val="110"/>
          <w:sz w:val="24"/>
        </w:rPr>
        <w:t xml:space="preserve"> </w:t>
      </w:r>
      <w:r w:rsidRPr="00CA2CC1">
        <w:rPr>
          <w:rFonts w:cs="Calibri"/>
          <w:color w:val="B86497"/>
          <w:w w:val="110"/>
          <w:sz w:val="24"/>
        </w:rPr>
        <w:t>our</w:t>
      </w:r>
      <w:r w:rsidRPr="00CA2CC1">
        <w:rPr>
          <w:rFonts w:cs="Calibri"/>
          <w:color w:val="B86497"/>
          <w:spacing w:val="-8"/>
          <w:w w:val="110"/>
          <w:sz w:val="24"/>
        </w:rPr>
        <w:t xml:space="preserve"> </w:t>
      </w:r>
      <w:r w:rsidRPr="00CA2CC1">
        <w:rPr>
          <w:rFonts w:cs="Calibri"/>
          <w:color w:val="B86497"/>
          <w:w w:val="110"/>
          <w:sz w:val="24"/>
        </w:rPr>
        <w:t>changing</w:t>
      </w:r>
      <w:r w:rsidRPr="00CA2CC1">
        <w:rPr>
          <w:rFonts w:cs="Calibri"/>
          <w:color w:val="B86497"/>
          <w:spacing w:val="-8"/>
          <w:w w:val="110"/>
          <w:sz w:val="24"/>
        </w:rPr>
        <w:t xml:space="preserve"> </w:t>
      </w:r>
      <w:r w:rsidRPr="00CA2CC1">
        <w:rPr>
          <w:rFonts w:cs="Calibri"/>
          <w:color w:val="B86497"/>
          <w:spacing w:val="-2"/>
          <w:w w:val="110"/>
          <w:sz w:val="24"/>
        </w:rPr>
        <w:t>climate</w:t>
      </w:r>
    </w:p>
    <w:p w14:paraId="17FC7736" w14:textId="40E336AF" w:rsidR="00FA4226" w:rsidRPr="00CA2CC1" w:rsidRDefault="00000000" w:rsidP="0043303B">
      <w:pPr>
        <w:pStyle w:val="BodyText"/>
        <w:spacing w:before="104"/>
        <w:jc w:val="both"/>
        <w:rPr>
          <w:rFonts w:cs="Calibri"/>
        </w:rPr>
      </w:pPr>
      <w:r w:rsidRPr="00CA2CC1">
        <w:rPr>
          <w:rFonts w:cs="Calibri"/>
          <w:color w:val="414042"/>
        </w:rPr>
        <w:t>To</w:t>
      </w:r>
      <w:r w:rsidRPr="00CA2CC1">
        <w:rPr>
          <w:rFonts w:cs="Calibri"/>
          <w:color w:val="414042"/>
          <w:spacing w:val="-3"/>
        </w:rPr>
        <w:t xml:space="preserve"> </w:t>
      </w:r>
      <w:r w:rsidRPr="00CA2CC1">
        <w:rPr>
          <w:rFonts w:cs="Calibri"/>
          <w:color w:val="414042"/>
        </w:rPr>
        <w:t>meet</w:t>
      </w:r>
      <w:r w:rsidRPr="00CA2CC1">
        <w:rPr>
          <w:rFonts w:cs="Calibri"/>
          <w:color w:val="414042"/>
          <w:spacing w:val="-3"/>
        </w:rPr>
        <w:t xml:space="preserve"> </w:t>
      </w:r>
      <w:r w:rsidRPr="00CA2CC1">
        <w:rPr>
          <w:rFonts w:cs="Calibri"/>
          <w:color w:val="414042"/>
        </w:rPr>
        <w:t>the</w:t>
      </w:r>
      <w:r w:rsidRPr="00CA2CC1">
        <w:rPr>
          <w:rFonts w:cs="Calibri"/>
          <w:color w:val="414042"/>
          <w:spacing w:val="-3"/>
        </w:rPr>
        <w:t xml:space="preserve"> </w:t>
      </w:r>
      <w:r w:rsidRPr="00CA2CC1">
        <w:rPr>
          <w:rFonts w:cs="Calibri"/>
          <w:color w:val="414042"/>
        </w:rPr>
        <w:t>urgent</w:t>
      </w:r>
      <w:r w:rsidRPr="00CA2CC1">
        <w:rPr>
          <w:rFonts w:cs="Calibri"/>
          <w:color w:val="414042"/>
          <w:spacing w:val="-3"/>
        </w:rPr>
        <w:t xml:space="preserve"> </w:t>
      </w:r>
      <w:r w:rsidRPr="00CA2CC1">
        <w:rPr>
          <w:rFonts w:cs="Calibri"/>
          <w:color w:val="414042"/>
        </w:rPr>
        <w:t>challenges</w:t>
      </w:r>
      <w:r w:rsidRPr="00CA2CC1">
        <w:rPr>
          <w:rFonts w:cs="Calibri"/>
          <w:color w:val="414042"/>
          <w:spacing w:val="-3"/>
        </w:rPr>
        <w:t xml:space="preserve"> </w:t>
      </w:r>
      <w:r w:rsidRPr="00CA2CC1">
        <w:rPr>
          <w:rFonts w:cs="Calibri"/>
          <w:color w:val="414042"/>
        </w:rPr>
        <w:t>of</w:t>
      </w:r>
      <w:r w:rsidRPr="00CA2CC1">
        <w:rPr>
          <w:rFonts w:cs="Calibri"/>
          <w:color w:val="414042"/>
          <w:spacing w:val="-3"/>
        </w:rPr>
        <w:t xml:space="preserve"> </w:t>
      </w:r>
      <w:r w:rsidRPr="00CA2CC1">
        <w:rPr>
          <w:rFonts w:cs="Calibri"/>
          <w:color w:val="414042"/>
        </w:rPr>
        <w:t>climate</w:t>
      </w:r>
      <w:r w:rsidRPr="00CA2CC1">
        <w:rPr>
          <w:rFonts w:cs="Calibri"/>
          <w:color w:val="414042"/>
          <w:spacing w:val="-3"/>
        </w:rPr>
        <w:t xml:space="preserve"> </w:t>
      </w:r>
      <w:r w:rsidRPr="00CA2CC1">
        <w:rPr>
          <w:rFonts w:cs="Calibri"/>
          <w:color w:val="414042"/>
        </w:rPr>
        <w:t>change,</w:t>
      </w:r>
      <w:r w:rsidRPr="00CA2CC1">
        <w:rPr>
          <w:rFonts w:cs="Calibri"/>
          <w:color w:val="414042"/>
          <w:spacing w:val="-3"/>
        </w:rPr>
        <w:t xml:space="preserve"> </w:t>
      </w:r>
      <w:r w:rsidRPr="00CA2CC1">
        <w:rPr>
          <w:rFonts w:cs="Calibri"/>
          <w:color w:val="414042"/>
        </w:rPr>
        <w:t>we</w:t>
      </w:r>
      <w:r w:rsidRPr="00CA2CC1">
        <w:rPr>
          <w:rFonts w:cs="Calibri"/>
          <w:color w:val="414042"/>
          <w:spacing w:val="-3"/>
        </w:rPr>
        <w:t xml:space="preserve"> </w:t>
      </w:r>
      <w:r w:rsidRPr="00CA2CC1">
        <w:rPr>
          <w:rFonts w:cs="Calibri"/>
          <w:color w:val="414042"/>
        </w:rPr>
        <w:t>will</w:t>
      </w:r>
      <w:r w:rsidRPr="00CA2CC1">
        <w:rPr>
          <w:rFonts w:cs="Calibri"/>
          <w:color w:val="414042"/>
          <w:spacing w:val="-3"/>
        </w:rPr>
        <w:t xml:space="preserve"> </w:t>
      </w:r>
      <w:r w:rsidRPr="00CA2CC1">
        <w:rPr>
          <w:rFonts w:cs="Calibri"/>
          <w:color w:val="414042"/>
        </w:rPr>
        <w:t>help</w:t>
      </w:r>
      <w:r w:rsidRPr="00CA2CC1">
        <w:rPr>
          <w:rFonts w:cs="Calibri"/>
          <w:color w:val="414042"/>
          <w:spacing w:val="-3"/>
        </w:rPr>
        <w:t xml:space="preserve"> </w:t>
      </w:r>
      <w:r w:rsidRPr="00CA2CC1">
        <w:rPr>
          <w:rFonts w:cs="Calibri"/>
          <w:color w:val="414042"/>
        </w:rPr>
        <w:t>identify</w:t>
      </w:r>
      <w:r w:rsidRPr="00CA2CC1">
        <w:rPr>
          <w:rFonts w:cs="Calibri"/>
          <w:color w:val="414042"/>
          <w:spacing w:val="-3"/>
        </w:rPr>
        <w:t xml:space="preserve"> </w:t>
      </w:r>
      <w:r w:rsidRPr="00CA2CC1">
        <w:rPr>
          <w:rFonts w:cs="Calibri"/>
          <w:color w:val="414042"/>
        </w:rPr>
        <w:t>and</w:t>
      </w:r>
      <w:r w:rsidRPr="00CA2CC1">
        <w:rPr>
          <w:rFonts w:cs="Calibri"/>
          <w:color w:val="414042"/>
          <w:spacing w:val="-3"/>
        </w:rPr>
        <w:t xml:space="preserve"> </w:t>
      </w:r>
      <w:r w:rsidRPr="00CA2CC1">
        <w:rPr>
          <w:rFonts w:cs="Calibri"/>
          <w:color w:val="414042"/>
        </w:rPr>
        <w:t>address</w:t>
      </w:r>
      <w:r w:rsidRPr="00CA2CC1">
        <w:rPr>
          <w:rFonts w:cs="Calibri"/>
          <w:color w:val="414042"/>
          <w:spacing w:val="-3"/>
        </w:rPr>
        <w:t xml:space="preserve"> </w:t>
      </w:r>
      <w:r w:rsidRPr="00CA2CC1">
        <w:rPr>
          <w:rFonts w:cs="Calibri"/>
          <w:color w:val="414042"/>
        </w:rPr>
        <w:t>priorities</w:t>
      </w:r>
      <w:r w:rsidRPr="00CA2CC1">
        <w:rPr>
          <w:rFonts w:cs="Calibri"/>
          <w:color w:val="414042"/>
          <w:spacing w:val="-3"/>
        </w:rPr>
        <w:t xml:space="preserve"> </w:t>
      </w:r>
      <w:r w:rsidRPr="00CA2CC1">
        <w:rPr>
          <w:rFonts w:cs="Calibri"/>
          <w:color w:val="414042"/>
        </w:rPr>
        <w:t>to</w:t>
      </w:r>
      <w:r w:rsidRPr="00CA2CC1">
        <w:rPr>
          <w:rFonts w:cs="Calibri"/>
          <w:color w:val="414042"/>
          <w:spacing w:val="-3"/>
        </w:rPr>
        <w:t xml:space="preserve"> </w:t>
      </w:r>
      <w:r w:rsidRPr="00CA2CC1">
        <w:rPr>
          <w:rFonts w:cs="Calibri"/>
          <w:color w:val="414042"/>
        </w:rPr>
        <w:t>adapt</w:t>
      </w:r>
      <w:r w:rsidRPr="00CA2CC1">
        <w:rPr>
          <w:rFonts w:cs="Calibri"/>
          <w:color w:val="414042"/>
          <w:spacing w:val="-3"/>
        </w:rPr>
        <w:t xml:space="preserve"> </w:t>
      </w:r>
      <w:r w:rsidRPr="00CA2CC1">
        <w:rPr>
          <w:rFonts w:cs="Calibri"/>
          <w:color w:val="414042"/>
        </w:rPr>
        <w:t>Victorian infrastructure</w:t>
      </w:r>
      <w:r w:rsidRPr="00CA2CC1">
        <w:rPr>
          <w:rFonts w:cs="Calibri"/>
          <w:color w:val="414042"/>
          <w:spacing w:val="-4"/>
        </w:rPr>
        <w:t xml:space="preserve"> </w:t>
      </w:r>
      <w:r w:rsidRPr="00CA2CC1">
        <w:rPr>
          <w:rFonts w:cs="Calibri"/>
          <w:color w:val="414042"/>
        </w:rPr>
        <w:t>to</w:t>
      </w:r>
      <w:r w:rsidRPr="00CA2CC1">
        <w:rPr>
          <w:rFonts w:cs="Calibri"/>
          <w:color w:val="414042"/>
          <w:spacing w:val="-4"/>
        </w:rPr>
        <w:t xml:space="preserve"> </w:t>
      </w:r>
      <w:r w:rsidRPr="00CA2CC1">
        <w:rPr>
          <w:rFonts w:cs="Calibri"/>
          <w:color w:val="414042"/>
        </w:rPr>
        <w:t>climate</w:t>
      </w:r>
      <w:r w:rsidRPr="00CA2CC1">
        <w:rPr>
          <w:rFonts w:cs="Calibri"/>
          <w:color w:val="414042"/>
          <w:spacing w:val="-4"/>
        </w:rPr>
        <w:t xml:space="preserve"> </w:t>
      </w:r>
      <w:r w:rsidRPr="00CA2CC1">
        <w:rPr>
          <w:rFonts w:cs="Calibri"/>
          <w:color w:val="414042"/>
        </w:rPr>
        <w:t>change.</w:t>
      </w:r>
      <w:r w:rsidRPr="00CA2CC1">
        <w:rPr>
          <w:rFonts w:cs="Calibri"/>
          <w:color w:val="414042"/>
          <w:spacing w:val="-4"/>
        </w:rPr>
        <w:t xml:space="preserve"> </w:t>
      </w:r>
      <w:r w:rsidRPr="00CA2CC1">
        <w:rPr>
          <w:rFonts w:cs="Calibri"/>
          <w:color w:val="414042"/>
        </w:rPr>
        <w:t>We</w:t>
      </w:r>
      <w:r w:rsidRPr="00CA2CC1">
        <w:rPr>
          <w:rFonts w:cs="Calibri"/>
          <w:color w:val="414042"/>
          <w:spacing w:val="-4"/>
        </w:rPr>
        <w:t xml:space="preserve"> </w:t>
      </w:r>
      <w:r w:rsidRPr="00CA2CC1">
        <w:rPr>
          <w:rFonts w:cs="Calibri"/>
          <w:color w:val="414042"/>
        </w:rPr>
        <w:t>will</w:t>
      </w:r>
      <w:r w:rsidRPr="00CA2CC1">
        <w:rPr>
          <w:rFonts w:cs="Calibri"/>
          <w:color w:val="414042"/>
          <w:spacing w:val="-4"/>
        </w:rPr>
        <w:t xml:space="preserve"> </w:t>
      </w:r>
      <w:r w:rsidRPr="00CA2CC1">
        <w:rPr>
          <w:rFonts w:cs="Calibri"/>
          <w:color w:val="414042"/>
        </w:rPr>
        <w:t>also</w:t>
      </w:r>
      <w:r w:rsidRPr="00CA2CC1">
        <w:rPr>
          <w:rFonts w:cs="Calibri"/>
          <w:color w:val="414042"/>
          <w:spacing w:val="-4"/>
        </w:rPr>
        <w:t xml:space="preserve"> </w:t>
      </w:r>
      <w:r w:rsidRPr="00CA2CC1">
        <w:rPr>
          <w:rFonts w:cs="Calibri"/>
          <w:color w:val="414042"/>
        </w:rPr>
        <w:t>investigate</w:t>
      </w:r>
      <w:r w:rsidRPr="00CA2CC1">
        <w:rPr>
          <w:rFonts w:cs="Calibri"/>
          <w:color w:val="414042"/>
          <w:spacing w:val="-4"/>
        </w:rPr>
        <w:t xml:space="preserve"> </w:t>
      </w:r>
      <w:r w:rsidRPr="00CA2CC1">
        <w:rPr>
          <w:rFonts w:cs="Calibri"/>
          <w:color w:val="414042"/>
        </w:rPr>
        <w:t>any</w:t>
      </w:r>
      <w:r w:rsidRPr="00CA2CC1">
        <w:rPr>
          <w:rFonts w:cs="Calibri"/>
          <w:color w:val="414042"/>
          <w:spacing w:val="-4"/>
        </w:rPr>
        <w:t xml:space="preserve"> </w:t>
      </w:r>
      <w:r w:rsidRPr="00CA2CC1">
        <w:rPr>
          <w:rFonts w:cs="Calibri"/>
          <w:color w:val="414042"/>
        </w:rPr>
        <w:t>unexploited</w:t>
      </w:r>
      <w:r w:rsidRPr="00CA2CC1">
        <w:rPr>
          <w:rFonts w:cs="Calibri"/>
          <w:color w:val="414042"/>
          <w:spacing w:val="-4"/>
        </w:rPr>
        <w:t xml:space="preserve"> </w:t>
      </w:r>
      <w:r w:rsidRPr="00CA2CC1">
        <w:rPr>
          <w:rFonts w:cs="Calibri"/>
          <w:color w:val="414042"/>
        </w:rPr>
        <w:t>opportunities</w:t>
      </w:r>
      <w:r w:rsidRPr="00CA2CC1">
        <w:rPr>
          <w:rFonts w:cs="Calibri"/>
          <w:color w:val="414042"/>
          <w:spacing w:val="-4"/>
        </w:rPr>
        <w:t xml:space="preserve"> </w:t>
      </w:r>
      <w:r w:rsidRPr="00CA2CC1">
        <w:rPr>
          <w:rFonts w:cs="Calibri"/>
          <w:color w:val="414042"/>
        </w:rPr>
        <w:t>to</w:t>
      </w:r>
      <w:r w:rsidRPr="00CA2CC1">
        <w:rPr>
          <w:rFonts w:cs="Calibri"/>
          <w:color w:val="414042"/>
          <w:spacing w:val="-4"/>
        </w:rPr>
        <w:t xml:space="preserve"> </w:t>
      </w:r>
      <w:r w:rsidRPr="00CA2CC1">
        <w:rPr>
          <w:rFonts w:cs="Calibri"/>
          <w:color w:val="414042"/>
        </w:rPr>
        <w:t>reduce</w:t>
      </w:r>
      <w:r w:rsidRPr="00CA2CC1">
        <w:rPr>
          <w:rFonts w:cs="Calibri"/>
          <w:color w:val="414042"/>
          <w:spacing w:val="-4"/>
        </w:rPr>
        <w:t xml:space="preserve"> </w:t>
      </w:r>
      <w:r w:rsidRPr="00CA2CC1">
        <w:rPr>
          <w:rFonts w:cs="Calibri"/>
          <w:color w:val="414042"/>
        </w:rPr>
        <w:t>infrastructure related emissions. We will help the government and industries better consider climate change in infrastructure decisions and advise on proposals that reduce emissions.</w:t>
      </w:r>
    </w:p>
    <w:p w14:paraId="4B7600EC" w14:textId="1F33E5AF" w:rsidR="00FA4226" w:rsidRPr="00CA2CC1" w:rsidRDefault="00FA4226" w:rsidP="0043303B">
      <w:pPr>
        <w:pStyle w:val="BodyText"/>
        <w:spacing w:before="3"/>
        <w:rPr>
          <w:rFonts w:cs="Calibri"/>
          <w:sz w:val="9"/>
        </w:rPr>
      </w:pPr>
    </w:p>
    <w:p w14:paraId="090E4151" w14:textId="77777777" w:rsidR="00FA4226" w:rsidRPr="00CA2CC1" w:rsidRDefault="00000000" w:rsidP="0043303B">
      <w:pPr>
        <w:spacing w:before="59"/>
        <w:rPr>
          <w:rFonts w:cs="Calibri"/>
          <w:sz w:val="24"/>
        </w:rPr>
      </w:pPr>
      <w:r w:rsidRPr="00CA2CC1">
        <w:rPr>
          <w:rFonts w:cs="Calibri"/>
          <w:color w:val="B86497"/>
          <w:w w:val="105"/>
          <w:sz w:val="24"/>
        </w:rPr>
        <w:t>Improving</w:t>
      </w:r>
      <w:r w:rsidRPr="00CA2CC1">
        <w:rPr>
          <w:rFonts w:cs="Calibri"/>
          <w:color w:val="B86497"/>
          <w:spacing w:val="12"/>
          <w:w w:val="105"/>
          <w:sz w:val="24"/>
        </w:rPr>
        <w:t xml:space="preserve"> </w:t>
      </w:r>
      <w:r w:rsidRPr="00CA2CC1">
        <w:rPr>
          <w:rFonts w:cs="Calibri"/>
          <w:color w:val="B86497"/>
          <w:w w:val="105"/>
          <w:sz w:val="24"/>
        </w:rPr>
        <w:t>how</w:t>
      </w:r>
      <w:r w:rsidRPr="00CA2CC1">
        <w:rPr>
          <w:rFonts w:cs="Calibri"/>
          <w:color w:val="B86497"/>
          <w:spacing w:val="12"/>
          <w:w w:val="105"/>
          <w:sz w:val="24"/>
        </w:rPr>
        <w:t xml:space="preserve"> </w:t>
      </w:r>
      <w:r w:rsidRPr="00CA2CC1">
        <w:rPr>
          <w:rFonts w:cs="Calibri"/>
          <w:color w:val="B86497"/>
          <w:w w:val="105"/>
          <w:sz w:val="24"/>
        </w:rPr>
        <w:t>people</w:t>
      </w:r>
      <w:r w:rsidRPr="00CA2CC1">
        <w:rPr>
          <w:rFonts w:cs="Calibri"/>
          <w:color w:val="B86497"/>
          <w:spacing w:val="12"/>
          <w:w w:val="105"/>
          <w:sz w:val="24"/>
        </w:rPr>
        <w:t xml:space="preserve"> </w:t>
      </w:r>
      <w:r w:rsidRPr="00CA2CC1">
        <w:rPr>
          <w:rFonts w:cs="Calibri"/>
          <w:color w:val="B86497"/>
          <w:w w:val="105"/>
          <w:sz w:val="24"/>
        </w:rPr>
        <w:t>engage</w:t>
      </w:r>
      <w:r w:rsidRPr="00CA2CC1">
        <w:rPr>
          <w:rFonts w:cs="Calibri"/>
          <w:color w:val="B86497"/>
          <w:spacing w:val="7"/>
          <w:w w:val="105"/>
          <w:sz w:val="24"/>
        </w:rPr>
        <w:t xml:space="preserve"> </w:t>
      </w:r>
      <w:r w:rsidRPr="00CA2CC1">
        <w:rPr>
          <w:rFonts w:cs="Calibri"/>
          <w:color w:val="B86497"/>
          <w:w w:val="105"/>
          <w:sz w:val="24"/>
        </w:rPr>
        <w:t>with</w:t>
      </w:r>
      <w:r w:rsidRPr="00CA2CC1">
        <w:rPr>
          <w:rFonts w:cs="Calibri"/>
          <w:color w:val="B86497"/>
          <w:spacing w:val="12"/>
          <w:w w:val="105"/>
          <w:sz w:val="24"/>
        </w:rPr>
        <w:t xml:space="preserve"> </w:t>
      </w:r>
      <w:r w:rsidRPr="00CA2CC1">
        <w:rPr>
          <w:rFonts w:cs="Calibri"/>
          <w:color w:val="B86497"/>
          <w:w w:val="105"/>
          <w:sz w:val="24"/>
        </w:rPr>
        <w:t>our</w:t>
      </w:r>
      <w:r w:rsidRPr="00CA2CC1">
        <w:rPr>
          <w:rFonts w:cs="Calibri"/>
          <w:color w:val="B86497"/>
          <w:spacing w:val="6"/>
          <w:w w:val="105"/>
          <w:sz w:val="24"/>
        </w:rPr>
        <w:t xml:space="preserve"> </w:t>
      </w:r>
      <w:r w:rsidRPr="00CA2CC1">
        <w:rPr>
          <w:rFonts w:cs="Calibri"/>
          <w:color w:val="B86497"/>
          <w:spacing w:val="-4"/>
          <w:w w:val="105"/>
          <w:sz w:val="24"/>
        </w:rPr>
        <w:t>work</w:t>
      </w:r>
    </w:p>
    <w:p w14:paraId="02EC8344" w14:textId="43FFD794" w:rsidR="00FA4226" w:rsidRPr="00CA2CC1" w:rsidRDefault="00000000" w:rsidP="0043303B">
      <w:pPr>
        <w:pStyle w:val="BodyText"/>
        <w:spacing w:before="104"/>
        <w:rPr>
          <w:rFonts w:cs="Calibri"/>
        </w:rPr>
      </w:pPr>
      <w:r w:rsidRPr="00CA2CC1">
        <w:rPr>
          <w:rFonts w:cs="Calibri"/>
          <w:color w:val="414042"/>
        </w:rPr>
        <w:t>More people are accessing our work online. We want to improve the usability and presentation of our research. We will explore the needs of our major audiences, adopt a digital-first approach and redevelop our website so people can better access our information. We will use visualisation tools to bring our evidence- based</w:t>
      </w:r>
      <w:r w:rsidRPr="00CA2CC1">
        <w:rPr>
          <w:rFonts w:cs="Calibri"/>
          <w:color w:val="414042"/>
          <w:spacing w:val="-3"/>
        </w:rPr>
        <w:t xml:space="preserve"> </w:t>
      </w:r>
      <w:r w:rsidRPr="00CA2CC1">
        <w:rPr>
          <w:rFonts w:cs="Calibri"/>
          <w:color w:val="414042"/>
        </w:rPr>
        <w:t>research</w:t>
      </w:r>
      <w:r w:rsidRPr="00CA2CC1">
        <w:rPr>
          <w:rFonts w:cs="Calibri"/>
          <w:color w:val="414042"/>
          <w:spacing w:val="-3"/>
        </w:rPr>
        <w:t xml:space="preserve"> </w:t>
      </w:r>
      <w:r w:rsidRPr="00CA2CC1">
        <w:rPr>
          <w:rFonts w:cs="Calibri"/>
          <w:color w:val="414042"/>
        </w:rPr>
        <w:t>to</w:t>
      </w:r>
      <w:r w:rsidRPr="00CA2CC1">
        <w:rPr>
          <w:rFonts w:cs="Calibri"/>
          <w:color w:val="414042"/>
          <w:spacing w:val="-3"/>
        </w:rPr>
        <w:t xml:space="preserve"> </w:t>
      </w:r>
      <w:r w:rsidRPr="00CA2CC1">
        <w:rPr>
          <w:rFonts w:cs="Calibri"/>
          <w:color w:val="414042"/>
        </w:rPr>
        <w:t>life.</w:t>
      </w:r>
      <w:r w:rsidRPr="00CA2CC1">
        <w:rPr>
          <w:rFonts w:cs="Calibri"/>
          <w:color w:val="414042"/>
          <w:spacing w:val="-3"/>
        </w:rPr>
        <w:t xml:space="preserve"> </w:t>
      </w:r>
      <w:r w:rsidRPr="00CA2CC1">
        <w:rPr>
          <w:rFonts w:cs="Calibri"/>
          <w:color w:val="414042"/>
        </w:rPr>
        <w:t>These</w:t>
      </w:r>
      <w:r w:rsidRPr="00CA2CC1">
        <w:rPr>
          <w:rFonts w:cs="Calibri"/>
          <w:color w:val="414042"/>
          <w:spacing w:val="-3"/>
        </w:rPr>
        <w:t xml:space="preserve"> </w:t>
      </w:r>
      <w:r w:rsidRPr="00CA2CC1">
        <w:rPr>
          <w:rFonts w:cs="Calibri"/>
          <w:color w:val="414042"/>
        </w:rPr>
        <w:t>initiatives</w:t>
      </w:r>
      <w:r w:rsidRPr="00CA2CC1">
        <w:rPr>
          <w:rFonts w:cs="Calibri"/>
          <w:color w:val="414042"/>
          <w:spacing w:val="-3"/>
        </w:rPr>
        <w:t xml:space="preserve"> </w:t>
      </w:r>
      <w:r w:rsidRPr="00CA2CC1">
        <w:rPr>
          <w:rFonts w:cs="Calibri"/>
          <w:color w:val="414042"/>
        </w:rPr>
        <w:t>will</w:t>
      </w:r>
      <w:r w:rsidRPr="00CA2CC1">
        <w:rPr>
          <w:rFonts w:cs="Calibri"/>
          <w:color w:val="414042"/>
          <w:spacing w:val="-3"/>
        </w:rPr>
        <w:t xml:space="preserve"> </w:t>
      </w:r>
      <w:r w:rsidRPr="00CA2CC1">
        <w:rPr>
          <w:rFonts w:cs="Calibri"/>
          <w:color w:val="414042"/>
        </w:rPr>
        <w:t>set</w:t>
      </w:r>
      <w:r w:rsidRPr="00CA2CC1">
        <w:rPr>
          <w:rFonts w:cs="Calibri"/>
          <w:color w:val="414042"/>
          <w:spacing w:val="-3"/>
        </w:rPr>
        <w:t xml:space="preserve"> </w:t>
      </w:r>
      <w:r w:rsidRPr="00CA2CC1">
        <w:rPr>
          <w:rFonts w:cs="Calibri"/>
          <w:color w:val="414042"/>
        </w:rPr>
        <w:t>us</w:t>
      </w:r>
      <w:r w:rsidRPr="00CA2CC1">
        <w:rPr>
          <w:rFonts w:cs="Calibri"/>
          <w:color w:val="414042"/>
          <w:spacing w:val="-3"/>
        </w:rPr>
        <w:t xml:space="preserve"> </w:t>
      </w:r>
      <w:r w:rsidRPr="00CA2CC1">
        <w:rPr>
          <w:rFonts w:cs="Calibri"/>
          <w:color w:val="414042"/>
        </w:rPr>
        <w:t>up</w:t>
      </w:r>
      <w:r w:rsidRPr="00CA2CC1">
        <w:rPr>
          <w:rFonts w:cs="Calibri"/>
          <w:color w:val="414042"/>
          <w:spacing w:val="-3"/>
        </w:rPr>
        <w:t xml:space="preserve"> </w:t>
      </w:r>
      <w:r w:rsidRPr="00CA2CC1">
        <w:rPr>
          <w:rFonts w:cs="Calibri"/>
          <w:color w:val="414042"/>
        </w:rPr>
        <w:t>for</w:t>
      </w:r>
      <w:r w:rsidRPr="00CA2CC1">
        <w:rPr>
          <w:rFonts w:cs="Calibri"/>
          <w:color w:val="414042"/>
          <w:spacing w:val="-2"/>
        </w:rPr>
        <w:t xml:space="preserve"> </w:t>
      </w:r>
      <w:r w:rsidRPr="00CA2CC1">
        <w:rPr>
          <w:rFonts w:cs="Calibri"/>
          <w:color w:val="414042"/>
        </w:rPr>
        <w:t>success</w:t>
      </w:r>
      <w:r w:rsidRPr="00CA2CC1">
        <w:rPr>
          <w:rFonts w:cs="Calibri"/>
          <w:color w:val="414042"/>
          <w:spacing w:val="-3"/>
        </w:rPr>
        <w:t xml:space="preserve"> </w:t>
      </w:r>
      <w:r w:rsidRPr="00CA2CC1">
        <w:rPr>
          <w:rFonts w:cs="Calibri"/>
          <w:color w:val="414042"/>
        </w:rPr>
        <w:t>as</w:t>
      </w:r>
      <w:r w:rsidRPr="00CA2CC1">
        <w:rPr>
          <w:rFonts w:cs="Calibri"/>
          <w:color w:val="414042"/>
          <w:spacing w:val="-2"/>
        </w:rPr>
        <w:t xml:space="preserve"> </w:t>
      </w:r>
      <w:r w:rsidRPr="00CA2CC1">
        <w:rPr>
          <w:rFonts w:cs="Calibri"/>
          <w:color w:val="414042"/>
        </w:rPr>
        <w:t>our</w:t>
      </w:r>
      <w:r w:rsidRPr="00CA2CC1">
        <w:rPr>
          <w:rFonts w:cs="Calibri"/>
          <w:color w:val="414042"/>
          <w:spacing w:val="-2"/>
        </w:rPr>
        <w:t xml:space="preserve"> </w:t>
      </w:r>
      <w:r w:rsidRPr="00CA2CC1">
        <w:rPr>
          <w:rFonts w:cs="Calibri"/>
          <w:color w:val="414042"/>
        </w:rPr>
        <w:t>catalogue</w:t>
      </w:r>
      <w:r w:rsidRPr="00CA2CC1">
        <w:rPr>
          <w:rFonts w:cs="Calibri"/>
          <w:color w:val="414042"/>
          <w:spacing w:val="-2"/>
        </w:rPr>
        <w:t xml:space="preserve"> </w:t>
      </w:r>
      <w:r w:rsidRPr="00CA2CC1">
        <w:rPr>
          <w:rFonts w:cs="Calibri"/>
          <w:color w:val="414042"/>
        </w:rPr>
        <w:t>of</w:t>
      </w:r>
      <w:r w:rsidRPr="00CA2CC1">
        <w:rPr>
          <w:rFonts w:cs="Calibri"/>
          <w:color w:val="414042"/>
          <w:spacing w:val="-2"/>
        </w:rPr>
        <w:t xml:space="preserve"> </w:t>
      </w:r>
      <w:r w:rsidRPr="00CA2CC1">
        <w:rPr>
          <w:rFonts w:cs="Calibri"/>
          <w:color w:val="414042"/>
        </w:rPr>
        <w:t>work</w:t>
      </w:r>
      <w:r w:rsidRPr="00CA2CC1">
        <w:rPr>
          <w:rFonts w:cs="Calibri"/>
          <w:color w:val="414042"/>
          <w:spacing w:val="-3"/>
        </w:rPr>
        <w:t xml:space="preserve"> </w:t>
      </w:r>
      <w:r w:rsidRPr="00CA2CC1">
        <w:rPr>
          <w:rFonts w:cs="Calibri"/>
          <w:color w:val="414042"/>
        </w:rPr>
        <w:t>grows</w:t>
      </w:r>
      <w:r w:rsidRPr="00CA2CC1">
        <w:rPr>
          <w:rFonts w:cs="Calibri"/>
          <w:color w:val="414042"/>
          <w:spacing w:val="-3"/>
        </w:rPr>
        <w:t xml:space="preserve"> </w:t>
      </w:r>
      <w:r w:rsidRPr="00CA2CC1">
        <w:rPr>
          <w:rFonts w:cs="Calibri"/>
          <w:color w:val="414042"/>
        </w:rPr>
        <w:t>over</w:t>
      </w:r>
      <w:r w:rsidRPr="00CA2CC1">
        <w:rPr>
          <w:rFonts w:cs="Calibri"/>
          <w:color w:val="414042"/>
          <w:spacing w:val="-3"/>
        </w:rPr>
        <w:t xml:space="preserve"> </w:t>
      </w:r>
      <w:r w:rsidRPr="00CA2CC1">
        <w:rPr>
          <w:rFonts w:cs="Calibri"/>
          <w:color w:val="414042"/>
        </w:rPr>
        <w:t>the</w:t>
      </w:r>
      <w:r w:rsidRPr="00CA2CC1">
        <w:rPr>
          <w:rFonts w:cs="Calibri"/>
          <w:color w:val="414042"/>
          <w:spacing w:val="-3"/>
        </w:rPr>
        <w:t xml:space="preserve"> </w:t>
      </w:r>
      <w:r w:rsidRPr="00CA2CC1">
        <w:rPr>
          <w:rFonts w:cs="Calibri"/>
          <w:color w:val="414042"/>
        </w:rPr>
        <w:t>next 5 years.</w:t>
      </w:r>
    </w:p>
    <w:p w14:paraId="46747C14" w14:textId="4409CFE4" w:rsidR="00FA4226" w:rsidRPr="00CA2CC1" w:rsidRDefault="00FA4226" w:rsidP="0043303B">
      <w:pPr>
        <w:pStyle w:val="BodyText"/>
        <w:spacing w:before="2"/>
        <w:rPr>
          <w:rFonts w:cs="Calibri"/>
          <w:sz w:val="9"/>
        </w:rPr>
      </w:pPr>
    </w:p>
    <w:p w14:paraId="7DC8E3D4" w14:textId="59377DD5" w:rsidR="00FA4226" w:rsidRPr="00CA2CC1" w:rsidRDefault="00000000" w:rsidP="0043303B">
      <w:pPr>
        <w:spacing w:before="59"/>
        <w:rPr>
          <w:rFonts w:cs="Calibri"/>
          <w:sz w:val="24"/>
        </w:rPr>
      </w:pPr>
      <w:r w:rsidRPr="00CA2CC1">
        <w:rPr>
          <w:rFonts w:cs="Calibri"/>
          <w:color w:val="B86497"/>
          <w:w w:val="105"/>
          <w:sz w:val="24"/>
        </w:rPr>
        <w:t>Supporting</w:t>
      </w:r>
      <w:r w:rsidRPr="00CA2CC1">
        <w:rPr>
          <w:rFonts w:cs="Calibri"/>
          <w:color w:val="B86497"/>
          <w:spacing w:val="14"/>
          <w:w w:val="105"/>
          <w:sz w:val="24"/>
        </w:rPr>
        <w:t xml:space="preserve"> </w:t>
      </w:r>
      <w:r w:rsidRPr="00CA2CC1">
        <w:rPr>
          <w:rFonts w:cs="Calibri"/>
          <w:color w:val="B86497"/>
          <w:w w:val="105"/>
          <w:sz w:val="24"/>
        </w:rPr>
        <w:t>success</w:t>
      </w:r>
      <w:r w:rsidRPr="00CA2CC1">
        <w:rPr>
          <w:rFonts w:cs="Calibri"/>
          <w:color w:val="B86497"/>
          <w:spacing w:val="14"/>
          <w:w w:val="105"/>
          <w:sz w:val="24"/>
        </w:rPr>
        <w:t xml:space="preserve"> </w:t>
      </w:r>
      <w:r w:rsidRPr="00CA2CC1">
        <w:rPr>
          <w:rFonts w:cs="Calibri"/>
          <w:color w:val="B86497"/>
          <w:w w:val="105"/>
          <w:sz w:val="24"/>
        </w:rPr>
        <w:t>in</w:t>
      </w:r>
      <w:r w:rsidRPr="00CA2CC1">
        <w:rPr>
          <w:rFonts w:cs="Calibri"/>
          <w:color w:val="B86497"/>
          <w:spacing w:val="14"/>
          <w:w w:val="105"/>
          <w:sz w:val="24"/>
        </w:rPr>
        <w:t xml:space="preserve"> </w:t>
      </w:r>
      <w:r w:rsidRPr="00CA2CC1">
        <w:rPr>
          <w:rFonts w:cs="Calibri"/>
          <w:color w:val="B86497"/>
          <w:w w:val="105"/>
          <w:sz w:val="24"/>
        </w:rPr>
        <w:t>a</w:t>
      </w:r>
      <w:r w:rsidRPr="00CA2CC1">
        <w:rPr>
          <w:rFonts w:cs="Calibri"/>
          <w:color w:val="B86497"/>
          <w:spacing w:val="15"/>
          <w:w w:val="105"/>
          <w:sz w:val="24"/>
        </w:rPr>
        <w:t xml:space="preserve"> </w:t>
      </w:r>
      <w:r w:rsidRPr="00CA2CC1">
        <w:rPr>
          <w:rFonts w:cs="Calibri"/>
          <w:color w:val="B86497"/>
          <w:w w:val="105"/>
          <w:sz w:val="24"/>
        </w:rPr>
        <w:t>hybrid</w:t>
      </w:r>
      <w:r w:rsidRPr="00CA2CC1">
        <w:rPr>
          <w:rFonts w:cs="Calibri"/>
          <w:color w:val="B86497"/>
          <w:spacing w:val="8"/>
          <w:w w:val="105"/>
          <w:sz w:val="24"/>
        </w:rPr>
        <w:t xml:space="preserve"> </w:t>
      </w:r>
      <w:r w:rsidRPr="00CA2CC1">
        <w:rPr>
          <w:rFonts w:cs="Calibri"/>
          <w:color w:val="B86497"/>
          <w:w w:val="105"/>
          <w:sz w:val="24"/>
        </w:rPr>
        <w:t>work</w:t>
      </w:r>
      <w:r w:rsidRPr="00CA2CC1">
        <w:rPr>
          <w:rFonts w:cs="Calibri"/>
          <w:color w:val="B86497"/>
          <w:spacing w:val="14"/>
          <w:w w:val="105"/>
          <w:sz w:val="24"/>
        </w:rPr>
        <w:t xml:space="preserve"> </w:t>
      </w:r>
      <w:r w:rsidRPr="00CA2CC1">
        <w:rPr>
          <w:rFonts w:cs="Calibri"/>
          <w:color w:val="B86497"/>
          <w:spacing w:val="-2"/>
          <w:w w:val="105"/>
          <w:sz w:val="24"/>
        </w:rPr>
        <w:t>environment</w:t>
      </w:r>
    </w:p>
    <w:p w14:paraId="1009B7E0" w14:textId="7DC1944F" w:rsidR="00FA4226" w:rsidRPr="00CA2CC1" w:rsidRDefault="00000000" w:rsidP="0043303B">
      <w:pPr>
        <w:pStyle w:val="BodyText"/>
        <w:spacing w:before="104"/>
        <w:jc w:val="both"/>
        <w:rPr>
          <w:rFonts w:cs="Calibri"/>
        </w:rPr>
      </w:pPr>
      <w:r w:rsidRPr="00CA2CC1">
        <w:rPr>
          <w:rFonts w:cs="Calibri"/>
          <w:color w:val="414042"/>
        </w:rPr>
        <w:t>To</w:t>
      </w:r>
      <w:r w:rsidRPr="00CA2CC1">
        <w:rPr>
          <w:rFonts w:cs="Calibri"/>
          <w:color w:val="414042"/>
          <w:spacing w:val="-4"/>
        </w:rPr>
        <w:t xml:space="preserve"> </w:t>
      </w:r>
      <w:r w:rsidRPr="00CA2CC1">
        <w:rPr>
          <w:rFonts w:cs="Calibri"/>
          <w:color w:val="414042"/>
        </w:rPr>
        <w:t>do</w:t>
      </w:r>
      <w:r w:rsidRPr="00CA2CC1">
        <w:rPr>
          <w:rFonts w:cs="Calibri"/>
          <w:color w:val="414042"/>
          <w:spacing w:val="-4"/>
        </w:rPr>
        <w:t xml:space="preserve"> </w:t>
      </w:r>
      <w:r w:rsidRPr="00CA2CC1">
        <w:rPr>
          <w:rFonts w:cs="Calibri"/>
          <w:color w:val="414042"/>
        </w:rPr>
        <w:t>our</w:t>
      </w:r>
      <w:r w:rsidRPr="00CA2CC1">
        <w:rPr>
          <w:rFonts w:cs="Calibri"/>
          <w:color w:val="414042"/>
          <w:spacing w:val="-4"/>
        </w:rPr>
        <w:t xml:space="preserve"> </w:t>
      </w:r>
      <w:r w:rsidRPr="00CA2CC1">
        <w:rPr>
          <w:rFonts w:cs="Calibri"/>
          <w:color w:val="414042"/>
        </w:rPr>
        <w:t>best</w:t>
      </w:r>
      <w:r w:rsidRPr="00CA2CC1">
        <w:rPr>
          <w:rFonts w:cs="Calibri"/>
          <w:color w:val="414042"/>
          <w:spacing w:val="-4"/>
        </w:rPr>
        <w:t xml:space="preserve"> </w:t>
      </w:r>
      <w:r w:rsidRPr="00CA2CC1">
        <w:rPr>
          <w:rFonts w:cs="Calibri"/>
          <w:color w:val="414042"/>
        </w:rPr>
        <w:t>work,</w:t>
      </w:r>
      <w:r w:rsidRPr="00CA2CC1">
        <w:rPr>
          <w:rFonts w:cs="Calibri"/>
          <w:color w:val="414042"/>
          <w:spacing w:val="-4"/>
        </w:rPr>
        <w:t xml:space="preserve"> </w:t>
      </w:r>
      <w:r w:rsidRPr="00CA2CC1">
        <w:rPr>
          <w:rFonts w:cs="Calibri"/>
          <w:color w:val="414042"/>
        </w:rPr>
        <w:t>our</w:t>
      </w:r>
      <w:r w:rsidRPr="00CA2CC1">
        <w:rPr>
          <w:rFonts w:cs="Calibri"/>
          <w:color w:val="414042"/>
          <w:spacing w:val="-4"/>
        </w:rPr>
        <w:t xml:space="preserve"> </w:t>
      </w:r>
      <w:r w:rsidRPr="00CA2CC1">
        <w:rPr>
          <w:rFonts w:cs="Calibri"/>
          <w:color w:val="414042"/>
        </w:rPr>
        <w:t>team</w:t>
      </w:r>
      <w:r w:rsidRPr="00CA2CC1">
        <w:rPr>
          <w:rFonts w:cs="Calibri"/>
          <w:color w:val="414042"/>
          <w:spacing w:val="-4"/>
        </w:rPr>
        <w:t xml:space="preserve"> </w:t>
      </w:r>
      <w:r w:rsidRPr="00CA2CC1">
        <w:rPr>
          <w:rFonts w:cs="Calibri"/>
          <w:color w:val="414042"/>
        </w:rPr>
        <w:t>deserves</w:t>
      </w:r>
      <w:r w:rsidRPr="00CA2CC1">
        <w:rPr>
          <w:rFonts w:cs="Calibri"/>
          <w:color w:val="414042"/>
          <w:spacing w:val="-4"/>
        </w:rPr>
        <w:t xml:space="preserve"> </w:t>
      </w:r>
      <w:r w:rsidRPr="00CA2CC1">
        <w:rPr>
          <w:rFonts w:cs="Calibri"/>
          <w:color w:val="414042"/>
        </w:rPr>
        <w:t>a</w:t>
      </w:r>
      <w:r w:rsidRPr="00CA2CC1">
        <w:rPr>
          <w:rFonts w:cs="Calibri"/>
          <w:color w:val="414042"/>
          <w:spacing w:val="-4"/>
        </w:rPr>
        <w:t xml:space="preserve"> </w:t>
      </w:r>
      <w:r w:rsidRPr="00CA2CC1">
        <w:rPr>
          <w:rFonts w:cs="Calibri"/>
          <w:color w:val="414042"/>
        </w:rPr>
        <w:t>positive</w:t>
      </w:r>
      <w:r w:rsidRPr="00CA2CC1">
        <w:rPr>
          <w:rFonts w:cs="Calibri"/>
          <w:color w:val="414042"/>
          <w:spacing w:val="-4"/>
        </w:rPr>
        <w:t xml:space="preserve"> </w:t>
      </w:r>
      <w:r w:rsidRPr="00CA2CC1">
        <w:rPr>
          <w:rFonts w:cs="Calibri"/>
          <w:color w:val="414042"/>
        </w:rPr>
        <w:t>culture,</w:t>
      </w:r>
      <w:r w:rsidRPr="00CA2CC1">
        <w:rPr>
          <w:rFonts w:cs="Calibri"/>
          <w:color w:val="414042"/>
          <w:spacing w:val="-4"/>
        </w:rPr>
        <w:t xml:space="preserve"> </w:t>
      </w:r>
      <w:r w:rsidRPr="00CA2CC1">
        <w:rPr>
          <w:rFonts w:cs="Calibri"/>
          <w:color w:val="414042"/>
        </w:rPr>
        <w:t>access</w:t>
      </w:r>
      <w:r w:rsidRPr="00CA2CC1">
        <w:rPr>
          <w:rFonts w:cs="Calibri"/>
          <w:color w:val="414042"/>
          <w:spacing w:val="-4"/>
        </w:rPr>
        <w:t xml:space="preserve"> </w:t>
      </w:r>
      <w:r w:rsidRPr="00CA2CC1">
        <w:rPr>
          <w:rFonts w:cs="Calibri"/>
          <w:color w:val="414042"/>
        </w:rPr>
        <w:t>to</w:t>
      </w:r>
      <w:r w:rsidRPr="00CA2CC1">
        <w:rPr>
          <w:rFonts w:cs="Calibri"/>
          <w:color w:val="414042"/>
          <w:spacing w:val="-4"/>
        </w:rPr>
        <w:t xml:space="preserve"> </w:t>
      </w:r>
      <w:r w:rsidRPr="00CA2CC1">
        <w:rPr>
          <w:rFonts w:cs="Calibri"/>
          <w:color w:val="414042"/>
        </w:rPr>
        <w:t>information</w:t>
      </w:r>
      <w:r w:rsidRPr="00CA2CC1">
        <w:rPr>
          <w:rFonts w:cs="Calibri"/>
          <w:color w:val="414042"/>
          <w:spacing w:val="-4"/>
        </w:rPr>
        <w:t xml:space="preserve"> </w:t>
      </w:r>
      <w:r w:rsidRPr="00CA2CC1">
        <w:rPr>
          <w:rFonts w:cs="Calibri"/>
          <w:color w:val="414042"/>
        </w:rPr>
        <w:t>and</w:t>
      </w:r>
      <w:r w:rsidRPr="00CA2CC1">
        <w:rPr>
          <w:rFonts w:cs="Calibri"/>
          <w:color w:val="414042"/>
          <w:spacing w:val="-4"/>
        </w:rPr>
        <w:t xml:space="preserve"> </w:t>
      </w:r>
      <w:r w:rsidRPr="00CA2CC1">
        <w:rPr>
          <w:rFonts w:cs="Calibri"/>
          <w:color w:val="414042"/>
        </w:rPr>
        <w:t>tools,</w:t>
      </w:r>
      <w:r w:rsidRPr="00CA2CC1">
        <w:rPr>
          <w:rFonts w:cs="Calibri"/>
          <w:color w:val="414042"/>
          <w:spacing w:val="-4"/>
        </w:rPr>
        <w:t xml:space="preserve"> </w:t>
      </w:r>
      <w:r w:rsidRPr="00CA2CC1">
        <w:rPr>
          <w:rFonts w:cs="Calibri"/>
          <w:color w:val="414042"/>
        </w:rPr>
        <w:t>and</w:t>
      </w:r>
      <w:r w:rsidRPr="00CA2CC1">
        <w:rPr>
          <w:rFonts w:cs="Calibri"/>
          <w:color w:val="414042"/>
          <w:spacing w:val="-4"/>
        </w:rPr>
        <w:t xml:space="preserve"> </w:t>
      </w:r>
      <w:r w:rsidRPr="00CA2CC1">
        <w:rPr>
          <w:rFonts w:cs="Calibri"/>
          <w:color w:val="414042"/>
        </w:rPr>
        <w:t>an</w:t>
      </w:r>
      <w:r w:rsidRPr="00CA2CC1">
        <w:rPr>
          <w:rFonts w:cs="Calibri"/>
          <w:color w:val="414042"/>
          <w:spacing w:val="-4"/>
        </w:rPr>
        <w:t xml:space="preserve"> </w:t>
      </w:r>
      <w:r w:rsidRPr="00CA2CC1">
        <w:rPr>
          <w:rFonts w:cs="Calibri"/>
          <w:color w:val="414042"/>
        </w:rPr>
        <w:t>intentional approach</w:t>
      </w:r>
      <w:r w:rsidRPr="00CA2CC1">
        <w:rPr>
          <w:rFonts w:cs="Calibri"/>
          <w:color w:val="414042"/>
          <w:spacing w:val="-1"/>
        </w:rPr>
        <w:t xml:space="preserve"> </w:t>
      </w:r>
      <w:r w:rsidRPr="00CA2CC1">
        <w:rPr>
          <w:rFonts w:cs="Calibri"/>
          <w:color w:val="414042"/>
        </w:rPr>
        <w:t>to</w:t>
      </w:r>
      <w:r w:rsidRPr="00CA2CC1">
        <w:rPr>
          <w:rFonts w:cs="Calibri"/>
          <w:color w:val="414042"/>
          <w:spacing w:val="-1"/>
        </w:rPr>
        <w:t xml:space="preserve"> </w:t>
      </w:r>
      <w:r w:rsidRPr="00CA2CC1">
        <w:rPr>
          <w:rFonts w:cs="Calibri"/>
          <w:color w:val="414042"/>
        </w:rPr>
        <w:t>their</w:t>
      </w:r>
      <w:r w:rsidRPr="00CA2CC1">
        <w:rPr>
          <w:rFonts w:cs="Calibri"/>
          <w:color w:val="414042"/>
          <w:spacing w:val="-1"/>
        </w:rPr>
        <w:t xml:space="preserve"> </w:t>
      </w:r>
      <w:r w:rsidRPr="00CA2CC1">
        <w:rPr>
          <w:rFonts w:cs="Calibri"/>
          <w:color w:val="414042"/>
        </w:rPr>
        <w:t>growth</w:t>
      </w:r>
      <w:r w:rsidRPr="00CA2CC1">
        <w:rPr>
          <w:rFonts w:cs="Calibri"/>
          <w:color w:val="414042"/>
          <w:spacing w:val="-1"/>
        </w:rPr>
        <w:t xml:space="preserve"> </w:t>
      </w:r>
      <w:r w:rsidRPr="00CA2CC1">
        <w:rPr>
          <w:rFonts w:cs="Calibri"/>
          <w:color w:val="414042"/>
        </w:rPr>
        <w:t>and</w:t>
      </w:r>
      <w:r w:rsidRPr="00CA2CC1">
        <w:rPr>
          <w:rFonts w:cs="Calibri"/>
          <w:color w:val="414042"/>
          <w:spacing w:val="-1"/>
        </w:rPr>
        <w:t xml:space="preserve"> </w:t>
      </w:r>
      <w:r w:rsidRPr="00CA2CC1">
        <w:rPr>
          <w:rFonts w:cs="Calibri"/>
          <w:color w:val="414042"/>
        </w:rPr>
        <w:t>learning.</w:t>
      </w:r>
      <w:r w:rsidRPr="00CA2CC1">
        <w:rPr>
          <w:rFonts w:cs="Calibri"/>
          <w:color w:val="414042"/>
          <w:spacing w:val="-1"/>
        </w:rPr>
        <w:t xml:space="preserve"> </w:t>
      </w:r>
      <w:r w:rsidRPr="00CA2CC1">
        <w:rPr>
          <w:rFonts w:cs="Calibri"/>
          <w:color w:val="414042"/>
        </w:rPr>
        <w:t>We</w:t>
      </w:r>
      <w:r w:rsidRPr="00CA2CC1">
        <w:rPr>
          <w:rFonts w:cs="Calibri"/>
          <w:color w:val="414042"/>
          <w:spacing w:val="-1"/>
        </w:rPr>
        <w:t xml:space="preserve"> </w:t>
      </w:r>
      <w:r w:rsidRPr="00CA2CC1">
        <w:rPr>
          <w:rFonts w:cs="Calibri"/>
          <w:color w:val="414042"/>
        </w:rPr>
        <w:t>will</w:t>
      </w:r>
      <w:r w:rsidRPr="00CA2CC1">
        <w:rPr>
          <w:rFonts w:cs="Calibri"/>
          <w:color w:val="414042"/>
          <w:spacing w:val="-1"/>
        </w:rPr>
        <w:t xml:space="preserve"> </w:t>
      </w:r>
      <w:r w:rsidRPr="00CA2CC1">
        <w:rPr>
          <w:rFonts w:cs="Calibri"/>
          <w:color w:val="414042"/>
        </w:rPr>
        <w:t>support</w:t>
      </w:r>
      <w:r w:rsidRPr="00CA2CC1">
        <w:rPr>
          <w:rFonts w:cs="Calibri"/>
          <w:color w:val="414042"/>
          <w:spacing w:val="-1"/>
        </w:rPr>
        <w:t xml:space="preserve"> </w:t>
      </w:r>
      <w:r w:rsidRPr="00CA2CC1">
        <w:rPr>
          <w:rFonts w:cs="Calibri"/>
          <w:color w:val="414042"/>
        </w:rPr>
        <w:t>our</w:t>
      </w:r>
      <w:r w:rsidRPr="00CA2CC1">
        <w:rPr>
          <w:rFonts w:cs="Calibri"/>
          <w:color w:val="414042"/>
          <w:spacing w:val="-1"/>
        </w:rPr>
        <w:t xml:space="preserve"> </w:t>
      </w:r>
      <w:r w:rsidRPr="00CA2CC1">
        <w:rPr>
          <w:rFonts w:cs="Calibri"/>
          <w:color w:val="414042"/>
        </w:rPr>
        <w:t>people</w:t>
      </w:r>
      <w:r w:rsidRPr="00CA2CC1">
        <w:rPr>
          <w:rFonts w:cs="Calibri"/>
          <w:color w:val="414042"/>
          <w:spacing w:val="-1"/>
        </w:rPr>
        <w:t xml:space="preserve"> </w:t>
      </w:r>
      <w:r w:rsidRPr="00CA2CC1">
        <w:rPr>
          <w:rFonts w:cs="Calibri"/>
          <w:color w:val="414042"/>
        </w:rPr>
        <w:t>to</w:t>
      </w:r>
      <w:r w:rsidRPr="00CA2CC1">
        <w:rPr>
          <w:rFonts w:cs="Calibri"/>
          <w:color w:val="414042"/>
          <w:spacing w:val="-1"/>
        </w:rPr>
        <w:t xml:space="preserve"> </w:t>
      </w:r>
      <w:r w:rsidRPr="00CA2CC1">
        <w:rPr>
          <w:rFonts w:cs="Calibri"/>
          <w:color w:val="414042"/>
        </w:rPr>
        <w:t>be</w:t>
      </w:r>
      <w:r w:rsidRPr="00CA2CC1">
        <w:rPr>
          <w:rFonts w:cs="Calibri"/>
          <w:color w:val="414042"/>
          <w:spacing w:val="-1"/>
        </w:rPr>
        <w:t xml:space="preserve"> </w:t>
      </w:r>
      <w:r w:rsidRPr="00CA2CC1">
        <w:rPr>
          <w:rFonts w:cs="Calibri"/>
          <w:color w:val="414042"/>
        </w:rPr>
        <w:t>productive,</w:t>
      </w:r>
      <w:r w:rsidRPr="00CA2CC1">
        <w:rPr>
          <w:rFonts w:cs="Calibri"/>
          <w:color w:val="414042"/>
          <w:spacing w:val="-1"/>
        </w:rPr>
        <w:t xml:space="preserve"> </w:t>
      </w:r>
      <w:r w:rsidRPr="00CA2CC1">
        <w:rPr>
          <w:rFonts w:cs="Calibri"/>
          <w:color w:val="414042"/>
        </w:rPr>
        <w:t>collaborative</w:t>
      </w:r>
      <w:r w:rsidRPr="00CA2CC1">
        <w:rPr>
          <w:rFonts w:cs="Calibri"/>
          <w:color w:val="414042"/>
          <w:spacing w:val="-1"/>
        </w:rPr>
        <w:t xml:space="preserve"> </w:t>
      </w:r>
      <w:r w:rsidRPr="00CA2CC1">
        <w:rPr>
          <w:rFonts w:cs="Calibri"/>
          <w:color w:val="414042"/>
        </w:rPr>
        <w:t>and</w:t>
      </w:r>
      <w:r w:rsidRPr="00CA2CC1">
        <w:rPr>
          <w:rFonts w:cs="Calibri"/>
          <w:color w:val="414042"/>
          <w:spacing w:val="-1"/>
        </w:rPr>
        <w:t xml:space="preserve"> </w:t>
      </w:r>
      <w:r w:rsidRPr="00CA2CC1">
        <w:rPr>
          <w:rFonts w:cs="Calibri"/>
          <w:color w:val="414042"/>
        </w:rPr>
        <w:t>healthy in</w:t>
      </w:r>
      <w:r w:rsidRPr="00CA2CC1">
        <w:rPr>
          <w:rFonts w:cs="Calibri"/>
          <w:color w:val="414042"/>
          <w:spacing w:val="-2"/>
        </w:rPr>
        <w:t xml:space="preserve"> </w:t>
      </w:r>
      <w:r w:rsidRPr="00CA2CC1">
        <w:rPr>
          <w:rFonts w:cs="Calibri"/>
          <w:color w:val="414042"/>
        </w:rPr>
        <w:t>a</w:t>
      </w:r>
      <w:r w:rsidRPr="00CA2CC1">
        <w:rPr>
          <w:rFonts w:cs="Calibri"/>
          <w:color w:val="414042"/>
          <w:spacing w:val="-2"/>
        </w:rPr>
        <w:t xml:space="preserve"> </w:t>
      </w:r>
      <w:r w:rsidRPr="00CA2CC1">
        <w:rPr>
          <w:rFonts w:cs="Calibri"/>
          <w:color w:val="414042"/>
        </w:rPr>
        <w:t>hybrid</w:t>
      </w:r>
      <w:r w:rsidRPr="00CA2CC1">
        <w:rPr>
          <w:rFonts w:cs="Calibri"/>
          <w:color w:val="414042"/>
          <w:spacing w:val="-2"/>
        </w:rPr>
        <w:t xml:space="preserve"> </w:t>
      </w:r>
      <w:r w:rsidRPr="00CA2CC1">
        <w:rPr>
          <w:rFonts w:cs="Calibri"/>
          <w:color w:val="414042"/>
        </w:rPr>
        <w:t>work</w:t>
      </w:r>
      <w:r w:rsidRPr="00CA2CC1">
        <w:rPr>
          <w:rFonts w:cs="Calibri"/>
          <w:color w:val="414042"/>
          <w:spacing w:val="-2"/>
        </w:rPr>
        <w:t xml:space="preserve"> </w:t>
      </w:r>
      <w:r w:rsidRPr="00CA2CC1">
        <w:rPr>
          <w:rFonts w:cs="Calibri"/>
          <w:color w:val="414042"/>
        </w:rPr>
        <w:t>environment.</w:t>
      </w:r>
      <w:r w:rsidRPr="00CA2CC1">
        <w:rPr>
          <w:rFonts w:cs="Calibri"/>
          <w:color w:val="414042"/>
          <w:spacing w:val="-2"/>
        </w:rPr>
        <w:t xml:space="preserve"> </w:t>
      </w:r>
      <w:r w:rsidRPr="00CA2CC1">
        <w:rPr>
          <w:rFonts w:cs="Calibri"/>
          <w:color w:val="414042"/>
        </w:rPr>
        <w:t>We</w:t>
      </w:r>
      <w:r w:rsidRPr="00CA2CC1">
        <w:rPr>
          <w:rFonts w:cs="Calibri"/>
          <w:color w:val="414042"/>
          <w:spacing w:val="-2"/>
        </w:rPr>
        <w:t xml:space="preserve"> </w:t>
      </w:r>
      <w:r w:rsidRPr="00CA2CC1">
        <w:rPr>
          <w:rFonts w:cs="Calibri"/>
          <w:color w:val="414042"/>
        </w:rPr>
        <w:t>will</w:t>
      </w:r>
      <w:r w:rsidRPr="00CA2CC1">
        <w:rPr>
          <w:rFonts w:cs="Calibri"/>
          <w:color w:val="414042"/>
          <w:spacing w:val="-2"/>
        </w:rPr>
        <w:t xml:space="preserve"> </w:t>
      </w:r>
      <w:r w:rsidRPr="00CA2CC1">
        <w:rPr>
          <w:rFonts w:cs="Calibri"/>
          <w:color w:val="414042"/>
        </w:rPr>
        <w:t>improve</w:t>
      </w:r>
      <w:r w:rsidRPr="00CA2CC1">
        <w:rPr>
          <w:rFonts w:cs="Calibri"/>
          <w:color w:val="414042"/>
          <w:spacing w:val="-2"/>
        </w:rPr>
        <w:t xml:space="preserve"> </w:t>
      </w:r>
      <w:r w:rsidRPr="00CA2CC1">
        <w:rPr>
          <w:rFonts w:cs="Calibri"/>
          <w:color w:val="414042"/>
        </w:rPr>
        <w:t>the</w:t>
      </w:r>
      <w:r w:rsidRPr="00CA2CC1">
        <w:rPr>
          <w:rFonts w:cs="Calibri"/>
          <w:color w:val="414042"/>
          <w:spacing w:val="-2"/>
        </w:rPr>
        <w:t xml:space="preserve"> </w:t>
      </w:r>
      <w:r w:rsidRPr="00CA2CC1">
        <w:rPr>
          <w:rFonts w:cs="Calibri"/>
          <w:color w:val="414042"/>
        </w:rPr>
        <w:t>way</w:t>
      </w:r>
      <w:r w:rsidRPr="00CA2CC1">
        <w:rPr>
          <w:rFonts w:cs="Calibri"/>
          <w:color w:val="414042"/>
          <w:spacing w:val="-2"/>
        </w:rPr>
        <w:t xml:space="preserve"> </w:t>
      </w:r>
      <w:r w:rsidRPr="00CA2CC1">
        <w:rPr>
          <w:rFonts w:cs="Calibri"/>
          <w:color w:val="414042"/>
        </w:rPr>
        <w:t>we</w:t>
      </w:r>
      <w:r w:rsidRPr="00CA2CC1">
        <w:rPr>
          <w:rFonts w:cs="Calibri"/>
          <w:color w:val="414042"/>
          <w:spacing w:val="-2"/>
        </w:rPr>
        <w:t xml:space="preserve"> </w:t>
      </w:r>
      <w:r w:rsidRPr="00CA2CC1">
        <w:rPr>
          <w:rFonts w:cs="Calibri"/>
          <w:color w:val="414042"/>
        </w:rPr>
        <w:t>manage</w:t>
      </w:r>
      <w:r w:rsidRPr="00CA2CC1">
        <w:rPr>
          <w:rFonts w:cs="Calibri"/>
          <w:color w:val="414042"/>
          <w:spacing w:val="-2"/>
        </w:rPr>
        <w:t xml:space="preserve"> </w:t>
      </w:r>
      <w:r w:rsidRPr="00CA2CC1">
        <w:rPr>
          <w:rFonts w:cs="Calibri"/>
          <w:color w:val="414042"/>
        </w:rPr>
        <w:t>and</w:t>
      </w:r>
      <w:r w:rsidRPr="00CA2CC1">
        <w:rPr>
          <w:rFonts w:cs="Calibri"/>
          <w:color w:val="414042"/>
          <w:spacing w:val="-2"/>
        </w:rPr>
        <w:t xml:space="preserve"> </w:t>
      </w:r>
      <w:r w:rsidRPr="00CA2CC1">
        <w:rPr>
          <w:rFonts w:cs="Calibri"/>
          <w:color w:val="414042"/>
        </w:rPr>
        <w:t>store</w:t>
      </w:r>
      <w:r w:rsidRPr="00CA2CC1">
        <w:rPr>
          <w:rFonts w:cs="Calibri"/>
          <w:color w:val="414042"/>
          <w:spacing w:val="-2"/>
        </w:rPr>
        <w:t xml:space="preserve"> </w:t>
      </w:r>
      <w:r w:rsidRPr="00CA2CC1">
        <w:rPr>
          <w:rFonts w:cs="Calibri"/>
          <w:color w:val="414042"/>
        </w:rPr>
        <w:t>our</w:t>
      </w:r>
      <w:r w:rsidRPr="00CA2CC1">
        <w:rPr>
          <w:rFonts w:cs="Calibri"/>
          <w:color w:val="414042"/>
          <w:spacing w:val="-2"/>
        </w:rPr>
        <w:t xml:space="preserve"> </w:t>
      </w:r>
      <w:r w:rsidRPr="00CA2CC1">
        <w:rPr>
          <w:rFonts w:cs="Calibri"/>
          <w:color w:val="414042"/>
        </w:rPr>
        <w:lastRenderedPageBreak/>
        <w:t>information.</w:t>
      </w:r>
      <w:r w:rsidRPr="00CA2CC1">
        <w:rPr>
          <w:rFonts w:cs="Calibri"/>
          <w:color w:val="414042"/>
          <w:spacing w:val="-2"/>
        </w:rPr>
        <w:t xml:space="preserve"> </w:t>
      </w:r>
      <w:r w:rsidRPr="00CA2CC1">
        <w:rPr>
          <w:rFonts w:cs="Calibri"/>
          <w:color w:val="414042"/>
        </w:rPr>
        <w:t>Over</w:t>
      </w:r>
      <w:r w:rsidRPr="00CA2CC1">
        <w:rPr>
          <w:rFonts w:cs="Calibri"/>
          <w:color w:val="414042"/>
          <w:spacing w:val="-2"/>
        </w:rPr>
        <w:t xml:space="preserve"> </w:t>
      </w:r>
      <w:r w:rsidRPr="00CA2CC1">
        <w:rPr>
          <w:rFonts w:cs="Calibri"/>
          <w:color w:val="414042"/>
        </w:rPr>
        <w:t>the</w:t>
      </w:r>
      <w:r w:rsidRPr="00CA2CC1">
        <w:rPr>
          <w:rFonts w:cs="Calibri"/>
          <w:color w:val="414042"/>
          <w:spacing w:val="-2"/>
        </w:rPr>
        <w:t xml:space="preserve"> </w:t>
      </w:r>
      <w:r w:rsidRPr="00CA2CC1">
        <w:rPr>
          <w:rFonts w:cs="Calibri"/>
          <w:color w:val="414042"/>
        </w:rPr>
        <w:t>next</w:t>
      </w:r>
      <w:r w:rsidRPr="00CA2CC1">
        <w:rPr>
          <w:rFonts w:cs="Calibri"/>
          <w:color w:val="414042"/>
          <w:spacing w:val="-2"/>
        </w:rPr>
        <w:t xml:space="preserve"> </w:t>
      </w:r>
      <w:r w:rsidRPr="00CA2CC1">
        <w:rPr>
          <w:rFonts w:cs="Calibri"/>
          <w:color w:val="414042"/>
        </w:rPr>
        <w:t>5 years, we will further develop and refine our approach to a successful hybrid workplace that consolidates our collegiate and inclusive culture and supports delivering excellent work.</w:t>
      </w:r>
    </w:p>
    <w:p w14:paraId="13A80A29" w14:textId="77777777" w:rsidR="00FD003D" w:rsidRPr="00CA2CC1" w:rsidRDefault="00FD003D" w:rsidP="00C06A0E">
      <w:pPr>
        <w:pStyle w:val="Heading3"/>
        <w:rPr>
          <w:lang w:val="en-GB"/>
        </w:rPr>
      </w:pPr>
      <w:r w:rsidRPr="00CA2CC1">
        <w:rPr>
          <w:lang w:val="en-GB"/>
        </w:rPr>
        <w:t>Plan on a page</w:t>
      </w:r>
    </w:p>
    <w:p w14:paraId="323B55D7" w14:textId="77777777" w:rsidR="00FD003D" w:rsidRPr="00CA2CC1" w:rsidRDefault="00FD003D" w:rsidP="00C06A0E">
      <w:pPr>
        <w:pStyle w:val="Heading4"/>
        <w:rPr>
          <w:lang w:val="en-GB"/>
        </w:rPr>
      </w:pPr>
      <w:r w:rsidRPr="00CA2CC1">
        <w:rPr>
          <w:lang w:val="en-GB"/>
        </w:rPr>
        <w:t>Purpose</w:t>
      </w:r>
    </w:p>
    <w:p w14:paraId="2958DBB8" w14:textId="77777777" w:rsidR="00FD003D" w:rsidRPr="00CA2CC1" w:rsidRDefault="00FD003D" w:rsidP="0043303B">
      <w:pPr>
        <w:rPr>
          <w:rFonts w:cs="Calibri"/>
        </w:rPr>
      </w:pPr>
      <w:r w:rsidRPr="00CA2CC1">
        <w:rPr>
          <w:rFonts w:cs="Calibri"/>
        </w:rPr>
        <w:t>To provide independent and expert advice about Victoria’s current and future infrastructure needs and priorities to support improved social, economic and environmental outcomes for the state.</w:t>
      </w:r>
    </w:p>
    <w:p w14:paraId="50F1E7AD" w14:textId="77777777" w:rsidR="00FD003D" w:rsidRPr="00CA2CC1" w:rsidRDefault="00FD003D" w:rsidP="0043303B">
      <w:pPr>
        <w:adjustRightInd w:val="0"/>
        <w:rPr>
          <w:rFonts w:cs="Calibri"/>
          <w:color w:val="737579"/>
        </w:rPr>
      </w:pPr>
    </w:p>
    <w:p w14:paraId="6B51BCC6" w14:textId="77777777" w:rsidR="00FD003D" w:rsidRPr="00CA2CC1" w:rsidRDefault="00FD003D" w:rsidP="00C06A0E">
      <w:pPr>
        <w:pStyle w:val="Heading4"/>
        <w:rPr>
          <w:lang w:val="en-GB"/>
        </w:rPr>
      </w:pPr>
      <w:r w:rsidRPr="00CA2CC1">
        <w:rPr>
          <w:lang w:val="en-GB"/>
        </w:rPr>
        <w:t>Goals</w:t>
      </w:r>
    </w:p>
    <w:p w14:paraId="39C3EB78" w14:textId="77777777" w:rsidR="00FD003D" w:rsidRPr="00CA2CC1" w:rsidRDefault="00FD003D" w:rsidP="0043303B">
      <w:pPr>
        <w:rPr>
          <w:rFonts w:cs="Calibri"/>
        </w:rPr>
      </w:pPr>
      <w:r w:rsidRPr="00CA2CC1">
        <w:rPr>
          <w:rFonts w:cs="Calibri"/>
        </w:rPr>
        <w:t>Influence change on the issues that really matter</w:t>
      </w:r>
    </w:p>
    <w:p w14:paraId="2C2D37E2" w14:textId="77777777" w:rsidR="00FD003D" w:rsidRPr="00CA2CC1" w:rsidRDefault="00FD003D" w:rsidP="0043303B">
      <w:pPr>
        <w:rPr>
          <w:rFonts w:cs="Calibri"/>
        </w:rPr>
      </w:pPr>
      <w:r w:rsidRPr="00CA2CC1">
        <w:rPr>
          <w:rFonts w:cs="Calibri"/>
        </w:rPr>
        <w:t>Be a fantastic place to work</w:t>
      </w:r>
    </w:p>
    <w:p w14:paraId="5DC5920C" w14:textId="77777777" w:rsidR="00FD003D" w:rsidRPr="00CA2CC1" w:rsidRDefault="00FD003D" w:rsidP="0043303B">
      <w:pPr>
        <w:adjustRightInd w:val="0"/>
        <w:rPr>
          <w:rFonts w:cs="Calibri"/>
          <w:color w:val="C06598"/>
          <w:spacing w:val="-2"/>
          <w:kern w:val="1"/>
          <w:lang w:val="en-GB"/>
        </w:rPr>
      </w:pPr>
    </w:p>
    <w:p w14:paraId="7F80B1FE" w14:textId="77777777" w:rsidR="00FD003D" w:rsidRPr="00CA2CC1" w:rsidRDefault="00FD003D" w:rsidP="00C06A0E">
      <w:pPr>
        <w:pStyle w:val="Heading4"/>
        <w:rPr>
          <w:lang w:val="en-GB"/>
        </w:rPr>
      </w:pPr>
      <w:r w:rsidRPr="00CA2CC1">
        <w:rPr>
          <w:lang w:val="en-GB"/>
        </w:rPr>
        <w:t>Strategic priorities</w:t>
      </w:r>
    </w:p>
    <w:p w14:paraId="07396319" w14:textId="77777777" w:rsidR="00FD003D" w:rsidRPr="00CA2CC1" w:rsidRDefault="00FD003D" w:rsidP="0043303B">
      <w:pPr>
        <w:rPr>
          <w:rFonts w:cs="Calibri"/>
        </w:rPr>
      </w:pPr>
      <w:r w:rsidRPr="00CA2CC1">
        <w:rPr>
          <w:rFonts w:cs="Calibri"/>
        </w:rPr>
        <w:t xml:space="preserve">Doing more with less </w:t>
      </w:r>
    </w:p>
    <w:p w14:paraId="3F9B794B" w14:textId="77777777" w:rsidR="00FD003D" w:rsidRPr="00CA2CC1" w:rsidRDefault="00FD003D" w:rsidP="0043303B">
      <w:pPr>
        <w:rPr>
          <w:rFonts w:cs="Calibri"/>
        </w:rPr>
      </w:pPr>
      <w:r w:rsidRPr="00CA2CC1">
        <w:rPr>
          <w:rFonts w:cs="Calibri"/>
        </w:rPr>
        <w:t xml:space="preserve">Navigating change and disruption </w:t>
      </w:r>
    </w:p>
    <w:p w14:paraId="4A890976" w14:textId="77777777" w:rsidR="00FD003D" w:rsidRPr="00CA2CC1" w:rsidRDefault="00FD003D" w:rsidP="0043303B">
      <w:pPr>
        <w:rPr>
          <w:rFonts w:cs="Calibri"/>
        </w:rPr>
      </w:pPr>
      <w:r w:rsidRPr="00CA2CC1">
        <w:rPr>
          <w:rFonts w:cs="Calibri"/>
        </w:rPr>
        <w:t xml:space="preserve">Improving social equity through access </w:t>
      </w:r>
    </w:p>
    <w:p w14:paraId="063CDE32" w14:textId="77777777" w:rsidR="00FD003D" w:rsidRPr="00CA2CC1" w:rsidRDefault="00FD003D" w:rsidP="0043303B">
      <w:pPr>
        <w:rPr>
          <w:rFonts w:cs="Calibri"/>
        </w:rPr>
      </w:pPr>
      <w:r w:rsidRPr="00CA2CC1">
        <w:rPr>
          <w:rFonts w:cs="Calibri"/>
        </w:rPr>
        <w:t xml:space="preserve">Mitigating and adapting to our changing climate </w:t>
      </w:r>
    </w:p>
    <w:p w14:paraId="6824CDF9" w14:textId="77777777" w:rsidR="00FD003D" w:rsidRPr="00CA2CC1" w:rsidRDefault="00FD003D" w:rsidP="0043303B">
      <w:pPr>
        <w:rPr>
          <w:rFonts w:cs="Calibri"/>
        </w:rPr>
      </w:pPr>
      <w:r w:rsidRPr="00CA2CC1">
        <w:rPr>
          <w:rFonts w:cs="Calibri"/>
        </w:rPr>
        <w:t xml:space="preserve">Improving how we engage with key audiences </w:t>
      </w:r>
    </w:p>
    <w:p w14:paraId="66FEB0EE" w14:textId="77777777" w:rsidR="00FD003D" w:rsidRPr="00CA2CC1" w:rsidRDefault="00FD003D" w:rsidP="0043303B">
      <w:pPr>
        <w:rPr>
          <w:rFonts w:cs="Calibri"/>
        </w:rPr>
      </w:pPr>
      <w:r w:rsidRPr="00CA2CC1">
        <w:rPr>
          <w:rFonts w:cs="Calibri"/>
        </w:rPr>
        <w:t>Supporting success in a hybrid work environment</w:t>
      </w:r>
    </w:p>
    <w:p w14:paraId="53D694BE" w14:textId="77777777" w:rsidR="00FD003D" w:rsidRPr="00CA2CC1" w:rsidRDefault="00FD003D" w:rsidP="0043303B">
      <w:pPr>
        <w:rPr>
          <w:rFonts w:cs="Calibri"/>
        </w:rPr>
      </w:pPr>
    </w:p>
    <w:p w14:paraId="6A1527A5" w14:textId="77777777" w:rsidR="00FD003D" w:rsidRPr="00CA2CC1" w:rsidRDefault="00FD003D" w:rsidP="00C06A0E">
      <w:pPr>
        <w:pStyle w:val="Heading4"/>
        <w:rPr>
          <w:lang w:val="en-GB"/>
        </w:rPr>
      </w:pPr>
      <w:r w:rsidRPr="00CA2CC1">
        <w:rPr>
          <w:lang w:val="en-GB"/>
        </w:rPr>
        <w:t>Measure of success</w:t>
      </w:r>
    </w:p>
    <w:p w14:paraId="489ED0FD" w14:textId="77777777" w:rsidR="00FD003D" w:rsidRPr="00CA2CC1" w:rsidRDefault="00FD003D" w:rsidP="0043303B">
      <w:pPr>
        <w:rPr>
          <w:rFonts w:cs="Calibri"/>
        </w:rPr>
      </w:pPr>
      <w:r w:rsidRPr="00CA2CC1">
        <w:rPr>
          <w:rFonts w:cs="Calibri"/>
        </w:rPr>
        <w:t>Our work has impact</w:t>
      </w:r>
    </w:p>
    <w:p w14:paraId="0FC450E8" w14:textId="77777777" w:rsidR="00FD003D" w:rsidRPr="00CA2CC1" w:rsidRDefault="00FD003D" w:rsidP="0043303B">
      <w:pPr>
        <w:rPr>
          <w:rFonts w:cs="Calibri"/>
        </w:rPr>
      </w:pPr>
      <w:r w:rsidRPr="00CA2CC1">
        <w:rPr>
          <w:rFonts w:cs="Calibri"/>
        </w:rPr>
        <w:t>Our stakeholders value and trust us</w:t>
      </w:r>
    </w:p>
    <w:p w14:paraId="79608355" w14:textId="77777777" w:rsidR="00FD003D" w:rsidRPr="00CA2CC1" w:rsidRDefault="00FD003D" w:rsidP="0043303B">
      <w:pPr>
        <w:rPr>
          <w:rFonts w:cs="Calibri"/>
        </w:rPr>
      </w:pPr>
      <w:r w:rsidRPr="00CA2CC1">
        <w:rPr>
          <w:rFonts w:cs="Calibri"/>
        </w:rPr>
        <w:t>Our culture nurtures success and wellbeing</w:t>
      </w:r>
    </w:p>
    <w:p w14:paraId="66763AB5" w14:textId="2DEE7C22" w:rsidR="00FA4226" w:rsidRPr="00CA2CC1" w:rsidRDefault="00FA4226" w:rsidP="0043303B">
      <w:pPr>
        <w:pStyle w:val="BodyText"/>
        <w:rPr>
          <w:rFonts w:cs="Calibri"/>
          <w:sz w:val="20"/>
        </w:rPr>
      </w:pPr>
    </w:p>
    <w:p w14:paraId="3D04AA82" w14:textId="208F9DFF" w:rsidR="00FA4226" w:rsidRPr="00CA2CC1" w:rsidRDefault="00000000" w:rsidP="0043303B">
      <w:pPr>
        <w:pStyle w:val="BodyText"/>
        <w:rPr>
          <w:rFonts w:cs="Calibri"/>
        </w:rPr>
      </w:pPr>
      <w:r w:rsidRPr="00CA2CC1">
        <w:rPr>
          <w:rFonts w:cs="Calibri"/>
          <w:color w:val="414042"/>
        </w:rPr>
        <w:t>Infrastructure Victoria aspires to be a fantastic place to</w:t>
      </w:r>
      <w:r w:rsidRPr="00CA2CC1">
        <w:rPr>
          <w:rFonts w:cs="Calibri"/>
          <w:color w:val="414042"/>
          <w:spacing w:val="40"/>
        </w:rPr>
        <w:t xml:space="preserve"> </w:t>
      </w:r>
      <w:r w:rsidRPr="00CA2CC1">
        <w:rPr>
          <w:rFonts w:cs="Calibri"/>
          <w:color w:val="414042"/>
        </w:rPr>
        <w:t>work.</w:t>
      </w:r>
      <w:r w:rsidRPr="00CA2CC1">
        <w:rPr>
          <w:rFonts w:cs="Calibri"/>
          <w:color w:val="414042"/>
          <w:spacing w:val="-6"/>
        </w:rPr>
        <w:t xml:space="preserve"> </w:t>
      </w:r>
      <w:r w:rsidRPr="00CA2CC1">
        <w:rPr>
          <w:rFonts w:cs="Calibri"/>
          <w:color w:val="414042"/>
        </w:rPr>
        <w:t>During</w:t>
      </w:r>
      <w:r w:rsidRPr="00CA2CC1">
        <w:rPr>
          <w:rFonts w:cs="Calibri"/>
          <w:color w:val="414042"/>
          <w:spacing w:val="-6"/>
        </w:rPr>
        <w:t xml:space="preserve"> </w:t>
      </w:r>
      <w:r w:rsidRPr="00CA2CC1">
        <w:rPr>
          <w:rFonts w:cs="Calibri"/>
          <w:color w:val="414042"/>
        </w:rPr>
        <w:t>2022–23,</w:t>
      </w:r>
      <w:r w:rsidRPr="00CA2CC1">
        <w:rPr>
          <w:rFonts w:cs="Calibri"/>
          <w:color w:val="414042"/>
          <w:spacing w:val="-6"/>
        </w:rPr>
        <w:t xml:space="preserve"> </w:t>
      </w:r>
      <w:r w:rsidRPr="00CA2CC1">
        <w:rPr>
          <w:rFonts w:cs="Calibri"/>
          <w:color w:val="414042"/>
        </w:rPr>
        <w:t>we</w:t>
      </w:r>
      <w:r w:rsidRPr="00CA2CC1">
        <w:rPr>
          <w:rFonts w:cs="Calibri"/>
          <w:color w:val="414042"/>
          <w:spacing w:val="-6"/>
        </w:rPr>
        <w:t xml:space="preserve"> </w:t>
      </w:r>
      <w:r w:rsidRPr="00CA2CC1">
        <w:rPr>
          <w:rFonts w:cs="Calibri"/>
          <w:color w:val="414042"/>
        </w:rPr>
        <w:t>consolidated</w:t>
      </w:r>
      <w:r w:rsidRPr="00CA2CC1">
        <w:rPr>
          <w:rFonts w:cs="Calibri"/>
          <w:color w:val="414042"/>
          <w:spacing w:val="-6"/>
        </w:rPr>
        <w:t xml:space="preserve"> </w:t>
      </w:r>
      <w:r w:rsidRPr="00CA2CC1">
        <w:rPr>
          <w:rFonts w:cs="Calibri"/>
          <w:color w:val="414042"/>
        </w:rPr>
        <w:t>our</w:t>
      </w:r>
      <w:r w:rsidRPr="00CA2CC1">
        <w:rPr>
          <w:rFonts w:cs="Calibri"/>
          <w:color w:val="414042"/>
          <w:spacing w:val="-6"/>
        </w:rPr>
        <w:t xml:space="preserve"> </w:t>
      </w:r>
      <w:r w:rsidRPr="00CA2CC1">
        <w:rPr>
          <w:rFonts w:cs="Calibri"/>
          <w:color w:val="414042"/>
        </w:rPr>
        <w:t>strong</w:t>
      </w:r>
      <w:r w:rsidRPr="00CA2CC1">
        <w:rPr>
          <w:rFonts w:cs="Calibri"/>
          <w:color w:val="414042"/>
          <w:spacing w:val="-6"/>
        </w:rPr>
        <w:t xml:space="preserve"> </w:t>
      </w:r>
      <w:r w:rsidRPr="00CA2CC1">
        <w:rPr>
          <w:rFonts w:cs="Calibri"/>
          <w:color w:val="414042"/>
        </w:rPr>
        <w:t>results</w:t>
      </w:r>
      <w:r w:rsidRPr="00CA2CC1">
        <w:rPr>
          <w:rFonts w:cs="Calibri"/>
          <w:color w:val="414042"/>
          <w:spacing w:val="-6"/>
        </w:rPr>
        <w:t xml:space="preserve"> </w:t>
      </w:r>
      <w:r w:rsidRPr="00CA2CC1">
        <w:rPr>
          <w:rFonts w:cs="Calibri"/>
          <w:color w:val="414042"/>
        </w:rPr>
        <w:t>in creating</w:t>
      </w:r>
      <w:r w:rsidRPr="00CA2CC1">
        <w:rPr>
          <w:rFonts w:cs="Calibri"/>
          <w:color w:val="414042"/>
          <w:spacing w:val="-7"/>
        </w:rPr>
        <w:t xml:space="preserve"> </w:t>
      </w:r>
      <w:r w:rsidRPr="00CA2CC1">
        <w:rPr>
          <w:rFonts w:cs="Calibri"/>
          <w:color w:val="414042"/>
        </w:rPr>
        <w:t>a</w:t>
      </w:r>
      <w:r w:rsidRPr="00CA2CC1">
        <w:rPr>
          <w:rFonts w:cs="Calibri"/>
          <w:color w:val="414042"/>
          <w:spacing w:val="-7"/>
        </w:rPr>
        <w:t xml:space="preserve"> </w:t>
      </w:r>
      <w:r w:rsidRPr="00CA2CC1">
        <w:rPr>
          <w:rFonts w:cs="Calibri"/>
          <w:color w:val="414042"/>
        </w:rPr>
        <w:t>positive</w:t>
      </w:r>
      <w:r w:rsidRPr="00CA2CC1">
        <w:rPr>
          <w:rFonts w:cs="Calibri"/>
          <w:color w:val="414042"/>
          <w:spacing w:val="-7"/>
        </w:rPr>
        <w:t xml:space="preserve"> </w:t>
      </w:r>
      <w:r w:rsidRPr="00CA2CC1">
        <w:rPr>
          <w:rFonts w:cs="Calibri"/>
          <w:color w:val="414042"/>
        </w:rPr>
        <w:t>workplace</w:t>
      </w:r>
      <w:r w:rsidRPr="00CA2CC1">
        <w:rPr>
          <w:rFonts w:cs="Calibri"/>
          <w:color w:val="414042"/>
          <w:spacing w:val="-7"/>
        </w:rPr>
        <w:t xml:space="preserve"> </w:t>
      </w:r>
      <w:r w:rsidRPr="00CA2CC1">
        <w:rPr>
          <w:rFonts w:cs="Calibri"/>
          <w:color w:val="414042"/>
        </w:rPr>
        <w:t>culture</w:t>
      </w:r>
      <w:r w:rsidRPr="00CA2CC1">
        <w:rPr>
          <w:rFonts w:cs="Calibri"/>
          <w:color w:val="414042"/>
          <w:spacing w:val="-7"/>
        </w:rPr>
        <w:t xml:space="preserve"> </w:t>
      </w:r>
      <w:r w:rsidRPr="00CA2CC1">
        <w:rPr>
          <w:rFonts w:cs="Calibri"/>
          <w:color w:val="414042"/>
        </w:rPr>
        <w:t>that</w:t>
      </w:r>
      <w:r w:rsidRPr="00CA2CC1">
        <w:rPr>
          <w:rFonts w:cs="Calibri"/>
          <w:color w:val="414042"/>
          <w:spacing w:val="-7"/>
        </w:rPr>
        <w:t xml:space="preserve"> </w:t>
      </w:r>
      <w:r w:rsidRPr="00CA2CC1">
        <w:rPr>
          <w:rFonts w:cs="Calibri"/>
          <w:color w:val="414042"/>
        </w:rPr>
        <w:t>produces</w:t>
      </w:r>
      <w:r w:rsidRPr="00CA2CC1">
        <w:rPr>
          <w:rFonts w:cs="Calibri"/>
          <w:color w:val="414042"/>
          <w:spacing w:val="-7"/>
        </w:rPr>
        <w:t xml:space="preserve"> </w:t>
      </w:r>
      <w:r w:rsidRPr="00CA2CC1">
        <w:rPr>
          <w:rFonts w:cs="Calibri"/>
          <w:color w:val="414042"/>
        </w:rPr>
        <w:t>excellent evidence-based</w:t>
      </w:r>
      <w:r w:rsidRPr="00CA2CC1">
        <w:rPr>
          <w:rFonts w:cs="Calibri"/>
          <w:color w:val="414042"/>
          <w:spacing w:val="-1"/>
        </w:rPr>
        <w:t xml:space="preserve"> </w:t>
      </w:r>
      <w:r w:rsidRPr="00CA2CC1">
        <w:rPr>
          <w:rFonts w:cs="Calibri"/>
          <w:color w:val="414042"/>
        </w:rPr>
        <w:t>work</w:t>
      </w:r>
      <w:r w:rsidRPr="00CA2CC1">
        <w:rPr>
          <w:rFonts w:cs="Calibri"/>
          <w:color w:val="414042"/>
          <w:spacing w:val="-1"/>
        </w:rPr>
        <w:t xml:space="preserve"> </w:t>
      </w:r>
      <w:r w:rsidRPr="00CA2CC1">
        <w:rPr>
          <w:rFonts w:cs="Calibri"/>
          <w:color w:val="414042"/>
        </w:rPr>
        <w:t>to</w:t>
      </w:r>
      <w:r w:rsidRPr="00CA2CC1">
        <w:rPr>
          <w:rFonts w:cs="Calibri"/>
          <w:color w:val="414042"/>
          <w:spacing w:val="-1"/>
        </w:rPr>
        <w:t xml:space="preserve"> </w:t>
      </w:r>
      <w:r w:rsidRPr="00CA2CC1">
        <w:rPr>
          <w:rFonts w:cs="Calibri"/>
          <w:color w:val="414042"/>
        </w:rPr>
        <w:t>help</w:t>
      </w:r>
      <w:r w:rsidRPr="00CA2CC1">
        <w:rPr>
          <w:rFonts w:cs="Calibri"/>
          <w:color w:val="414042"/>
          <w:spacing w:val="-1"/>
        </w:rPr>
        <w:t xml:space="preserve"> </w:t>
      </w:r>
      <w:r w:rsidRPr="00CA2CC1">
        <w:rPr>
          <w:rFonts w:cs="Calibri"/>
          <w:color w:val="414042"/>
        </w:rPr>
        <w:t>shape</w:t>
      </w:r>
      <w:r w:rsidRPr="00CA2CC1">
        <w:rPr>
          <w:rFonts w:cs="Calibri"/>
          <w:color w:val="414042"/>
          <w:spacing w:val="-1"/>
        </w:rPr>
        <w:t xml:space="preserve"> </w:t>
      </w:r>
      <w:r w:rsidRPr="00CA2CC1">
        <w:rPr>
          <w:rFonts w:cs="Calibri"/>
          <w:color w:val="414042"/>
        </w:rPr>
        <w:t>the</w:t>
      </w:r>
      <w:r w:rsidRPr="00CA2CC1">
        <w:rPr>
          <w:rFonts w:cs="Calibri"/>
          <w:color w:val="414042"/>
          <w:spacing w:val="-1"/>
        </w:rPr>
        <w:t xml:space="preserve"> </w:t>
      </w:r>
      <w:r w:rsidRPr="00CA2CC1">
        <w:rPr>
          <w:rFonts w:cs="Calibri"/>
          <w:color w:val="414042"/>
        </w:rPr>
        <w:t>best</w:t>
      </w:r>
      <w:r w:rsidRPr="00CA2CC1">
        <w:rPr>
          <w:rFonts w:cs="Calibri"/>
          <w:color w:val="414042"/>
          <w:spacing w:val="-1"/>
        </w:rPr>
        <w:t xml:space="preserve"> </w:t>
      </w:r>
      <w:r w:rsidRPr="00CA2CC1">
        <w:rPr>
          <w:rFonts w:cs="Calibri"/>
          <w:color w:val="414042"/>
        </w:rPr>
        <w:t>possible</w:t>
      </w:r>
      <w:r w:rsidRPr="00CA2CC1">
        <w:rPr>
          <w:rFonts w:cs="Calibri"/>
          <w:color w:val="414042"/>
          <w:spacing w:val="-1"/>
        </w:rPr>
        <w:t xml:space="preserve"> </w:t>
      </w:r>
      <w:r w:rsidRPr="00CA2CC1">
        <w:rPr>
          <w:rFonts w:cs="Calibri"/>
          <w:color w:val="414042"/>
        </w:rPr>
        <w:t>future for Victoria.</w:t>
      </w:r>
    </w:p>
    <w:p w14:paraId="6F619DD5" w14:textId="38D158DF" w:rsidR="00FA4226" w:rsidRPr="00CA2CC1" w:rsidRDefault="00000000" w:rsidP="0043303B">
      <w:pPr>
        <w:pStyle w:val="BodyText"/>
        <w:spacing w:before="115"/>
        <w:rPr>
          <w:rFonts w:cs="Calibri"/>
        </w:rPr>
      </w:pPr>
      <w:r w:rsidRPr="00CA2CC1">
        <w:rPr>
          <w:rFonts w:cs="Calibri"/>
          <w:color w:val="414042"/>
        </w:rPr>
        <w:t>Through the annual People Matter survey, the Victorian Public Sector measures the performance of organisations</w:t>
      </w:r>
      <w:r w:rsidRPr="00CA2CC1">
        <w:rPr>
          <w:rFonts w:cs="Calibri"/>
          <w:color w:val="414042"/>
          <w:spacing w:val="40"/>
        </w:rPr>
        <w:t xml:space="preserve"> </w:t>
      </w:r>
      <w:r w:rsidRPr="00CA2CC1">
        <w:rPr>
          <w:rFonts w:cs="Calibri"/>
          <w:color w:val="414042"/>
        </w:rPr>
        <w:t>in delivering positive workplace cultures that operate consistent</w:t>
      </w:r>
      <w:r w:rsidRPr="00CA2CC1">
        <w:rPr>
          <w:rFonts w:cs="Calibri"/>
          <w:color w:val="414042"/>
          <w:spacing w:val="-3"/>
        </w:rPr>
        <w:t xml:space="preserve"> </w:t>
      </w:r>
      <w:r w:rsidRPr="00CA2CC1">
        <w:rPr>
          <w:rFonts w:cs="Calibri"/>
          <w:color w:val="414042"/>
        </w:rPr>
        <w:t>with</w:t>
      </w:r>
      <w:r w:rsidRPr="00CA2CC1">
        <w:rPr>
          <w:rFonts w:cs="Calibri"/>
          <w:color w:val="414042"/>
          <w:spacing w:val="-1"/>
        </w:rPr>
        <w:t xml:space="preserve"> </w:t>
      </w:r>
      <w:r w:rsidRPr="00CA2CC1">
        <w:rPr>
          <w:rFonts w:cs="Calibri"/>
          <w:color w:val="414042"/>
        </w:rPr>
        <w:t>public sector</w:t>
      </w:r>
      <w:r w:rsidRPr="00CA2CC1">
        <w:rPr>
          <w:rFonts w:cs="Calibri"/>
          <w:color w:val="414042"/>
          <w:spacing w:val="-1"/>
        </w:rPr>
        <w:t xml:space="preserve"> </w:t>
      </w:r>
      <w:r w:rsidRPr="00CA2CC1">
        <w:rPr>
          <w:rFonts w:cs="Calibri"/>
          <w:color w:val="414042"/>
        </w:rPr>
        <w:t>values.</w:t>
      </w:r>
      <w:r w:rsidRPr="00CA2CC1">
        <w:rPr>
          <w:rFonts w:cs="Calibri"/>
          <w:color w:val="414042"/>
          <w:spacing w:val="-1"/>
        </w:rPr>
        <w:t xml:space="preserve"> </w:t>
      </w:r>
      <w:r w:rsidRPr="00CA2CC1">
        <w:rPr>
          <w:rFonts w:cs="Calibri"/>
          <w:color w:val="414042"/>
        </w:rPr>
        <w:t xml:space="preserve">Infrastructure </w:t>
      </w:r>
      <w:r w:rsidRPr="00CA2CC1">
        <w:rPr>
          <w:rFonts w:cs="Calibri"/>
          <w:color w:val="414042"/>
          <w:spacing w:val="-4"/>
        </w:rPr>
        <w:t>Victoria’s</w:t>
      </w:r>
      <w:r w:rsidR="00F4221B" w:rsidRPr="00CA2CC1">
        <w:rPr>
          <w:rFonts w:cs="Calibri"/>
        </w:rPr>
        <w:t xml:space="preserve"> </w:t>
      </w:r>
      <w:r w:rsidRPr="00CA2CC1">
        <w:rPr>
          <w:rFonts w:cs="Calibri"/>
          <w:color w:val="414042"/>
        </w:rPr>
        <w:t>organisational</w:t>
      </w:r>
      <w:r w:rsidRPr="00CA2CC1">
        <w:rPr>
          <w:rFonts w:cs="Calibri"/>
          <w:color w:val="414042"/>
          <w:spacing w:val="-7"/>
        </w:rPr>
        <w:t xml:space="preserve"> </w:t>
      </w:r>
      <w:r w:rsidRPr="00CA2CC1">
        <w:rPr>
          <w:rFonts w:cs="Calibri"/>
          <w:color w:val="414042"/>
        </w:rPr>
        <w:t>culture</w:t>
      </w:r>
      <w:r w:rsidRPr="00CA2CC1">
        <w:rPr>
          <w:rFonts w:cs="Calibri"/>
          <w:color w:val="414042"/>
          <w:spacing w:val="-7"/>
        </w:rPr>
        <w:t xml:space="preserve"> </w:t>
      </w:r>
      <w:r w:rsidRPr="00CA2CC1">
        <w:rPr>
          <w:rFonts w:cs="Calibri"/>
          <w:color w:val="414042"/>
        </w:rPr>
        <w:t>is</w:t>
      </w:r>
      <w:r w:rsidRPr="00CA2CC1">
        <w:rPr>
          <w:rFonts w:cs="Calibri"/>
          <w:color w:val="414042"/>
          <w:spacing w:val="-7"/>
        </w:rPr>
        <w:t xml:space="preserve"> </w:t>
      </w:r>
      <w:r w:rsidRPr="00CA2CC1">
        <w:rPr>
          <w:rFonts w:cs="Calibri"/>
          <w:color w:val="414042"/>
        </w:rPr>
        <w:t>benchmarked</w:t>
      </w:r>
      <w:r w:rsidRPr="00CA2CC1">
        <w:rPr>
          <w:rFonts w:cs="Calibri"/>
          <w:color w:val="414042"/>
          <w:spacing w:val="-7"/>
        </w:rPr>
        <w:t xml:space="preserve"> </w:t>
      </w:r>
      <w:r w:rsidRPr="00CA2CC1">
        <w:rPr>
          <w:rFonts w:cs="Calibri"/>
          <w:color w:val="414042"/>
        </w:rPr>
        <w:t>against</w:t>
      </w:r>
      <w:r w:rsidRPr="00CA2CC1">
        <w:rPr>
          <w:rFonts w:cs="Calibri"/>
          <w:color w:val="414042"/>
          <w:spacing w:val="-7"/>
        </w:rPr>
        <w:t xml:space="preserve"> </w:t>
      </w:r>
      <w:r w:rsidRPr="00CA2CC1">
        <w:rPr>
          <w:rFonts w:cs="Calibri"/>
          <w:color w:val="414042"/>
        </w:rPr>
        <w:t>a</w:t>
      </w:r>
      <w:r w:rsidRPr="00CA2CC1">
        <w:rPr>
          <w:rFonts w:cs="Calibri"/>
          <w:color w:val="414042"/>
          <w:spacing w:val="-7"/>
        </w:rPr>
        <w:t xml:space="preserve"> </w:t>
      </w:r>
      <w:r w:rsidRPr="00CA2CC1">
        <w:rPr>
          <w:rFonts w:cs="Calibri"/>
          <w:color w:val="414042"/>
        </w:rPr>
        <w:t>comparator group, the whole of the public sector, and our previous survey results.</w:t>
      </w:r>
    </w:p>
    <w:p w14:paraId="0EF0E97F" w14:textId="77777777" w:rsidR="00FA4226" w:rsidRPr="00CA2CC1" w:rsidRDefault="00000000" w:rsidP="0043303B">
      <w:pPr>
        <w:pStyle w:val="BodyText"/>
        <w:spacing w:before="112"/>
        <w:rPr>
          <w:rFonts w:cs="Calibri"/>
        </w:rPr>
      </w:pPr>
      <w:r w:rsidRPr="00CA2CC1">
        <w:rPr>
          <w:rFonts w:cs="Calibri"/>
          <w:color w:val="414042"/>
        </w:rPr>
        <w:t>The annual People Matter survey was conducted in June</w:t>
      </w:r>
      <w:r w:rsidRPr="00CA2CC1">
        <w:rPr>
          <w:rFonts w:cs="Calibri"/>
          <w:color w:val="414042"/>
          <w:spacing w:val="-1"/>
        </w:rPr>
        <w:t xml:space="preserve"> </w:t>
      </w:r>
      <w:r w:rsidRPr="00CA2CC1">
        <w:rPr>
          <w:rFonts w:cs="Calibri"/>
          <w:color w:val="414042"/>
        </w:rPr>
        <w:t>2023</w:t>
      </w:r>
      <w:r w:rsidRPr="00CA2CC1">
        <w:rPr>
          <w:rFonts w:cs="Calibri"/>
          <w:color w:val="414042"/>
          <w:spacing w:val="-1"/>
        </w:rPr>
        <w:t xml:space="preserve"> </w:t>
      </w:r>
      <w:r w:rsidRPr="00CA2CC1">
        <w:rPr>
          <w:rFonts w:cs="Calibri"/>
          <w:color w:val="414042"/>
        </w:rPr>
        <w:t>and</w:t>
      </w:r>
      <w:r w:rsidRPr="00CA2CC1">
        <w:rPr>
          <w:rFonts w:cs="Calibri"/>
          <w:color w:val="414042"/>
          <w:spacing w:val="-1"/>
        </w:rPr>
        <w:t xml:space="preserve"> </w:t>
      </w:r>
      <w:r w:rsidRPr="00CA2CC1">
        <w:rPr>
          <w:rFonts w:cs="Calibri"/>
          <w:color w:val="414042"/>
        </w:rPr>
        <w:t>almost</w:t>
      </w:r>
      <w:r w:rsidRPr="00CA2CC1">
        <w:rPr>
          <w:rFonts w:cs="Calibri"/>
          <w:color w:val="414042"/>
          <w:spacing w:val="-1"/>
        </w:rPr>
        <w:t xml:space="preserve"> </w:t>
      </w:r>
      <w:r w:rsidRPr="00CA2CC1">
        <w:rPr>
          <w:rFonts w:cs="Calibri"/>
          <w:color w:val="414042"/>
        </w:rPr>
        <w:t>all</w:t>
      </w:r>
      <w:r w:rsidRPr="00CA2CC1">
        <w:rPr>
          <w:rFonts w:cs="Calibri"/>
          <w:color w:val="414042"/>
          <w:spacing w:val="-1"/>
        </w:rPr>
        <w:t xml:space="preserve"> </w:t>
      </w:r>
      <w:r w:rsidRPr="00CA2CC1">
        <w:rPr>
          <w:rFonts w:cs="Calibri"/>
          <w:color w:val="414042"/>
        </w:rPr>
        <w:t>our</w:t>
      </w:r>
      <w:r w:rsidRPr="00CA2CC1">
        <w:rPr>
          <w:rFonts w:cs="Calibri"/>
          <w:color w:val="414042"/>
          <w:spacing w:val="-1"/>
        </w:rPr>
        <w:t xml:space="preserve"> </w:t>
      </w:r>
      <w:r w:rsidRPr="00CA2CC1">
        <w:rPr>
          <w:rFonts w:cs="Calibri"/>
          <w:color w:val="414042"/>
        </w:rPr>
        <w:t>results</w:t>
      </w:r>
      <w:r w:rsidRPr="00CA2CC1">
        <w:rPr>
          <w:rFonts w:cs="Calibri"/>
          <w:color w:val="414042"/>
          <w:spacing w:val="-1"/>
        </w:rPr>
        <w:t xml:space="preserve"> </w:t>
      </w:r>
      <w:r w:rsidRPr="00CA2CC1">
        <w:rPr>
          <w:rFonts w:cs="Calibri"/>
          <w:color w:val="414042"/>
        </w:rPr>
        <w:t>outperformed</w:t>
      </w:r>
      <w:r w:rsidRPr="00CA2CC1">
        <w:rPr>
          <w:rFonts w:cs="Calibri"/>
          <w:color w:val="414042"/>
          <w:spacing w:val="-1"/>
        </w:rPr>
        <w:t xml:space="preserve"> </w:t>
      </w:r>
      <w:r w:rsidRPr="00CA2CC1">
        <w:rPr>
          <w:rFonts w:cs="Calibri"/>
          <w:color w:val="414042"/>
        </w:rPr>
        <w:t>the comparator</w:t>
      </w:r>
      <w:r w:rsidRPr="00CA2CC1">
        <w:rPr>
          <w:rFonts w:cs="Calibri"/>
          <w:color w:val="414042"/>
          <w:spacing w:val="-8"/>
        </w:rPr>
        <w:t xml:space="preserve"> </w:t>
      </w:r>
      <w:r w:rsidRPr="00CA2CC1">
        <w:rPr>
          <w:rFonts w:cs="Calibri"/>
          <w:color w:val="414042"/>
        </w:rPr>
        <w:t>and</w:t>
      </w:r>
      <w:r w:rsidRPr="00CA2CC1">
        <w:rPr>
          <w:rFonts w:cs="Calibri"/>
          <w:color w:val="414042"/>
          <w:spacing w:val="-8"/>
        </w:rPr>
        <w:t xml:space="preserve"> </w:t>
      </w:r>
      <w:r w:rsidRPr="00CA2CC1">
        <w:rPr>
          <w:rFonts w:cs="Calibri"/>
          <w:color w:val="414042"/>
        </w:rPr>
        <w:t>broader</w:t>
      </w:r>
      <w:r w:rsidRPr="00CA2CC1">
        <w:rPr>
          <w:rFonts w:cs="Calibri"/>
          <w:color w:val="414042"/>
          <w:spacing w:val="-8"/>
        </w:rPr>
        <w:t xml:space="preserve"> </w:t>
      </w:r>
      <w:r w:rsidRPr="00CA2CC1">
        <w:rPr>
          <w:rFonts w:cs="Calibri"/>
          <w:color w:val="414042"/>
        </w:rPr>
        <w:t>public</w:t>
      </w:r>
      <w:r w:rsidRPr="00CA2CC1">
        <w:rPr>
          <w:rFonts w:cs="Calibri"/>
          <w:color w:val="414042"/>
          <w:spacing w:val="-8"/>
        </w:rPr>
        <w:t xml:space="preserve"> </w:t>
      </w:r>
      <w:r w:rsidRPr="00CA2CC1">
        <w:rPr>
          <w:rFonts w:cs="Calibri"/>
          <w:color w:val="414042"/>
        </w:rPr>
        <w:t>sector</w:t>
      </w:r>
      <w:r w:rsidRPr="00CA2CC1">
        <w:rPr>
          <w:rFonts w:cs="Calibri"/>
          <w:color w:val="414042"/>
          <w:spacing w:val="-8"/>
        </w:rPr>
        <w:t xml:space="preserve"> </w:t>
      </w:r>
      <w:r w:rsidRPr="00CA2CC1">
        <w:rPr>
          <w:rFonts w:cs="Calibri"/>
          <w:color w:val="414042"/>
        </w:rPr>
        <w:t>groups,</w:t>
      </w:r>
      <w:r w:rsidRPr="00CA2CC1">
        <w:rPr>
          <w:rFonts w:cs="Calibri"/>
          <w:color w:val="414042"/>
          <w:spacing w:val="-8"/>
        </w:rPr>
        <w:t xml:space="preserve"> </w:t>
      </w:r>
      <w:r w:rsidRPr="00CA2CC1">
        <w:rPr>
          <w:rFonts w:cs="Calibri"/>
          <w:color w:val="414042"/>
        </w:rPr>
        <w:t>building on our strong performance from the previous year.</w:t>
      </w:r>
    </w:p>
    <w:p w14:paraId="4B3A5D04" w14:textId="77777777" w:rsidR="00FA4226" w:rsidRPr="00CA2CC1" w:rsidRDefault="00000000" w:rsidP="0043303B">
      <w:pPr>
        <w:pStyle w:val="BodyText"/>
        <w:spacing w:before="109"/>
        <w:rPr>
          <w:rFonts w:cs="Calibri"/>
        </w:rPr>
      </w:pPr>
      <w:r w:rsidRPr="00CA2CC1">
        <w:rPr>
          <w:rFonts w:cs="Calibri"/>
          <w:color w:val="414042"/>
        </w:rPr>
        <w:t>A</w:t>
      </w:r>
      <w:r w:rsidRPr="00CA2CC1">
        <w:rPr>
          <w:rFonts w:cs="Calibri"/>
          <w:color w:val="414042"/>
          <w:spacing w:val="-1"/>
        </w:rPr>
        <w:t xml:space="preserve"> </w:t>
      </w:r>
      <w:r w:rsidRPr="00CA2CC1">
        <w:rPr>
          <w:rFonts w:cs="Calibri"/>
          <w:color w:val="414042"/>
        </w:rPr>
        <w:t>high-level</w:t>
      </w:r>
      <w:r w:rsidRPr="00CA2CC1">
        <w:rPr>
          <w:rFonts w:cs="Calibri"/>
          <w:color w:val="414042"/>
          <w:spacing w:val="-1"/>
        </w:rPr>
        <w:t xml:space="preserve"> </w:t>
      </w:r>
      <w:r w:rsidRPr="00CA2CC1">
        <w:rPr>
          <w:rFonts w:cs="Calibri"/>
          <w:color w:val="414042"/>
        </w:rPr>
        <w:t>snapshot of</w:t>
      </w:r>
      <w:r w:rsidRPr="00CA2CC1">
        <w:rPr>
          <w:rFonts w:cs="Calibri"/>
          <w:color w:val="414042"/>
          <w:spacing w:val="-1"/>
        </w:rPr>
        <w:t xml:space="preserve"> </w:t>
      </w:r>
      <w:r w:rsidRPr="00CA2CC1">
        <w:rPr>
          <w:rFonts w:cs="Calibri"/>
          <w:color w:val="414042"/>
        </w:rPr>
        <w:t>our key</w:t>
      </w:r>
      <w:r w:rsidRPr="00CA2CC1">
        <w:rPr>
          <w:rFonts w:cs="Calibri"/>
          <w:color w:val="414042"/>
          <w:spacing w:val="-1"/>
        </w:rPr>
        <w:t xml:space="preserve"> </w:t>
      </w:r>
      <w:r w:rsidRPr="00CA2CC1">
        <w:rPr>
          <w:rFonts w:cs="Calibri"/>
          <w:color w:val="414042"/>
        </w:rPr>
        <w:t xml:space="preserve">results </w:t>
      </w:r>
      <w:r w:rsidRPr="00CA2CC1">
        <w:rPr>
          <w:rFonts w:cs="Calibri"/>
          <w:color w:val="414042"/>
          <w:spacing w:val="-2"/>
        </w:rPr>
        <w:t>shows:</w:t>
      </w:r>
    </w:p>
    <w:p w14:paraId="190F3EEB" w14:textId="77777777" w:rsidR="00FA4226" w:rsidRPr="00CA2CC1" w:rsidRDefault="00000000" w:rsidP="0043303B">
      <w:pPr>
        <w:pStyle w:val="BodyText"/>
        <w:numPr>
          <w:ilvl w:val="0"/>
          <w:numId w:val="21"/>
        </w:numPr>
        <w:rPr>
          <w:rFonts w:cs="Calibri"/>
        </w:rPr>
      </w:pPr>
      <w:r w:rsidRPr="00CA2CC1">
        <w:rPr>
          <w:rFonts w:cs="Calibri"/>
        </w:rPr>
        <w:t>90% workforce engagement, compared with 71% in our comparator group</w:t>
      </w:r>
    </w:p>
    <w:p w14:paraId="78ED7663" w14:textId="77777777" w:rsidR="00FA4226" w:rsidRPr="00CA2CC1" w:rsidRDefault="00000000" w:rsidP="0043303B">
      <w:pPr>
        <w:pStyle w:val="BodyText"/>
        <w:numPr>
          <w:ilvl w:val="0"/>
          <w:numId w:val="21"/>
        </w:numPr>
        <w:rPr>
          <w:rFonts w:cs="Calibri"/>
        </w:rPr>
      </w:pPr>
      <w:r w:rsidRPr="00CA2CC1">
        <w:rPr>
          <w:rFonts w:cs="Calibri"/>
        </w:rPr>
        <w:t>88% response rate compared with 59% for the comparator group</w:t>
      </w:r>
    </w:p>
    <w:p w14:paraId="48E3BCEF" w14:textId="77777777" w:rsidR="00FA4226" w:rsidRPr="00CA2CC1" w:rsidRDefault="00000000" w:rsidP="0043303B">
      <w:pPr>
        <w:pStyle w:val="BodyText"/>
        <w:numPr>
          <w:ilvl w:val="0"/>
          <w:numId w:val="21"/>
        </w:numPr>
        <w:rPr>
          <w:rFonts w:cs="Calibri"/>
        </w:rPr>
      </w:pPr>
      <w:r w:rsidRPr="00CA2CC1">
        <w:rPr>
          <w:rFonts w:cs="Calibri"/>
        </w:rPr>
        <w:t>89% employee satisfaction, compared with 68% for comparator organisations</w:t>
      </w:r>
    </w:p>
    <w:p w14:paraId="298DE10E" w14:textId="77777777" w:rsidR="00A45E21" w:rsidRPr="00CA2CC1" w:rsidRDefault="00000000" w:rsidP="0043303B">
      <w:pPr>
        <w:pStyle w:val="BodyText"/>
        <w:numPr>
          <w:ilvl w:val="0"/>
          <w:numId w:val="21"/>
        </w:numPr>
        <w:rPr>
          <w:rFonts w:cs="Calibri"/>
        </w:rPr>
      </w:pPr>
      <w:r w:rsidRPr="00CA2CC1">
        <w:rPr>
          <w:rFonts w:cs="Calibri"/>
        </w:rPr>
        <w:t>95% employee inclusion rating compared with 81% in our comparator group.</w:t>
      </w:r>
    </w:p>
    <w:p w14:paraId="2CB3002A" w14:textId="1F556199" w:rsidR="00FA4226" w:rsidRPr="00CA2CC1" w:rsidRDefault="00000000" w:rsidP="0043303B">
      <w:pPr>
        <w:tabs>
          <w:tab w:val="left" w:pos="1417"/>
        </w:tabs>
        <w:spacing w:before="118"/>
        <w:rPr>
          <w:rFonts w:cs="Calibri"/>
        </w:rPr>
      </w:pPr>
      <w:r w:rsidRPr="00CA2CC1">
        <w:rPr>
          <w:rFonts w:cs="Calibri"/>
          <w:color w:val="414042"/>
        </w:rPr>
        <w:t>Infrastructure</w:t>
      </w:r>
      <w:r w:rsidRPr="00CA2CC1">
        <w:rPr>
          <w:rFonts w:cs="Calibri"/>
          <w:color w:val="414042"/>
          <w:spacing w:val="-6"/>
        </w:rPr>
        <w:t xml:space="preserve"> </w:t>
      </w:r>
      <w:r w:rsidRPr="00CA2CC1">
        <w:rPr>
          <w:rFonts w:cs="Calibri"/>
          <w:color w:val="414042"/>
        </w:rPr>
        <w:t>Victoria</w:t>
      </w:r>
      <w:r w:rsidRPr="00CA2CC1">
        <w:rPr>
          <w:rFonts w:cs="Calibri"/>
          <w:color w:val="414042"/>
          <w:spacing w:val="-6"/>
        </w:rPr>
        <w:t xml:space="preserve"> </w:t>
      </w:r>
      <w:r w:rsidRPr="00CA2CC1">
        <w:rPr>
          <w:rFonts w:cs="Calibri"/>
          <w:color w:val="414042"/>
        </w:rPr>
        <w:t>also</w:t>
      </w:r>
      <w:r w:rsidRPr="00CA2CC1">
        <w:rPr>
          <w:rFonts w:cs="Calibri"/>
          <w:color w:val="414042"/>
          <w:spacing w:val="-6"/>
        </w:rPr>
        <w:t xml:space="preserve"> </w:t>
      </w:r>
      <w:r w:rsidRPr="00CA2CC1">
        <w:rPr>
          <w:rFonts w:cs="Calibri"/>
          <w:color w:val="414042"/>
        </w:rPr>
        <w:t>achieved</w:t>
      </w:r>
      <w:r w:rsidRPr="00CA2CC1">
        <w:rPr>
          <w:rFonts w:cs="Calibri"/>
          <w:color w:val="414042"/>
          <w:spacing w:val="-6"/>
        </w:rPr>
        <w:t xml:space="preserve"> </w:t>
      </w:r>
      <w:r w:rsidRPr="00CA2CC1">
        <w:rPr>
          <w:rFonts w:cs="Calibri"/>
          <w:color w:val="414042"/>
        </w:rPr>
        <w:t>a</w:t>
      </w:r>
      <w:r w:rsidRPr="00CA2CC1">
        <w:rPr>
          <w:rFonts w:cs="Calibri"/>
          <w:color w:val="414042"/>
          <w:spacing w:val="-6"/>
        </w:rPr>
        <w:t xml:space="preserve"> </w:t>
      </w:r>
      <w:r w:rsidRPr="00CA2CC1">
        <w:rPr>
          <w:rFonts w:cs="Calibri"/>
          <w:color w:val="414042"/>
        </w:rPr>
        <w:t>100%</w:t>
      </w:r>
      <w:r w:rsidRPr="00CA2CC1">
        <w:rPr>
          <w:rFonts w:cs="Calibri"/>
          <w:color w:val="414042"/>
          <w:spacing w:val="-6"/>
        </w:rPr>
        <w:t xml:space="preserve"> </w:t>
      </w:r>
      <w:r w:rsidRPr="00CA2CC1">
        <w:rPr>
          <w:rFonts w:cs="Calibri"/>
          <w:color w:val="414042"/>
        </w:rPr>
        <w:t>positive</w:t>
      </w:r>
      <w:r w:rsidRPr="00CA2CC1">
        <w:rPr>
          <w:rFonts w:cs="Calibri"/>
          <w:color w:val="414042"/>
          <w:spacing w:val="-6"/>
        </w:rPr>
        <w:t xml:space="preserve"> </w:t>
      </w:r>
      <w:r w:rsidRPr="00CA2CC1">
        <w:rPr>
          <w:rFonts w:cs="Calibri"/>
          <w:color w:val="414042"/>
        </w:rPr>
        <w:t>rating across multiple survey questions with many improving on our results from 2022:</w:t>
      </w:r>
    </w:p>
    <w:p w14:paraId="6A1A20F9" w14:textId="77777777" w:rsidR="00FA4226" w:rsidRPr="00CA2CC1" w:rsidRDefault="00000000" w:rsidP="0043303B">
      <w:pPr>
        <w:pStyle w:val="BodyText"/>
        <w:numPr>
          <w:ilvl w:val="0"/>
          <w:numId w:val="22"/>
        </w:numPr>
        <w:rPr>
          <w:rFonts w:cs="Calibri"/>
        </w:rPr>
      </w:pPr>
      <w:r w:rsidRPr="00CA2CC1">
        <w:rPr>
          <w:rFonts w:cs="Calibri"/>
        </w:rPr>
        <w:t>my</w:t>
      </w:r>
      <w:r w:rsidRPr="00CA2CC1">
        <w:rPr>
          <w:rFonts w:cs="Calibri"/>
          <w:spacing w:val="-4"/>
        </w:rPr>
        <w:t xml:space="preserve"> </w:t>
      </w:r>
      <w:r w:rsidRPr="00CA2CC1">
        <w:rPr>
          <w:rFonts w:cs="Calibri"/>
        </w:rPr>
        <w:t>organisation</w:t>
      </w:r>
      <w:r w:rsidRPr="00CA2CC1">
        <w:rPr>
          <w:rFonts w:cs="Calibri"/>
          <w:spacing w:val="-4"/>
        </w:rPr>
        <w:t xml:space="preserve"> </w:t>
      </w:r>
      <w:r w:rsidRPr="00CA2CC1">
        <w:rPr>
          <w:rFonts w:cs="Calibri"/>
        </w:rPr>
        <w:t>places</w:t>
      </w:r>
      <w:r w:rsidRPr="00CA2CC1">
        <w:rPr>
          <w:rFonts w:cs="Calibri"/>
          <w:spacing w:val="-4"/>
        </w:rPr>
        <w:t xml:space="preserve"> </w:t>
      </w:r>
      <w:r w:rsidRPr="00CA2CC1">
        <w:rPr>
          <w:rFonts w:cs="Calibri"/>
        </w:rPr>
        <w:t>a</w:t>
      </w:r>
      <w:r w:rsidRPr="00CA2CC1">
        <w:rPr>
          <w:rFonts w:cs="Calibri"/>
          <w:spacing w:val="-4"/>
        </w:rPr>
        <w:t xml:space="preserve"> </w:t>
      </w:r>
      <w:r w:rsidRPr="00CA2CC1">
        <w:rPr>
          <w:rFonts w:cs="Calibri"/>
        </w:rPr>
        <w:t>high</w:t>
      </w:r>
      <w:r w:rsidRPr="00CA2CC1">
        <w:rPr>
          <w:rFonts w:cs="Calibri"/>
          <w:spacing w:val="-4"/>
        </w:rPr>
        <w:t xml:space="preserve"> </w:t>
      </w:r>
      <w:r w:rsidRPr="00CA2CC1">
        <w:rPr>
          <w:rFonts w:cs="Calibri"/>
        </w:rPr>
        <w:t>priority</w:t>
      </w:r>
      <w:r w:rsidRPr="00CA2CC1">
        <w:rPr>
          <w:rFonts w:cs="Calibri"/>
          <w:spacing w:val="-4"/>
        </w:rPr>
        <w:t xml:space="preserve"> </w:t>
      </w:r>
      <w:r w:rsidRPr="00CA2CC1">
        <w:rPr>
          <w:rFonts w:cs="Calibri"/>
        </w:rPr>
        <w:t>on</w:t>
      </w:r>
      <w:r w:rsidRPr="00CA2CC1">
        <w:rPr>
          <w:rFonts w:cs="Calibri"/>
          <w:spacing w:val="-4"/>
        </w:rPr>
        <w:t xml:space="preserve"> </w:t>
      </w:r>
      <w:r w:rsidRPr="00CA2CC1">
        <w:rPr>
          <w:rFonts w:cs="Calibri"/>
        </w:rPr>
        <w:t>the</w:t>
      </w:r>
      <w:r w:rsidRPr="00CA2CC1">
        <w:rPr>
          <w:rFonts w:cs="Calibri"/>
          <w:spacing w:val="-4"/>
        </w:rPr>
        <w:t xml:space="preserve"> </w:t>
      </w:r>
      <w:r w:rsidRPr="00CA2CC1">
        <w:rPr>
          <w:rFonts w:cs="Calibri"/>
        </w:rPr>
        <w:t>learning and development of staff (up from 91%)</w:t>
      </w:r>
    </w:p>
    <w:p w14:paraId="076FE8DF" w14:textId="77777777" w:rsidR="00FA4226" w:rsidRPr="00CA2CC1" w:rsidRDefault="00000000" w:rsidP="0043303B">
      <w:pPr>
        <w:pStyle w:val="BodyText"/>
        <w:numPr>
          <w:ilvl w:val="0"/>
          <w:numId w:val="22"/>
        </w:numPr>
        <w:rPr>
          <w:rFonts w:cs="Calibri"/>
        </w:rPr>
      </w:pPr>
      <w:r w:rsidRPr="00CA2CC1">
        <w:rPr>
          <w:rFonts w:cs="Calibri"/>
        </w:rPr>
        <w:t>my</w:t>
      </w:r>
      <w:r w:rsidRPr="00CA2CC1">
        <w:rPr>
          <w:rFonts w:cs="Calibri"/>
          <w:spacing w:val="-7"/>
        </w:rPr>
        <w:t xml:space="preserve"> </w:t>
      </w:r>
      <w:r w:rsidRPr="00CA2CC1">
        <w:rPr>
          <w:rFonts w:cs="Calibri"/>
        </w:rPr>
        <w:t>manager</w:t>
      </w:r>
      <w:r w:rsidRPr="00CA2CC1">
        <w:rPr>
          <w:rFonts w:cs="Calibri"/>
          <w:spacing w:val="-7"/>
        </w:rPr>
        <w:t xml:space="preserve"> </w:t>
      </w:r>
      <w:r w:rsidRPr="00CA2CC1">
        <w:rPr>
          <w:rFonts w:cs="Calibri"/>
        </w:rPr>
        <w:t>demonstrates</w:t>
      </w:r>
      <w:r w:rsidRPr="00CA2CC1">
        <w:rPr>
          <w:rFonts w:cs="Calibri"/>
          <w:spacing w:val="-7"/>
        </w:rPr>
        <w:t xml:space="preserve"> </w:t>
      </w:r>
      <w:r w:rsidRPr="00CA2CC1">
        <w:rPr>
          <w:rFonts w:cs="Calibri"/>
        </w:rPr>
        <w:t>honesty</w:t>
      </w:r>
      <w:r w:rsidRPr="00CA2CC1">
        <w:rPr>
          <w:rFonts w:cs="Calibri"/>
          <w:spacing w:val="-7"/>
        </w:rPr>
        <w:t xml:space="preserve"> </w:t>
      </w:r>
      <w:r w:rsidRPr="00CA2CC1">
        <w:rPr>
          <w:rFonts w:cs="Calibri"/>
        </w:rPr>
        <w:t>and</w:t>
      </w:r>
      <w:r w:rsidRPr="00CA2CC1">
        <w:rPr>
          <w:rFonts w:cs="Calibri"/>
          <w:spacing w:val="-7"/>
        </w:rPr>
        <w:t xml:space="preserve"> </w:t>
      </w:r>
      <w:r w:rsidRPr="00CA2CC1">
        <w:rPr>
          <w:rFonts w:cs="Calibri"/>
        </w:rPr>
        <w:t>integrity (up from 97%)</w:t>
      </w:r>
    </w:p>
    <w:p w14:paraId="6B456284" w14:textId="77777777" w:rsidR="00FA4226" w:rsidRPr="00CA2CC1" w:rsidRDefault="00000000" w:rsidP="0043303B">
      <w:pPr>
        <w:pStyle w:val="BodyText"/>
        <w:numPr>
          <w:ilvl w:val="0"/>
          <w:numId w:val="22"/>
        </w:numPr>
        <w:rPr>
          <w:rFonts w:cs="Calibri"/>
        </w:rPr>
      </w:pPr>
      <w:r w:rsidRPr="00CA2CC1">
        <w:rPr>
          <w:rFonts w:cs="Calibri"/>
        </w:rPr>
        <w:t>my</w:t>
      </w:r>
      <w:r w:rsidRPr="00CA2CC1">
        <w:rPr>
          <w:rFonts w:cs="Calibri"/>
          <w:spacing w:val="-6"/>
        </w:rPr>
        <w:t xml:space="preserve"> </w:t>
      </w:r>
      <w:r w:rsidRPr="00CA2CC1">
        <w:rPr>
          <w:rFonts w:cs="Calibri"/>
        </w:rPr>
        <w:t>manager</w:t>
      </w:r>
      <w:r w:rsidRPr="00CA2CC1">
        <w:rPr>
          <w:rFonts w:cs="Calibri"/>
          <w:spacing w:val="-6"/>
        </w:rPr>
        <w:t xml:space="preserve"> </w:t>
      </w:r>
      <w:r w:rsidRPr="00CA2CC1">
        <w:rPr>
          <w:rFonts w:cs="Calibri"/>
        </w:rPr>
        <w:t>treats</w:t>
      </w:r>
      <w:r w:rsidRPr="00CA2CC1">
        <w:rPr>
          <w:rFonts w:cs="Calibri"/>
          <w:spacing w:val="-6"/>
        </w:rPr>
        <w:t xml:space="preserve"> </w:t>
      </w:r>
      <w:r w:rsidRPr="00CA2CC1">
        <w:rPr>
          <w:rFonts w:cs="Calibri"/>
        </w:rPr>
        <w:t>employees</w:t>
      </w:r>
      <w:r w:rsidRPr="00CA2CC1">
        <w:rPr>
          <w:rFonts w:cs="Calibri"/>
          <w:spacing w:val="-6"/>
        </w:rPr>
        <w:t xml:space="preserve"> </w:t>
      </w:r>
      <w:r w:rsidRPr="00CA2CC1">
        <w:rPr>
          <w:rFonts w:cs="Calibri"/>
        </w:rPr>
        <w:t>with</w:t>
      </w:r>
      <w:r w:rsidRPr="00CA2CC1">
        <w:rPr>
          <w:rFonts w:cs="Calibri"/>
          <w:spacing w:val="-6"/>
        </w:rPr>
        <w:t xml:space="preserve"> </w:t>
      </w:r>
      <w:r w:rsidRPr="00CA2CC1">
        <w:rPr>
          <w:rFonts w:cs="Calibri"/>
        </w:rPr>
        <w:t>dignity</w:t>
      </w:r>
      <w:r w:rsidRPr="00CA2CC1">
        <w:rPr>
          <w:rFonts w:cs="Calibri"/>
          <w:spacing w:val="-6"/>
        </w:rPr>
        <w:t xml:space="preserve"> </w:t>
      </w:r>
      <w:r w:rsidRPr="00CA2CC1">
        <w:rPr>
          <w:rFonts w:cs="Calibri"/>
        </w:rPr>
        <w:t>and</w:t>
      </w:r>
      <w:r w:rsidRPr="00CA2CC1">
        <w:rPr>
          <w:rFonts w:cs="Calibri"/>
          <w:spacing w:val="-6"/>
        </w:rPr>
        <w:t xml:space="preserve"> </w:t>
      </w:r>
      <w:r w:rsidRPr="00CA2CC1">
        <w:rPr>
          <w:rFonts w:cs="Calibri"/>
        </w:rPr>
        <w:t>respect (up from 97%)</w:t>
      </w:r>
    </w:p>
    <w:p w14:paraId="5FE141EF" w14:textId="77777777" w:rsidR="00FA4226" w:rsidRPr="00CA2CC1" w:rsidRDefault="00000000" w:rsidP="0043303B">
      <w:pPr>
        <w:pStyle w:val="BodyText"/>
        <w:numPr>
          <w:ilvl w:val="0"/>
          <w:numId w:val="22"/>
        </w:numPr>
        <w:rPr>
          <w:rFonts w:cs="Calibri"/>
        </w:rPr>
      </w:pPr>
      <w:r w:rsidRPr="00CA2CC1">
        <w:rPr>
          <w:rFonts w:cs="Calibri"/>
        </w:rPr>
        <w:t>I</w:t>
      </w:r>
      <w:r w:rsidRPr="00CA2CC1">
        <w:rPr>
          <w:rFonts w:cs="Calibri"/>
          <w:spacing w:val="-5"/>
        </w:rPr>
        <w:t xml:space="preserve"> </w:t>
      </w:r>
      <w:r w:rsidRPr="00CA2CC1">
        <w:rPr>
          <w:rFonts w:cs="Calibri"/>
        </w:rPr>
        <w:t>can</w:t>
      </w:r>
      <w:r w:rsidRPr="00CA2CC1">
        <w:rPr>
          <w:rFonts w:cs="Calibri"/>
          <w:spacing w:val="-5"/>
        </w:rPr>
        <w:t xml:space="preserve"> </w:t>
      </w:r>
      <w:r w:rsidRPr="00CA2CC1">
        <w:rPr>
          <w:rFonts w:cs="Calibri"/>
        </w:rPr>
        <w:t>discuss</w:t>
      </w:r>
      <w:r w:rsidRPr="00CA2CC1">
        <w:rPr>
          <w:rFonts w:cs="Calibri"/>
          <w:spacing w:val="-5"/>
        </w:rPr>
        <w:t xml:space="preserve"> </w:t>
      </w:r>
      <w:r w:rsidRPr="00CA2CC1">
        <w:rPr>
          <w:rFonts w:cs="Calibri"/>
        </w:rPr>
        <w:t>problems</w:t>
      </w:r>
      <w:r w:rsidRPr="00CA2CC1">
        <w:rPr>
          <w:rFonts w:cs="Calibri"/>
          <w:spacing w:val="-5"/>
        </w:rPr>
        <w:t xml:space="preserve"> </w:t>
      </w:r>
      <w:r w:rsidRPr="00CA2CC1">
        <w:rPr>
          <w:rFonts w:cs="Calibri"/>
        </w:rPr>
        <w:t>or</w:t>
      </w:r>
      <w:r w:rsidRPr="00CA2CC1">
        <w:rPr>
          <w:rFonts w:cs="Calibri"/>
          <w:spacing w:val="-5"/>
        </w:rPr>
        <w:t xml:space="preserve"> </w:t>
      </w:r>
      <w:r w:rsidRPr="00CA2CC1">
        <w:rPr>
          <w:rFonts w:cs="Calibri"/>
        </w:rPr>
        <w:t>issues</w:t>
      </w:r>
      <w:r w:rsidRPr="00CA2CC1">
        <w:rPr>
          <w:rFonts w:cs="Calibri"/>
          <w:spacing w:val="-5"/>
        </w:rPr>
        <w:t xml:space="preserve"> </w:t>
      </w:r>
      <w:r w:rsidRPr="00CA2CC1">
        <w:rPr>
          <w:rFonts w:cs="Calibri"/>
        </w:rPr>
        <w:t>with</w:t>
      </w:r>
      <w:r w:rsidRPr="00CA2CC1">
        <w:rPr>
          <w:rFonts w:cs="Calibri"/>
          <w:spacing w:val="-5"/>
        </w:rPr>
        <w:t xml:space="preserve"> </w:t>
      </w:r>
      <w:r w:rsidRPr="00CA2CC1">
        <w:rPr>
          <w:rFonts w:cs="Calibri"/>
        </w:rPr>
        <w:t>my</w:t>
      </w:r>
      <w:r w:rsidRPr="00CA2CC1">
        <w:rPr>
          <w:rFonts w:cs="Calibri"/>
          <w:spacing w:val="-5"/>
        </w:rPr>
        <w:t xml:space="preserve"> </w:t>
      </w:r>
      <w:r w:rsidRPr="00CA2CC1">
        <w:rPr>
          <w:rFonts w:cs="Calibri"/>
        </w:rPr>
        <w:t>manager (up from 94%)</w:t>
      </w:r>
    </w:p>
    <w:p w14:paraId="0BAF6F73" w14:textId="77777777" w:rsidR="00AD076D" w:rsidRPr="00CA2CC1" w:rsidRDefault="00000000" w:rsidP="0043303B">
      <w:pPr>
        <w:pStyle w:val="BodyText"/>
        <w:numPr>
          <w:ilvl w:val="0"/>
          <w:numId w:val="22"/>
        </w:numPr>
        <w:rPr>
          <w:rFonts w:cs="Calibri"/>
        </w:rPr>
      </w:pPr>
      <w:r w:rsidRPr="00CA2CC1">
        <w:rPr>
          <w:rFonts w:cs="Calibri"/>
        </w:rPr>
        <w:t>my</w:t>
      </w:r>
      <w:r w:rsidRPr="00CA2CC1">
        <w:rPr>
          <w:rFonts w:cs="Calibri"/>
          <w:spacing w:val="-10"/>
        </w:rPr>
        <w:t xml:space="preserve"> </w:t>
      </w:r>
      <w:r w:rsidRPr="00CA2CC1">
        <w:rPr>
          <w:rFonts w:cs="Calibri"/>
        </w:rPr>
        <w:t>organisation</w:t>
      </w:r>
      <w:r w:rsidRPr="00CA2CC1">
        <w:rPr>
          <w:rFonts w:cs="Calibri"/>
          <w:spacing w:val="-10"/>
        </w:rPr>
        <w:t xml:space="preserve"> </w:t>
      </w:r>
      <w:r w:rsidRPr="00CA2CC1">
        <w:rPr>
          <w:rFonts w:cs="Calibri"/>
        </w:rPr>
        <w:t>encourages</w:t>
      </w:r>
      <w:r w:rsidRPr="00CA2CC1">
        <w:rPr>
          <w:rFonts w:cs="Calibri"/>
          <w:spacing w:val="-10"/>
        </w:rPr>
        <w:t xml:space="preserve"> </w:t>
      </w:r>
      <w:r w:rsidRPr="00CA2CC1">
        <w:rPr>
          <w:rFonts w:cs="Calibri"/>
        </w:rPr>
        <w:t>respectful</w:t>
      </w:r>
      <w:r w:rsidRPr="00CA2CC1">
        <w:rPr>
          <w:rFonts w:cs="Calibri"/>
          <w:spacing w:val="-10"/>
        </w:rPr>
        <w:t xml:space="preserve"> </w:t>
      </w:r>
      <w:r w:rsidRPr="00CA2CC1">
        <w:rPr>
          <w:rFonts w:cs="Calibri"/>
        </w:rPr>
        <w:t>workplace behaviours (up from 97%)</w:t>
      </w:r>
    </w:p>
    <w:p w14:paraId="76D9A6CD" w14:textId="11FF56BE" w:rsidR="00C73A45" w:rsidRPr="00CA2CC1" w:rsidRDefault="00000000" w:rsidP="0043303B">
      <w:pPr>
        <w:pStyle w:val="BodyText"/>
        <w:numPr>
          <w:ilvl w:val="0"/>
          <w:numId w:val="22"/>
        </w:numPr>
        <w:rPr>
          <w:rFonts w:cs="Calibri"/>
        </w:rPr>
      </w:pPr>
      <w:r w:rsidRPr="00CA2CC1">
        <w:rPr>
          <w:rFonts w:cs="Calibri"/>
        </w:rPr>
        <w:lastRenderedPageBreak/>
        <w:t>considering</w:t>
      </w:r>
      <w:r w:rsidRPr="00CA2CC1">
        <w:rPr>
          <w:rFonts w:cs="Calibri"/>
          <w:spacing w:val="-7"/>
        </w:rPr>
        <w:t xml:space="preserve"> </w:t>
      </w:r>
      <w:r w:rsidRPr="00CA2CC1">
        <w:rPr>
          <w:rFonts w:cs="Calibri"/>
        </w:rPr>
        <w:t>everything,</w:t>
      </w:r>
      <w:r w:rsidRPr="00CA2CC1">
        <w:rPr>
          <w:rFonts w:cs="Calibri"/>
          <w:spacing w:val="-7"/>
        </w:rPr>
        <w:t xml:space="preserve"> </w:t>
      </w:r>
      <w:r w:rsidRPr="00CA2CC1">
        <w:rPr>
          <w:rFonts w:cs="Calibri"/>
        </w:rPr>
        <w:t>how</w:t>
      </w:r>
      <w:r w:rsidRPr="00CA2CC1">
        <w:rPr>
          <w:rFonts w:cs="Calibri"/>
          <w:spacing w:val="-7"/>
        </w:rPr>
        <w:t xml:space="preserve"> </w:t>
      </w:r>
      <w:r w:rsidRPr="00CA2CC1">
        <w:rPr>
          <w:rFonts w:cs="Calibri"/>
        </w:rPr>
        <w:t>satisfied</w:t>
      </w:r>
      <w:r w:rsidRPr="00CA2CC1">
        <w:rPr>
          <w:rFonts w:cs="Calibri"/>
          <w:spacing w:val="-7"/>
        </w:rPr>
        <w:t xml:space="preserve"> </w:t>
      </w:r>
      <w:r w:rsidRPr="00CA2CC1">
        <w:rPr>
          <w:rFonts w:cs="Calibri"/>
        </w:rPr>
        <w:t>are</w:t>
      </w:r>
      <w:r w:rsidRPr="00CA2CC1">
        <w:rPr>
          <w:rFonts w:cs="Calibri"/>
          <w:spacing w:val="-7"/>
        </w:rPr>
        <w:t xml:space="preserve"> </w:t>
      </w:r>
      <w:r w:rsidRPr="00CA2CC1">
        <w:rPr>
          <w:rFonts w:cs="Calibri"/>
        </w:rPr>
        <w:t>you</w:t>
      </w:r>
      <w:r w:rsidRPr="00CA2CC1">
        <w:rPr>
          <w:rFonts w:cs="Calibri"/>
          <w:spacing w:val="-7"/>
        </w:rPr>
        <w:t xml:space="preserve"> </w:t>
      </w:r>
      <w:r w:rsidRPr="00CA2CC1">
        <w:rPr>
          <w:rFonts w:cs="Calibri"/>
        </w:rPr>
        <w:t>with your current job (up from 97%).</w:t>
      </w:r>
    </w:p>
    <w:p w14:paraId="1FAAF433" w14:textId="4BD9B6C2" w:rsidR="00B63E93" w:rsidRPr="00CA2CC1" w:rsidRDefault="00C73A45" w:rsidP="007448F0">
      <w:pPr>
        <w:pStyle w:val="Heading2"/>
        <w:rPr>
          <w:rFonts w:cs="Calibri"/>
        </w:rPr>
      </w:pPr>
      <w:r w:rsidRPr="00CA2CC1">
        <w:rPr>
          <w:rFonts w:cs="Calibri"/>
          <w:color w:val="231F20"/>
          <w:w w:val="110"/>
        </w:rPr>
        <w:br w:type="column"/>
      </w:r>
      <w:r w:rsidR="00B63E93" w:rsidRPr="00CA2CC1">
        <w:rPr>
          <w:rFonts w:cs="Calibri"/>
          <w:w w:val="110"/>
        </w:rPr>
        <w:lastRenderedPageBreak/>
        <w:t>Our</w:t>
      </w:r>
      <w:r w:rsidR="00B63E93" w:rsidRPr="00CA2CC1">
        <w:rPr>
          <w:rFonts w:cs="Calibri"/>
          <w:spacing w:val="-11"/>
          <w:w w:val="110"/>
        </w:rPr>
        <w:t xml:space="preserve"> </w:t>
      </w:r>
      <w:r w:rsidR="00B63E93" w:rsidRPr="00CA2CC1">
        <w:rPr>
          <w:rFonts w:cs="Calibri"/>
          <w:w w:val="110"/>
        </w:rPr>
        <w:t>year</w:t>
      </w:r>
      <w:r w:rsidR="00B63E93" w:rsidRPr="00CA2CC1">
        <w:rPr>
          <w:rFonts w:cs="Calibri"/>
          <w:spacing w:val="-11"/>
          <w:w w:val="110"/>
        </w:rPr>
        <w:t xml:space="preserve"> </w:t>
      </w:r>
      <w:r w:rsidR="00B63E93" w:rsidRPr="00CA2CC1">
        <w:rPr>
          <w:rFonts w:cs="Calibri"/>
          <w:w w:val="110"/>
        </w:rPr>
        <w:t>by</w:t>
      </w:r>
      <w:r w:rsidR="00B63E93" w:rsidRPr="00CA2CC1">
        <w:rPr>
          <w:rFonts w:cs="Calibri"/>
          <w:spacing w:val="-10"/>
          <w:w w:val="110"/>
        </w:rPr>
        <w:t xml:space="preserve"> </w:t>
      </w:r>
      <w:r w:rsidR="00B63E93" w:rsidRPr="00CA2CC1">
        <w:rPr>
          <w:rFonts w:cs="Calibri"/>
          <w:w w:val="110"/>
        </w:rPr>
        <w:t>numbers</w:t>
      </w:r>
      <w:r w:rsidR="00B63E93" w:rsidRPr="00CA2CC1">
        <w:rPr>
          <w:rFonts w:cs="Calibri"/>
          <w:spacing w:val="-11"/>
          <w:w w:val="110"/>
        </w:rPr>
        <w:t xml:space="preserve"> </w:t>
      </w:r>
      <w:r w:rsidR="00B63E93" w:rsidRPr="00CA2CC1">
        <w:rPr>
          <w:rFonts w:cs="Calibri"/>
          <w:spacing w:val="-2"/>
          <w:w w:val="110"/>
        </w:rPr>
        <w:t>2022–23</w:t>
      </w:r>
    </w:p>
    <w:p w14:paraId="4B9CD114" w14:textId="77777777" w:rsidR="00FA4226" w:rsidRPr="00CA2CC1" w:rsidRDefault="00FA4226" w:rsidP="0043303B">
      <w:pPr>
        <w:rPr>
          <w:rFonts w:cs="Calibri"/>
          <w:color w:val="000000" w:themeColor="text1"/>
          <w:sz w:val="20"/>
        </w:rPr>
        <w:sectPr w:rsidR="00FA4226" w:rsidRPr="00CA2CC1" w:rsidSect="00E941A5">
          <w:pgSz w:w="11910" w:h="16840"/>
          <w:pgMar w:top="1134" w:right="1278" w:bottom="1134" w:left="1134" w:header="720" w:footer="720" w:gutter="0"/>
          <w:cols w:space="720"/>
        </w:sectPr>
      </w:pPr>
    </w:p>
    <w:p w14:paraId="5A0DBDB6" w14:textId="77777777" w:rsidR="00FA4226" w:rsidRPr="00CA2CC1" w:rsidRDefault="00000000" w:rsidP="0043303B">
      <w:pPr>
        <w:pStyle w:val="Heading5"/>
        <w:spacing w:before="250"/>
        <w:rPr>
          <w:rFonts w:cs="Calibri"/>
          <w:color w:val="000000" w:themeColor="text1"/>
        </w:rPr>
      </w:pPr>
      <w:r w:rsidRPr="00CA2CC1">
        <w:rPr>
          <w:rFonts w:cs="Calibri"/>
          <w:color w:val="000000" w:themeColor="text1"/>
          <w:w w:val="105"/>
        </w:rPr>
        <w:t xml:space="preserve">Throughout the past year, we marked major achievements and delivered substantial new work across our strategy, research and advice </w:t>
      </w:r>
      <w:r w:rsidRPr="00CA2CC1">
        <w:rPr>
          <w:rFonts w:cs="Calibri"/>
          <w:color w:val="000000" w:themeColor="text1"/>
          <w:spacing w:val="-2"/>
          <w:w w:val="105"/>
        </w:rPr>
        <w:t>programs.</w:t>
      </w:r>
    </w:p>
    <w:p w14:paraId="5C33D9F7" w14:textId="77777777" w:rsidR="00FA4226" w:rsidRPr="00CA2CC1" w:rsidRDefault="00000000" w:rsidP="0043303B">
      <w:pPr>
        <w:pStyle w:val="BodyText"/>
        <w:spacing w:before="188"/>
        <w:rPr>
          <w:rFonts w:cs="Calibri"/>
        </w:rPr>
      </w:pPr>
      <w:r w:rsidRPr="00CA2CC1">
        <w:rPr>
          <w:rFonts w:cs="Calibri"/>
        </w:rPr>
        <w:t>In addition to new evidence and innovative analysis, we consulted</w:t>
      </w:r>
      <w:r w:rsidRPr="00CA2CC1">
        <w:rPr>
          <w:rFonts w:cs="Calibri"/>
          <w:spacing w:val="-6"/>
        </w:rPr>
        <w:t xml:space="preserve"> </w:t>
      </w:r>
      <w:r w:rsidRPr="00CA2CC1">
        <w:rPr>
          <w:rFonts w:cs="Calibri"/>
        </w:rPr>
        <w:t>with</w:t>
      </w:r>
      <w:r w:rsidRPr="00CA2CC1">
        <w:rPr>
          <w:rFonts w:cs="Calibri"/>
          <w:spacing w:val="-6"/>
        </w:rPr>
        <w:t xml:space="preserve"> </w:t>
      </w:r>
      <w:r w:rsidRPr="00CA2CC1">
        <w:rPr>
          <w:rFonts w:cs="Calibri"/>
        </w:rPr>
        <w:t>thousands</w:t>
      </w:r>
      <w:r w:rsidRPr="00CA2CC1">
        <w:rPr>
          <w:rFonts w:cs="Calibri"/>
          <w:spacing w:val="-6"/>
        </w:rPr>
        <w:t xml:space="preserve"> </w:t>
      </w:r>
      <w:r w:rsidRPr="00CA2CC1">
        <w:rPr>
          <w:rFonts w:cs="Calibri"/>
        </w:rPr>
        <w:t>of</w:t>
      </w:r>
      <w:r w:rsidRPr="00CA2CC1">
        <w:rPr>
          <w:rFonts w:cs="Calibri"/>
          <w:spacing w:val="-6"/>
        </w:rPr>
        <w:t xml:space="preserve"> </w:t>
      </w:r>
      <w:r w:rsidRPr="00CA2CC1">
        <w:rPr>
          <w:rFonts w:cs="Calibri"/>
        </w:rPr>
        <w:t>Victorian</w:t>
      </w:r>
      <w:r w:rsidRPr="00CA2CC1">
        <w:rPr>
          <w:rFonts w:cs="Calibri"/>
          <w:spacing w:val="-6"/>
        </w:rPr>
        <w:t xml:space="preserve"> </w:t>
      </w:r>
      <w:r w:rsidRPr="00CA2CC1">
        <w:rPr>
          <w:rFonts w:cs="Calibri"/>
        </w:rPr>
        <w:t>community</w:t>
      </w:r>
      <w:r w:rsidRPr="00CA2CC1">
        <w:rPr>
          <w:rFonts w:cs="Calibri"/>
          <w:spacing w:val="-6"/>
        </w:rPr>
        <w:t xml:space="preserve"> </w:t>
      </w:r>
      <w:r w:rsidRPr="00CA2CC1">
        <w:rPr>
          <w:rFonts w:cs="Calibri"/>
        </w:rPr>
        <w:t>members and stakeholders to inform and promote public discussion of major infrastructure challenges and opportunities.</w:t>
      </w:r>
    </w:p>
    <w:p w14:paraId="4C3DB351" w14:textId="77777777" w:rsidR="00FA4226" w:rsidRPr="00CA2CC1" w:rsidRDefault="00000000" w:rsidP="0043303B">
      <w:pPr>
        <w:pStyle w:val="BodyText"/>
        <w:spacing w:before="116"/>
        <w:rPr>
          <w:rFonts w:cs="Calibri"/>
        </w:rPr>
      </w:pPr>
      <w:r w:rsidRPr="00CA2CC1">
        <w:rPr>
          <w:rFonts w:cs="Calibri"/>
        </w:rPr>
        <w:t>This work helped shape recommendations and policy options</w:t>
      </w:r>
      <w:r w:rsidRPr="00CA2CC1">
        <w:rPr>
          <w:rFonts w:cs="Calibri"/>
          <w:spacing w:val="-6"/>
        </w:rPr>
        <w:t xml:space="preserve"> </w:t>
      </w:r>
      <w:r w:rsidRPr="00CA2CC1">
        <w:rPr>
          <w:rFonts w:cs="Calibri"/>
        </w:rPr>
        <w:t>in</w:t>
      </w:r>
      <w:r w:rsidRPr="00CA2CC1">
        <w:rPr>
          <w:rFonts w:cs="Calibri"/>
          <w:spacing w:val="-6"/>
        </w:rPr>
        <w:t xml:space="preserve"> </w:t>
      </w:r>
      <w:r w:rsidRPr="00CA2CC1">
        <w:rPr>
          <w:rFonts w:cs="Calibri"/>
        </w:rPr>
        <w:t>6</w:t>
      </w:r>
      <w:r w:rsidRPr="00CA2CC1">
        <w:rPr>
          <w:rFonts w:cs="Calibri"/>
          <w:spacing w:val="-6"/>
        </w:rPr>
        <w:t xml:space="preserve"> </w:t>
      </w:r>
      <w:r w:rsidRPr="00CA2CC1">
        <w:rPr>
          <w:rFonts w:cs="Calibri"/>
        </w:rPr>
        <w:t>major</w:t>
      </w:r>
      <w:r w:rsidRPr="00CA2CC1">
        <w:rPr>
          <w:rFonts w:cs="Calibri"/>
          <w:spacing w:val="-6"/>
        </w:rPr>
        <w:t xml:space="preserve"> </w:t>
      </w:r>
      <w:r w:rsidRPr="00CA2CC1">
        <w:rPr>
          <w:rFonts w:cs="Calibri"/>
        </w:rPr>
        <w:t>research</w:t>
      </w:r>
      <w:r w:rsidRPr="00CA2CC1">
        <w:rPr>
          <w:rFonts w:cs="Calibri"/>
          <w:spacing w:val="-6"/>
        </w:rPr>
        <w:t xml:space="preserve"> </w:t>
      </w:r>
      <w:r w:rsidRPr="00CA2CC1">
        <w:rPr>
          <w:rFonts w:cs="Calibri"/>
        </w:rPr>
        <w:t>and</w:t>
      </w:r>
      <w:r w:rsidRPr="00CA2CC1">
        <w:rPr>
          <w:rFonts w:cs="Calibri"/>
          <w:spacing w:val="-6"/>
        </w:rPr>
        <w:t xml:space="preserve"> </w:t>
      </w:r>
      <w:r w:rsidRPr="00CA2CC1">
        <w:rPr>
          <w:rFonts w:cs="Calibri"/>
        </w:rPr>
        <w:t>advice</w:t>
      </w:r>
      <w:r w:rsidRPr="00CA2CC1">
        <w:rPr>
          <w:rFonts w:cs="Calibri"/>
          <w:spacing w:val="-6"/>
        </w:rPr>
        <w:t xml:space="preserve"> </w:t>
      </w:r>
      <w:r w:rsidRPr="00CA2CC1">
        <w:rPr>
          <w:rFonts w:cs="Calibri"/>
        </w:rPr>
        <w:t>reports we released throughout the year, plus 2 reports delivered more recently:</w:t>
      </w:r>
    </w:p>
    <w:p w14:paraId="76151B6A" w14:textId="77777777" w:rsidR="00FA4226" w:rsidRPr="00CA2CC1" w:rsidRDefault="00000000" w:rsidP="0043303B">
      <w:pPr>
        <w:pStyle w:val="BodyText"/>
        <w:numPr>
          <w:ilvl w:val="0"/>
          <w:numId w:val="24"/>
        </w:numPr>
        <w:rPr>
          <w:rFonts w:cs="Calibri"/>
          <w:i/>
          <w:iCs/>
        </w:rPr>
      </w:pPr>
      <w:r w:rsidRPr="00CA2CC1">
        <w:rPr>
          <w:rFonts w:cs="Calibri"/>
          <w:i/>
          <w:iCs/>
        </w:rPr>
        <w:t>Towards</w:t>
      </w:r>
      <w:r w:rsidRPr="00CA2CC1">
        <w:rPr>
          <w:rFonts w:cs="Calibri"/>
          <w:i/>
          <w:iCs/>
          <w:spacing w:val="-8"/>
        </w:rPr>
        <w:t xml:space="preserve"> </w:t>
      </w:r>
      <w:r w:rsidRPr="00CA2CC1">
        <w:rPr>
          <w:rFonts w:cs="Calibri"/>
          <w:i/>
          <w:iCs/>
        </w:rPr>
        <w:t>2050:</w:t>
      </w:r>
      <w:r w:rsidRPr="00CA2CC1">
        <w:rPr>
          <w:rFonts w:cs="Calibri"/>
          <w:i/>
          <w:iCs/>
          <w:spacing w:val="-8"/>
        </w:rPr>
        <w:t xml:space="preserve"> </w:t>
      </w:r>
      <w:r w:rsidRPr="00CA2CC1">
        <w:rPr>
          <w:rFonts w:cs="Calibri"/>
          <w:i/>
          <w:iCs/>
        </w:rPr>
        <w:t>gas</w:t>
      </w:r>
      <w:r w:rsidRPr="00CA2CC1">
        <w:rPr>
          <w:rFonts w:cs="Calibri"/>
          <w:i/>
          <w:iCs/>
          <w:spacing w:val="-8"/>
        </w:rPr>
        <w:t xml:space="preserve"> </w:t>
      </w:r>
      <w:r w:rsidRPr="00CA2CC1">
        <w:rPr>
          <w:rFonts w:cs="Calibri"/>
          <w:i/>
          <w:iCs/>
        </w:rPr>
        <w:t>infrastructure</w:t>
      </w:r>
      <w:r w:rsidRPr="00CA2CC1">
        <w:rPr>
          <w:rFonts w:cs="Calibri"/>
          <w:i/>
          <w:iCs/>
          <w:spacing w:val="-8"/>
        </w:rPr>
        <w:t xml:space="preserve"> </w:t>
      </w:r>
      <w:r w:rsidRPr="00CA2CC1">
        <w:rPr>
          <w:rFonts w:cs="Calibri"/>
          <w:i/>
          <w:iCs/>
        </w:rPr>
        <w:t>in</w:t>
      </w:r>
      <w:r w:rsidRPr="00CA2CC1">
        <w:rPr>
          <w:rFonts w:cs="Calibri"/>
          <w:i/>
          <w:iCs/>
          <w:spacing w:val="-8"/>
        </w:rPr>
        <w:t xml:space="preserve"> </w:t>
      </w:r>
      <w:r w:rsidRPr="00CA2CC1">
        <w:rPr>
          <w:rFonts w:cs="Calibri"/>
          <w:i/>
          <w:iCs/>
        </w:rPr>
        <w:t>a</w:t>
      </w:r>
      <w:r w:rsidRPr="00CA2CC1">
        <w:rPr>
          <w:rFonts w:cs="Calibri"/>
          <w:i/>
          <w:iCs/>
          <w:spacing w:val="-8"/>
        </w:rPr>
        <w:t xml:space="preserve"> </w:t>
      </w:r>
      <w:r w:rsidRPr="00CA2CC1">
        <w:rPr>
          <w:rFonts w:cs="Calibri"/>
          <w:i/>
          <w:iCs/>
        </w:rPr>
        <w:t>zero</w:t>
      </w:r>
      <w:r w:rsidRPr="00CA2CC1">
        <w:rPr>
          <w:rFonts w:cs="Calibri"/>
          <w:i/>
          <w:iCs/>
          <w:spacing w:val="-8"/>
        </w:rPr>
        <w:t xml:space="preserve"> </w:t>
      </w:r>
      <w:r w:rsidRPr="00CA2CC1">
        <w:rPr>
          <w:rFonts w:cs="Calibri"/>
          <w:i/>
          <w:iCs/>
        </w:rPr>
        <w:t>emissions economy – final report</w:t>
      </w:r>
    </w:p>
    <w:p w14:paraId="22C9AE6A" w14:textId="77777777" w:rsidR="00FA4226" w:rsidRPr="00CA2CC1" w:rsidRDefault="00000000" w:rsidP="0043303B">
      <w:pPr>
        <w:pStyle w:val="BodyText"/>
        <w:numPr>
          <w:ilvl w:val="0"/>
          <w:numId w:val="24"/>
        </w:numPr>
        <w:rPr>
          <w:rFonts w:cs="Calibri"/>
          <w:i/>
          <w:iCs/>
        </w:rPr>
      </w:pPr>
      <w:r w:rsidRPr="00CA2CC1">
        <w:rPr>
          <w:rFonts w:cs="Calibri"/>
          <w:i/>
          <w:iCs/>
        </w:rPr>
        <w:t>Get</w:t>
      </w:r>
      <w:r w:rsidRPr="00CA2CC1">
        <w:rPr>
          <w:rFonts w:cs="Calibri"/>
          <w:i/>
          <w:iCs/>
          <w:spacing w:val="-2"/>
        </w:rPr>
        <w:t xml:space="preserve"> </w:t>
      </w:r>
      <w:r w:rsidRPr="00CA2CC1">
        <w:rPr>
          <w:rFonts w:cs="Calibri"/>
          <w:i/>
          <w:iCs/>
        </w:rPr>
        <w:t>on</w:t>
      </w:r>
      <w:r w:rsidRPr="00CA2CC1">
        <w:rPr>
          <w:rFonts w:cs="Calibri"/>
          <w:i/>
          <w:iCs/>
          <w:spacing w:val="-1"/>
        </w:rPr>
        <w:t xml:space="preserve"> </w:t>
      </w:r>
      <w:r w:rsidRPr="00CA2CC1">
        <w:rPr>
          <w:rFonts w:cs="Calibri"/>
          <w:i/>
          <w:iCs/>
        </w:rPr>
        <w:t>board:</w:t>
      </w:r>
      <w:r w:rsidRPr="00CA2CC1">
        <w:rPr>
          <w:rFonts w:cs="Calibri"/>
          <w:i/>
          <w:iCs/>
          <w:spacing w:val="-1"/>
        </w:rPr>
        <w:t xml:space="preserve"> </w:t>
      </w:r>
      <w:r w:rsidRPr="00CA2CC1">
        <w:rPr>
          <w:rFonts w:cs="Calibri"/>
          <w:i/>
          <w:iCs/>
        </w:rPr>
        <w:t>making</w:t>
      </w:r>
      <w:r w:rsidRPr="00CA2CC1">
        <w:rPr>
          <w:rFonts w:cs="Calibri"/>
          <w:i/>
          <w:iCs/>
          <w:spacing w:val="-1"/>
        </w:rPr>
        <w:t xml:space="preserve"> </w:t>
      </w:r>
      <w:r w:rsidRPr="00CA2CC1">
        <w:rPr>
          <w:rFonts w:cs="Calibri"/>
          <w:i/>
          <w:iCs/>
        </w:rPr>
        <w:t>the</w:t>
      </w:r>
      <w:r w:rsidRPr="00CA2CC1">
        <w:rPr>
          <w:rFonts w:cs="Calibri"/>
          <w:i/>
          <w:iCs/>
          <w:spacing w:val="-2"/>
        </w:rPr>
        <w:t xml:space="preserve"> </w:t>
      </w:r>
      <w:r w:rsidRPr="00CA2CC1">
        <w:rPr>
          <w:rFonts w:cs="Calibri"/>
          <w:i/>
          <w:iCs/>
        </w:rPr>
        <w:t>most</w:t>
      </w:r>
      <w:r w:rsidRPr="00CA2CC1">
        <w:rPr>
          <w:rFonts w:cs="Calibri"/>
          <w:i/>
          <w:iCs/>
          <w:spacing w:val="-1"/>
        </w:rPr>
        <w:t xml:space="preserve"> </w:t>
      </w:r>
      <w:r w:rsidRPr="00CA2CC1">
        <w:rPr>
          <w:rFonts w:cs="Calibri"/>
          <w:i/>
          <w:iCs/>
        </w:rPr>
        <w:t>of</w:t>
      </w:r>
      <w:r w:rsidRPr="00CA2CC1">
        <w:rPr>
          <w:rFonts w:cs="Calibri"/>
          <w:i/>
          <w:iCs/>
          <w:spacing w:val="-1"/>
        </w:rPr>
        <w:t xml:space="preserve"> </w:t>
      </w:r>
      <w:r w:rsidRPr="00CA2CC1">
        <w:rPr>
          <w:rFonts w:cs="Calibri"/>
          <w:i/>
          <w:iCs/>
        </w:rPr>
        <w:t>Melbourne’s</w:t>
      </w:r>
      <w:r w:rsidRPr="00CA2CC1">
        <w:rPr>
          <w:rFonts w:cs="Calibri"/>
          <w:i/>
          <w:iCs/>
          <w:spacing w:val="-1"/>
        </w:rPr>
        <w:t xml:space="preserve"> </w:t>
      </w:r>
      <w:r w:rsidRPr="00CA2CC1">
        <w:rPr>
          <w:rFonts w:cs="Calibri"/>
          <w:i/>
          <w:iCs/>
          <w:spacing w:val="-2"/>
        </w:rPr>
        <w:t>buses</w:t>
      </w:r>
    </w:p>
    <w:p w14:paraId="2E34EA8E" w14:textId="77777777" w:rsidR="00FA4226" w:rsidRPr="00CA2CC1" w:rsidRDefault="00000000" w:rsidP="0043303B">
      <w:pPr>
        <w:pStyle w:val="BodyText"/>
        <w:numPr>
          <w:ilvl w:val="0"/>
          <w:numId w:val="24"/>
        </w:numPr>
        <w:rPr>
          <w:rFonts w:cs="Calibri"/>
          <w:i/>
          <w:iCs/>
        </w:rPr>
      </w:pPr>
      <w:r w:rsidRPr="00CA2CC1">
        <w:rPr>
          <w:rFonts w:cs="Calibri"/>
          <w:i/>
          <w:iCs/>
        </w:rPr>
        <w:t>Our</w:t>
      </w:r>
      <w:r w:rsidRPr="00CA2CC1">
        <w:rPr>
          <w:rFonts w:cs="Calibri"/>
          <w:i/>
          <w:iCs/>
          <w:spacing w:val="-6"/>
        </w:rPr>
        <w:t xml:space="preserve"> </w:t>
      </w:r>
      <w:r w:rsidRPr="00CA2CC1">
        <w:rPr>
          <w:rFonts w:cs="Calibri"/>
          <w:i/>
          <w:iCs/>
        </w:rPr>
        <w:t>home</w:t>
      </w:r>
      <w:r w:rsidRPr="00CA2CC1">
        <w:rPr>
          <w:rFonts w:cs="Calibri"/>
          <w:i/>
          <w:iCs/>
          <w:spacing w:val="-6"/>
        </w:rPr>
        <w:t xml:space="preserve"> </w:t>
      </w:r>
      <w:r w:rsidRPr="00CA2CC1">
        <w:rPr>
          <w:rFonts w:cs="Calibri"/>
          <w:i/>
          <w:iCs/>
        </w:rPr>
        <w:t>choices:</w:t>
      </w:r>
      <w:r w:rsidRPr="00CA2CC1">
        <w:rPr>
          <w:rFonts w:cs="Calibri"/>
          <w:i/>
          <w:iCs/>
          <w:spacing w:val="-6"/>
        </w:rPr>
        <w:t xml:space="preserve"> </w:t>
      </w:r>
      <w:r w:rsidRPr="00CA2CC1">
        <w:rPr>
          <w:rFonts w:cs="Calibri"/>
          <w:i/>
          <w:iCs/>
        </w:rPr>
        <w:t>how</w:t>
      </w:r>
      <w:r w:rsidRPr="00CA2CC1">
        <w:rPr>
          <w:rFonts w:cs="Calibri"/>
          <w:i/>
          <w:iCs/>
          <w:spacing w:val="-6"/>
        </w:rPr>
        <w:t xml:space="preserve"> </w:t>
      </w:r>
      <w:r w:rsidRPr="00CA2CC1">
        <w:rPr>
          <w:rFonts w:cs="Calibri"/>
          <w:i/>
          <w:iCs/>
        </w:rPr>
        <w:t>more</w:t>
      </w:r>
      <w:r w:rsidRPr="00CA2CC1">
        <w:rPr>
          <w:rFonts w:cs="Calibri"/>
          <w:i/>
          <w:iCs/>
          <w:spacing w:val="-6"/>
        </w:rPr>
        <w:t xml:space="preserve"> </w:t>
      </w:r>
      <w:r w:rsidRPr="00CA2CC1">
        <w:rPr>
          <w:rFonts w:cs="Calibri"/>
          <w:i/>
          <w:iCs/>
        </w:rPr>
        <w:t>housing</w:t>
      </w:r>
      <w:r w:rsidRPr="00CA2CC1">
        <w:rPr>
          <w:rFonts w:cs="Calibri"/>
          <w:i/>
          <w:iCs/>
          <w:spacing w:val="-6"/>
        </w:rPr>
        <w:t xml:space="preserve"> </w:t>
      </w:r>
      <w:r w:rsidRPr="00CA2CC1">
        <w:rPr>
          <w:rFonts w:cs="Calibri"/>
          <w:i/>
          <w:iCs/>
        </w:rPr>
        <w:t>options</w:t>
      </w:r>
      <w:r w:rsidRPr="00CA2CC1">
        <w:rPr>
          <w:rFonts w:cs="Calibri"/>
          <w:i/>
          <w:iCs/>
          <w:spacing w:val="-6"/>
        </w:rPr>
        <w:t xml:space="preserve"> </w:t>
      </w:r>
      <w:r w:rsidRPr="00CA2CC1">
        <w:rPr>
          <w:rFonts w:cs="Calibri"/>
          <w:i/>
          <w:iCs/>
        </w:rPr>
        <w:t>can make</w:t>
      </w:r>
      <w:r w:rsidRPr="00CA2CC1">
        <w:rPr>
          <w:rFonts w:cs="Calibri"/>
          <w:i/>
          <w:iCs/>
          <w:spacing w:val="-3"/>
        </w:rPr>
        <w:t xml:space="preserve"> </w:t>
      </w:r>
      <w:r w:rsidRPr="00CA2CC1">
        <w:rPr>
          <w:rFonts w:cs="Calibri"/>
          <w:i/>
          <w:iCs/>
        </w:rPr>
        <w:t>better</w:t>
      </w:r>
      <w:r w:rsidRPr="00CA2CC1">
        <w:rPr>
          <w:rFonts w:cs="Calibri"/>
          <w:i/>
          <w:iCs/>
          <w:spacing w:val="-3"/>
        </w:rPr>
        <w:t xml:space="preserve"> </w:t>
      </w:r>
      <w:r w:rsidRPr="00CA2CC1">
        <w:rPr>
          <w:rFonts w:cs="Calibri"/>
          <w:i/>
          <w:iCs/>
        </w:rPr>
        <w:t>use</w:t>
      </w:r>
      <w:r w:rsidRPr="00CA2CC1">
        <w:rPr>
          <w:rFonts w:cs="Calibri"/>
          <w:i/>
          <w:iCs/>
          <w:spacing w:val="-3"/>
        </w:rPr>
        <w:t xml:space="preserve"> </w:t>
      </w:r>
      <w:r w:rsidRPr="00CA2CC1">
        <w:rPr>
          <w:rFonts w:cs="Calibri"/>
          <w:i/>
          <w:iCs/>
        </w:rPr>
        <w:t>of</w:t>
      </w:r>
      <w:r w:rsidRPr="00CA2CC1">
        <w:rPr>
          <w:rFonts w:cs="Calibri"/>
          <w:i/>
          <w:iCs/>
          <w:spacing w:val="-3"/>
        </w:rPr>
        <w:t xml:space="preserve"> </w:t>
      </w:r>
      <w:r w:rsidRPr="00CA2CC1">
        <w:rPr>
          <w:rFonts w:cs="Calibri"/>
          <w:i/>
          <w:iCs/>
        </w:rPr>
        <w:t>Victoria’s</w:t>
      </w:r>
      <w:r w:rsidRPr="00CA2CC1">
        <w:rPr>
          <w:rFonts w:cs="Calibri"/>
          <w:i/>
          <w:iCs/>
          <w:spacing w:val="-3"/>
        </w:rPr>
        <w:t xml:space="preserve"> </w:t>
      </w:r>
      <w:r w:rsidRPr="00CA2CC1">
        <w:rPr>
          <w:rFonts w:cs="Calibri"/>
          <w:i/>
          <w:iCs/>
        </w:rPr>
        <w:t>existing</w:t>
      </w:r>
      <w:r w:rsidRPr="00CA2CC1">
        <w:rPr>
          <w:rFonts w:cs="Calibri"/>
          <w:i/>
          <w:iCs/>
          <w:spacing w:val="-3"/>
        </w:rPr>
        <w:t xml:space="preserve"> </w:t>
      </w:r>
      <w:r w:rsidRPr="00CA2CC1">
        <w:rPr>
          <w:rFonts w:cs="Calibri"/>
          <w:i/>
          <w:iCs/>
        </w:rPr>
        <w:t>infrastructure</w:t>
      </w:r>
    </w:p>
    <w:p w14:paraId="3F171F74" w14:textId="77777777" w:rsidR="00FA4226" w:rsidRPr="00CA2CC1" w:rsidRDefault="00000000" w:rsidP="0043303B">
      <w:pPr>
        <w:pStyle w:val="BodyText"/>
        <w:numPr>
          <w:ilvl w:val="0"/>
          <w:numId w:val="24"/>
        </w:numPr>
        <w:rPr>
          <w:rFonts w:cs="Calibri"/>
          <w:i/>
          <w:iCs/>
        </w:rPr>
      </w:pPr>
      <w:r w:rsidRPr="00CA2CC1">
        <w:rPr>
          <w:rFonts w:cs="Calibri"/>
          <w:i/>
          <w:iCs/>
        </w:rPr>
        <w:t xml:space="preserve">Our home choices: policy </w:t>
      </w:r>
      <w:r w:rsidRPr="00CA2CC1">
        <w:rPr>
          <w:rFonts w:cs="Calibri"/>
          <w:i/>
          <w:iCs/>
          <w:spacing w:val="-2"/>
        </w:rPr>
        <w:t>evidence</w:t>
      </w:r>
    </w:p>
    <w:p w14:paraId="751E851F" w14:textId="77777777" w:rsidR="00FA4226" w:rsidRPr="00CA2CC1" w:rsidRDefault="00000000" w:rsidP="0043303B">
      <w:pPr>
        <w:pStyle w:val="BodyText"/>
        <w:numPr>
          <w:ilvl w:val="0"/>
          <w:numId w:val="24"/>
        </w:numPr>
        <w:rPr>
          <w:rFonts w:cs="Calibri"/>
          <w:i/>
          <w:iCs/>
        </w:rPr>
      </w:pPr>
      <w:r w:rsidRPr="00CA2CC1">
        <w:rPr>
          <w:rFonts w:cs="Calibri"/>
          <w:i/>
          <w:iCs/>
        </w:rPr>
        <w:t>Measuring</w:t>
      </w:r>
      <w:r w:rsidRPr="00CA2CC1">
        <w:rPr>
          <w:rFonts w:cs="Calibri"/>
          <w:i/>
          <w:iCs/>
          <w:spacing w:val="-8"/>
        </w:rPr>
        <w:t xml:space="preserve"> </w:t>
      </w:r>
      <w:r w:rsidRPr="00CA2CC1">
        <w:rPr>
          <w:rFonts w:cs="Calibri"/>
          <w:i/>
          <w:iCs/>
        </w:rPr>
        <w:t>home</w:t>
      </w:r>
      <w:r w:rsidRPr="00CA2CC1">
        <w:rPr>
          <w:rFonts w:cs="Calibri"/>
          <w:i/>
          <w:iCs/>
          <w:spacing w:val="-8"/>
        </w:rPr>
        <w:t xml:space="preserve"> </w:t>
      </w:r>
      <w:r w:rsidRPr="00CA2CC1">
        <w:rPr>
          <w:rFonts w:cs="Calibri"/>
          <w:i/>
          <w:iCs/>
        </w:rPr>
        <w:t>price</w:t>
      </w:r>
      <w:r w:rsidRPr="00CA2CC1">
        <w:rPr>
          <w:rFonts w:cs="Calibri"/>
          <w:i/>
          <w:iCs/>
          <w:spacing w:val="-8"/>
        </w:rPr>
        <w:t xml:space="preserve"> </w:t>
      </w:r>
      <w:r w:rsidRPr="00CA2CC1">
        <w:rPr>
          <w:rFonts w:cs="Calibri"/>
          <w:i/>
          <w:iCs/>
        </w:rPr>
        <w:t>differences:</w:t>
      </w:r>
      <w:r w:rsidRPr="00CA2CC1">
        <w:rPr>
          <w:rFonts w:cs="Calibri"/>
          <w:i/>
          <w:iCs/>
          <w:spacing w:val="-8"/>
        </w:rPr>
        <w:t xml:space="preserve"> </w:t>
      </w:r>
      <w:r w:rsidRPr="00CA2CC1">
        <w:rPr>
          <w:rFonts w:cs="Calibri"/>
          <w:i/>
          <w:iCs/>
        </w:rPr>
        <w:t>how</w:t>
      </w:r>
      <w:r w:rsidRPr="00CA2CC1">
        <w:rPr>
          <w:rFonts w:cs="Calibri"/>
          <w:i/>
          <w:iCs/>
          <w:spacing w:val="-8"/>
        </w:rPr>
        <w:t xml:space="preserve"> </w:t>
      </w:r>
      <w:r w:rsidRPr="00CA2CC1">
        <w:rPr>
          <w:rFonts w:cs="Calibri"/>
          <w:i/>
          <w:iCs/>
        </w:rPr>
        <w:t>features, location and infrastructure affect Melbourne’s home prices</w:t>
      </w:r>
    </w:p>
    <w:p w14:paraId="2EE5EA41" w14:textId="77777777" w:rsidR="00FA4226" w:rsidRPr="00CA2CC1" w:rsidRDefault="00000000" w:rsidP="0043303B">
      <w:pPr>
        <w:pStyle w:val="BodyText"/>
        <w:numPr>
          <w:ilvl w:val="0"/>
          <w:numId w:val="24"/>
        </w:numPr>
        <w:rPr>
          <w:rFonts w:cs="Calibri"/>
          <w:i/>
          <w:iCs/>
        </w:rPr>
      </w:pPr>
      <w:r w:rsidRPr="00CA2CC1">
        <w:rPr>
          <w:rFonts w:cs="Calibri"/>
          <w:i/>
          <w:iCs/>
        </w:rPr>
        <w:t>Next</w:t>
      </w:r>
      <w:r w:rsidRPr="00CA2CC1">
        <w:rPr>
          <w:rFonts w:cs="Calibri"/>
          <w:i/>
          <w:iCs/>
          <w:spacing w:val="-2"/>
        </w:rPr>
        <w:t xml:space="preserve"> </w:t>
      </w:r>
      <w:r w:rsidRPr="00CA2CC1">
        <w:rPr>
          <w:rFonts w:cs="Calibri"/>
          <w:i/>
          <w:iCs/>
        </w:rPr>
        <w:t>stop:</w:t>
      </w:r>
      <w:r w:rsidRPr="00CA2CC1">
        <w:rPr>
          <w:rFonts w:cs="Calibri"/>
          <w:i/>
          <w:iCs/>
          <w:spacing w:val="-2"/>
        </w:rPr>
        <w:t xml:space="preserve"> </w:t>
      </w:r>
      <w:r w:rsidRPr="00CA2CC1">
        <w:rPr>
          <w:rFonts w:cs="Calibri"/>
          <w:i/>
          <w:iCs/>
        </w:rPr>
        <w:t>community</w:t>
      </w:r>
      <w:r w:rsidRPr="00CA2CC1">
        <w:rPr>
          <w:rFonts w:cs="Calibri"/>
          <w:i/>
          <w:iCs/>
          <w:spacing w:val="-1"/>
        </w:rPr>
        <w:t xml:space="preserve"> </w:t>
      </w:r>
      <w:r w:rsidRPr="00CA2CC1">
        <w:rPr>
          <w:rFonts w:cs="Calibri"/>
          <w:i/>
          <w:iCs/>
        </w:rPr>
        <w:t>insights</w:t>
      </w:r>
      <w:r w:rsidRPr="00CA2CC1">
        <w:rPr>
          <w:rFonts w:cs="Calibri"/>
          <w:i/>
          <w:iCs/>
          <w:spacing w:val="-2"/>
        </w:rPr>
        <w:t xml:space="preserve"> </w:t>
      </w:r>
      <w:r w:rsidRPr="00CA2CC1">
        <w:rPr>
          <w:rFonts w:cs="Calibri"/>
          <w:i/>
          <w:iCs/>
        </w:rPr>
        <w:t>into</w:t>
      </w:r>
      <w:r w:rsidRPr="00CA2CC1">
        <w:rPr>
          <w:rFonts w:cs="Calibri"/>
          <w:i/>
          <w:iCs/>
          <w:spacing w:val="-2"/>
        </w:rPr>
        <w:t xml:space="preserve"> </w:t>
      </w:r>
      <w:r w:rsidRPr="00CA2CC1">
        <w:rPr>
          <w:rFonts w:cs="Calibri"/>
          <w:i/>
          <w:iCs/>
        </w:rPr>
        <w:t>Melbourne’s</w:t>
      </w:r>
      <w:r w:rsidRPr="00CA2CC1">
        <w:rPr>
          <w:rFonts w:cs="Calibri"/>
          <w:i/>
          <w:iCs/>
          <w:spacing w:val="-1"/>
        </w:rPr>
        <w:t xml:space="preserve"> </w:t>
      </w:r>
      <w:r w:rsidRPr="00CA2CC1">
        <w:rPr>
          <w:rFonts w:cs="Calibri"/>
          <w:i/>
          <w:iCs/>
          <w:spacing w:val="-2"/>
        </w:rPr>
        <w:t>buses</w:t>
      </w:r>
    </w:p>
    <w:p w14:paraId="455879FC" w14:textId="77777777" w:rsidR="00FA4226" w:rsidRPr="00CA2CC1" w:rsidRDefault="00000000" w:rsidP="0043303B">
      <w:pPr>
        <w:pStyle w:val="BodyText"/>
        <w:numPr>
          <w:ilvl w:val="0"/>
          <w:numId w:val="24"/>
        </w:numPr>
        <w:rPr>
          <w:rFonts w:cs="Calibri"/>
          <w:i/>
          <w:iCs/>
        </w:rPr>
      </w:pPr>
      <w:r w:rsidRPr="00CA2CC1">
        <w:rPr>
          <w:rFonts w:cs="Calibri"/>
          <w:i/>
          <w:iCs/>
        </w:rPr>
        <w:t>Strategy</w:t>
      </w:r>
      <w:r w:rsidRPr="00CA2CC1">
        <w:rPr>
          <w:rFonts w:cs="Calibri"/>
          <w:i/>
          <w:iCs/>
          <w:spacing w:val="-13"/>
        </w:rPr>
        <w:t xml:space="preserve"> </w:t>
      </w:r>
      <w:r w:rsidRPr="00CA2CC1">
        <w:rPr>
          <w:rFonts w:cs="Calibri"/>
          <w:i/>
          <w:iCs/>
        </w:rPr>
        <w:t>objectives</w:t>
      </w:r>
      <w:r w:rsidRPr="00CA2CC1">
        <w:rPr>
          <w:rFonts w:cs="Calibri"/>
          <w:i/>
          <w:iCs/>
          <w:spacing w:val="-13"/>
        </w:rPr>
        <w:t xml:space="preserve"> </w:t>
      </w:r>
      <w:r w:rsidRPr="00CA2CC1">
        <w:rPr>
          <w:rFonts w:cs="Calibri"/>
          <w:i/>
          <w:iCs/>
        </w:rPr>
        <w:t>engagement</w:t>
      </w:r>
      <w:r w:rsidRPr="00CA2CC1">
        <w:rPr>
          <w:rFonts w:cs="Calibri"/>
          <w:i/>
          <w:iCs/>
          <w:spacing w:val="-12"/>
        </w:rPr>
        <w:t xml:space="preserve"> </w:t>
      </w:r>
      <w:r w:rsidRPr="00CA2CC1">
        <w:rPr>
          <w:rFonts w:cs="Calibri"/>
          <w:i/>
          <w:iCs/>
        </w:rPr>
        <w:t>report:</w:t>
      </w:r>
      <w:r w:rsidRPr="00CA2CC1">
        <w:rPr>
          <w:rFonts w:cs="Calibri"/>
          <w:i/>
          <w:iCs/>
          <w:spacing w:val="-13"/>
        </w:rPr>
        <w:t xml:space="preserve"> </w:t>
      </w:r>
      <w:r w:rsidRPr="00CA2CC1">
        <w:rPr>
          <w:rFonts w:cs="Calibri"/>
          <w:i/>
          <w:iCs/>
        </w:rPr>
        <w:t>Victoria’s 30-year infrastructure strategy</w:t>
      </w:r>
    </w:p>
    <w:p w14:paraId="6E4C7F20" w14:textId="77777777" w:rsidR="00FA4226" w:rsidRPr="00CA2CC1" w:rsidRDefault="00000000" w:rsidP="0043303B">
      <w:pPr>
        <w:pStyle w:val="BodyText"/>
        <w:numPr>
          <w:ilvl w:val="0"/>
          <w:numId w:val="24"/>
        </w:numPr>
        <w:rPr>
          <w:rFonts w:cs="Calibri"/>
          <w:i/>
          <w:iCs/>
        </w:rPr>
      </w:pPr>
      <w:r w:rsidRPr="00CA2CC1">
        <w:rPr>
          <w:rFonts w:cs="Calibri"/>
          <w:i/>
          <w:iCs/>
        </w:rPr>
        <w:t>Advice</w:t>
      </w:r>
      <w:r w:rsidRPr="00CA2CC1">
        <w:rPr>
          <w:rFonts w:cs="Calibri"/>
          <w:i/>
          <w:iCs/>
          <w:spacing w:val="-7"/>
        </w:rPr>
        <w:t xml:space="preserve"> </w:t>
      </w:r>
      <w:r w:rsidRPr="00CA2CC1">
        <w:rPr>
          <w:rFonts w:cs="Calibri"/>
          <w:i/>
          <w:iCs/>
        </w:rPr>
        <w:t>on</w:t>
      </w:r>
      <w:r w:rsidRPr="00CA2CC1">
        <w:rPr>
          <w:rFonts w:cs="Calibri"/>
          <w:i/>
          <w:iCs/>
          <w:spacing w:val="-7"/>
        </w:rPr>
        <w:t xml:space="preserve"> </w:t>
      </w:r>
      <w:r w:rsidRPr="00CA2CC1">
        <w:rPr>
          <w:rFonts w:cs="Calibri"/>
          <w:i/>
          <w:iCs/>
        </w:rPr>
        <w:t>opportunities</w:t>
      </w:r>
      <w:r w:rsidRPr="00CA2CC1">
        <w:rPr>
          <w:rFonts w:cs="Calibri"/>
          <w:i/>
          <w:iCs/>
          <w:spacing w:val="-7"/>
        </w:rPr>
        <w:t xml:space="preserve"> </w:t>
      </w:r>
      <w:r w:rsidRPr="00CA2CC1">
        <w:rPr>
          <w:rFonts w:cs="Calibri"/>
          <w:i/>
          <w:iCs/>
        </w:rPr>
        <w:t>to</w:t>
      </w:r>
      <w:r w:rsidRPr="00CA2CC1">
        <w:rPr>
          <w:rFonts w:cs="Calibri"/>
          <w:i/>
          <w:iCs/>
          <w:spacing w:val="-7"/>
        </w:rPr>
        <w:t xml:space="preserve"> </w:t>
      </w:r>
      <w:r w:rsidRPr="00CA2CC1">
        <w:rPr>
          <w:rFonts w:cs="Calibri"/>
          <w:i/>
          <w:iCs/>
        </w:rPr>
        <w:t>reduce</w:t>
      </w:r>
      <w:r w:rsidRPr="00CA2CC1">
        <w:rPr>
          <w:rFonts w:cs="Calibri"/>
          <w:i/>
          <w:iCs/>
          <w:spacing w:val="-7"/>
        </w:rPr>
        <w:t xml:space="preserve"> </w:t>
      </w:r>
      <w:r w:rsidRPr="00CA2CC1">
        <w:rPr>
          <w:rFonts w:cs="Calibri"/>
          <w:i/>
          <w:iCs/>
        </w:rPr>
        <w:t>greenhouse</w:t>
      </w:r>
      <w:r w:rsidRPr="00CA2CC1">
        <w:rPr>
          <w:rFonts w:cs="Calibri"/>
          <w:i/>
          <w:iCs/>
          <w:spacing w:val="-7"/>
        </w:rPr>
        <w:t xml:space="preserve"> </w:t>
      </w:r>
      <w:r w:rsidRPr="00CA2CC1">
        <w:rPr>
          <w:rFonts w:cs="Calibri"/>
          <w:i/>
          <w:iCs/>
        </w:rPr>
        <w:t>gas emissions of Victorian Government infrastructure</w:t>
      </w:r>
    </w:p>
    <w:p w14:paraId="07B5F2E1" w14:textId="77777777" w:rsidR="00FA4226" w:rsidRPr="00CA2CC1" w:rsidRDefault="00000000" w:rsidP="0043303B">
      <w:pPr>
        <w:pStyle w:val="BodyText"/>
        <w:spacing w:before="118"/>
        <w:rPr>
          <w:rFonts w:cs="Calibri"/>
        </w:rPr>
      </w:pPr>
      <w:r w:rsidRPr="00CA2CC1">
        <w:rPr>
          <w:rFonts w:cs="Calibri"/>
        </w:rPr>
        <w:t>We also published 10 supporting analysis and technical reports</w:t>
      </w:r>
      <w:r w:rsidRPr="00CA2CC1">
        <w:rPr>
          <w:rFonts w:cs="Calibri"/>
          <w:spacing w:val="-5"/>
        </w:rPr>
        <w:t xml:space="preserve"> </w:t>
      </w:r>
      <w:r w:rsidRPr="00CA2CC1">
        <w:rPr>
          <w:rFonts w:cs="Calibri"/>
        </w:rPr>
        <w:t>and</w:t>
      </w:r>
      <w:r w:rsidRPr="00CA2CC1">
        <w:rPr>
          <w:rFonts w:cs="Calibri"/>
          <w:spacing w:val="-5"/>
        </w:rPr>
        <w:t xml:space="preserve"> </w:t>
      </w:r>
      <w:r w:rsidRPr="00CA2CC1">
        <w:rPr>
          <w:rFonts w:cs="Calibri"/>
        </w:rPr>
        <w:t>participated</w:t>
      </w:r>
      <w:r w:rsidRPr="00CA2CC1">
        <w:rPr>
          <w:rFonts w:cs="Calibri"/>
          <w:spacing w:val="-5"/>
        </w:rPr>
        <w:t xml:space="preserve"> </w:t>
      </w:r>
      <w:r w:rsidRPr="00CA2CC1">
        <w:rPr>
          <w:rFonts w:cs="Calibri"/>
        </w:rPr>
        <w:t>in</w:t>
      </w:r>
      <w:r w:rsidRPr="00CA2CC1">
        <w:rPr>
          <w:rFonts w:cs="Calibri"/>
          <w:spacing w:val="-5"/>
        </w:rPr>
        <w:t xml:space="preserve"> </w:t>
      </w:r>
      <w:r w:rsidRPr="00CA2CC1">
        <w:rPr>
          <w:rFonts w:cs="Calibri"/>
        </w:rPr>
        <w:t>a</w:t>
      </w:r>
      <w:r w:rsidRPr="00CA2CC1">
        <w:rPr>
          <w:rFonts w:cs="Calibri"/>
          <w:spacing w:val="-5"/>
        </w:rPr>
        <w:t xml:space="preserve"> </w:t>
      </w:r>
      <w:r w:rsidRPr="00CA2CC1">
        <w:rPr>
          <w:rFonts w:cs="Calibri"/>
        </w:rPr>
        <w:t>state</w:t>
      </w:r>
      <w:r w:rsidRPr="00CA2CC1">
        <w:rPr>
          <w:rFonts w:cs="Calibri"/>
          <w:spacing w:val="-5"/>
        </w:rPr>
        <w:t xml:space="preserve"> </w:t>
      </w:r>
      <w:r w:rsidRPr="00CA2CC1">
        <w:rPr>
          <w:rFonts w:cs="Calibri"/>
        </w:rPr>
        <w:t>parliamentary</w:t>
      </w:r>
      <w:r w:rsidRPr="00CA2CC1">
        <w:rPr>
          <w:rFonts w:cs="Calibri"/>
          <w:spacing w:val="-5"/>
        </w:rPr>
        <w:t xml:space="preserve"> </w:t>
      </w:r>
      <w:r w:rsidRPr="00CA2CC1">
        <w:rPr>
          <w:rFonts w:cs="Calibri"/>
        </w:rPr>
        <w:t>inquiry</w:t>
      </w:r>
      <w:r w:rsidRPr="00CA2CC1">
        <w:rPr>
          <w:rFonts w:cs="Calibri"/>
          <w:spacing w:val="-5"/>
        </w:rPr>
        <w:t xml:space="preserve"> </w:t>
      </w:r>
      <w:r w:rsidRPr="00CA2CC1">
        <w:rPr>
          <w:rFonts w:cs="Calibri"/>
        </w:rPr>
        <w:t>and national policy consultation through formal submissions,</w:t>
      </w:r>
    </w:p>
    <w:p w14:paraId="7C7BA31C" w14:textId="77777777" w:rsidR="00962F67" w:rsidRPr="00CA2CC1" w:rsidRDefault="00000000" w:rsidP="0043303B">
      <w:pPr>
        <w:pStyle w:val="BodyText"/>
        <w:rPr>
          <w:rFonts w:cs="Calibri"/>
        </w:rPr>
      </w:pPr>
      <w:r w:rsidRPr="00CA2CC1">
        <w:rPr>
          <w:rFonts w:cs="Calibri"/>
        </w:rPr>
        <w:t>or by giving evidence at hearings. We also released Infrastructure</w:t>
      </w:r>
      <w:r w:rsidRPr="00CA2CC1">
        <w:rPr>
          <w:rFonts w:cs="Calibri"/>
          <w:spacing w:val="-10"/>
        </w:rPr>
        <w:t xml:space="preserve"> </w:t>
      </w:r>
      <w:r w:rsidRPr="00CA2CC1">
        <w:rPr>
          <w:rFonts w:cs="Calibri"/>
        </w:rPr>
        <w:t>Victoria’s</w:t>
      </w:r>
      <w:r w:rsidRPr="00CA2CC1">
        <w:rPr>
          <w:rFonts w:cs="Calibri"/>
          <w:spacing w:val="-10"/>
        </w:rPr>
        <w:t xml:space="preserve"> </w:t>
      </w:r>
      <w:r w:rsidRPr="00CA2CC1">
        <w:rPr>
          <w:rFonts w:cs="Calibri"/>
        </w:rPr>
        <w:t>new</w:t>
      </w:r>
      <w:r w:rsidRPr="00CA2CC1">
        <w:rPr>
          <w:rFonts w:cs="Calibri"/>
          <w:spacing w:val="-10"/>
        </w:rPr>
        <w:t xml:space="preserve"> </w:t>
      </w:r>
      <w:r w:rsidRPr="00CA2CC1">
        <w:rPr>
          <w:rFonts w:cs="Calibri"/>
        </w:rPr>
        <w:t>corporate</w:t>
      </w:r>
      <w:r w:rsidRPr="00CA2CC1">
        <w:rPr>
          <w:rFonts w:cs="Calibri"/>
          <w:spacing w:val="-10"/>
        </w:rPr>
        <w:t xml:space="preserve"> </w:t>
      </w:r>
      <w:r w:rsidRPr="00CA2CC1">
        <w:rPr>
          <w:rFonts w:cs="Calibri"/>
        </w:rPr>
        <w:t>plan,</w:t>
      </w:r>
      <w:r w:rsidRPr="00CA2CC1">
        <w:rPr>
          <w:rFonts w:cs="Calibri"/>
          <w:spacing w:val="-10"/>
        </w:rPr>
        <w:t xml:space="preserve"> </w:t>
      </w:r>
      <w:r w:rsidRPr="00CA2CC1">
        <w:rPr>
          <w:rFonts w:cs="Calibri"/>
        </w:rPr>
        <w:t>which</w:t>
      </w:r>
      <w:r w:rsidRPr="00CA2CC1">
        <w:rPr>
          <w:rFonts w:cs="Calibri"/>
          <w:spacing w:val="-10"/>
        </w:rPr>
        <w:t xml:space="preserve"> </w:t>
      </w:r>
      <w:r w:rsidRPr="00CA2CC1">
        <w:rPr>
          <w:rFonts w:cs="Calibri"/>
        </w:rPr>
        <w:t>sets our aspirations for the next 5 years and how we will deliver them.</w:t>
      </w:r>
    </w:p>
    <w:p w14:paraId="086BDA96" w14:textId="36E14E0A" w:rsidR="00FA4226" w:rsidRPr="00CA2CC1" w:rsidRDefault="00000000" w:rsidP="0043303B">
      <w:pPr>
        <w:pStyle w:val="BodyText"/>
        <w:rPr>
          <w:rFonts w:cs="Calibri"/>
        </w:rPr>
      </w:pPr>
      <w:r w:rsidRPr="00CA2CC1">
        <w:rPr>
          <w:rFonts w:cs="Calibri"/>
        </w:rPr>
        <w:t>An</w:t>
      </w:r>
      <w:r w:rsidRPr="00CA2CC1">
        <w:rPr>
          <w:rFonts w:cs="Calibri"/>
          <w:spacing w:val="-8"/>
        </w:rPr>
        <w:t xml:space="preserve"> </w:t>
      </w:r>
      <w:r w:rsidRPr="00CA2CC1">
        <w:rPr>
          <w:rFonts w:cs="Calibri"/>
        </w:rPr>
        <w:t>important</w:t>
      </w:r>
      <w:r w:rsidRPr="00CA2CC1">
        <w:rPr>
          <w:rFonts w:cs="Calibri"/>
          <w:spacing w:val="-8"/>
        </w:rPr>
        <w:t xml:space="preserve"> </w:t>
      </w:r>
      <w:r w:rsidRPr="00CA2CC1">
        <w:rPr>
          <w:rFonts w:cs="Calibri"/>
        </w:rPr>
        <w:t>part</w:t>
      </w:r>
      <w:r w:rsidRPr="00CA2CC1">
        <w:rPr>
          <w:rFonts w:cs="Calibri"/>
          <w:spacing w:val="-8"/>
        </w:rPr>
        <w:t xml:space="preserve"> </w:t>
      </w:r>
      <w:r w:rsidRPr="00CA2CC1">
        <w:rPr>
          <w:rFonts w:cs="Calibri"/>
        </w:rPr>
        <w:t>of</w:t>
      </w:r>
      <w:r w:rsidRPr="00CA2CC1">
        <w:rPr>
          <w:rFonts w:cs="Calibri"/>
          <w:spacing w:val="-8"/>
        </w:rPr>
        <w:t xml:space="preserve"> </w:t>
      </w:r>
      <w:r w:rsidRPr="00CA2CC1">
        <w:rPr>
          <w:rFonts w:cs="Calibri"/>
        </w:rPr>
        <w:t>Infrastructure</w:t>
      </w:r>
      <w:r w:rsidRPr="00CA2CC1">
        <w:rPr>
          <w:rFonts w:cs="Calibri"/>
          <w:spacing w:val="-8"/>
        </w:rPr>
        <w:t xml:space="preserve"> </w:t>
      </w:r>
      <w:r w:rsidRPr="00CA2CC1">
        <w:rPr>
          <w:rFonts w:cs="Calibri"/>
        </w:rPr>
        <w:t>Victoria’s</w:t>
      </w:r>
      <w:r w:rsidRPr="00CA2CC1">
        <w:rPr>
          <w:rFonts w:cs="Calibri"/>
          <w:spacing w:val="-8"/>
        </w:rPr>
        <w:t xml:space="preserve"> </w:t>
      </w:r>
      <w:r w:rsidRPr="00CA2CC1">
        <w:rPr>
          <w:rFonts w:cs="Calibri"/>
        </w:rPr>
        <w:t>role</w:t>
      </w:r>
      <w:r w:rsidRPr="00CA2CC1">
        <w:rPr>
          <w:rFonts w:cs="Calibri"/>
          <w:spacing w:val="-8"/>
        </w:rPr>
        <w:t xml:space="preserve"> </w:t>
      </w:r>
      <w:r w:rsidRPr="00CA2CC1">
        <w:rPr>
          <w:rFonts w:cs="Calibri"/>
        </w:rPr>
        <w:t>is</w:t>
      </w:r>
      <w:r w:rsidRPr="00CA2CC1">
        <w:rPr>
          <w:rFonts w:cs="Calibri"/>
          <w:spacing w:val="-8"/>
        </w:rPr>
        <w:t xml:space="preserve"> </w:t>
      </w:r>
      <w:r w:rsidRPr="00CA2CC1">
        <w:rPr>
          <w:rFonts w:cs="Calibri"/>
        </w:rPr>
        <w:t>informing public discussion about the major infrastructure priorities, challenges and opportunities for Victoria. Through our 2022–23 strategy, research and advice work, we engaged with more than 10,000 Victorian community members and nearly 300 key stakeholders.</w:t>
      </w:r>
    </w:p>
    <w:p w14:paraId="1078B397" w14:textId="16276946" w:rsidR="00FA4226" w:rsidRPr="00CA2CC1" w:rsidRDefault="00000000" w:rsidP="0043303B">
      <w:pPr>
        <w:pStyle w:val="BodyText"/>
        <w:spacing w:before="114"/>
        <w:rPr>
          <w:rFonts w:cs="Calibri"/>
        </w:rPr>
      </w:pPr>
      <w:r w:rsidRPr="00CA2CC1">
        <w:rPr>
          <w:rFonts w:cs="Calibri"/>
        </w:rPr>
        <w:t>Our</w:t>
      </w:r>
      <w:r w:rsidRPr="00CA2CC1">
        <w:rPr>
          <w:rFonts w:cs="Calibri"/>
          <w:spacing w:val="-6"/>
        </w:rPr>
        <w:t xml:space="preserve"> </w:t>
      </w:r>
      <w:r w:rsidRPr="00CA2CC1">
        <w:rPr>
          <w:rFonts w:cs="Calibri"/>
        </w:rPr>
        <w:t>recommendations,</w:t>
      </w:r>
      <w:r w:rsidRPr="00CA2CC1">
        <w:rPr>
          <w:rFonts w:cs="Calibri"/>
          <w:spacing w:val="-6"/>
        </w:rPr>
        <w:t xml:space="preserve"> </w:t>
      </w:r>
      <w:r w:rsidRPr="00CA2CC1">
        <w:rPr>
          <w:rFonts w:cs="Calibri"/>
        </w:rPr>
        <w:t>advice</w:t>
      </w:r>
      <w:r w:rsidRPr="00CA2CC1">
        <w:rPr>
          <w:rFonts w:cs="Calibri"/>
          <w:spacing w:val="-6"/>
        </w:rPr>
        <w:t xml:space="preserve"> </w:t>
      </w:r>
      <w:r w:rsidRPr="00CA2CC1">
        <w:rPr>
          <w:rFonts w:cs="Calibri"/>
        </w:rPr>
        <w:t>and</w:t>
      </w:r>
      <w:r w:rsidRPr="00CA2CC1">
        <w:rPr>
          <w:rFonts w:cs="Calibri"/>
          <w:spacing w:val="-6"/>
        </w:rPr>
        <w:t xml:space="preserve"> </w:t>
      </w:r>
      <w:r w:rsidRPr="00CA2CC1">
        <w:rPr>
          <w:rFonts w:cs="Calibri"/>
        </w:rPr>
        <w:t>policy</w:t>
      </w:r>
      <w:r w:rsidRPr="00CA2CC1">
        <w:rPr>
          <w:rFonts w:cs="Calibri"/>
          <w:spacing w:val="-6"/>
        </w:rPr>
        <w:t xml:space="preserve"> </w:t>
      </w:r>
      <w:r w:rsidRPr="00CA2CC1">
        <w:rPr>
          <w:rFonts w:cs="Calibri"/>
        </w:rPr>
        <w:t>work</w:t>
      </w:r>
      <w:r w:rsidRPr="00CA2CC1">
        <w:rPr>
          <w:rFonts w:cs="Calibri"/>
          <w:spacing w:val="-6"/>
        </w:rPr>
        <w:t xml:space="preserve"> </w:t>
      </w:r>
      <w:r w:rsidRPr="00CA2CC1">
        <w:rPr>
          <w:rFonts w:cs="Calibri"/>
        </w:rPr>
        <w:t>attracted nearly 46,000 visitors to our website and generated hundreds of news stories throughout the financial year. In addition to our website and social media, there were 487 press, broadcast and online media mentions of</w:t>
      </w:r>
      <w:r w:rsidR="007A54F0" w:rsidRPr="00CA2CC1">
        <w:rPr>
          <w:rFonts w:cs="Calibri"/>
        </w:rPr>
        <w:t xml:space="preserve"> </w:t>
      </w:r>
      <w:r w:rsidRPr="00CA2CC1">
        <w:rPr>
          <w:rFonts w:cs="Calibri"/>
        </w:rPr>
        <w:t>Infrastructure</w:t>
      </w:r>
      <w:r w:rsidRPr="00CA2CC1">
        <w:rPr>
          <w:rFonts w:cs="Calibri"/>
          <w:spacing w:val="-1"/>
        </w:rPr>
        <w:t xml:space="preserve"> </w:t>
      </w:r>
      <w:r w:rsidRPr="00CA2CC1">
        <w:rPr>
          <w:rFonts w:cs="Calibri"/>
        </w:rPr>
        <w:t>Victoria in the</w:t>
      </w:r>
      <w:r w:rsidRPr="00CA2CC1">
        <w:rPr>
          <w:rFonts w:cs="Calibri"/>
          <w:spacing w:val="-1"/>
        </w:rPr>
        <w:t xml:space="preserve"> </w:t>
      </w:r>
      <w:r w:rsidRPr="00CA2CC1">
        <w:rPr>
          <w:rFonts w:cs="Calibri"/>
        </w:rPr>
        <w:t>last 3 months</w:t>
      </w:r>
      <w:r w:rsidRPr="00CA2CC1">
        <w:rPr>
          <w:rFonts w:cs="Calibri"/>
          <w:spacing w:val="-1"/>
        </w:rPr>
        <w:t xml:space="preserve"> </w:t>
      </w:r>
      <w:r w:rsidRPr="00CA2CC1">
        <w:rPr>
          <w:rFonts w:cs="Calibri"/>
        </w:rPr>
        <w:t xml:space="preserve">of 2022–23 </w:t>
      </w:r>
      <w:r w:rsidRPr="00CA2CC1">
        <w:rPr>
          <w:rFonts w:cs="Calibri"/>
          <w:spacing w:val="-2"/>
        </w:rPr>
        <w:t>alone.</w:t>
      </w:r>
    </w:p>
    <w:p w14:paraId="018E6633" w14:textId="77777777" w:rsidR="00FA4226" w:rsidRPr="00CA2CC1" w:rsidRDefault="00000000" w:rsidP="0043303B">
      <w:pPr>
        <w:pStyle w:val="BodyText"/>
        <w:spacing w:before="117"/>
        <w:rPr>
          <w:rFonts w:cs="Calibri"/>
        </w:rPr>
      </w:pPr>
      <w:r w:rsidRPr="00CA2CC1">
        <w:rPr>
          <w:rFonts w:cs="Calibri"/>
        </w:rPr>
        <w:t>During</w:t>
      </w:r>
      <w:r w:rsidRPr="00CA2CC1">
        <w:rPr>
          <w:rFonts w:cs="Calibri"/>
          <w:spacing w:val="-5"/>
        </w:rPr>
        <w:t xml:space="preserve"> </w:t>
      </w:r>
      <w:r w:rsidRPr="00CA2CC1">
        <w:rPr>
          <w:rFonts w:cs="Calibri"/>
        </w:rPr>
        <w:t>the</w:t>
      </w:r>
      <w:r w:rsidRPr="00CA2CC1">
        <w:rPr>
          <w:rFonts w:cs="Calibri"/>
          <w:spacing w:val="-5"/>
        </w:rPr>
        <w:t xml:space="preserve"> </w:t>
      </w:r>
      <w:r w:rsidRPr="00CA2CC1">
        <w:rPr>
          <w:rFonts w:cs="Calibri"/>
        </w:rPr>
        <w:t>financial</w:t>
      </w:r>
      <w:r w:rsidRPr="00CA2CC1">
        <w:rPr>
          <w:rFonts w:cs="Calibri"/>
          <w:spacing w:val="-5"/>
        </w:rPr>
        <w:t xml:space="preserve"> </w:t>
      </w:r>
      <w:r w:rsidRPr="00CA2CC1">
        <w:rPr>
          <w:rFonts w:cs="Calibri"/>
        </w:rPr>
        <w:t>year</w:t>
      </w:r>
      <w:r w:rsidRPr="00CA2CC1">
        <w:rPr>
          <w:rFonts w:cs="Calibri"/>
          <w:spacing w:val="-5"/>
        </w:rPr>
        <w:t xml:space="preserve"> </w:t>
      </w:r>
      <w:r w:rsidRPr="00CA2CC1">
        <w:rPr>
          <w:rFonts w:cs="Calibri"/>
        </w:rPr>
        <w:t>we</w:t>
      </w:r>
      <w:r w:rsidRPr="00CA2CC1">
        <w:rPr>
          <w:rFonts w:cs="Calibri"/>
          <w:spacing w:val="-5"/>
        </w:rPr>
        <w:t xml:space="preserve"> </w:t>
      </w:r>
      <w:r w:rsidRPr="00CA2CC1">
        <w:rPr>
          <w:rFonts w:cs="Calibri"/>
        </w:rPr>
        <w:t>also</w:t>
      </w:r>
      <w:r w:rsidRPr="00CA2CC1">
        <w:rPr>
          <w:rFonts w:cs="Calibri"/>
          <w:spacing w:val="-5"/>
        </w:rPr>
        <w:t xml:space="preserve"> </w:t>
      </w:r>
      <w:r w:rsidRPr="00CA2CC1">
        <w:rPr>
          <w:rFonts w:cs="Calibri"/>
        </w:rPr>
        <w:t>undertook</w:t>
      </w:r>
      <w:r w:rsidRPr="00CA2CC1">
        <w:rPr>
          <w:rFonts w:cs="Calibri"/>
          <w:spacing w:val="-5"/>
        </w:rPr>
        <w:t xml:space="preserve"> </w:t>
      </w:r>
      <w:r w:rsidRPr="00CA2CC1">
        <w:rPr>
          <w:rFonts w:cs="Calibri"/>
        </w:rPr>
        <w:t>297</w:t>
      </w:r>
      <w:r w:rsidRPr="00CA2CC1">
        <w:rPr>
          <w:rFonts w:cs="Calibri"/>
          <w:spacing w:val="-5"/>
        </w:rPr>
        <w:t xml:space="preserve"> </w:t>
      </w:r>
      <w:r w:rsidRPr="00CA2CC1">
        <w:rPr>
          <w:rFonts w:cs="Calibri"/>
        </w:rPr>
        <w:t>speaking engagements, webinar presentations, panel discussions, workshops and other engagement activities, with key industry, government and community stakeholders.</w:t>
      </w:r>
    </w:p>
    <w:p w14:paraId="4EF36ACC" w14:textId="77777777" w:rsidR="00FA4226" w:rsidRPr="00CA2CC1" w:rsidRDefault="00000000" w:rsidP="0043303B">
      <w:pPr>
        <w:pStyle w:val="BodyText"/>
        <w:spacing w:before="116"/>
        <w:rPr>
          <w:rFonts w:cs="Calibri"/>
        </w:rPr>
      </w:pPr>
      <w:r w:rsidRPr="00CA2CC1">
        <w:rPr>
          <w:rFonts w:cs="Calibri"/>
        </w:rPr>
        <w:t>Our</w:t>
      </w:r>
      <w:r w:rsidRPr="00CA2CC1">
        <w:rPr>
          <w:rFonts w:cs="Calibri"/>
          <w:spacing w:val="-5"/>
        </w:rPr>
        <w:t xml:space="preserve"> </w:t>
      </w:r>
      <w:r w:rsidRPr="00CA2CC1">
        <w:rPr>
          <w:rFonts w:cs="Calibri"/>
        </w:rPr>
        <w:t>website,</w:t>
      </w:r>
      <w:r w:rsidRPr="00CA2CC1">
        <w:rPr>
          <w:rFonts w:cs="Calibri"/>
          <w:spacing w:val="-5"/>
        </w:rPr>
        <w:t xml:space="preserve"> </w:t>
      </w:r>
      <w:r w:rsidRPr="00CA2CC1">
        <w:rPr>
          <w:rFonts w:cs="Calibri"/>
        </w:rPr>
        <w:t>digital</w:t>
      </w:r>
      <w:r w:rsidRPr="00CA2CC1">
        <w:rPr>
          <w:rFonts w:cs="Calibri"/>
          <w:spacing w:val="-5"/>
        </w:rPr>
        <w:t xml:space="preserve"> </w:t>
      </w:r>
      <w:r w:rsidRPr="00CA2CC1">
        <w:rPr>
          <w:rFonts w:cs="Calibri"/>
        </w:rPr>
        <w:t>news</w:t>
      </w:r>
      <w:r w:rsidRPr="00CA2CC1">
        <w:rPr>
          <w:rFonts w:cs="Calibri"/>
          <w:spacing w:val="-5"/>
        </w:rPr>
        <w:t xml:space="preserve"> </w:t>
      </w:r>
      <w:r w:rsidRPr="00CA2CC1">
        <w:rPr>
          <w:rFonts w:cs="Calibri"/>
        </w:rPr>
        <w:t>centre,</w:t>
      </w:r>
      <w:r w:rsidRPr="00CA2CC1">
        <w:rPr>
          <w:rFonts w:cs="Calibri"/>
          <w:spacing w:val="-5"/>
        </w:rPr>
        <w:t xml:space="preserve"> </w:t>
      </w:r>
      <w:r w:rsidRPr="00CA2CC1">
        <w:rPr>
          <w:rFonts w:cs="Calibri"/>
        </w:rPr>
        <w:t>webinars</w:t>
      </w:r>
      <w:r w:rsidRPr="00CA2CC1">
        <w:rPr>
          <w:rFonts w:cs="Calibri"/>
          <w:spacing w:val="-5"/>
        </w:rPr>
        <w:t xml:space="preserve"> </w:t>
      </w:r>
      <w:r w:rsidRPr="00CA2CC1">
        <w:rPr>
          <w:rFonts w:cs="Calibri"/>
        </w:rPr>
        <w:t>and</w:t>
      </w:r>
      <w:r w:rsidRPr="00CA2CC1">
        <w:rPr>
          <w:rFonts w:cs="Calibri"/>
          <w:spacing w:val="-5"/>
        </w:rPr>
        <w:t xml:space="preserve"> </w:t>
      </w:r>
      <w:r w:rsidRPr="00CA2CC1">
        <w:rPr>
          <w:rFonts w:cs="Calibri"/>
        </w:rPr>
        <w:t>social</w:t>
      </w:r>
      <w:r w:rsidRPr="00CA2CC1">
        <w:rPr>
          <w:rFonts w:cs="Calibri"/>
          <w:spacing w:val="-5"/>
        </w:rPr>
        <w:t xml:space="preserve"> </w:t>
      </w:r>
      <w:r w:rsidRPr="00CA2CC1">
        <w:rPr>
          <w:rFonts w:cs="Calibri"/>
        </w:rPr>
        <w:t>media platforms continue to draw people to our work, giving everyone an opportunity to be informed and engage with infrastructure planning and research in Victoria.</w:t>
      </w:r>
    </w:p>
    <w:p w14:paraId="6B54FDC2" w14:textId="77777777" w:rsidR="00FA4226" w:rsidRPr="00CA2CC1" w:rsidRDefault="00FA4226" w:rsidP="0043303B">
      <w:pPr>
        <w:rPr>
          <w:rFonts w:cs="Calibri"/>
          <w:color w:val="000000" w:themeColor="text1"/>
        </w:rPr>
        <w:sectPr w:rsidR="00FA4226" w:rsidRPr="00CA2CC1" w:rsidSect="00E941A5">
          <w:type w:val="continuous"/>
          <w:pgSz w:w="11910" w:h="16840"/>
          <w:pgMar w:top="1134" w:right="1278" w:bottom="1134" w:left="1134" w:header="720" w:footer="720" w:gutter="0"/>
          <w:cols w:space="720"/>
        </w:sectPr>
      </w:pPr>
    </w:p>
    <w:p w14:paraId="6F4EDD9E" w14:textId="77777777" w:rsidR="00FA4226" w:rsidRPr="00CA2CC1" w:rsidRDefault="00FA4226" w:rsidP="0043303B">
      <w:pPr>
        <w:jc w:val="center"/>
        <w:rPr>
          <w:rFonts w:cs="Calibri"/>
          <w:sz w:val="16"/>
        </w:rPr>
        <w:sectPr w:rsidR="00FA4226" w:rsidRPr="00CA2CC1" w:rsidSect="00E941A5">
          <w:type w:val="continuous"/>
          <w:pgSz w:w="11910" w:h="16840"/>
          <w:pgMar w:top="1134" w:right="1278" w:bottom="1134" w:left="1134" w:header="720" w:footer="720" w:gutter="0"/>
          <w:cols w:space="720"/>
        </w:sectPr>
      </w:pPr>
    </w:p>
    <w:p w14:paraId="3F98F28E" w14:textId="4AB3F078" w:rsidR="00FA4226" w:rsidRPr="00CA2CC1" w:rsidRDefault="00000000" w:rsidP="0043303B">
      <w:pPr>
        <w:spacing w:before="78"/>
        <w:rPr>
          <w:rFonts w:cs="Calibri"/>
          <w:color w:val="000000" w:themeColor="text1"/>
          <w:sz w:val="24"/>
        </w:rPr>
      </w:pPr>
      <w:r w:rsidRPr="00CA2CC1">
        <w:rPr>
          <w:rFonts w:cs="Calibri"/>
          <w:color w:val="000000" w:themeColor="text1"/>
          <w:spacing w:val="-2"/>
          <w:w w:val="110"/>
          <w:sz w:val="24"/>
        </w:rPr>
        <w:lastRenderedPageBreak/>
        <w:t>Here’s</w:t>
      </w:r>
      <w:r w:rsidRPr="00CA2CC1">
        <w:rPr>
          <w:rFonts w:cs="Calibri"/>
          <w:color w:val="000000" w:themeColor="text1"/>
          <w:spacing w:val="-17"/>
          <w:w w:val="110"/>
          <w:sz w:val="24"/>
        </w:rPr>
        <w:t xml:space="preserve"> </w:t>
      </w:r>
      <w:r w:rsidRPr="00CA2CC1">
        <w:rPr>
          <w:rFonts w:cs="Calibri"/>
          <w:color w:val="000000" w:themeColor="text1"/>
          <w:spacing w:val="-2"/>
          <w:w w:val="110"/>
          <w:sz w:val="24"/>
        </w:rPr>
        <w:t>a</w:t>
      </w:r>
      <w:r w:rsidRPr="00CA2CC1">
        <w:rPr>
          <w:rFonts w:cs="Calibri"/>
          <w:color w:val="000000" w:themeColor="text1"/>
          <w:spacing w:val="-14"/>
          <w:w w:val="110"/>
          <w:sz w:val="24"/>
        </w:rPr>
        <w:t xml:space="preserve"> </w:t>
      </w:r>
      <w:r w:rsidRPr="00CA2CC1">
        <w:rPr>
          <w:rFonts w:cs="Calibri"/>
          <w:color w:val="000000" w:themeColor="text1"/>
          <w:spacing w:val="-2"/>
          <w:w w:val="110"/>
          <w:sz w:val="24"/>
        </w:rPr>
        <w:t>snapshot</w:t>
      </w:r>
      <w:r w:rsidRPr="00CA2CC1">
        <w:rPr>
          <w:rFonts w:cs="Calibri"/>
          <w:color w:val="000000" w:themeColor="text1"/>
          <w:spacing w:val="-14"/>
          <w:w w:val="110"/>
          <w:sz w:val="24"/>
        </w:rPr>
        <w:t xml:space="preserve"> </w:t>
      </w:r>
      <w:r w:rsidRPr="00CA2CC1">
        <w:rPr>
          <w:rFonts w:cs="Calibri"/>
          <w:color w:val="000000" w:themeColor="text1"/>
          <w:spacing w:val="-2"/>
          <w:w w:val="110"/>
          <w:sz w:val="24"/>
        </w:rPr>
        <w:t>of</w:t>
      </w:r>
      <w:r w:rsidRPr="00CA2CC1">
        <w:rPr>
          <w:rFonts w:cs="Calibri"/>
          <w:color w:val="000000" w:themeColor="text1"/>
          <w:spacing w:val="-12"/>
          <w:w w:val="110"/>
          <w:sz w:val="24"/>
        </w:rPr>
        <w:t xml:space="preserve"> </w:t>
      </w:r>
      <w:r w:rsidRPr="00CA2CC1">
        <w:rPr>
          <w:rFonts w:cs="Calibri"/>
          <w:color w:val="000000" w:themeColor="text1"/>
          <w:spacing w:val="-2"/>
          <w:w w:val="110"/>
          <w:sz w:val="24"/>
        </w:rPr>
        <w:t>Infrastructure</w:t>
      </w:r>
      <w:r w:rsidRPr="00CA2CC1">
        <w:rPr>
          <w:rFonts w:cs="Calibri"/>
          <w:color w:val="000000" w:themeColor="text1"/>
          <w:spacing w:val="-30"/>
          <w:w w:val="110"/>
          <w:sz w:val="24"/>
        </w:rPr>
        <w:t xml:space="preserve"> </w:t>
      </w:r>
      <w:r w:rsidRPr="00CA2CC1">
        <w:rPr>
          <w:rFonts w:cs="Calibri"/>
          <w:color w:val="000000" w:themeColor="text1"/>
          <w:spacing w:val="-2"/>
          <w:w w:val="110"/>
          <w:sz w:val="24"/>
        </w:rPr>
        <w:t xml:space="preserve">Victoria’s </w:t>
      </w:r>
      <w:r w:rsidRPr="00CA2CC1">
        <w:rPr>
          <w:rFonts w:cs="Calibri"/>
          <w:color w:val="000000" w:themeColor="text1"/>
          <w:w w:val="110"/>
          <w:sz w:val="24"/>
        </w:rPr>
        <w:t>digital and engagement activity for the financial year ended 30 June 2023:</w:t>
      </w:r>
    </w:p>
    <w:p w14:paraId="699E0AAC" w14:textId="60FB9243" w:rsidR="00FA4226" w:rsidRPr="00CA2CC1" w:rsidRDefault="00FA4226" w:rsidP="0043303B">
      <w:pPr>
        <w:pStyle w:val="BodyText"/>
        <w:spacing w:before="3"/>
        <w:rPr>
          <w:rFonts w:cs="Calibri"/>
          <w:sz w:val="29"/>
        </w:rPr>
      </w:pPr>
    </w:p>
    <w:p w14:paraId="6F0C678F" w14:textId="78925674" w:rsidR="00FA4226" w:rsidRPr="00CA2CC1" w:rsidRDefault="00000000" w:rsidP="0043303B">
      <w:pPr>
        <w:tabs>
          <w:tab w:val="left" w:pos="8338"/>
        </w:tabs>
        <w:spacing w:before="37"/>
        <w:rPr>
          <w:rFonts w:cs="Calibri"/>
          <w:color w:val="000000" w:themeColor="text1"/>
          <w:sz w:val="32"/>
        </w:rPr>
      </w:pPr>
      <w:r w:rsidRPr="00CA2CC1">
        <w:rPr>
          <w:rFonts w:cs="Calibri"/>
          <w:color w:val="000000" w:themeColor="text1"/>
          <w:spacing w:val="-2"/>
          <w:sz w:val="32"/>
        </w:rPr>
        <w:t>Website</w:t>
      </w:r>
      <w:r w:rsidRPr="00CA2CC1">
        <w:rPr>
          <w:rFonts w:cs="Calibri"/>
          <w:color w:val="000000" w:themeColor="text1"/>
          <w:sz w:val="32"/>
        </w:rPr>
        <w:tab/>
      </w:r>
    </w:p>
    <w:p w14:paraId="4EC05B4A" w14:textId="77777777" w:rsidR="00FA4226" w:rsidRPr="00CA2CC1" w:rsidRDefault="00FA4226" w:rsidP="0043303B">
      <w:pPr>
        <w:rPr>
          <w:rFonts w:cs="Calibri"/>
          <w:color w:val="000000" w:themeColor="text1"/>
          <w:sz w:val="16"/>
        </w:rPr>
        <w:sectPr w:rsidR="00FA4226" w:rsidRPr="00CA2CC1" w:rsidSect="00E941A5">
          <w:pgSz w:w="11910" w:h="16840"/>
          <w:pgMar w:top="1134" w:right="1278" w:bottom="1134" w:left="1134" w:header="720" w:footer="720" w:gutter="0"/>
          <w:cols w:space="720"/>
        </w:sectPr>
      </w:pPr>
    </w:p>
    <w:p w14:paraId="447B165A" w14:textId="77777777" w:rsidR="00FA4226" w:rsidRPr="00CA2CC1" w:rsidRDefault="00000000" w:rsidP="0043303B">
      <w:pPr>
        <w:pStyle w:val="Heading2"/>
        <w:rPr>
          <w:rFonts w:cs="Calibri"/>
          <w:color w:val="000000" w:themeColor="text1"/>
        </w:rPr>
      </w:pPr>
      <w:r w:rsidRPr="00CA2CC1">
        <w:rPr>
          <w:rFonts w:cs="Calibri"/>
          <w:color w:val="000000" w:themeColor="text1"/>
          <w:spacing w:val="-21"/>
          <w:w w:val="110"/>
        </w:rPr>
        <w:t>115,165</w:t>
      </w:r>
    </w:p>
    <w:p w14:paraId="416900FB" w14:textId="2FD7631C" w:rsidR="00FD20E4" w:rsidRPr="00CA2CC1" w:rsidRDefault="00FD20E4" w:rsidP="0043303B">
      <w:pPr>
        <w:pStyle w:val="BodyText"/>
        <w:rPr>
          <w:rFonts w:cs="Calibri"/>
        </w:rPr>
      </w:pPr>
      <w:r w:rsidRPr="00CA2CC1">
        <w:rPr>
          <w:rFonts w:cs="Calibri"/>
          <w:spacing w:val="-2"/>
        </w:rPr>
        <w:t>pageviews</w:t>
      </w:r>
      <w:r w:rsidR="000E018C" w:rsidRPr="00CA2CC1">
        <w:rPr>
          <w:rFonts w:cs="Calibri"/>
        </w:rPr>
        <w:t xml:space="preserve"> </w:t>
      </w:r>
      <w:r w:rsidRPr="00CA2CC1">
        <w:rPr>
          <w:rFonts w:cs="Calibri"/>
        </w:rPr>
        <w:t>– average of 316 pageviews</w:t>
      </w:r>
      <w:r w:rsidRPr="00CA2CC1">
        <w:rPr>
          <w:rFonts w:cs="Calibri"/>
          <w:spacing w:val="-13"/>
        </w:rPr>
        <w:t xml:space="preserve"> </w:t>
      </w:r>
      <w:r w:rsidRPr="00CA2CC1">
        <w:rPr>
          <w:rFonts w:cs="Calibri"/>
        </w:rPr>
        <w:t>per</w:t>
      </w:r>
      <w:r w:rsidRPr="00CA2CC1">
        <w:rPr>
          <w:rFonts w:cs="Calibri"/>
          <w:spacing w:val="-13"/>
        </w:rPr>
        <w:t xml:space="preserve"> </w:t>
      </w:r>
      <w:r w:rsidRPr="00CA2CC1">
        <w:rPr>
          <w:rFonts w:cs="Calibri"/>
        </w:rPr>
        <w:t>day</w:t>
      </w:r>
    </w:p>
    <w:p w14:paraId="750F0171" w14:textId="454D4A90" w:rsidR="00FA4226" w:rsidRPr="00CA2CC1" w:rsidRDefault="00000000" w:rsidP="0043303B">
      <w:pPr>
        <w:pStyle w:val="Heading2"/>
        <w:rPr>
          <w:rFonts w:cs="Calibri"/>
          <w:color w:val="000000" w:themeColor="text1"/>
        </w:rPr>
      </w:pPr>
      <w:r w:rsidRPr="00CA2CC1">
        <w:rPr>
          <w:rFonts w:cs="Calibri"/>
          <w:color w:val="000000" w:themeColor="text1"/>
          <w:spacing w:val="-2"/>
          <w:w w:val="110"/>
        </w:rPr>
        <w:t>45,972</w:t>
      </w:r>
    </w:p>
    <w:p w14:paraId="59F0CE67" w14:textId="49D94921" w:rsidR="00FD20E4" w:rsidRPr="00CA2CC1" w:rsidRDefault="00000000" w:rsidP="0043303B">
      <w:pPr>
        <w:pStyle w:val="BodyText"/>
        <w:rPr>
          <w:rFonts w:cs="Calibri"/>
          <w:spacing w:val="-2"/>
        </w:rPr>
      </w:pPr>
      <w:r w:rsidRPr="00CA2CC1">
        <w:rPr>
          <w:rFonts w:cs="Calibri"/>
          <w:spacing w:val="-2"/>
        </w:rPr>
        <w:t>unique viewers</w:t>
      </w:r>
    </w:p>
    <w:p w14:paraId="7997C0B9" w14:textId="69238D52" w:rsidR="00FA4226" w:rsidRPr="00CA2CC1" w:rsidRDefault="00000000" w:rsidP="0043303B">
      <w:pPr>
        <w:pStyle w:val="Heading2"/>
        <w:rPr>
          <w:rFonts w:cs="Calibri"/>
          <w:color w:val="000000" w:themeColor="text1"/>
        </w:rPr>
      </w:pPr>
      <w:r w:rsidRPr="00CA2CC1">
        <w:rPr>
          <w:rFonts w:cs="Calibri"/>
          <w:color w:val="000000" w:themeColor="text1"/>
          <w:spacing w:val="-2"/>
          <w:w w:val="110"/>
        </w:rPr>
        <w:t>3,127</w:t>
      </w:r>
    </w:p>
    <w:p w14:paraId="38A782FC" w14:textId="6D6EAC6A" w:rsidR="00FD20E4" w:rsidRPr="00CA2CC1" w:rsidRDefault="00000000" w:rsidP="0043303B">
      <w:pPr>
        <w:pStyle w:val="BodyText"/>
        <w:rPr>
          <w:rFonts w:cs="Calibri"/>
        </w:rPr>
      </w:pPr>
      <w:r w:rsidRPr="00CA2CC1">
        <w:rPr>
          <w:rFonts w:cs="Calibri"/>
        </w:rPr>
        <w:t>views</w:t>
      </w:r>
      <w:r w:rsidRPr="00CA2CC1">
        <w:rPr>
          <w:rFonts w:cs="Calibri"/>
          <w:spacing w:val="-13"/>
        </w:rPr>
        <w:t xml:space="preserve"> </w:t>
      </w:r>
      <w:r w:rsidRPr="00CA2CC1">
        <w:rPr>
          <w:rFonts w:cs="Calibri"/>
        </w:rPr>
        <w:t>of</w:t>
      </w:r>
      <w:r w:rsidRPr="00CA2CC1">
        <w:rPr>
          <w:rFonts w:cs="Calibri"/>
          <w:spacing w:val="-13"/>
        </w:rPr>
        <w:t xml:space="preserve"> </w:t>
      </w:r>
      <w:r w:rsidRPr="00CA2CC1">
        <w:rPr>
          <w:rFonts w:cs="Calibri"/>
        </w:rPr>
        <w:t>our web blogs</w:t>
      </w:r>
    </w:p>
    <w:p w14:paraId="4366585C" w14:textId="023F545B" w:rsidR="00FA4226" w:rsidRPr="00CA2CC1" w:rsidRDefault="00000000" w:rsidP="0043303B">
      <w:pPr>
        <w:pStyle w:val="Heading2"/>
        <w:rPr>
          <w:rFonts w:cs="Calibri"/>
          <w:color w:val="000000" w:themeColor="text1"/>
        </w:rPr>
      </w:pPr>
      <w:r w:rsidRPr="00CA2CC1">
        <w:rPr>
          <w:rFonts w:cs="Calibri"/>
          <w:color w:val="000000" w:themeColor="text1"/>
          <w:spacing w:val="-2"/>
          <w:w w:val="110"/>
        </w:rPr>
        <w:t>62,416</w:t>
      </w:r>
    </w:p>
    <w:p w14:paraId="6056EB52" w14:textId="75020721" w:rsidR="00FA4226" w:rsidRPr="00CA2CC1" w:rsidRDefault="00000000" w:rsidP="0043303B">
      <w:pPr>
        <w:pStyle w:val="BodyText"/>
        <w:rPr>
          <w:rFonts w:cs="Calibri"/>
        </w:rPr>
      </w:pPr>
      <w:r w:rsidRPr="00CA2CC1">
        <w:rPr>
          <w:rFonts w:cs="Calibri"/>
          <w:spacing w:val="-2"/>
        </w:rPr>
        <w:t>website sessions</w:t>
      </w:r>
    </w:p>
    <w:p w14:paraId="018E9E5B" w14:textId="77777777" w:rsidR="00FA4226" w:rsidRPr="00CA2CC1" w:rsidRDefault="00000000" w:rsidP="0043303B">
      <w:pPr>
        <w:pStyle w:val="Heading2"/>
        <w:rPr>
          <w:rFonts w:cs="Calibri"/>
          <w:color w:val="000000" w:themeColor="text1"/>
        </w:rPr>
      </w:pPr>
      <w:r w:rsidRPr="00CA2CC1">
        <w:rPr>
          <w:rFonts w:cs="Calibri"/>
          <w:color w:val="000000" w:themeColor="text1"/>
          <w:spacing w:val="-2"/>
          <w:w w:val="110"/>
        </w:rPr>
        <w:t>37,264</w:t>
      </w:r>
    </w:p>
    <w:p w14:paraId="5C63BCFE" w14:textId="6617B00D" w:rsidR="00FD20E4" w:rsidRPr="00CA2CC1" w:rsidRDefault="00000000" w:rsidP="0043303B">
      <w:pPr>
        <w:pStyle w:val="BodyText"/>
        <w:rPr>
          <w:rFonts w:cs="Calibri"/>
        </w:rPr>
      </w:pPr>
      <w:r w:rsidRPr="00CA2CC1">
        <w:rPr>
          <w:rFonts w:cs="Calibri"/>
        </w:rPr>
        <w:t>downloads</w:t>
      </w:r>
      <w:r w:rsidRPr="00CA2CC1">
        <w:rPr>
          <w:rFonts w:cs="Calibri"/>
          <w:spacing w:val="-13"/>
        </w:rPr>
        <w:t xml:space="preserve"> </w:t>
      </w:r>
      <w:r w:rsidRPr="00CA2CC1">
        <w:rPr>
          <w:rFonts w:cs="Calibri"/>
        </w:rPr>
        <w:t>or</w:t>
      </w:r>
      <w:r w:rsidRPr="00CA2CC1">
        <w:rPr>
          <w:rFonts w:cs="Calibri"/>
          <w:spacing w:val="-13"/>
        </w:rPr>
        <w:t xml:space="preserve"> </w:t>
      </w:r>
      <w:r w:rsidRPr="00CA2CC1">
        <w:rPr>
          <w:rFonts w:cs="Calibri"/>
        </w:rPr>
        <w:t>html</w:t>
      </w:r>
      <w:r w:rsidRPr="00CA2CC1">
        <w:rPr>
          <w:rFonts w:cs="Calibri"/>
          <w:spacing w:val="-12"/>
        </w:rPr>
        <w:t xml:space="preserve"> </w:t>
      </w:r>
      <w:r w:rsidRPr="00CA2CC1">
        <w:rPr>
          <w:rFonts w:cs="Calibri"/>
        </w:rPr>
        <w:t>views of Infrastructure Victoria published reports</w:t>
      </w:r>
    </w:p>
    <w:p w14:paraId="6FFD71AF" w14:textId="77777777" w:rsidR="00FD20E4" w:rsidRPr="00CA2CC1" w:rsidRDefault="00FD20E4" w:rsidP="0043303B">
      <w:pPr>
        <w:pStyle w:val="BodyText"/>
        <w:spacing w:before="45"/>
        <w:rPr>
          <w:rFonts w:cs="Calibri"/>
        </w:rPr>
      </w:pPr>
    </w:p>
    <w:p w14:paraId="56EB77E6" w14:textId="77777777" w:rsidR="00FD20E4" w:rsidRPr="00CA2CC1" w:rsidRDefault="00FD20E4" w:rsidP="0043303B">
      <w:pPr>
        <w:tabs>
          <w:tab w:val="left" w:pos="8338"/>
        </w:tabs>
        <w:spacing w:before="37"/>
        <w:rPr>
          <w:rFonts w:cs="Calibri"/>
          <w:color w:val="000000" w:themeColor="text1"/>
          <w:sz w:val="32"/>
        </w:rPr>
      </w:pPr>
      <w:r w:rsidRPr="00CA2CC1">
        <w:rPr>
          <w:rFonts w:cs="Calibri"/>
          <w:color w:val="000000" w:themeColor="text1"/>
          <w:spacing w:val="-2"/>
          <w:sz w:val="32"/>
        </w:rPr>
        <w:t>Webinars</w:t>
      </w:r>
    </w:p>
    <w:p w14:paraId="28083244" w14:textId="73EC323C" w:rsidR="00FA4226" w:rsidRPr="00CA2CC1" w:rsidRDefault="00000000" w:rsidP="0043303B">
      <w:pPr>
        <w:pStyle w:val="Heading2"/>
        <w:rPr>
          <w:rFonts w:cs="Calibri"/>
          <w:color w:val="000000" w:themeColor="text1"/>
        </w:rPr>
      </w:pPr>
      <w:r w:rsidRPr="00CA2CC1">
        <w:rPr>
          <w:rFonts w:cs="Calibri"/>
          <w:color w:val="000000" w:themeColor="text1"/>
          <w:spacing w:val="-2"/>
          <w:w w:val="110"/>
        </w:rPr>
        <w:t>1,069</w:t>
      </w:r>
    </w:p>
    <w:p w14:paraId="5D7D1D2A" w14:textId="77777777" w:rsidR="00FA4226" w:rsidRPr="00CA2CC1" w:rsidRDefault="00000000" w:rsidP="0043303B">
      <w:pPr>
        <w:pStyle w:val="BodyText"/>
        <w:rPr>
          <w:rFonts w:cs="Calibri"/>
        </w:rPr>
      </w:pPr>
      <w:r w:rsidRPr="00CA2CC1">
        <w:rPr>
          <w:rFonts w:cs="Calibri"/>
        </w:rPr>
        <w:t>views</w:t>
      </w:r>
      <w:r w:rsidRPr="00CA2CC1">
        <w:rPr>
          <w:rFonts w:cs="Calibri"/>
          <w:spacing w:val="-13"/>
        </w:rPr>
        <w:t xml:space="preserve"> </w:t>
      </w:r>
      <w:r w:rsidRPr="00CA2CC1">
        <w:rPr>
          <w:rFonts w:cs="Calibri"/>
        </w:rPr>
        <w:t>of</w:t>
      </w:r>
      <w:r w:rsidRPr="00CA2CC1">
        <w:rPr>
          <w:rFonts w:cs="Calibri"/>
          <w:spacing w:val="-13"/>
        </w:rPr>
        <w:t xml:space="preserve"> </w:t>
      </w:r>
      <w:r w:rsidRPr="00CA2CC1">
        <w:rPr>
          <w:rFonts w:cs="Calibri"/>
        </w:rPr>
        <w:t xml:space="preserve">webinar </w:t>
      </w:r>
      <w:r w:rsidRPr="00CA2CC1">
        <w:rPr>
          <w:rFonts w:cs="Calibri"/>
          <w:spacing w:val="-2"/>
        </w:rPr>
        <w:t>recordings</w:t>
      </w:r>
    </w:p>
    <w:p w14:paraId="23D4B285" w14:textId="76CC3856" w:rsidR="00FA4226" w:rsidRPr="00CA2CC1" w:rsidRDefault="00000000" w:rsidP="0043303B">
      <w:pPr>
        <w:rPr>
          <w:rFonts w:cs="Calibri"/>
          <w:color w:val="000000" w:themeColor="text1"/>
          <w:sz w:val="48"/>
        </w:rPr>
      </w:pPr>
      <w:r w:rsidRPr="00CA2CC1">
        <w:rPr>
          <w:rFonts w:cs="Calibri"/>
          <w:color w:val="000000" w:themeColor="text1"/>
          <w:spacing w:val="-10"/>
          <w:w w:val="110"/>
          <w:sz w:val="48"/>
        </w:rPr>
        <w:t>6</w:t>
      </w:r>
    </w:p>
    <w:p w14:paraId="483B1B0D" w14:textId="69D874A6" w:rsidR="00FA4226" w:rsidRPr="00CA2CC1" w:rsidRDefault="00000000" w:rsidP="0043303B">
      <w:pPr>
        <w:pStyle w:val="BodyText"/>
        <w:rPr>
          <w:rFonts w:cs="Calibri"/>
        </w:rPr>
      </w:pPr>
      <w:r w:rsidRPr="00CA2CC1">
        <w:rPr>
          <w:rFonts w:cs="Calibri"/>
        </w:rPr>
        <w:t>online</w:t>
      </w:r>
      <w:r w:rsidRPr="00CA2CC1">
        <w:rPr>
          <w:rFonts w:cs="Calibri"/>
          <w:spacing w:val="-13"/>
        </w:rPr>
        <w:t xml:space="preserve"> </w:t>
      </w:r>
      <w:r w:rsidRPr="00CA2CC1">
        <w:rPr>
          <w:rFonts w:cs="Calibri"/>
        </w:rPr>
        <w:t xml:space="preserve">webinar </w:t>
      </w:r>
      <w:r w:rsidRPr="00CA2CC1">
        <w:rPr>
          <w:rFonts w:cs="Calibri"/>
          <w:spacing w:val="-2"/>
        </w:rPr>
        <w:t>events</w:t>
      </w:r>
    </w:p>
    <w:p w14:paraId="35D1A1CD" w14:textId="77777777" w:rsidR="00FA4226" w:rsidRPr="00CA2CC1" w:rsidRDefault="00000000" w:rsidP="0043303B">
      <w:pPr>
        <w:pStyle w:val="Heading2"/>
        <w:rPr>
          <w:rFonts w:cs="Calibri"/>
          <w:color w:val="000000" w:themeColor="text1"/>
        </w:rPr>
      </w:pPr>
      <w:r w:rsidRPr="00CA2CC1">
        <w:rPr>
          <w:rFonts w:cs="Calibri"/>
          <w:color w:val="000000" w:themeColor="text1"/>
          <w:spacing w:val="-2"/>
          <w:w w:val="110"/>
        </w:rPr>
        <w:t>1,027</w:t>
      </w:r>
    </w:p>
    <w:p w14:paraId="14CB5039" w14:textId="2FFFE14B" w:rsidR="00FA4226" w:rsidRPr="00CA2CC1" w:rsidRDefault="00000000" w:rsidP="0043303B">
      <w:pPr>
        <w:pStyle w:val="BodyText"/>
        <w:rPr>
          <w:rFonts w:cs="Calibri"/>
        </w:rPr>
      </w:pPr>
      <w:r w:rsidRPr="00CA2CC1">
        <w:rPr>
          <w:rFonts w:cs="Calibri"/>
        </w:rPr>
        <w:t xml:space="preserve">live </w:t>
      </w:r>
      <w:r w:rsidRPr="00CA2CC1">
        <w:rPr>
          <w:rFonts w:cs="Calibri"/>
          <w:spacing w:val="-4"/>
        </w:rPr>
        <w:t>views</w:t>
      </w:r>
    </w:p>
    <w:p w14:paraId="53109C8C" w14:textId="77777777" w:rsidR="00FA4226" w:rsidRPr="00CA2CC1" w:rsidRDefault="00000000" w:rsidP="0043303B">
      <w:pPr>
        <w:pStyle w:val="Heading2"/>
        <w:rPr>
          <w:rFonts w:cs="Calibri"/>
          <w:color w:val="000000" w:themeColor="text1"/>
        </w:rPr>
      </w:pPr>
      <w:r w:rsidRPr="00CA2CC1">
        <w:rPr>
          <w:rFonts w:cs="Calibri"/>
          <w:color w:val="000000" w:themeColor="text1"/>
          <w:spacing w:val="-5"/>
          <w:w w:val="110"/>
        </w:rPr>
        <w:t>87%</w:t>
      </w:r>
    </w:p>
    <w:p w14:paraId="3F5275C2" w14:textId="77777777" w:rsidR="00FA4226" w:rsidRPr="00CA2CC1" w:rsidRDefault="00000000" w:rsidP="0043303B">
      <w:pPr>
        <w:pStyle w:val="BodyText"/>
        <w:rPr>
          <w:rFonts w:cs="Calibri"/>
        </w:rPr>
      </w:pPr>
      <w:r w:rsidRPr="00CA2CC1">
        <w:rPr>
          <w:rFonts w:cs="Calibri"/>
        </w:rPr>
        <w:t>average</w:t>
      </w:r>
      <w:r w:rsidRPr="00CA2CC1">
        <w:rPr>
          <w:rFonts w:cs="Calibri"/>
          <w:spacing w:val="-13"/>
        </w:rPr>
        <w:t xml:space="preserve"> </w:t>
      </w:r>
      <w:r w:rsidRPr="00CA2CC1">
        <w:rPr>
          <w:rFonts w:cs="Calibri"/>
        </w:rPr>
        <w:t xml:space="preserve">audience </w:t>
      </w:r>
      <w:r w:rsidRPr="00CA2CC1">
        <w:rPr>
          <w:rFonts w:cs="Calibri"/>
          <w:spacing w:val="-2"/>
        </w:rPr>
        <w:t>satisfaction</w:t>
      </w:r>
    </w:p>
    <w:p w14:paraId="597C7794" w14:textId="77777777" w:rsidR="00FA4226" w:rsidRPr="00CA2CC1" w:rsidRDefault="00000000" w:rsidP="0043303B">
      <w:pPr>
        <w:pStyle w:val="Heading2"/>
        <w:rPr>
          <w:rFonts w:cs="Calibri"/>
          <w:color w:val="000000" w:themeColor="text1"/>
        </w:rPr>
      </w:pPr>
      <w:r w:rsidRPr="00CA2CC1">
        <w:rPr>
          <w:rFonts w:cs="Calibri"/>
          <w:color w:val="000000" w:themeColor="text1"/>
          <w:spacing w:val="-5"/>
          <w:w w:val="110"/>
        </w:rPr>
        <w:t>86%</w:t>
      </w:r>
    </w:p>
    <w:p w14:paraId="1D58D97F" w14:textId="42157EB9" w:rsidR="00FA4226" w:rsidRPr="00CA2CC1" w:rsidRDefault="00000000" w:rsidP="0043303B">
      <w:pPr>
        <w:pStyle w:val="BodyText"/>
        <w:rPr>
          <w:rFonts w:cs="Calibri"/>
        </w:rPr>
      </w:pPr>
      <w:r w:rsidRPr="00CA2CC1">
        <w:rPr>
          <w:rFonts w:cs="Calibri"/>
        </w:rPr>
        <w:t>average</w:t>
      </w:r>
      <w:r w:rsidRPr="00CA2CC1">
        <w:rPr>
          <w:rFonts w:cs="Calibri"/>
          <w:spacing w:val="-13"/>
        </w:rPr>
        <w:t xml:space="preserve"> </w:t>
      </w:r>
      <w:r w:rsidRPr="00CA2CC1">
        <w:rPr>
          <w:rFonts w:cs="Calibri"/>
        </w:rPr>
        <w:t xml:space="preserve">audience </w:t>
      </w:r>
      <w:r w:rsidRPr="00CA2CC1">
        <w:rPr>
          <w:rFonts w:cs="Calibri"/>
          <w:spacing w:val="-2"/>
        </w:rPr>
        <w:t>engagement</w:t>
      </w:r>
    </w:p>
    <w:p w14:paraId="36FB5A51" w14:textId="77777777" w:rsidR="00FA4226" w:rsidRPr="00CA2CC1" w:rsidRDefault="00000000" w:rsidP="0043303B">
      <w:pPr>
        <w:pStyle w:val="Heading2"/>
        <w:rPr>
          <w:rFonts w:cs="Calibri"/>
          <w:color w:val="000000" w:themeColor="text1"/>
        </w:rPr>
      </w:pPr>
      <w:r w:rsidRPr="00CA2CC1">
        <w:rPr>
          <w:rFonts w:cs="Calibri"/>
          <w:color w:val="000000" w:themeColor="text1"/>
          <w:spacing w:val="-5"/>
          <w:w w:val="110"/>
        </w:rPr>
        <w:t>76%</w:t>
      </w:r>
    </w:p>
    <w:p w14:paraId="63C4AE83" w14:textId="77777777" w:rsidR="00FA4226" w:rsidRPr="00CA2CC1" w:rsidRDefault="00000000" w:rsidP="0043303B">
      <w:pPr>
        <w:pStyle w:val="BodyText"/>
        <w:rPr>
          <w:rFonts w:cs="Calibri"/>
        </w:rPr>
      </w:pPr>
      <w:r w:rsidRPr="00CA2CC1">
        <w:rPr>
          <w:rFonts w:cs="Calibri"/>
        </w:rPr>
        <w:t>average</w:t>
      </w:r>
      <w:r w:rsidRPr="00CA2CC1">
        <w:rPr>
          <w:rFonts w:cs="Calibri"/>
          <w:spacing w:val="-13"/>
        </w:rPr>
        <w:t xml:space="preserve"> </w:t>
      </w:r>
      <w:r w:rsidRPr="00CA2CC1">
        <w:rPr>
          <w:rFonts w:cs="Calibri"/>
        </w:rPr>
        <w:t>registration to attendance</w:t>
      </w:r>
    </w:p>
    <w:p w14:paraId="0B67D6AC" w14:textId="77777777" w:rsidR="00FA4226" w:rsidRPr="00CA2CC1" w:rsidRDefault="00000000" w:rsidP="0043303B">
      <w:pPr>
        <w:pStyle w:val="BodyText"/>
        <w:rPr>
          <w:rFonts w:cs="Calibri"/>
        </w:rPr>
      </w:pPr>
      <w:r w:rsidRPr="00CA2CC1">
        <w:rPr>
          <w:rFonts w:cs="Calibri"/>
        </w:rPr>
        <w:t>–</w:t>
      </w:r>
      <w:r w:rsidRPr="00CA2CC1">
        <w:rPr>
          <w:rFonts w:cs="Calibri"/>
          <w:spacing w:val="-11"/>
        </w:rPr>
        <w:t xml:space="preserve"> </w:t>
      </w:r>
      <w:r w:rsidRPr="00CA2CC1">
        <w:rPr>
          <w:rFonts w:cs="Calibri"/>
        </w:rPr>
        <w:t>industry</w:t>
      </w:r>
      <w:r w:rsidRPr="00CA2CC1">
        <w:rPr>
          <w:rFonts w:cs="Calibri"/>
          <w:spacing w:val="-11"/>
        </w:rPr>
        <w:t xml:space="preserve"> </w:t>
      </w:r>
      <w:r w:rsidRPr="00CA2CC1">
        <w:rPr>
          <w:rFonts w:cs="Calibri"/>
        </w:rPr>
        <w:t>average</w:t>
      </w:r>
      <w:r w:rsidRPr="00CA2CC1">
        <w:rPr>
          <w:rFonts w:cs="Calibri"/>
          <w:spacing w:val="-11"/>
        </w:rPr>
        <w:t xml:space="preserve"> </w:t>
      </w:r>
      <w:r w:rsidRPr="00CA2CC1">
        <w:rPr>
          <w:rFonts w:cs="Calibri"/>
        </w:rPr>
        <w:t>attendance rate is 40% for free webinars</w:t>
      </w:r>
    </w:p>
    <w:p w14:paraId="29A33A5C" w14:textId="77777777" w:rsidR="00FA4226" w:rsidRPr="00CA2CC1" w:rsidRDefault="00FA4226" w:rsidP="0043303B">
      <w:pPr>
        <w:rPr>
          <w:rFonts w:cs="Calibri"/>
          <w:color w:val="000000" w:themeColor="text1"/>
        </w:rPr>
        <w:sectPr w:rsidR="00FA4226" w:rsidRPr="00CA2CC1" w:rsidSect="00E941A5">
          <w:type w:val="continuous"/>
          <w:pgSz w:w="11910" w:h="16840"/>
          <w:pgMar w:top="1134" w:right="1278" w:bottom="1134" w:left="1134" w:header="720" w:footer="720" w:gutter="0"/>
          <w:cols w:space="720"/>
        </w:sectPr>
      </w:pPr>
    </w:p>
    <w:p w14:paraId="6C2F237E" w14:textId="77777777" w:rsidR="00FA4226" w:rsidRPr="00CA2CC1" w:rsidRDefault="00FA4226" w:rsidP="0043303B">
      <w:pPr>
        <w:rPr>
          <w:rFonts w:cs="Calibri"/>
          <w:color w:val="000000" w:themeColor="text1"/>
          <w:sz w:val="16"/>
        </w:rPr>
        <w:sectPr w:rsidR="00FA4226" w:rsidRPr="00CA2CC1" w:rsidSect="00E941A5">
          <w:type w:val="continuous"/>
          <w:pgSz w:w="11910" w:h="16840"/>
          <w:pgMar w:top="1134" w:right="1278" w:bottom="1134" w:left="1134" w:header="720" w:footer="720" w:gutter="0"/>
          <w:cols w:space="720"/>
        </w:sectPr>
      </w:pPr>
    </w:p>
    <w:p w14:paraId="02DBAA7B" w14:textId="77777777" w:rsidR="00FA4226" w:rsidRPr="00CA2CC1" w:rsidRDefault="00FA4226" w:rsidP="0043303B">
      <w:pPr>
        <w:rPr>
          <w:rFonts w:cs="Calibri"/>
          <w:color w:val="000000" w:themeColor="text1"/>
          <w:sz w:val="23"/>
        </w:rPr>
        <w:sectPr w:rsidR="00FA4226" w:rsidRPr="00CA2CC1" w:rsidSect="00E941A5">
          <w:pgSz w:w="11910" w:h="16840"/>
          <w:pgMar w:top="1134" w:right="1278" w:bottom="1134" w:left="1134" w:header="720" w:footer="720" w:gutter="0"/>
          <w:cols w:space="720"/>
        </w:sectPr>
      </w:pPr>
    </w:p>
    <w:p w14:paraId="4027E7E8" w14:textId="77777777" w:rsidR="00FA4226" w:rsidRPr="00CA2CC1" w:rsidRDefault="00000000" w:rsidP="0043303B">
      <w:pPr>
        <w:pStyle w:val="BodyText"/>
        <w:rPr>
          <w:rFonts w:cs="Calibri"/>
        </w:rPr>
      </w:pPr>
      <w:r w:rsidRPr="00CA2CC1">
        <w:rPr>
          <w:rFonts w:cs="Calibri"/>
        </w:rPr>
        <w:t>Infrastructure Victoria communicates</w:t>
      </w:r>
      <w:r w:rsidRPr="00CA2CC1">
        <w:rPr>
          <w:rFonts w:cs="Calibri"/>
          <w:spacing w:val="40"/>
        </w:rPr>
        <w:t xml:space="preserve"> </w:t>
      </w:r>
      <w:r w:rsidRPr="00CA2CC1">
        <w:rPr>
          <w:rFonts w:cs="Calibri"/>
        </w:rPr>
        <w:t>our</w:t>
      </w:r>
      <w:r w:rsidRPr="00CA2CC1">
        <w:rPr>
          <w:rFonts w:cs="Calibri"/>
          <w:spacing w:val="-3"/>
        </w:rPr>
        <w:t xml:space="preserve"> </w:t>
      </w:r>
      <w:r w:rsidRPr="00CA2CC1">
        <w:rPr>
          <w:rFonts w:cs="Calibri"/>
        </w:rPr>
        <w:t>work</w:t>
      </w:r>
      <w:r w:rsidRPr="00CA2CC1">
        <w:rPr>
          <w:rFonts w:cs="Calibri"/>
          <w:spacing w:val="-3"/>
        </w:rPr>
        <w:t xml:space="preserve"> </w:t>
      </w:r>
      <w:r w:rsidRPr="00CA2CC1">
        <w:rPr>
          <w:rFonts w:cs="Calibri"/>
        </w:rPr>
        <w:t>across</w:t>
      </w:r>
      <w:r w:rsidRPr="00CA2CC1">
        <w:rPr>
          <w:rFonts w:cs="Calibri"/>
          <w:spacing w:val="-3"/>
        </w:rPr>
        <w:t xml:space="preserve"> </w:t>
      </w:r>
      <w:r w:rsidRPr="00CA2CC1">
        <w:rPr>
          <w:rFonts w:cs="Calibri"/>
        </w:rPr>
        <w:t>a</w:t>
      </w:r>
      <w:r w:rsidRPr="00CA2CC1">
        <w:rPr>
          <w:rFonts w:cs="Calibri"/>
          <w:spacing w:val="-3"/>
        </w:rPr>
        <w:t xml:space="preserve"> </w:t>
      </w:r>
      <w:r w:rsidRPr="00CA2CC1">
        <w:rPr>
          <w:rFonts w:cs="Calibri"/>
        </w:rPr>
        <w:t>range</w:t>
      </w:r>
      <w:r w:rsidRPr="00CA2CC1">
        <w:rPr>
          <w:rFonts w:cs="Calibri"/>
          <w:spacing w:val="-3"/>
        </w:rPr>
        <w:t xml:space="preserve"> </w:t>
      </w:r>
      <w:r w:rsidRPr="00CA2CC1">
        <w:rPr>
          <w:rFonts w:cs="Calibri"/>
        </w:rPr>
        <w:t>of</w:t>
      </w:r>
      <w:r w:rsidRPr="00CA2CC1">
        <w:rPr>
          <w:rFonts w:cs="Calibri"/>
          <w:spacing w:val="-3"/>
        </w:rPr>
        <w:t xml:space="preserve"> </w:t>
      </w:r>
      <w:r w:rsidRPr="00CA2CC1">
        <w:rPr>
          <w:rFonts w:cs="Calibri"/>
        </w:rPr>
        <w:t>social</w:t>
      </w:r>
      <w:r w:rsidRPr="00CA2CC1">
        <w:rPr>
          <w:rFonts w:cs="Calibri"/>
          <w:spacing w:val="-3"/>
        </w:rPr>
        <w:t xml:space="preserve"> </w:t>
      </w:r>
      <w:r w:rsidRPr="00CA2CC1">
        <w:rPr>
          <w:rFonts w:cs="Calibri"/>
        </w:rPr>
        <w:t>media platforms</w:t>
      </w:r>
      <w:r w:rsidRPr="00CA2CC1">
        <w:rPr>
          <w:rFonts w:cs="Calibri"/>
          <w:spacing w:val="-13"/>
        </w:rPr>
        <w:t xml:space="preserve"> </w:t>
      </w:r>
      <w:r w:rsidRPr="00CA2CC1">
        <w:rPr>
          <w:rFonts w:cs="Calibri"/>
        </w:rPr>
        <w:t>including</w:t>
      </w:r>
      <w:r w:rsidRPr="00CA2CC1">
        <w:rPr>
          <w:rFonts w:cs="Calibri"/>
          <w:spacing w:val="-13"/>
        </w:rPr>
        <w:t xml:space="preserve"> </w:t>
      </w:r>
      <w:r w:rsidRPr="00CA2CC1">
        <w:rPr>
          <w:rFonts w:cs="Calibri"/>
        </w:rPr>
        <w:t>LinkedIn,</w:t>
      </w:r>
      <w:r w:rsidRPr="00CA2CC1">
        <w:rPr>
          <w:rFonts w:cs="Calibri"/>
          <w:spacing w:val="-12"/>
        </w:rPr>
        <w:t xml:space="preserve"> </w:t>
      </w:r>
      <w:r w:rsidRPr="00CA2CC1">
        <w:rPr>
          <w:rFonts w:cs="Calibri"/>
        </w:rPr>
        <w:t>Twitter</w:t>
      </w:r>
      <w:r w:rsidRPr="00CA2CC1">
        <w:rPr>
          <w:rFonts w:cs="Calibri"/>
          <w:spacing w:val="-13"/>
        </w:rPr>
        <w:t xml:space="preserve"> </w:t>
      </w:r>
      <w:r w:rsidRPr="00CA2CC1">
        <w:rPr>
          <w:rFonts w:cs="Calibri"/>
        </w:rPr>
        <w:t>and Facebook.</w:t>
      </w:r>
      <w:r w:rsidRPr="00CA2CC1">
        <w:rPr>
          <w:rFonts w:cs="Calibri"/>
          <w:spacing w:val="-8"/>
        </w:rPr>
        <w:t xml:space="preserve"> </w:t>
      </w:r>
      <w:r w:rsidRPr="00CA2CC1">
        <w:rPr>
          <w:rFonts w:cs="Calibri"/>
        </w:rPr>
        <w:t>LinkedIn</w:t>
      </w:r>
      <w:r w:rsidRPr="00CA2CC1">
        <w:rPr>
          <w:rFonts w:cs="Calibri"/>
          <w:spacing w:val="-8"/>
        </w:rPr>
        <w:t xml:space="preserve"> </w:t>
      </w:r>
      <w:r w:rsidRPr="00CA2CC1">
        <w:rPr>
          <w:rFonts w:cs="Calibri"/>
        </w:rPr>
        <w:t>is</w:t>
      </w:r>
      <w:r w:rsidRPr="00CA2CC1">
        <w:rPr>
          <w:rFonts w:cs="Calibri"/>
          <w:spacing w:val="-8"/>
        </w:rPr>
        <w:t xml:space="preserve"> </w:t>
      </w:r>
      <w:r w:rsidRPr="00CA2CC1">
        <w:rPr>
          <w:rFonts w:cs="Calibri"/>
        </w:rPr>
        <w:t>our</w:t>
      </w:r>
      <w:r w:rsidRPr="00CA2CC1">
        <w:rPr>
          <w:rFonts w:cs="Calibri"/>
          <w:spacing w:val="-8"/>
        </w:rPr>
        <w:t xml:space="preserve"> </w:t>
      </w:r>
      <w:r w:rsidRPr="00CA2CC1">
        <w:rPr>
          <w:rFonts w:cs="Calibri"/>
        </w:rPr>
        <w:t>primary</w:t>
      </w:r>
      <w:r w:rsidRPr="00CA2CC1">
        <w:rPr>
          <w:rFonts w:cs="Calibri"/>
          <w:spacing w:val="-8"/>
        </w:rPr>
        <w:t xml:space="preserve"> </w:t>
      </w:r>
      <w:r w:rsidRPr="00CA2CC1">
        <w:rPr>
          <w:rFonts w:cs="Calibri"/>
        </w:rPr>
        <w:t>social media channel.</w:t>
      </w:r>
    </w:p>
    <w:p w14:paraId="55F8841A" w14:textId="77777777" w:rsidR="00FA4226" w:rsidRPr="00CA2CC1" w:rsidRDefault="00000000" w:rsidP="0043303B">
      <w:pPr>
        <w:pStyle w:val="BodyText"/>
        <w:spacing w:before="115"/>
        <w:rPr>
          <w:rFonts w:cs="Calibri"/>
        </w:rPr>
      </w:pPr>
      <w:r w:rsidRPr="00CA2CC1">
        <w:rPr>
          <w:rFonts w:cs="Calibri"/>
        </w:rPr>
        <w:t>During</w:t>
      </w:r>
      <w:r w:rsidRPr="00CA2CC1">
        <w:rPr>
          <w:rFonts w:cs="Calibri"/>
          <w:spacing w:val="-10"/>
        </w:rPr>
        <w:t xml:space="preserve"> </w:t>
      </w:r>
      <w:r w:rsidRPr="00CA2CC1">
        <w:rPr>
          <w:rFonts w:cs="Calibri"/>
        </w:rPr>
        <w:t>the</w:t>
      </w:r>
      <w:r w:rsidRPr="00CA2CC1">
        <w:rPr>
          <w:rFonts w:cs="Calibri"/>
          <w:spacing w:val="-10"/>
        </w:rPr>
        <w:t xml:space="preserve"> </w:t>
      </w:r>
      <w:r w:rsidRPr="00CA2CC1">
        <w:rPr>
          <w:rFonts w:cs="Calibri"/>
        </w:rPr>
        <w:t>year,</w:t>
      </w:r>
      <w:r w:rsidRPr="00CA2CC1">
        <w:rPr>
          <w:rFonts w:cs="Calibri"/>
          <w:spacing w:val="-10"/>
        </w:rPr>
        <w:t xml:space="preserve"> </w:t>
      </w:r>
      <w:r w:rsidRPr="00CA2CC1">
        <w:rPr>
          <w:rFonts w:cs="Calibri"/>
        </w:rPr>
        <w:t>we</w:t>
      </w:r>
      <w:r w:rsidRPr="00CA2CC1">
        <w:rPr>
          <w:rFonts w:cs="Calibri"/>
          <w:spacing w:val="-10"/>
        </w:rPr>
        <w:t xml:space="preserve"> </w:t>
      </w:r>
      <w:r w:rsidRPr="00CA2CC1">
        <w:rPr>
          <w:rFonts w:cs="Calibri"/>
        </w:rPr>
        <w:t>launched</w:t>
      </w:r>
      <w:r w:rsidRPr="00CA2CC1">
        <w:rPr>
          <w:rFonts w:cs="Calibri"/>
          <w:spacing w:val="-10"/>
        </w:rPr>
        <w:t xml:space="preserve"> </w:t>
      </w:r>
      <w:r w:rsidRPr="00CA2CC1">
        <w:rPr>
          <w:rFonts w:cs="Calibri"/>
        </w:rPr>
        <w:t>an</w:t>
      </w:r>
      <w:r w:rsidRPr="00CA2CC1">
        <w:rPr>
          <w:rFonts w:cs="Calibri"/>
          <w:spacing w:val="-10"/>
        </w:rPr>
        <w:t xml:space="preserve"> </w:t>
      </w:r>
      <w:r w:rsidRPr="00CA2CC1">
        <w:rPr>
          <w:rFonts w:cs="Calibri"/>
        </w:rPr>
        <w:t>Instagram channel as part of our efforts to attract new audiences, including young people.</w:t>
      </w:r>
    </w:p>
    <w:p w14:paraId="39F0BB9A" w14:textId="77777777" w:rsidR="00FA4226" w:rsidRPr="00CA2CC1" w:rsidRDefault="00000000" w:rsidP="0043303B">
      <w:pPr>
        <w:pStyle w:val="BodyText"/>
        <w:rPr>
          <w:rFonts w:cs="Calibri"/>
        </w:rPr>
      </w:pPr>
      <w:r w:rsidRPr="00CA2CC1">
        <w:rPr>
          <w:rFonts w:cs="Calibri"/>
        </w:rPr>
        <w:t>The new account is an effective way of</w:t>
      </w:r>
      <w:r w:rsidRPr="00CA2CC1">
        <w:rPr>
          <w:rFonts w:cs="Calibri"/>
          <w:spacing w:val="-8"/>
        </w:rPr>
        <w:t xml:space="preserve"> </w:t>
      </w:r>
      <w:r w:rsidRPr="00CA2CC1">
        <w:rPr>
          <w:rFonts w:cs="Calibri"/>
        </w:rPr>
        <w:t>maximising</w:t>
      </w:r>
      <w:r w:rsidRPr="00CA2CC1">
        <w:rPr>
          <w:rFonts w:cs="Calibri"/>
          <w:spacing w:val="-8"/>
        </w:rPr>
        <w:t xml:space="preserve"> </w:t>
      </w:r>
      <w:r w:rsidRPr="00CA2CC1">
        <w:rPr>
          <w:rFonts w:cs="Calibri"/>
        </w:rPr>
        <w:t>our</w:t>
      </w:r>
      <w:r w:rsidRPr="00CA2CC1">
        <w:rPr>
          <w:rFonts w:cs="Calibri"/>
          <w:spacing w:val="-8"/>
        </w:rPr>
        <w:t xml:space="preserve"> </w:t>
      </w:r>
      <w:r w:rsidRPr="00CA2CC1">
        <w:rPr>
          <w:rFonts w:cs="Calibri"/>
        </w:rPr>
        <w:t>social</w:t>
      </w:r>
      <w:r w:rsidRPr="00CA2CC1">
        <w:rPr>
          <w:rFonts w:cs="Calibri"/>
          <w:spacing w:val="-8"/>
        </w:rPr>
        <w:t xml:space="preserve"> </w:t>
      </w:r>
      <w:r w:rsidRPr="00CA2CC1">
        <w:rPr>
          <w:rFonts w:cs="Calibri"/>
        </w:rPr>
        <w:t>media</w:t>
      </w:r>
      <w:r w:rsidRPr="00CA2CC1">
        <w:rPr>
          <w:rFonts w:cs="Calibri"/>
          <w:spacing w:val="-8"/>
        </w:rPr>
        <w:t xml:space="preserve"> </w:t>
      </w:r>
      <w:r w:rsidRPr="00CA2CC1">
        <w:rPr>
          <w:rFonts w:cs="Calibri"/>
        </w:rPr>
        <w:t xml:space="preserve">reach, particularly for public engagement </w:t>
      </w:r>
      <w:r w:rsidRPr="00CA2CC1">
        <w:rPr>
          <w:rFonts w:cs="Calibri"/>
          <w:spacing w:val="-2"/>
        </w:rPr>
        <w:t>activities.</w:t>
      </w:r>
    </w:p>
    <w:p w14:paraId="4B8767E3" w14:textId="77777777" w:rsidR="00EF1B25" w:rsidRPr="00CA2CC1" w:rsidRDefault="00000000" w:rsidP="0043303B">
      <w:pPr>
        <w:pStyle w:val="BodyText"/>
        <w:spacing w:before="112"/>
        <w:rPr>
          <w:rFonts w:cs="Calibri"/>
        </w:rPr>
      </w:pPr>
      <w:r w:rsidRPr="00CA2CC1">
        <w:rPr>
          <w:rFonts w:cs="Calibri"/>
        </w:rPr>
        <w:t>Our number of Instagram followers is steadily</w:t>
      </w:r>
      <w:r w:rsidRPr="00CA2CC1">
        <w:rPr>
          <w:rFonts w:cs="Calibri"/>
          <w:spacing w:val="-7"/>
        </w:rPr>
        <w:t xml:space="preserve"> </w:t>
      </w:r>
      <w:r w:rsidRPr="00CA2CC1">
        <w:rPr>
          <w:rFonts w:cs="Calibri"/>
        </w:rPr>
        <w:t>growing,</w:t>
      </w:r>
      <w:r w:rsidRPr="00CA2CC1">
        <w:rPr>
          <w:rFonts w:cs="Calibri"/>
          <w:spacing w:val="-7"/>
        </w:rPr>
        <w:t xml:space="preserve"> </w:t>
      </w:r>
      <w:r w:rsidRPr="00CA2CC1">
        <w:rPr>
          <w:rFonts w:cs="Calibri"/>
        </w:rPr>
        <w:t>and</w:t>
      </w:r>
      <w:r w:rsidRPr="00CA2CC1">
        <w:rPr>
          <w:rFonts w:cs="Calibri"/>
          <w:spacing w:val="-7"/>
        </w:rPr>
        <w:t xml:space="preserve"> </w:t>
      </w:r>
      <w:r w:rsidRPr="00CA2CC1">
        <w:rPr>
          <w:rFonts w:cs="Calibri"/>
        </w:rPr>
        <w:t>we</w:t>
      </w:r>
      <w:r w:rsidRPr="00CA2CC1">
        <w:rPr>
          <w:rFonts w:cs="Calibri"/>
          <w:spacing w:val="-7"/>
        </w:rPr>
        <w:t xml:space="preserve"> </w:t>
      </w:r>
      <w:r w:rsidRPr="00CA2CC1">
        <w:rPr>
          <w:rFonts w:cs="Calibri"/>
        </w:rPr>
        <w:t>used</w:t>
      </w:r>
      <w:r w:rsidRPr="00CA2CC1">
        <w:rPr>
          <w:rFonts w:cs="Calibri"/>
          <w:spacing w:val="-7"/>
        </w:rPr>
        <w:t xml:space="preserve"> </w:t>
      </w:r>
      <w:r w:rsidRPr="00CA2CC1">
        <w:rPr>
          <w:rFonts w:cs="Calibri"/>
        </w:rPr>
        <w:t>the</w:t>
      </w:r>
      <w:r w:rsidRPr="00CA2CC1">
        <w:rPr>
          <w:rFonts w:cs="Calibri"/>
          <w:spacing w:val="-7"/>
        </w:rPr>
        <w:t xml:space="preserve"> </w:t>
      </w:r>
      <w:r w:rsidRPr="00CA2CC1">
        <w:rPr>
          <w:rFonts w:cs="Calibri"/>
        </w:rPr>
        <w:t>channel to attract potential participants to our young</w:t>
      </w:r>
      <w:r w:rsidRPr="00CA2CC1">
        <w:rPr>
          <w:rFonts w:cs="Calibri"/>
          <w:spacing w:val="-4"/>
        </w:rPr>
        <w:t xml:space="preserve"> </w:t>
      </w:r>
      <w:r w:rsidRPr="00CA2CC1">
        <w:rPr>
          <w:rFonts w:cs="Calibri"/>
        </w:rPr>
        <w:t>people’s</w:t>
      </w:r>
      <w:r w:rsidRPr="00CA2CC1">
        <w:rPr>
          <w:rFonts w:cs="Calibri"/>
          <w:spacing w:val="-4"/>
        </w:rPr>
        <w:t xml:space="preserve"> </w:t>
      </w:r>
      <w:r w:rsidRPr="00CA2CC1">
        <w:rPr>
          <w:rFonts w:cs="Calibri"/>
        </w:rPr>
        <w:t>forum</w:t>
      </w:r>
      <w:r w:rsidRPr="00CA2CC1">
        <w:rPr>
          <w:rFonts w:cs="Calibri"/>
          <w:spacing w:val="-4"/>
        </w:rPr>
        <w:t xml:space="preserve"> </w:t>
      </w:r>
      <w:r w:rsidRPr="00CA2CC1">
        <w:rPr>
          <w:rFonts w:cs="Calibri"/>
        </w:rPr>
        <w:t>in</w:t>
      </w:r>
      <w:r w:rsidRPr="00CA2CC1">
        <w:rPr>
          <w:rFonts w:cs="Calibri"/>
          <w:spacing w:val="-4"/>
        </w:rPr>
        <w:t xml:space="preserve"> </w:t>
      </w:r>
      <w:r w:rsidRPr="00CA2CC1">
        <w:rPr>
          <w:rFonts w:cs="Calibri"/>
        </w:rPr>
        <w:t>May</w:t>
      </w:r>
      <w:r w:rsidRPr="00CA2CC1">
        <w:rPr>
          <w:rFonts w:cs="Calibri"/>
          <w:spacing w:val="-4"/>
        </w:rPr>
        <w:t xml:space="preserve"> </w:t>
      </w:r>
      <w:r w:rsidRPr="00CA2CC1">
        <w:rPr>
          <w:rFonts w:cs="Calibri"/>
        </w:rPr>
        <w:t>2023</w:t>
      </w:r>
      <w:r w:rsidRPr="00CA2CC1">
        <w:rPr>
          <w:rFonts w:cs="Calibri"/>
          <w:spacing w:val="-4"/>
        </w:rPr>
        <w:t xml:space="preserve"> </w:t>
      </w:r>
      <w:r w:rsidRPr="00CA2CC1">
        <w:rPr>
          <w:rFonts w:cs="Calibri"/>
        </w:rPr>
        <w:t>as</w:t>
      </w:r>
      <w:r w:rsidRPr="00CA2CC1">
        <w:rPr>
          <w:rFonts w:cs="Calibri"/>
          <w:spacing w:val="-4"/>
        </w:rPr>
        <w:t xml:space="preserve"> </w:t>
      </w:r>
      <w:r w:rsidRPr="00CA2CC1">
        <w:rPr>
          <w:rFonts w:cs="Calibri"/>
        </w:rPr>
        <w:t>part of our strategy engagement program.</w:t>
      </w:r>
    </w:p>
    <w:p w14:paraId="092D200F" w14:textId="7B356C44" w:rsidR="00FA4226" w:rsidRPr="00CA2CC1" w:rsidRDefault="00000000" w:rsidP="0043303B">
      <w:pPr>
        <w:pStyle w:val="BodyText"/>
        <w:spacing w:before="112"/>
        <w:rPr>
          <w:rFonts w:cs="Calibri"/>
          <w:sz w:val="32"/>
        </w:rPr>
      </w:pPr>
      <w:r w:rsidRPr="00CA2CC1">
        <w:rPr>
          <w:rFonts w:cs="Calibri"/>
          <w:sz w:val="32"/>
        </w:rPr>
        <w:t xml:space="preserve">Social </w:t>
      </w:r>
      <w:r w:rsidRPr="00CA2CC1">
        <w:rPr>
          <w:rFonts w:cs="Calibri"/>
          <w:spacing w:val="-2"/>
          <w:sz w:val="32"/>
        </w:rPr>
        <w:t>media</w:t>
      </w:r>
    </w:p>
    <w:p w14:paraId="5B49E017" w14:textId="77777777" w:rsidR="00FA4226" w:rsidRPr="00CA2CC1" w:rsidRDefault="00000000" w:rsidP="0043303B">
      <w:pPr>
        <w:pStyle w:val="Heading2"/>
        <w:rPr>
          <w:rFonts w:cs="Calibri"/>
          <w:color w:val="000000" w:themeColor="text1"/>
        </w:rPr>
      </w:pPr>
      <w:r w:rsidRPr="00CA2CC1">
        <w:rPr>
          <w:rFonts w:cs="Calibri"/>
          <w:color w:val="000000" w:themeColor="text1"/>
          <w:spacing w:val="-2"/>
          <w:w w:val="110"/>
        </w:rPr>
        <w:t>12,315</w:t>
      </w:r>
    </w:p>
    <w:p w14:paraId="3C26B676" w14:textId="77777777" w:rsidR="00FA4226" w:rsidRPr="00CA2CC1" w:rsidRDefault="00000000" w:rsidP="0043303B">
      <w:pPr>
        <w:pStyle w:val="BodyText"/>
        <w:rPr>
          <w:rFonts w:cs="Calibri"/>
        </w:rPr>
      </w:pPr>
      <w:r w:rsidRPr="00CA2CC1">
        <w:rPr>
          <w:rFonts w:cs="Calibri"/>
          <w:spacing w:val="-2"/>
        </w:rPr>
        <w:t>followers</w:t>
      </w:r>
    </w:p>
    <w:p w14:paraId="34329A1F" w14:textId="77777777" w:rsidR="00FA4226" w:rsidRPr="00CA2CC1" w:rsidRDefault="00000000" w:rsidP="0043303B">
      <w:pPr>
        <w:pStyle w:val="BodyText"/>
        <w:rPr>
          <w:rFonts w:cs="Calibri"/>
        </w:rPr>
      </w:pPr>
      <w:r w:rsidRPr="00CA2CC1">
        <w:rPr>
          <w:rFonts w:cs="Calibri"/>
        </w:rPr>
        <w:t xml:space="preserve">– up 20.2% since last </w:t>
      </w:r>
      <w:r w:rsidRPr="00CA2CC1">
        <w:rPr>
          <w:rFonts w:cs="Calibri"/>
          <w:spacing w:val="-4"/>
        </w:rPr>
        <w:t>year</w:t>
      </w:r>
    </w:p>
    <w:p w14:paraId="58C03A2C" w14:textId="77777777" w:rsidR="00FA4226" w:rsidRPr="00CA2CC1" w:rsidRDefault="00000000" w:rsidP="0043303B">
      <w:pPr>
        <w:pStyle w:val="Heading2"/>
        <w:rPr>
          <w:rFonts w:cs="Calibri"/>
          <w:color w:val="000000" w:themeColor="text1"/>
        </w:rPr>
      </w:pPr>
      <w:r w:rsidRPr="00CA2CC1">
        <w:rPr>
          <w:rFonts w:cs="Calibri"/>
          <w:color w:val="000000" w:themeColor="text1"/>
          <w:spacing w:val="-2"/>
          <w:w w:val="110"/>
        </w:rPr>
        <w:t>193,626</w:t>
      </w:r>
    </w:p>
    <w:p w14:paraId="341E0330" w14:textId="2CA3F6A0" w:rsidR="00FA4226" w:rsidRPr="00CA2CC1" w:rsidRDefault="00000000" w:rsidP="0043303B">
      <w:pPr>
        <w:pStyle w:val="BodyText"/>
        <w:rPr>
          <w:rFonts w:cs="Calibri"/>
        </w:rPr>
      </w:pPr>
      <w:r w:rsidRPr="00CA2CC1">
        <w:rPr>
          <w:rFonts w:cs="Calibri"/>
        </w:rPr>
        <w:t xml:space="preserve">total </w:t>
      </w:r>
      <w:r w:rsidRPr="00CA2CC1">
        <w:rPr>
          <w:rFonts w:cs="Calibri"/>
          <w:spacing w:val="-2"/>
        </w:rPr>
        <w:t>impressions</w:t>
      </w:r>
    </w:p>
    <w:p w14:paraId="7E6D110A" w14:textId="77777777" w:rsidR="00FA4226" w:rsidRPr="00CA2CC1" w:rsidRDefault="00000000" w:rsidP="0043303B">
      <w:pPr>
        <w:pStyle w:val="Heading2"/>
        <w:rPr>
          <w:rFonts w:cs="Calibri"/>
          <w:color w:val="000000" w:themeColor="text1"/>
        </w:rPr>
      </w:pPr>
      <w:r w:rsidRPr="00CA2CC1">
        <w:rPr>
          <w:rFonts w:cs="Calibri"/>
          <w:color w:val="000000" w:themeColor="text1"/>
          <w:spacing w:val="-2"/>
          <w:w w:val="110"/>
        </w:rPr>
        <w:t>15,173</w:t>
      </w:r>
    </w:p>
    <w:p w14:paraId="3933AD36" w14:textId="77777777" w:rsidR="00FA4226" w:rsidRPr="00CA2CC1" w:rsidRDefault="00000000" w:rsidP="0043303B">
      <w:pPr>
        <w:pStyle w:val="BodyText"/>
        <w:rPr>
          <w:rFonts w:cs="Calibri"/>
        </w:rPr>
      </w:pPr>
      <w:r w:rsidRPr="00CA2CC1">
        <w:rPr>
          <w:rFonts w:cs="Calibri"/>
        </w:rPr>
        <w:t>average</w:t>
      </w:r>
      <w:r w:rsidRPr="00CA2CC1">
        <w:rPr>
          <w:rFonts w:cs="Calibri"/>
          <w:spacing w:val="-13"/>
        </w:rPr>
        <w:t xml:space="preserve"> </w:t>
      </w:r>
      <w:r w:rsidRPr="00CA2CC1">
        <w:rPr>
          <w:rFonts w:cs="Calibri"/>
        </w:rPr>
        <w:t>impressions per month</w:t>
      </w:r>
    </w:p>
    <w:p w14:paraId="78E289EA" w14:textId="77777777" w:rsidR="00FA4226" w:rsidRPr="00CA2CC1" w:rsidRDefault="00000000" w:rsidP="0043303B">
      <w:pPr>
        <w:pStyle w:val="Heading2"/>
        <w:rPr>
          <w:rFonts w:cs="Calibri"/>
          <w:color w:val="000000" w:themeColor="text1"/>
        </w:rPr>
      </w:pPr>
      <w:r w:rsidRPr="00CA2CC1">
        <w:rPr>
          <w:rFonts w:cs="Calibri"/>
          <w:color w:val="000000" w:themeColor="text1"/>
          <w:spacing w:val="-4"/>
          <w:w w:val="110"/>
        </w:rPr>
        <w:t>3.9%</w:t>
      </w:r>
    </w:p>
    <w:p w14:paraId="25D1C594" w14:textId="77777777" w:rsidR="00FA4226" w:rsidRPr="00CA2CC1" w:rsidRDefault="00000000" w:rsidP="0043303B">
      <w:pPr>
        <w:pStyle w:val="BodyText"/>
        <w:rPr>
          <w:rFonts w:cs="Calibri"/>
        </w:rPr>
      </w:pPr>
      <w:r w:rsidRPr="00CA2CC1">
        <w:rPr>
          <w:rFonts w:cs="Calibri"/>
        </w:rPr>
        <w:t>12-month</w:t>
      </w:r>
      <w:r w:rsidRPr="00CA2CC1">
        <w:rPr>
          <w:rFonts w:cs="Calibri"/>
          <w:spacing w:val="-13"/>
        </w:rPr>
        <w:t xml:space="preserve"> </w:t>
      </w:r>
      <w:r w:rsidRPr="00CA2CC1">
        <w:rPr>
          <w:rFonts w:cs="Calibri"/>
        </w:rPr>
        <w:t>average engagement rate</w:t>
      </w:r>
    </w:p>
    <w:p w14:paraId="7B958412" w14:textId="77777777" w:rsidR="00FA4226" w:rsidRPr="00CA2CC1" w:rsidRDefault="00000000" w:rsidP="0043303B">
      <w:pPr>
        <w:pStyle w:val="BodyText"/>
        <w:rPr>
          <w:rFonts w:cs="Calibri"/>
        </w:rPr>
      </w:pPr>
      <w:r w:rsidRPr="00CA2CC1">
        <w:rPr>
          <w:rFonts w:cs="Calibri"/>
        </w:rPr>
        <w:t xml:space="preserve">– our highest ever </w:t>
      </w:r>
      <w:r w:rsidRPr="00CA2CC1">
        <w:rPr>
          <w:rFonts w:cs="Calibri"/>
          <w:spacing w:val="-2"/>
        </w:rPr>
        <w:t>engagement</w:t>
      </w:r>
    </w:p>
    <w:p w14:paraId="23657712" w14:textId="4CDA7E81" w:rsidR="00FA4226" w:rsidRPr="00CA2CC1" w:rsidRDefault="00000000" w:rsidP="0043303B">
      <w:pPr>
        <w:pStyle w:val="BodyText"/>
        <w:rPr>
          <w:rFonts w:cs="Calibri"/>
        </w:rPr>
        <w:sectPr w:rsidR="00FA4226" w:rsidRPr="00CA2CC1" w:rsidSect="00E941A5">
          <w:type w:val="continuous"/>
          <w:pgSz w:w="11910" w:h="16840"/>
          <w:pgMar w:top="1134" w:right="1278" w:bottom="1134" w:left="1134" w:header="720" w:footer="720" w:gutter="0"/>
          <w:cols w:space="720"/>
        </w:sectPr>
      </w:pPr>
      <w:r w:rsidRPr="00CA2CC1">
        <w:rPr>
          <w:rFonts w:cs="Calibri"/>
        </w:rPr>
        <w:t>–</w:t>
      </w:r>
      <w:r w:rsidRPr="00CA2CC1">
        <w:rPr>
          <w:rFonts w:cs="Calibri"/>
          <w:spacing w:val="-7"/>
        </w:rPr>
        <w:t xml:space="preserve"> </w:t>
      </w:r>
      <w:r w:rsidRPr="00CA2CC1">
        <w:rPr>
          <w:rFonts w:cs="Calibri"/>
        </w:rPr>
        <w:t>compares</w:t>
      </w:r>
      <w:r w:rsidRPr="00CA2CC1">
        <w:rPr>
          <w:rFonts w:cs="Calibri"/>
          <w:spacing w:val="-7"/>
        </w:rPr>
        <w:t xml:space="preserve"> </w:t>
      </w:r>
      <w:r w:rsidRPr="00CA2CC1">
        <w:rPr>
          <w:rFonts w:cs="Calibri"/>
        </w:rPr>
        <w:t>with</w:t>
      </w:r>
      <w:r w:rsidRPr="00CA2CC1">
        <w:rPr>
          <w:rFonts w:cs="Calibri"/>
          <w:spacing w:val="-7"/>
        </w:rPr>
        <w:t xml:space="preserve"> </w:t>
      </w:r>
      <w:r w:rsidRPr="00CA2CC1">
        <w:rPr>
          <w:rFonts w:cs="Calibri"/>
        </w:rPr>
        <w:t>1.7%</w:t>
      </w:r>
      <w:r w:rsidRPr="00CA2CC1">
        <w:rPr>
          <w:rFonts w:cs="Calibri"/>
          <w:spacing w:val="-7"/>
        </w:rPr>
        <w:t xml:space="preserve"> </w:t>
      </w:r>
      <w:r w:rsidRPr="00CA2CC1">
        <w:rPr>
          <w:rFonts w:cs="Calibri"/>
        </w:rPr>
        <w:t>to</w:t>
      </w:r>
      <w:r w:rsidRPr="00CA2CC1">
        <w:rPr>
          <w:rFonts w:cs="Calibri"/>
          <w:spacing w:val="-7"/>
        </w:rPr>
        <w:t xml:space="preserve"> </w:t>
      </w:r>
      <w:r w:rsidRPr="00CA2CC1">
        <w:rPr>
          <w:rFonts w:cs="Calibri"/>
        </w:rPr>
        <w:t>2%</w:t>
      </w:r>
      <w:r w:rsidRPr="00CA2CC1">
        <w:rPr>
          <w:rFonts w:cs="Calibri"/>
          <w:spacing w:val="-7"/>
        </w:rPr>
        <w:t xml:space="preserve"> </w:t>
      </w:r>
      <w:r w:rsidRPr="00CA2CC1">
        <w:rPr>
          <w:rFonts w:cs="Calibri"/>
        </w:rPr>
        <w:t>benchmark engagement rate for industry and</w:t>
      </w:r>
      <w:r w:rsidR="00EF1B25" w:rsidRPr="00CA2CC1">
        <w:rPr>
          <w:rFonts w:cs="Calibri"/>
        </w:rPr>
        <w:t xml:space="preserve"> </w:t>
      </w:r>
      <w:r w:rsidRPr="00CA2CC1">
        <w:rPr>
          <w:rFonts w:cs="Calibri"/>
        </w:rPr>
        <w:t xml:space="preserve">similar </w:t>
      </w:r>
      <w:r w:rsidRPr="00CA2CC1">
        <w:rPr>
          <w:rFonts w:cs="Calibri"/>
          <w:spacing w:val="-2"/>
        </w:rPr>
        <w:t>organisations</w:t>
      </w:r>
    </w:p>
    <w:p w14:paraId="03CA93B7" w14:textId="22F4287F" w:rsidR="00FA4226" w:rsidRPr="00CA2CC1" w:rsidRDefault="00FA4226" w:rsidP="0043303B">
      <w:pPr>
        <w:spacing w:before="69"/>
        <w:rPr>
          <w:rFonts w:cs="Calibri"/>
          <w:sz w:val="16"/>
        </w:rPr>
      </w:pPr>
    </w:p>
    <w:p w14:paraId="0D9192E0" w14:textId="77777777" w:rsidR="00FA4226" w:rsidRPr="00CA2CC1" w:rsidRDefault="00FA4226" w:rsidP="0043303B">
      <w:pPr>
        <w:jc w:val="right"/>
        <w:rPr>
          <w:rFonts w:cs="Calibri"/>
          <w:sz w:val="16"/>
        </w:rPr>
        <w:sectPr w:rsidR="00FA4226" w:rsidRPr="00CA2CC1" w:rsidSect="00E941A5">
          <w:type w:val="continuous"/>
          <w:pgSz w:w="11910" w:h="16840"/>
          <w:pgMar w:top="1134" w:right="1278" w:bottom="1134" w:left="1134" w:header="720" w:footer="720" w:gutter="0"/>
          <w:cols w:space="720"/>
        </w:sectPr>
      </w:pPr>
    </w:p>
    <w:p w14:paraId="24BC4D9E" w14:textId="77777777" w:rsidR="00FA4226" w:rsidRPr="00CA2CC1" w:rsidRDefault="00000000" w:rsidP="007448F0">
      <w:pPr>
        <w:pStyle w:val="Heading2"/>
        <w:rPr>
          <w:rFonts w:cs="Calibri"/>
        </w:rPr>
      </w:pPr>
      <w:bookmarkStart w:id="13" w:name="Engagement_and_consultation"/>
      <w:bookmarkStart w:id="14" w:name="_bookmark7"/>
      <w:bookmarkEnd w:id="13"/>
      <w:bookmarkEnd w:id="14"/>
      <w:r w:rsidRPr="00CA2CC1">
        <w:rPr>
          <w:rFonts w:cs="Calibri"/>
          <w:w w:val="110"/>
        </w:rPr>
        <w:lastRenderedPageBreak/>
        <w:t>Engagement</w:t>
      </w:r>
      <w:r w:rsidRPr="00CA2CC1">
        <w:rPr>
          <w:rFonts w:cs="Calibri"/>
          <w:spacing w:val="-14"/>
          <w:w w:val="110"/>
        </w:rPr>
        <w:t xml:space="preserve"> </w:t>
      </w:r>
      <w:r w:rsidRPr="00CA2CC1">
        <w:rPr>
          <w:rFonts w:cs="Calibri"/>
          <w:w w:val="110"/>
        </w:rPr>
        <w:t>and</w:t>
      </w:r>
      <w:r w:rsidRPr="00CA2CC1">
        <w:rPr>
          <w:rFonts w:cs="Calibri"/>
          <w:spacing w:val="-14"/>
          <w:w w:val="110"/>
        </w:rPr>
        <w:t xml:space="preserve"> </w:t>
      </w:r>
      <w:r w:rsidRPr="00CA2CC1">
        <w:rPr>
          <w:rFonts w:cs="Calibri"/>
          <w:spacing w:val="-2"/>
          <w:w w:val="110"/>
        </w:rPr>
        <w:t>consultation</w:t>
      </w:r>
    </w:p>
    <w:p w14:paraId="5AB339DC" w14:textId="77777777" w:rsidR="00FA4226" w:rsidRPr="00CA2CC1" w:rsidRDefault="00FA4226" w:rsidP="0043303B">
      <w:pPr>
        <w:rPr>
          <w:rFonts w:cs="Calibri"/>
          <w:sz w:val="16"/>
        </w:rPr>
      </w:pPr>
    </w:p>
    <w:p w14:paraId="32E12A1D" w14:textId="77777777" w:rsidR="0098674E" w:rsidRPr="00CA2CC1" w:rsidRDefault="0098674E" w:rsidP="0043303B">
      <w:pPr>
        <w:rPr>
          <w:rFonts w:cs="Calibri"/>
          <w:sz w:val="16"/>
        </w:rPr>
        <w:sectPr w:rsidR="0098674E" w:rsidRPr="00CA2CC1" w:rsidSect="00E941A5">
          <w:pgSz w:w="11910" w:h="16840"/>
          <w:pgMar w:top="1134" w:right="1278" w:bottom="1134" w:left="1134" w:header="720" w:footer="720" w:gutter="0"/>
          <w:cols w:space="720"/>
        </w:sectPr>
      </w:pPr>
    </w:p>
    <w:p w14:paraId="03195C07" w14:textId="77777777" w:rsidR="00FA4226" w:rsidRPr="00CA2CC1" w:rsidRDefault="00000000" w:rsidP="0043303B">
      <w:pPr>
        <w:pStyle w:val="BodyText"/>
        <w:spacing w:before="70"/>
        <w:rPr>
          <w:rFonts w:cs="Calibri"/>
        </w:rPr>
      </w:pPr>
      <w:r w:rsidRPr="00CA2CC1">
        <w:rPr>
          <w:rFonts w:cs="Calibri"/>
        </w:rPr>
        <w:t>Meaningful</w:t>
      </w:r>
      <w:r w:rsidRPr="00CA2CC1">
        <w:rPr>
          <w:rFonts w:cs="Calibri"/>
          <w:spacing w:val="-8"/>
        </w:rPr>
        <w:t xml:space="preserve"> </w:t>
      </w:r>
      <w:r w:rsidRPr="00CA2CC1">
        <w:rPr>
          <w:rFonts w:cs="Calibri"/>
        </w:rPr>
        <w:t>and</w:t>
      </w:r>
      <w:r w:rsidRPr="00CA2CC1">
        <w:rPr>
          <w:rFonts w:cs="Calibri"/>
          <w:spacing w:val="-8"/>
        </w:rPr>
        <w:t xml:space="preserve"> </w:t>
      </w:r>
      <w:r w:rsidRPr="00CA2CC1">
        <w:rPr>
          <w:rFonts w:cs="Calibri"/>
        </w:rPr>
        <w:t>transparent</w:t>
      </w:r>
      <w:r w:rsidRPr="00CA2CC1">
        <w:rPr>
          <w:rFonts w:cs="Calibri"/>
          <w:spacing w:val="-8"/>
        </w:rPr>
        <w:t xml:space="preserve"> </w:t>
      </w:r>
      <w:r w:rsidRPr="00CA2CC1">
        <w:rPr>
          <w:rFonts w:cs="Calibri"/>
        </w:rPr>
        <w:t>community</w:t>
      </w:r>
      <w:r w:rsidRPr="00CA2CC1">
        <w:rPr>
          <w:rFonts w:cs="Calibri"/>
          <w:spacing w:val="-8"/>
        </w:rPr>
        <w:t xml:space="preserve"> </w:t>
      </w:r>
      <w:r w:rsidRPr="00CA2CC1">
        <w:rPr>
          <w:rFonts w:cs="Calibri"/>
        </w:rPr>
        <w:t>and</w:t>
      </w:r>
      <w:r w:rsidRPr="00CA2CC1">
        <w:rPr>
          <w:rFonts w:cs="Calibri"/>
          <w:spacing w:val="-8"/>
        </w:rPr>
        <w:t xml:space="preserve"> </w:t>
      </w:r>
      <w:r w:rsidRPr="00CA2CC1">
        <w:rPr>
          <w:rFonts w:cs="Calibri"/>
        </w:rPr>
        <w:t>stakeholder engagement is at the core of our work.</w:t>
      </w:r>
    </w:p>
    <w:p w14:paraId="7EEC2293" w14:textId="77777777" w:rsidR="00FA4226" w:rsidRPr="00CA2CC1" w:rsidRDefault="00000000" w:rsidP="0043303B">
      <w:pPr>
        <w:pStyle w:val="BodyText"/>
        <w:spacing w:before="118"/>
        <w:rPr>
          <w:rFonts w:cs="Calibri"/>
        </w:rPr>
      </w:pPr>
      <w:r w:rsidRPr="00CA2CC1">
        <w:rPr>
          <w:rFonts w:cs="Calibri"/>
        </w:rPr>
        <w:t>Through our strategy, research and advice consultation and engagement activities, we heard from more than 10,000 Victorian community members and hundreds of key</w:t>
      </w:r>
      <w:r w:rsidRPr="00CA2CC1">
        <w:rPr>
          <w:rFonts w:cs="Calibri"/>
          <w:spacing w:val="-7"/>
        </w:rPr>
        <w:t xml:space="preserve"> </w:t>
      </w:r>
      <w:r w:rsidRPr="00CA2CC1">
        <w:rPr>
          <w:rFonts w:cs="Calibri"/>
        </w:rPr>
        <w:t>stakeholders.</w:t>
      </w:r>
      <w:r w:rsidRPr="00CA2CC1">
        <w:rPr>
          <w:rFonts w:cs="Calibri"/>
          <w:spacing w:val="-7"/>
        </w:rPr>
        <w:t xml:space="preserve"> </w:t>
      </w:r>
      <w:r w:rsidRPr="00CA2CC1">
        <w:rPr>
          <w:rFonts w:cs="Calibri"/>
        </w:rPr>
        <w:t>Some</w:t>
      </w:r>
      <w:r w:rsidRPr="00CA2CC1">
        <w:rPr>
          <w:rFonts w:cs="Calibri"/>
          <w:spacing w:val="-7"/>
        </w:rPr>
        <w:t xml:space="preserve"> </w:t>
      </w:r>
      <w:r w:rsidRPr="00CA2CC1">
        <w:rPr>
          <w:rFonts w:cs="Calibri"/>
        </w:rPr>
        <w:t>highlights</w:t>
      </w:r>
      <w:r w:rsidRPr="00CA2CC1">
        <w:rPr>
          <w:rFonts w:cs="Calibri"/>
          <w:spacing w:val="-7"/>
        </w:rPr>
        <w:t xml:space="preserve"> </w:t>
      </w:r>
      <w:r w:rsidRPr="00CA2CC1">
        <w:rPr>
          <w:rFonts w:cs="Calibri"/>
        </w:rPr>
        <w:t>from</w:t>
      </w:r>
      <w:r w:rsidRPr="00CA2CC1">
        <w:rPr>
          <w:rFonts w:cs="Calibri"/>
          <w:spacing w:val="-7"/>
        </w:rPr>
        <w:t xml:space="preserve"> </w:t>
      </w:r>
      <w:r w:rsidRPr="00CA2CC1">
        <w:rPr>
          <w:rFonts w:cs="Calibri"/>
        </w:rPr>
        <w:t>our</w:t>
      </w:r>
      <w:r w:rsidRPr="00CA2CC1">
        <w:rPr>
          <w:rFonts w:cs="Calibri"/>
          <w:spacing w:val="-7"/>
        </w:rPr>
        <w:t xml:space="preserve"> </w:t>
      </w:r>
      <w:r w:rsidRPr="00CA2CC1">
        <w:rPr>
          <w:rFonts w:cs="Calibri"/>
        </w:rPr>
        <w:t>engagement activities during the year include:</w:t>
      </w:r>
    </w:p>
    <w:p w14:paraId="43F75DC9" w14:textId="77777777" w:rsidR="00FA4226" w:rsidRPr="00CA2CC1" w:rsidRDefault="00000000" w:rsidP="0043303B">
      <w:pPr>
        <w:pStyle w:val="BodyText"/>
        <w:numPr>
          <w:ilvl w:val="0"/>
          <w:numId w:val="25"/>
        </w:numPr>
        <w:rPr>
          <w:rFonts w:cs="Calibri"/>
        </w:rPr>
      </w:pPr>
      <w:r w:rsidRPr="00CA2CC1">
        <w:rPr>
          <w:rFonts w:cs="Calibri"/>
        </w:rPr>
        <w:t>We engaged with industry, regulators, the community, government and other key stakeholders, in developing our advice to government on implications of the energy transition for Victoria’s gas infrastructure assets. More than 1,000 community members helped us understand perceptions</w:t>
      </w:r>
      <w:r w:rsidRPr="00CA2CC1">
        <w:rPr>
          <w:rFonts w:cs="Calibri"/>
          <w:spacing w:val="-8"/>
        </w:rPr>
        <w:t xml:space="preserve"> </w:t>
      </w:r>
      <w:r w:rsidRPr="00CA2CC1">
        <w:rPr>
          <w:rFonts w:cs="Calibri"/>
        </w:rPr>
        <w:t>of</w:t>
      </w:r>
      <w:r w:rsidRPr="00CA2CC1">
        <w:rPr>
          <w:rFonts w:cs="Calibri"/>
          <w:spacing w:val="-8"/>
        </w:rPr>
        <w:t xml:space="preserve"> </w:t>
      </w:r>
      <w:r w:rsidRPr="00CA2CC1">
        <w:rPr>
          <w:rFonts w:cs="Calibri"/>
        </w:rPr>
        <w:t>Victorian</w:t>
      </w:r>
      <w:r w:rsidRPr="00CA2CC1">
        <w:rPr>
          <w:rFonts w:cs="Calibri"/>
          <w:spacing w:val="-8"/>
        </w:rPr>
        <w:t xml:space="preserve"> </w:t>
      </w:r>
      <w:r w:rsidRPr="00CA2CC1">
        <w:rPr>
          <w:rFonts w:cs="Calibri"/>
        </w:rPr>
        <w:t>households</w:t>
      </w:r>
      <w:r w:rsidRPr="00CA2CC1">
        <w:rPr>
          <w:rFonts w:cs="Calibri"/>
          <w:spacing w:val="-8"/>
        </w:rPr>
        <w:t xml:space="preserve"> </w:t>
      </w:r>
      <w:r w:rsidRPr="00CA2CC1">
        <w:rPr>
          <w:rFonts w:cs="Calibri"/>
        </w:rPr>
        <w:t>towards</w:t>
      </w:r>
      <w:r w:rsidRPr="00CA2CC1">
        <w:rPr>
          <w:rFonts w:cs="Calibri"/>
          <w:spacing w:val="-8"/>
        </w:rPr>
        <w:t xml:space="preserve"> </w:t>
      </w:r>
      <w:r w:rsidRPr="00CA2CC1">
        <w:rPr>
          <w:rFonts w:cs="Calibri"/>
        </w:rPr>
        <w:t>gas</w:t>
      </w:r>
      <w:r w:rsidRPr="00CA2CC1">
        <w:rPr>
          <w:rFonts w:cs="Calibri"/>
          <w:spacing w:val="-8"/>
        </w:rPr>
        <w:t xml:space="preserve"> </w:t>
      </w:r>
      <w:r w:rsidRPr="00CA2CC1">
        <w:rPr>
          <w:rFonts w:cs="Calibri"/>
        </w:rPr>
        <w:t>usage. A further 2,301 people viewed our interim report and had their say about the future of gas infrastructure in Victoria. We also received 121 formal submissions from organisations, groups and individuals, which informed our final advice to the Victorian Government.</w:t>
      </w:r>
    </w:p>
    <w:p w14:paraId="3B2D1E93" w14:textId="5A51C3BF" w:rsidR="00FA4226" w:rsidRPr="00CA2CC1" w:rsidRDefault="00000000" w:rsidP="0043303B">
      <w:pPr>
        <w:pStyle w:val="BodyText"/>
        <w:numPr>
          <w:ilvl w:val="0"/>
          <w:numId w:val="25"/>
        </w:numPr>
        <w:rPr>
          <w:rFonts w:cs="Calibri"/>
        </w:rPr>
      </w:pPr>
      <w:r w:rsidRPr="00CA2CC1">
        <w:rPr>
          <w:rFonts w:cs="Calibri"/>
        </w:rPr>
        <w:t>We</w:t>
      </w:r>
      <w:r w:rsidRPr="00CA2CC1">
        <w:rPr>
          <w:rFonts w:cs="Calibri"/>
          <w:spacing w:val="-5"/>
        </w:rPr>
        <w:t xml:space="preserve"> </w:t>
      </w:r>
      <w:r w:rsidRPr="00CA2CC1">
        <w:rPr>
          <w:rFonts w:cs="Calibri"/>
        </w:rPr>
        <w:t>conducted</w:t>
      </w:r>
      <w:r w:rsidRPr="00CA2CC1">
        <w:rPr>
          <w:rFonts w:cs="Calibri"/>
          <w:spacing w:val="-5"/>
        </w:rPr>
        <w:t xml:space="preserve"> </w:t>
      </w:r>
      <w:r w:rsidRPr="00CA2CC1">
        <w:rPr>
          <w:rFonts w:cs="Calibri"/>
        </w:rPr>
        <w:t>one</w:t>
      </w:r>
      <w:r w:rsidRPr="00CA2CC1">
        <w:rPr>
          <w:rFonts w:cs="Calibri"/>
          <w:spacing w:val="-5"/>
        </w:rPr>
        <w:t xml:space="preserve"> </w:t>
      </w:r>
      <w:r w:rsidRPr="00CA2CC1">
        <w:rPr>
          <w:rFonts w:cs="Calibri"/>
        </w:rPr>
        <w:t>of</w:t>
      </w:r>
      <w:r w:rsidRPr="00CA2CC1">
        <w:rPr>
          <w:rFonts w:cs="Calibri"/>
          <w:spacing w:val="-5"/>
        </w:rPr>
        <w:t xml:space="preserve"> </w:t>
      </w:r>
      <w:r w:rsidRPr="00CA2CC1">
        <w:rPr>
          <w:rFonts w:cs="Calibri"/>
        </w:rPr>
        <w:t>the</w:t>
      </w:r>
      <w:r w:rsidRPr="00CA2CC1">
        <w:rPr>
          <w:rFonts w:cs="Calibri"/>
          <w:spacing w:val="-5"/>
        </w:rPr>
        <w:t xml:space="preserve"> </w:t>
      </w:r>
      <w:r w:rsidRPr="00CA2CC1">
        <w:rPr>
          <w:rFonts w:cs="Calibri"/>
        </w:rPr>
        <w:t>largest</w:t>
      </w:r>
      <w:r w:rsidRPr="00CA2CC1">
        <w:rPr>
          <w:rFonts w:cs="Calibri"/>
          <w:spacing w:val="-5"/>
        </w:rPr>
        <w:t xml:space="preserve"> </w:t>
      </w:r>
      <w:r w:rsidRPr="00CA2CC1">
        <w:rPr>
          <w:rFonts w:cs="Calibri"/>
        </w:rPr>
        <w:t>ever</w:t>
      </w:r>
      <w:r w:rsidRPr="00CA2CC1">
        <w:rPr>
          <w:rFonts w:cs="Calibri"/>
          <w:spacing w:val="-5"/>
        </w:rPr>
        <w:t xml:space="preserve"> </w:t>
      </w:r>
      <w:r w:rsidRPr="00CA2CC1">
        <w:rPr>
          <w:rFonts w:cs="Calibri"/>
        </w:rPr>
        <w:t>studies</w:t>
      </w:r>
      <w:r w:rsidRPr="00CA2CC1">
        <w:rPr>
          <w:rFonts w:cs="Calibri"/>
          <w:spacing w:val="-5"/>
        </w:rPr>
        <w:t xml:space="preserve"> </w:t>
      </w:r>
      <w:r w:rsidRPr="00CA2CC1">
        <w:rPr>
          <w:rFonts w:cs="Calibri"/>
        </w:rPr>
        <w:t>of</w:t>
      </w:r>
      <w:r w:rsidRPr="00CA2CC1">
        <w:rPr>
          <w:rFonts w:cs="Calibri"/>
          <w:spacing w:val="-5"/>
        </w:rPr>
        <w:t xml:space="preserve"> </w:t>
      </w:r>
      <w:r w:rsidRPr="00CA2CC1">
        <w:rPr>
          <w:rFonts w:cs="Calibri"/>
        </w:rPr>
        <w:t>current community perspectives on Melbourne’s bus network. We</w:t>
      </w:r>
      <w:r w:rsidRPr="00CA2CC1">
        <w:rPr>
          <w:rFonts w:cs="Calibri"/>
          <w:spacing w:val="-5"/>
        </w:rPr>
        <w:t xml:space="preserve"> </w:t>
      </w:r>
      <w:r w:rsidRPr="00CA2CC1">
        <w:rPr>
          <w:rFonts w:cs="Calibri"/>
        </w:rPr>
        <w:t>commissioned</w:t>
      </w:r>
      <w:r w:rsidRPr="00CA2CC1">
        <w:rPr>
          <w:rFonts w:cs="Calibri"/>
          <w:spacing w:val="-5"/>
        </w:rPr>
        <w:t xml:space="preserve"> </w:t>
      </w:r>
      <w:r w:rsidRPr="00CA2CC1">
        <w:rPr>
          <w:rFonts w:cs="Calibri"/>
        </w:rPr>
        <w:t>Quantum</w:t>
      </w:r>
      <w:r w:rsidRPr="00CA2CC1">
        <w:rPr>
          <w:rFonts w:cs="Calibri"/>
          <w:spacing w:val="-5"/>
        </w:rPr>
        <w:t xml:space="preserve"> </w:t>
      </w:r>
      <w:r w:rsidRPr="00CA2CC1">
        <w:rPr>
          <w:rFonts w:cs="Calibri"/>
        </w:rPr>
        <w:t>Market</w:t>
      </w:r>
      <w:r w:rsidRPr="00CA2CC1">
        <w:rPr>
          <w:rFonts w:cs="Calibri"/>
          <w:spacing w:val="-5"/>
        </w:rPr>
        <w:t xml:space="preserve"> </w:t>
      </w:r>
      <w:r w:rsidRPr="00CA2CC1">
        <w:rPr>
          <w:rFonts w:cs="Calibri"/>
        </w:rPr>
        <w:t>Research</w:t>
      </w:r>
      <w:r w:rsidRPr="00CA2CC1">
        <w:rPr>
          <w:rFonts w:cs="Calibri"/>
          <w:spacing w:val="-5"/>
        </w:rPr>
        <w:t xml:space="preserve"> </w:t>
      </w:r>
      <w:r w:rsidRPr="00CA2CC1">
        <w:rPr>
          <w:rFonts w:cs="Calibri"/>
        </w:rPr>
        <w:t>to</w:t>
      </w:r>
      <w:r w:rsidRPr="00CA2CC1">
        <w:rPr>
          <w:rFonts w:cs="Calibri"/>
          <w:spacing w:val="-5"/>
        </w:rPr>
        <w:t xml:space="preserve"> </w:t>
      </w:r>
      <w:r w:rsidRPr="00CA2CC1">
        <w:rPr>
          <w:rFonts w:cs="Calibri"/>
        </w:rPr>
        <w:t>speak with 4,000 Victorians to understand their attitudes towards bus reforms and the trade-offs they were willing to make for a faster or more frequent service.In addition to new modelling and analysis, this research will</w:t>
      </w:r>
      <w:r w:rsidRPr="00CA2CC1">
        <w:rPr>
          <w:rFonts w:cs="Calibri"/>
          <w:spacing w:val="-6"/>
        </w:rPr>
        <w:t xml:space="preserve"> </w:t>
      </w:r>
      <w:r w:rsidRPr="00CA2CC1">
        <w:rPr>
          <w:rFonts w:cs="Calibri"/>
        </w:rPr>
        <w:t>help</w:t>
      </w:r>
      <w:r w:rsidRPr="00CA2CC1">
        <w:rPr>
          <w:rFonts w:cs="Calibri"/>
          <w:spacing w:val="-6"/>
        </w:rPr>
        <w:t xml:space="preserve"> </w:t>
      </w:r>
      <w:r w:rsidRPr="00CA2CC1">
        <w:rPr>
          <w:rFonts w:cs="Calibri"/>
        </w:rPr>
        <w:t>inform</w:t>
      </w:r>
      <w:r w:rsidRPr="00CA2CC1">
        <w:rPr>
          <w:rFonts w:cs="Calibri"/>
          <w:spacing w:val="-6"/>
        </w:rPr>
        <w:t xml:space="preserve"> </w:t>
      </w:r>
      <w:r w:rsidRPr="00CA2CC1">
        <w:rPr>
          <w:rFonts w:cs="Calibri"/>
        </w:rPr>
        <w:t>our</w:t>
      </w:r>
      <w:r w:rsidRPr="00CA2CC1">
        <w:rPr>
          <w:rFonts w:cs="Calibri"/>
          <w:spacing w:val="-6"/>
        </w:rPr>
        <w:t xml:space="preserve"> </w:t>
      </w:r>
      <w:r w:rsidRPr="00CA2CC1">
        <w:rPr>
          <w:rFonts w:cs="Calibri"/>
        </w:rPr>
        <w:t>recommendations</w:t>
      </w:r>
      <w:r w:rsidRPr="00CA2CC1">
        <w:rPr>
          <w:rFonts w:cs="Calibri"/>
          <w:spacing w:val="-6"/>
        </w:rPr>
        <w:t xml:space="preserve"> </w:t>
      </w:r>
      <w:r w:rsidRPr="00CA2CC1">
        <w:rPr>
          <w:rFonts w:cs="Calibri"/>
        </w:rPr>
        <w:t>to</w:t>
      </w:r>
      <w:r w:rsidRPr="00CA2CC1">
        <w:rPr>
          <w:rFonts w:cs="Calibri"/>
          <w:spacing w:val="-6"/>
        </w:rPr>
        <w:t xml:space="preserve"> </w:t>
      </w:r>
      <w:r w:rsidRPr="00CA2CC1">
        <w:rPr>
          <w:rFonts w:cs="Calibri"/>
        </w:rPr>
        <w:t>government</w:t>
      </w:r>
      <w:r w:rsidRPr="00CA2CC1">
        <w:rPr>
          <w:rFonts w:cs="Calibri"/>
          <w:spacing w:val="-6"/>
        </w:rPr>
        <w:t xml:space="preserve"> </w:t>
      </w:r>
      <w:r w:rsidRPr="00CA2CC1">
        <w:rPr>
          <w:rFonts w:cs="Calibri"/>
        </w:rPr>
        <w:t>on designing and prioritising bus reform options.</w:t>
      </w:r>
    </w:p>
    <w:p w14:paraId="6D1DCC26" w14:textId="77777777" w:rsidR="00D017EB" w:rsidRPr="00CA2CC1" w:rsidRDefault="00000000" w:rsidP="0043303B">
      <w:pPr>
        <w:pStyle w:val="BodyText"/>
        <w:numPr>
          <w:ilvl w:val="0"/>
          <w:numId w:val="25"/>
        </w:numPr>
        <w:rPr>
          <w:rFonts w:cs="Calibri"/>
        </w:rPr>
      </w:pPr>
      <w:r w:rsidRPr="00CA2CC1">
        <w:rPr>
          <w:rFonts w:cs="Calibri"/>
        </w:rPr>
        <w:t>Our ground-breaking research on how more housing options</w:t>
      </w:r>
      <w:r w:rsidRPr="00CA2CC1">
        <w:rPr>
          <w:rFonts w:cs="Calibri"/>
          <w:spacing w:val="-5"/>
        </w:rPr>
        <w:t xml:space="preserve"> </w:t>
      </w:r>
      <w:r w:rsidRPr="00CA2CC1">
        <w:rPr>
          <w:rFonts w:cs="Calibri"/>
        </w:rPr>
        <w:t>can</w:t>
      </w:r>
      <w:r w:rsidRPr="00CA2CC1">
        <w:rPr>
          <w:rFonts w:cs="Calibri"/>
          <w:spacing w:val="-5"/>
        </w:rPr>
        <w:t xml:space="preserve"> </w:t>
      </w:r>
      <w:r w:rsidRPr="00CA2CC1">
        <w:rPr>
          <w:rFonts w:cs="Calibri"/>
        </w:rPr>
        <w:t>make</w:t>
      </w:r>
      <w:r w:rsidRPr="00CA2CC1">
        <w:rPr>
          <w:rFonts w:cs="Calibri"/>
          <w:spacing w:val="-5"/>
        </w:rPr>
        <w:t xml:space="preserve"> </w:t>
      </w:r>
      <w:r w:rsidRPr="00CA2CC1">
        <w:rPr>
          <w:rFonts w:cs="Calibri"/>
        </w:rPr>
        <w:t>better</w:t>
      </w:r>
      <w:r w:rsidRPr="00CA2CC1">
        <w:rPr>
          <w:rFonts w:cs="Calibri"/>
          <w:spacing w:val="-5"/>
        </w:rPr>
        <w:t xml:space="preserve"> </w:t>
      </w:r>
      <w:r w:rsidRPr="00CA2CC1">
        <w:rPr>
          <w:rFonts w:cs="Calibri"/>
        </w:rPr>
        <w:t>use</w:t>
      </w:r>
      <w:r w:rsidRPr="00CA2CC1">
        <w:rPr>
          <w:rFonts w:cs="Calibri"/>
          <w:spacing w:val="-5"/>
        </w:rPr>
        <w:t xml:space="preserve"> </w:t>
      </w:r>
      <w:r w:rsidRPr="00CA2CC1">
        <w:rPr>
          <w:rFonts w:cs="Calibri"/>
        </w:rPr>
        <w:t>of</w:t>
      </w:r>
      <w:r w:rsidRPr="00CA2CC1">
        <w:rPr>
          <w:rFonts w:cs="Calibri"/>
          <w:spacing w:val="-5"/>
        </w:rPr>
        <w:t xml:space="preserve"> </w:t>
      </w:r>
      <w:r w:rsidRPr="00CA2CC1">
        <w:rPr>
          <w:rFonts w:cs="Calibri"/>
        </w:rPr>
        <w:t>Victoria’s</w:t>
      </w:r>
      <w:r w:rsidRPr="00CA2CC1">
        <w:rPr>
          <w:rFonts w:cs="Calibri"/>
          <w:spacing w:val="-5"/>
        </w:rPr>
        <w:t xml:space="preserve"> </w:t>
      </w:r>
      <w:r w:rsidRPr="00CA2CC1">
        <w:rPr>
          <w:rFonts w:cs="Calibri"/>
        </w:rPr>
        <w:t>infrastructure included 22 focus groups and a survey of over 6,000 people from Melbourne, Geelong and Ballarat – the largest study of its kind in Australia. Findings from key stakeholder interviews helped us establish household location and dwelling attribute preferences for Victorian homeowners. We also developed new price models to examine what features people value when choosing a home, like bedrooms, car spaces and being close to public transport.</w:t>
      </w:r>
    </w:p>
    <w:p w14:paraId="274B4030" w14:textId="5BD3F950" w:rsidR="00FA4226" w:rsidRPr="00CA2CC1" w:rsidRDefault="00000000" w:rsidP="0043303B">
      <w:pPr>
        <w:pStyle w:val="BodyText"/>
        <w:numPr>
          <w:ilvl w:val="0"/>
          <w:numId w:val="25"/>
        </w:numPr>
        <w:rPr>
          <w:rFonts w:cs="Calibri"/>
        </w:rPr>
      </w:pPr>
      <w:r w:rsidRPr="00CA2CC1">
        <w:rPr>
          <w:rFonts w:cs="Calibri"/>
        </w:rPr>
        <w:t>We called for public submissions on opportunities to reduce the greenhouse gas emissions of future public infrastructure investments. We received 14 submissions from peak bodies and industry groups in fields such</w:t>
      </w:r>
      <w:r w:rsidR="00D017EB" w:rsidRPr="00CA2CC1">
        <w:rPr>
          <w:rFonts w:cs="Calibri"/>
        </w:rPr>
        <w:t xml:space="preserve"> </w:t>
      </w:r>
      <w:r w:rsidRPr="00CA2CC1">
        <w:rPr>
          <w:rFonts w:cs="Calibri"/>
        </w:rPr>
        <w:t>as construction and transport, private companies involved in infrastructure development, government organisations, advocacy groups and private individuals. Evidence from these submissions helped inform our advice to government on efforts to decarbonise future Victorian public infrastructure.</w:t>
      </w:r>
    </w:p>
    <w:p w14:paraId="7917D9AF" w14:textId="10E0D981" w:rsidR="00FA4226" w:rsidRPr="00CA2CC1" w:rsidRDefault="00000000" w:rsidP="0043303B">
      <w:pPr>
        <w:pStyle w:val="BodyText"/>
        <w:numPr>
          <w:ilvl w:val="0"/>
          <w:numId w:val="25"/>
        </w:numPr>
        <w:rPr>
          <w:rFonts w:cs="Calibri"/>
        </w:rPr>
      </w:pPr>
      <w:r w:rsidRPr="00CA2CC1">
        <w:rPr>
          <w:rFonts w:cs="Calibri"/>
        </w:rPr>
        <w:t>In October 2022, we were highly commended as a finalist in the International Association of Public</w:t>
      </w:r>
      <w:r w:rsidR="00941BD4" w:rsidRPr="00CA2CC1">
        <w:rPr>
          <w:rFonts w:cs="Calibri"/>
        </w:rPr>
        <w:t xml:space="preserve"> </w:t>
      </w:r>
      <w:r w:rsidRPr="00CA2CC1">
        <w:rPr>
          <w:rFonts w:cs="Calibri"/>
        </w:rPr>
        <w:t>Participation (IAP2) Australasia Core Values Awards. The award recognised our community panel deliberation which asked 211 Victorians to explore options to increase the uptake of electric vehicles. Together with evidence-based inputs and analysis,</w:t>
      </w:r>
      <w:r w:rsidR="00D017EB" w:rsidRPr="00CA2CC1">
        <w:rPr>
          <w:rFonts w:cs="Calibri"/>
        </w:rPr>
        <w:t xml:space="preserve"> </w:t>
      </w:r>
      <w:r w:rsidRPr="00CA2CC1">
        <w:rPr>
          <w:rFonts w:cs="Calibri"/>
        </w:rPr>
        <w:t xml:space="preserve">the panel’s work informed several recommendations in </w:t>
      </w:r>
      <w:r w:rsidRPr="00CA2CC1">
        <w:rPr>
          <w:rFonts w:cs="Calibri"/>
          <w:i/>
          <w:iCs/>
        </w:rPr>
        <w:t>Victoria’s infrastructure strategy 2021–2051</w:t>
      </w:r>
      <w:r w:rsidRPr="00CA2CC1">
        <w:rPr>
          <w:rFonts w:cs="Calibri"/>
        </w:rPr>
        <w:t>. The IAP2 annual awards recognise outstanding projects and organisations that are at the forefront of community engagement. Successful applicants must demonstrate leading practice and evidence that IAP2’s values are clearly embedded within their organisation.</w:t>
      </w:r>
    </w:p>
    <w:p w14:paraId="03A32748" w14:textId="77777777" w:rsidR="00597F65" w:rsidRPr="00CA2CC1" w:rsidRDefault="00000000" w:rsidP="0043303B">
      <w:pPr>
        <w:pStyle w:val="BodyText"/>
        <w:spacing w:before="104"/>
        <w:rPr>
          <w:rFonts w:cs="Calibri"/>
        </w:rPr>
      </w:pPr>
      <w:r w:rsidRPr="00CA2CC1">
        <w:rPr>
          <w:rFonts w:cs="Calibri"/>
        </w:rPr>
        <w:t>Between</w:t>
      </w:r>
      <w:r w:rsidRPr="00CA2CC1">
        <w:rPr>
          <w:rFonts w:cs="Calibri"/>
          <w:spacing w:val="-5"/>
        </w:rPr>
        <w:t xml:space="preserve"> </w:t>
      </w:r>
      <w:r w:rsidRPr="00CA2CC1">
        <w:rPr>
          <w:rFonts w:cs="Calibri"/>
        </w:rPr>
        <w:t>February</w:t>
      </w:r>
      <w:r w:rsidRPr="00CA2CC1">
        <w:rPr>
          <w:rFonts w:cs="Calibri"/>
          <w:spacing w:val="-5"/>
        </w:rPr>
        <w:t xml:space="preserve"> </w:t>
      </w:r>
      <w:r w:rsidRPr="00CA2CC1">
        <w:rPr>
          <w:rFonts w:cs="Calibri"/>
        </w:rPr>
        <w:t>and</w:t>
      </w:r>
      <w:r w:rsidRPr="00CA2CC1">
        <w:rPr>
          <w:rFonts w:cs="Calibri"/>
          <w:spacing w:val="-5"/>
        </w:rPr>
        <w:t xml:space="preserve"> </w:t>
      </w:r>
      <w:r w:rsidRPr="00CA2CC1">
        <w:rPr>
          <w:rFonts w:cs="Calibri"/>
        </w:rPr>
        <w:t>June</w:t>
      </w:r>
      <w:r w:rsidRPr="00CA2CC1">
        <w:rPr>
          <w:rFonts w:cs="Calibri"/>
          <w:spacing w:val="-5"/>
        </w:rPr>
        <w:t xml:space="preserve"> </w:t>
      </w:r>
      <w:r w:rsidRPr="00CA2CC1">
        <w:rPr>
          <w:rFonts w:cs="Calibri"/>
        </w:rPr>
        <w:t>2023,</w:t>
      </w:r>
      <w:r w:rsidRPr="00CA2CC1">
        <w:rPr>
          <w:rFonts w:cs="Calibri"/>
          <w:spacing w:val="-5"/>
        </w:rPr>
        <w:t xml:space="preserve"> </w:t>
      </w:r>
      <w:r w:rsidRPr="00CA2CC1">
        <w:rPr>
          <w:rFonts w:cs="Calibri"/>
        </w:rPr>
        <w:t>we</w:t>
      </w:r>
      <w:r w:rsidRPr="00CA2CC1">
        <w:rPr>
          <w:rFonts w:cs="Calibri"/>
          <w:spacing w:val="-5"/>
        </w:rPr>
        <w:t xml:space="preserve"> </w:t>
      </w:r>
      <w:r w:rsidRPr="00CA2CC1">
        <w:rPr>
          <w:rFonts w:cs="Calibri"/>
        </w:rPr>
        <w:t>also</w:t>
      </w:r>
      <w:r w:rsidRPr="00CA2CC1">
        <w:rPr>
          <w:rFonts w:cs="Calibri"/>
          <w:spacing w:val="-5"/>
        </w:rPr>
        <w:t xml:space="preserve"> </w:t>
      </w:r>
      <w:r w:rsidRPr="00CA2CC1">
        <w:rPr>
          <w:rFonts w:cs="Calibri"/>
        </w:rPr>
        <w:t>began</w:t>
      </w:r>
      <w:r w:rsidRPr="00CA2CC1">
        <w:rPr>
          <w:rFonts w:cs="Calibri"/>
          <w:spacing w:val="-5"/>
        </w:rPr>
        <w:t xml:space="preserve"> </w:t>
      </w:r>
      <w:r w:rsidRPr="00CA2CC1">
        <w:rPr>
          <w:rFonts w:cs="Calibri"/>
        </w:rPr>
        <w:t>engaging with Victorians to inform our next update of the state’s</w:t>
      </w:r>
      <w:r w:rsidR="00941BD4" w:rsidRPr="00CA2CC1">
        <w:rPr>
          <w:rFonts w:cs="Calibri"/>
        </w:rPr>
        <w:t xml:space="preserve"> </w:t>
      </w:r>
      <w:r w:rsidRPr="00CA2CC1">
        <w:rPr>
          <w:rFonts w:cs="Calibri"/>
        </w:rPr>
        <w:t>30-year infrastructure strategy. We asked community members</w:t>
      </w:r>
      <w:r w:rsidRPr="00CA2CC1">
        <w:rPr>
          <w:rFonts w:cs="Calibri"/>
          <w:spacing w:val="-4"/>
        </w:rPr>
        <w:t xml:space="preserve"> </w:t>
      </w:r>
      <w:r w:rsidRPr="00CA2CC1">
        <w:rPr>
          <w:rFonts w:cs="Calibri"/>
        </w:rPr>
        <w:t>and</w:t>
      </w:r>
      <w:r w:rsidRPr="00CA2CC1">
        <w:rPr>
          <w:rFonts w:cs="Calibri"/>
          <w:spacing w:val="-4"/>
        </w:rPr>
        <w:t xml:space="preserve"> </w:t>
      </w:r>
      <w:r w:rsidRPr="00CA2CC1">
        <w:rPr>
          <w:rFonts w:cs="Calibri"/>
        </w:rPr>
        <w:t>stakeholders</w:t>
      </w:r>
      <w:r w:rsidRPr="00CA2CC1">
        <w:rPr>
          <w:rFonts w:cs="Calibri"/>
          <w:spacing w:val="-4"/>
        </w:rPr>
        <w:t xml:space="preserve"> </w:t>
      </w:r>
      <w:r w:rsidRPr="00CA2CC1">
        <w:rPr>
          <w:rFonts w:cs="Calibri"/>
        </w:rPr>
        <w:t>to</w:t>
      </w:r>
      <w:r w:rsidRPr="00CA2CC1">
        <w:rPr>
          <w:rFonts w:cs="Calibri"/>
          <w:spacing w:val="-4"/>
        </w:rPr>
        <w:t xml:space="preserve"> </w:t>
      </w:r>
      <w:r w:rsidRPr="00CA2CC1">
        <w:rPr>
          <w:rFonts w:cs="Calibri"/>
        </w:rPr>
        <w:t>help</w:t>
      </w:r>
      <w:r w:rsidRPr="00CA2CC1">
        <w:rPr>
          <w:rFonts w:cs="Calibri"/>
          <w:spacing w:val="-4"/>
        </w:rPr>
        <w:t xml:space="preserve"> </w:t>
      </w:r>
      <w:r w:rsidRPr="00CA2CC1">
        <w:rPr>
          <w:rFonts w:cs="Calibri"/>
        </w:rPr>
        <w:t>set</w:t>
      </w:r>
      <w:r w:rsidRPr="00CA2CC1">
        <w:rPr>
          <w:rFonts w:cs="Calibri"/>
          <w:spacing w:val="-4"/>
        </w:rPr>
        <w:t xml:space="preserve"> </w:t>
      </w:r>
      <w:r w:rsidRPr="00CA2CC1">
        <w:rPr>
          <w:rFonts w:cs="Calibri"/>
        </w:rPr>
        <w:t>the</w:t>
      </w:r>
      <w:r w:rsidRPr="00CA2CC1">
        <w:rPr>
          <w:rFonts w:cs="Calibri"/>
          <w:spacing w:val="-4"/>
        </w:rPr>
        <w:t xml:space="preserve"> </w:t>
      </w:r>
      <w:r w:rsidRPr="00CA2CC1">
        <w:rPr>
          <w:rFonts w:cs="Calibri"/>
        </w:rPr>
        <w:t>objectives</w:t>
      </w:r>
      <w:r w:rsidRPr="00CA2CC1">
        <w:rPr>
          <w:rFonts w:cs="Calibri"/>
          <w:spacing w:val="-4"/>
        </w:rPr>
        <w:t xml:space="preserve"> </w:t>
      </w:r>
      <w:r w:rsidRPr="00CA2CC1">
        <w:rPr>
          <w:rFonts w:cs="Calibri"/>
        </w:rPr>
        <w:t>of</w:t>
      </w:r>
      <w:r w:rsidRPr="00CA2CC1">
        <w:rPr>
          <w:rFonts w:cs="Calibri"/>
          <w:spacing w:val="-4"/>
        </w:rPr>
        <w:t xml:space="preserve"> </w:t>
      </w:r>
      <w:r w:rsidRPr="00CA2CC1">
        <w:rPr>
          <w:rFonts w:cs="Calibri"/>
        </w:rPr>
        <w:t>the 2025 strategy, define the major infrastructure challenges and opportunities, and propose infrastructure options and policies to address them.</w:t>
      </w:r>
    </w:p>
    <w:p w14:paraId="5FF1A568" w14:textId="7357A007" w:rsidR="00FA4226" w:rsidRPr="00CA2CC1" w:rsidRDefault="00000000" w:rsidP="0043303B">
      <w:pPr>
        <w:pStyle w:val="BodyText"/>
        <w:spacing w:before="104"/>
        <w:rPr>
          <w:rFonts w:cs="Calibri"/>
        </w:rPr>
      </w:pPr>
      <w:r w:rsidRPr="00CA2CC1">
        <w:rPr>
          <w:rFonts w:cs="Calibri"/>
        </w:rPr>
        <w:t>Hundreds</w:t>
      </w:r>
      <w:r w:rsidRPr="00CA2CC1">
        <w:rPr>
          <w:rFonts w:cs="Calibri"/>
          <w:spacing w:val="-8"/>
        </w:rPr>
        <w:t xml:space="preserve"> </w:t>
      </w:r>
      <w:r w:rsidRPr="00CA2CC1">
        <w:rPr>
          <w:rFonts w:cs="Calibri"/>
        </w:rPr>
        <w:t>of</w:t>
      </w:r>
      <w:r w:rsidRPr="00CA2CC1">
        <w:rPr>
          <w:rFonts w:cs="Calibri"/>
          <w:spacing w:val="-8"/>
        </w:rPr>
        <w:t xml:space="preserve"> </w:t>
      </w:r>
      <w:r w:rsidRPr="00CA2CC1">
        <w:rPr>
          <w:rFonts w:cs="Calibri"/>
        </w:rPr>
        <w:t>Victorians</w:t>
      </w:r>
      <w:r w:rsidRPr="00CA2CC1">
        <w:rPr>
          <w:rFonts w:cs="Calibri"/>
          <w:spacing w:val="-8"/>
        </w:rPr>
        <w:t xml:space="preserve"> </w:t>
      </w:r>
      <w:r w:rsidRPr="00CA2CC1">
        <w:rPr>
          <w:rFonts w:cs="Calibri"/>
        </w:rPr>
        <w:t>participated</w:t>
      </w:r>
      <w:r w:rsidRPr="00CA2CC1">
        <w:rPr>
          <w:rFonts w:cs="Calibri"/>
          <w:spacing w:val="-8"/>
        </w:rPr>
        <w:t xml:space="preserve"> </w:t>
      </w:r>
      <w:r w:rsidRPr="00CA2CC1">
        <w:rPr>
          <w:rFonts w:cs="Calibri"/>
        </w:rPr>
        <w:t>by</w:t>
      </w:r>
      <w:r w:rsidRPr="00CA2CC1">
        <w:rPr>
          <w:rFonts w:cs="Calibri"/>
          <w:spacing w:val="-8"/>
        </w:rPr>
        <w:t xml:space="preserve"> </w:t>
      </w:r>
      <w:r w:rsidRPr="00CA2CC1">
        <w:rPr>
          <w:rFonts w:cs="Calibri"/>
        </w:rPr>
        <w:t>completing</w:t>
      </w:r>
      <w:r w:rsidRPr="00CA2CC1">
        <w:rPr>
          <w:rFonts w:cs="Calibri"/>
          <w:spacing w:val="-8"/>
        </w:rPr>
        <w:t xml:space="preserve"> </w:t>
      </w:r>
      <w:r w:rsidRPr="00CA2CC1">
        <w:rPr>
          <w:rFonts w:cs="Calibri"/>
        </w:rPr>
        <w:t>a</w:t>
      </w:r>
      <w:r w:rsidRPr="00CA2CC1">
        <w:rPr>
          <w:rFonts w:cs="Calibri"/>
          <w:spacing w:val="-8"/>
        </w:rPr>
        <w:t xml:space="preserve"> </w:t>
      </w:r>
      <w:r w:rsidRPr="00CA2CC1">
        <w:rPr>
          <w:rFonts w:cs="Calibri"/>
        </w:rPr>
        <w:t>survey, making a submission or attending one of our events.</w:t>
      </w:r>
    </w:p>
    <w:p w14:paraId="546372D4" w14:textId="77777777" w:rsidR="00FA4226" w:rsidRPr="00CA2CC1" w:rsidRDefault="00000000" w:rsidP="0043303B">
      <w:pPr>
        <w:pStyle w:val="BodyText"/>
        <w:numPr>
          <w:ilvl w:val="0"/>
          <w:numId w:val="26"/>
        </w:numPr>
        <w:rPr>
          <w:rFonts w:cs="Calibri"/>
        </w:rPr>
      </w:pPr>
      <w:r w:rsidRPr="00CA2CC1">
        <w:rPr>
          <w:rFonts w:cs="Calibri"/>
        </w:rPr>
        <w:t>We received 115 responses from individuals and organisations</w:t>
      </w:r>
      <w:r w:rsidRPr="00CA2CC1">
        <w:rPr>
          <w:rFonts w:cs="Calibri"/>
          <w:spacing w:val="-5"/>
        </w:rPr>
        <w:t xml:space="preserve"> </w:t>
      </w:r>
      <w:r w:rsidRPr="00CA2CC1">
        <w:rPr>
          <w:rFonts w:cs="Calibri"/>
        </w:rPr>
        <w:t>to</w:t>
      </w:r>
      <w:r w:rsidRPr="00CA2CC1">
        <w:rPr>
          <w:rFonts w:cs="Calibri"/>
          <w:spacing w:val="-5"/>
        </w:rPr>
        <w:t xml:space="preserve"> </w:t>
      </w:r>
      <w:r w:rsidRPr="00CA2CC1">
        <w:rPr>
          <w:rFonts w:cs="Calibri"/>
        </w:rPr>
        <w:t>our</w:t>
      </w:r>
      <w:r w:rsidRPr="00CA2CC1">
        <w:rPr>
          <w:rFonts w:cs="Calibri"/>
          <w:spacing w:val="-5"/>
        </w:rPr>
        <w:t xml:space="preserve"> </w:t>
      </w:r>
      <w:r w:rsidRPr="00CA2CC1">
        <w:rPr>
          <w:rFonts w:cs="Calibri"/>
        </w:rPr>
        <w:t>call</w:t>
      </w:r>
      <w:r w:rsidRPr="00CA2CC1">
        <w:rPr>
          <w:rFonts w:cs="Calibri"/>
          <w:spacing w:val="-5"/>
        </w:rPr>
        <w:t xml:space="preserve"> </w:t>
      </w:r>
      <w:r w:rsidRPr="00CA2CC1">
        <w:rPr>
          <w:rFonts w:cs="Calibri"/>
        </w:rPr>
        <w:t>for</w:t>
      </w:r>
      <w:r w:rsidRPr="00CA2CC1">
        <w:rPr>
          <w:rFonts w:cs="Calibri"/>
          <w:spacing w:val="-5"/>
        </w:rPr>
        <w:t xml:space="preserve"> </w:t>
      </w:r>
      <w:r w:rsidRPr="00CA2CC1">
        <w:rPr>
          <w:rFonts w:cs="Calibri"/>
        </w:rPr>
        <w:t>ideas</w:t>
      </w:r>
      <w:r w:rsidRPr="00CA2CC1">
        <w:rPr>
          <w:rFonts w:cs="Calibri"/>
          <w:spacing w:val="-5"/>
        </w:rPr>
        <w:t xml:space="preserve"> </w:t>
      </w:r>
      <w:r w:rsidRPr="00CA2CC1">
        <w:rPr>
          <w:rFonts w:cs="Calibri"/>
        </w:rPr>
        <w:t>and</w:t>
      </w:r>
      <w:r w:rsidRPr="00CA2CC1">
        <w:rPr>
          <w:rFonts w:cs="Calibri"/>
          <w:spacing w:val="-5"/>
        </w:rPr>
        <w:t xml:space="preserve"> </w:t>
      </w:r>
      <w:r w:rsidRPr="00CA2CC1">
        <w:rPr>
          <w:rFonts w:cs="Calibri"/>
        </w:rPr>
        <w:t>submissions</w:t>
      </w:r>
      <w:r w:rsidRPr="00CA2CC1">
        <w:rPr>
          <w:rFonts w:cs="Calibri"/>
          <w:spacing w:val="-5"/>
        </w:rPr>
        <w:t xml:space="preserve"> </w:t>
      </w:r>
      <w:r w:rsidRPr="00CA2CC1">
        <w:rPr>
          <w:rFonts w:cs="Calibri"/>
        </w:rPr>
        <w:t>to inform our next strategy. Detailed submissions made up 66% of the responses.</w:t>
      </w:r>
    </w:p>
    <w:p w14:paraId="06390603" w14:textId="77777777" w:rsidR="00FA4226" w:rsidRPr="00CA2CC1" w:rsidRDefault="00000000" w:rsidP="0043303B">
      <w:pPr>
        <w:pStyle w:val="BodyText"/>
        <w:numPr>
          <w:ilvl w:val="0"/>
          <w:numId w:val="26"/>
        </w:numPr>
        <w:rPr>
          <w:rFonts w:cs="Calibri"/>
        </w:rPr>
      </w:pPr>
      <w:r w:rsidRPr="00CA2CC1">
        <w:rPr>
          <w:rFonts w:cs="Calibri"/>
        </w:rPr>
        <w:t>The objectives survey helped us to understand community priorities for infrastructure. A total of 271 Victorians</w:t>
      </w:r>
      <w:r w:rsidRPr="00CA2CC1">
        <w:rPr>
          <w:rFonts w:cs="Calibri"/>
          <w:spacing w:val="-7"/>
        </w:rPr>
        <w:t xml:space="preserve"> </w:t>
      </w:r>
      <w:r w:rsidRPr="00CA2CC1">
        <w:rPr>
          <w:rFonts w:cs="Calibri"/>
        </w:rPr>
        <w:t>completed</w:t>
      </w:r>
      <w:r w:rsidRPr="00CA2CC1">
        <w:rPr>
          <w:rFonts w:cs="Calibri"/>
          <w:spacing w:val="-7"/>
        </w:rPr>
        <w:t xml:space="preserve"> </w:t>
      </w:r>
      <w:r w:rsidRPr="00CA2CC1">
        <w:rPr>
          <w:rFonts w:cs="Calibri"/>
        </w:rPr>
        <w:t>the</w:t>
      </w:r>
      <w:r w:rsidRPr="00CA2CC1">
        <w:rPr>
          <w:rFonts w:cs="Calibri"/>
          <w:spacing w:val="-7"/>
        </w:rPr>
        <w:t xml:space="preserve"> </w:t>
      </w:r>
      <w:r w:rsidRPr="00CA2CC1">
        <w:rPr>
          <w:rFonts w:cs="Calibri"/>
        </w:rPr>
        <w:t>survey</w:t>
      </w:r>
      <w:r w:rsidRPr="00CA2CC1">
        <w:rPr>
          <w:rFonts w:cs="Calibri"/>
          <w:spacing w:val="-7"/>
        </w:rPr>
        <w:t xml:space="preserve"> </w:t>
      </w:r>
      <w:r w:rsidRPr="00CA2CC1">
        <w:rPr>
          <w:rFonts w:cs="Calibri"/>
        </w:rPr>
        <w:t>between</w:t>
      </w:r>
      <w:r w:rsidRPr="00CA2CC1">
        <w:rPr>
          <w:rFonts w:cs="Calibri"/>
          <w:spacing w:val="-7"/>
        </w:rPr>
        <w:t xml:space="preserve"> </w:t>
      </w:r>
      <w:r w:rsidRPr="00CA2CC1">
        <w:rPr>
          <w:rFonts w:cs="Calibri"/>
        </w:rPr>
        <w:t>from</w:t>
      </w:r>
      <w:r w:rsidRPr="00CA2CC1">
        <w:rPr>
          <w:rFonts w:cs="Calibri"/>
          <w:spacing w:val="-7"/>
        </w:rPr>
        <w:t xml:space="preserve"> </w:t>
      </w:r>
      <w:r w:rsidRPr="00CA2CC1">
        <w:rPr>
          <w:rFonts w:cs="Calibri"/>
        </w:rPr>
        <w:t>February through to April 2023.</w:t>
      </w:r>
    </w:p>
    <w:p w14:paraId="2C06F8B4" w14:textId="77777777" w:rsidR="00A821E0" w:rsidRPr="00CA2CC1" w:rsidRDefault="00000000" w:rsidP="0043303B">
      <w:pPr>
        <w:pStyle w:val="BodyText"/>
        <w:numPr>
          <w:ilvl w:val="0"/>
          <w:numId w:val="26"/>
        </w:numPr>
        <w:rPr>
          <w:rFonts w:cs="Calibri"/>
        </w:rPr>
      </w:pPr>
      <w:r w:rsidRPr="00CA2CC1">
        <w:rPr>
          <w:rFonts w:cs="Calibri"/>
        </w:rPr>
        <w:t xml:space="preserve">We received 168 expressions of interest for a young people’s forum, with 39 young people selected </w:t>
      </w:r>
      <w:r w:rsidRPr="00CA2CC1">
        <w:rPr>
          <w:rFonts w:cs="Calibri"/>
        </w:rPr>
        <w:lastRenderedPageBreak/>
        <w:t>through a</w:t>
      </w:r>
      <w:r w:rsidRPr="00CA2CC1">
        <w:rPr>
          <w:rFonts w:cs="Calibri"/>
          <w:spacing w:val="-9"/>
        </w:rPr>
        <w:t xml:space="preserve"> </w:t>
      </w:r>
      <w:r w:rsidRPr="00CA2CC1">
        <w:rPr>
          <w:rFonts w:cs="Calibri"/>
        </w:rPr>
        <w:t>randomised</w:t>
      </w:r>
      <w:r w:rsidRPr="00CA2CC1">
        <w:rPr>
          <w:rFonts w:cs="Calibri"/>
          <w:spacing w:val="-9"/>
        </w:rPr>
        <w:t xml:space="preserve"> </w:t>
      </w:r>
      <w:r w:rsidRPr="00CA2CC1">
        <w:rPr>
          <w:rFonts w:cs="Calibri"/>
        </w:rPr>
        <w:t>process</w:t>
      </w:r>
      <w:r w:rsidRPr="00CA2CC1">
        <w:rPr>
          <w:rFonts w:cs="Calibri"/>
          <w:spacing w:val="-9"/>
        </w:rPr>
        <w:t xml:space="preserve"> </w:t>
      </w:r>
      <w:r w:rsidRPr="00CA2CC1">
        <w:rPr>
          <w:rFonts w:cs="Calibri"/>
        </w:rPr>
        <w:t>to</w:t>
      </w:r>
      <w:r w:rsidRPr="00CA2CC1">
        <w:rPr>
          <w:rFonts w:cs="Calibri"/>
          <w:spacing w:val="-9"/>
        </w:rPr>
        <w:t xml:space="preserve"> </w:t>
      </w:r>
      <w:r w:rsidRPr="00CA2CC1">
        <w:rPr>
          <w:rFonts w:cs="Calibri"/>
        </w:rPr>
        <w:t>reflect</w:t>
      </w:r>
      <w:r w:rsidRPr="00CA2CC1">
        <w:rPr>
          <w:rFonts w:cs="Calibri"/>
          <w:spacing w:val="-9"/>
        </w:rPr>
        <w:t xml:space="preserve"> </w:t>
      </w:r>
      <w:r w:rsidRPr="00CA2CC1">
        <w:rPr>
          <w:rFonts w:cs="Calibri"/>
        </w:rPr>
        <w:t>the</w:t>
      </w:r>
      <w:r w:rsidRPr="00CA2CC1">
        <w:rPr>
          <w:rFonts w:cs="Calibri"/>
          <w:spacing w:val="-9"/>
        </w:rPr>
        <w:t xml:space="preserve"> </w:t>
      </w:r>
      <w:r w:rsidRPr="00CA2CC1">
        <w:rPr>
          <w:rFonts w:cs="Calibri"/>
        </w:rPr>
        <w:t>diversity</w:t>
      </w:r>
      <w:r w:rsidRPr="00CA2CC1">
        <w:rPr>
          <w:rFonts w:cs="Calibri"/>
          <w:spacing w:val="-9"/>
        </w:rPr>
        <w:t xml:space="preserve"> </w:t>
      </w:r>
      <w:r w:rsidRPr="00CA2CC1">
        <w:rPr>
          <w:rFonts w:cs="Calibri"/>
        </w:rPr>
        <w:t>of</w:t>
      </w:r>
      <w:r w:rsidRPr="00CA2CC1">
        <w:rPr>
          <w:rFonts w:cs="Calibri"/>
          <w:spacing w:val="-9"/>
        </w:rPr>
        <w:t xml:space="preserve"> </w:t>
      </w:r>
      <w:r w:rsidRPr="00CA2CC1">
        <w:rPr>
          <w:rFonts w:cs="Calibri"/>
        </w:rPr>
        <w:t>Victoria’s youth population. The participants took part in a deliberative engagement forum where we heard about their infrastructure priorities for the future.</w:t>
      </w:r>
    </w:p>
    <w:p w14:paraId="581777FA" w14:textId="2313072C" w:rsidR="00FA4226" w:rsidRPr="00CA2CC1" w:rsidRDefault="00000000" w:rsidP="0043303B">
      <w:pPr>
        <w:pStyle w:val="BodyText"/>
        <w:numPr>
          <w:ilvl w:val="0"/>
          <w:numId w:val="26"/>
        </w:numPr>
        <w:rPr>
          <w:rFonts w:cs="Calibri"/>
        </w:rPr>
      </w:pPr>
      <w:r w:rsidRPr="00CA2CC1">
        <w:rPr>
          <w:rFonts w:cs="Calibri"/>
        </w:rPr>
        <w:t>We held 14 workshops in May to engage with stakeholders</w:t>
      </w:r>
      <w:r w:rsidRPr="00CA2CC1">
        <w:rPr>
          <w:rFonts w:cs="Calibri"/>
          <w:spacing w:val="-9"/>
        </w:rPr>
        <w:t xml:space="preserve"> </w:t>
      </w:r>
      <w:r w:rsidRPr="00CA2CC1">
        <w:rPr>
          <w:rFonts w:cs="Calibri"/>
        </w:rPr>
        <w:t>from</w:t>
      </w:r>
      <w:r w:rsidRPr="00CA2CC1">
        <w:rPr>
          <w:rFonts w:cs="Calibri"/>
          <w:spacing w:val="-9"/>
        </w:rPr>
        <w:t xml:space="preserve"> </w:t>
      </w:r>
      <w:r w:rsidRPr="00CA2CC1">
        <w:rPr>
          <w:rFonts w:cs="Calibri"/>
        </w:rPr>
        <w:t>infrastructure</w:t>
      </w:r>
      <w:r w:rsidRPr="00CA2CC1">
        <w:rPr>
          <w:rFonts w:cs="Calibri"/>
          <w:spacing w:val="-9"/>
        </w:rPr>
        <w:t xml:space="preserve"> </w:t>
      </w:r>
      <w:r w:rsidRPr="00CA2CC1">
        <w:rPr>
          <w:rFonts w:cs="Calibri"/>
        </w:rPr>
        <w:t>sectors</w:t>
      </w:r>
      <w:r w:rsidRPr="00CA2CC1">
        <w:rPr>
          <w:rFonts w:cs="Calibri"/>
          <w:spacing w:val="-9"/>
        </w:rPr>
        <w:t xml:space="preserve"> </w:t>
      </w:r>
      <w:r w:rsidRPr="00CA2CC1">
        <w:rPr>
          <w:rFonts w:cs="Calibri"/>
        </w:rPr>
        <w:t>and</w:t>
      </w:r>
      <w:r w:rsidRPr="00CA2CC1">
        <w:rPr>
          <w:rFonts w:cs="Calibri"/>
          <w:spacing w:val="-9"/>
        </w:rPr>
        <w:t xml:space="preserve"> </w:t>
      </w:r>
      <w:r w:rsidRPr="00CA2CC1">
        <w:rPr>
          <w:rFonts w:cs="Calibri"/>
        </w:rPr>
        <w:t>from all regions across Victoria:</w:t>
      </w:r>
    </w:p>
    <w:p w14:paraId="1762982D" w14:textId="77777777" w:rsidR="00FA4226" w:rsidRPr="00CA2CC1" w:rsidRDefault="00000000" w:rsidP="0043303B">
      <w:pPr>
        <w:pStyle w:val="BodyText"/>
        <w:numPr>
          <w:ilvl w:val="0"/>
          <w:numId w:val="27"/>
        </w:numPr>
        <w:rPr>
          <w:rFonts w:cs="Calibri"/>
        </w:rPr>
      </w:pPr>
      <w:r w:rsidRPr="00CA2CC1">
        <w:rPr>
          <w:rFonts w:cs="Calibri"/>
        </w:rPr>
        <w:t>We</w:t>
      </w:r>
      <w:r w:rsidRPr="00CA2CC1">
        <w:rPr>
          <w:rFonts w:cs="Calibri"/>
          <w:spacing w:val="-2"/>
        </w:rPr>
        <w:t xml:space="preserve"> </w:t>
      </w:r>
      <w:r w:rsidRPr="00CA2CC1">
        <w:rPr>
          <w:rFonts w:cs="Calibri"/>
        </w:rPr>
        <w:t>consulted</w:t>
      </w:r>
      <w:r w:rsidRPr="00CA2CC1">
        <w:rPr>
          <w:rFonts w:cs="Calibri"/>
          <w:spacing w:val="-2"/>
        </w:rPr>
        <w:t xml:space="preserve"> </w:t>
      </w:r>
      <w:r w:rsidRPr="00CA2CC1">
        <w:rPr>
          <w:rFonts w:cs="Calibri"/>
        </w:rPr>
        <w:t>with</w:t>
      </w:r>
      <w:r w:rsidRPr="00CA2CC1">
        <w:rPr>
          <w:rFonts w:cs="Calibri"/>
          <w:spacing w:val="-2"/>
        </w:rPr>
        <w:t xml:space="preserve"> </w:t>
      </w:r>
      <w:r w:rsidRPr="00CA2CC1">
        <w:rPr>
          <w:rFonts w:cs="Calibri"/>
        </w:rPr>
        <w:t>stakeholders</w:t>
      </w:r>
      <w:r w:rsidRPr="00CA2CC1">
        <w:rPr>
          <w:rFonts w:cs="Calibri"/>
          <w:spacing w:val="-2"/>
        </w:rPr>
        <w:t xml:space="preserve"> </w:t>
      </w:r>
      <w:r w:rsidRPr="00CA2CC1">
        <w:rPr>
          <w:rFonts w:cs="Calibri"/>
        </w:rPr>
        <w:t>from</w:t>
      </w:r>
      <w:r w:rsidRPr="00CA2CC1">
        <w:rPr>
          <w:rFonts w:cs="Calibri"/>
          <w:spacing w:val="-2"/>
        </w:rPr>
        <w:t xml:space="preserve"> </w:t>
      </w:r>
      <w:r w:rsidRPr="00CA2CC1">
        <w:rPr>
          <w:rFonts w:cs="Calibri"/>
        </w:rPr>
        <w:t>9</w:t>
      </w:r>
      <w:r w:rsidRPr="00CA2CC1">
        <w:rPr>
          <w:rFonts w:cs="Calibri"/>
          <w:spacing w:val="-2"/>
        </w:rPr>
        <w:t xml:space="preserve"> </w:t>
      </w:r>
      <w:r w:rsidRPr="00CA2CC1">
        <w:rPr>
          <w:rFonts w:cs="Calibri"/>
        </w:rPr>
        <w:t>infrastructure sectors, such as water, transport and community services to help us understand the most significant infrastructure-related opportunities and challenges in each</w:t>
      </w:r>
      <w:r w:rsidRPr="00CA2CC1">
        <w:rPr>
          <w:rFonts w:cs="Calibri"/>
          <w:spacing w:val="-7"/>
        </w:rPr>
        <w:t xml:space="preserve"> </w:t>
      </w:r>
      <w:r w:rsidRPr="00CA2CC1">
        <w:rPr>
          <w:rFonts w:cs="Calibri"/>
        </w:rPr>
        <w:t>sector,</w:t>
      </w:r>
      <w:r w:rsidRPr="00CA2CC1">
        <w:rPr>
          <w:rFonts w:cs="Calibri"/>
          <w:spacing w:val="-7"/>
        </w:rPr>
        <w:t xml:space="preserve"> </w:t>
      </w:r>
      <w:r w:rsidRPr="00CA2CC1">
        <w:rPr>
          <w:rFonts w:cs="Calibri"/>
        </w:rPr>
        <w:t>and</w:t>
      </w:r>
      <w:r w:rsidRPr="00CA2CC1">
        <w:rPr>
          <w:rFonts w:cs="Calibri"/>
          <w:spacing w:val="-7"/>
        </w:rPr>
        <w:t xml:space="preserve"> </w:t>
      </w:r>
      <w:r w:rsidRPr="00CA2CC1">
        <w:rPr>
          <w:rFonts w:cs="Calibri"/>
        </w:rPr>
        <w:t>to</w:t>
      </w:r>
      <w:r w:rsidRPr="00CA2CC1">
        <w:rPr>
          <w:rFonts w:cs="Calibri"/>
          <w:spacing w:val="-7"/>
        </w:rPr>
        <w:t xml:space="preserve"> </w:t>
      </w:r>
      <w:r w:rsidRPr="00CA2CC1">
        <w:rPr>
          <w:rFonts w:cs="Calibri"/>
        </w:rPr>
        <w:t>hear</w:t>
      </w:r>
      <w:r w:rsidRPr="00CA2CC1">
        <w:rPr>
          <w:rFonts w:cs="Calibri"/>
          <w:spacing w:val="-7"/>
        </w:rPr>
        <w:t xml:space="preserve"> </w:t>
      </w:r>
      <w:r w:rsidRPr="00CA2CC1">
        <w:rPr>
          <w:rFonts w:cs="Calibri"/>
        </w:rPr>
        <w:t>about</w:t>
      </w:r>
      <w:r w:rsidRPr="00CA2CC1">
        <w:rPr>
          <w:rFonts w:cs="Calibri"/>
          <w:spacing w:val="-7"/>
        </w:rPr>
        <w:t xml:space="preserve"> </w:t>
      </w:r>
      <w:r w:rsidRPr="00CA2CC1">
        <w:rPr>
          <w:rFonts w:cs="Calibri"/>
        </w:rPr>
        <w:t>recent</w:t>
      </w:r>
      <w:r w:rsidRPr="00CA2CC1">
        <w:rPr>
          <w:rFonts w:cs="Calibri"/>
          <w:spacing w:val="-7"/>
        </w:rPr>
        <w:t xml:space="preserve"> </w:t>
      </w:r>
      <w:r w:rsidRPr="00CA2CC1">
        <w:rPr>
          <w:rFonts w:cs="Calibri"/>
        </w:rPr>
        <w:t>major</w:t>
      </w:r>
      <w:r w:rsidRPr="00CA2CC1">
        <w:rPr>
          <w:rFonts w:cs="Calibri"/>
          <w:spacing w:val="-7"/>
        </w:rPr>
        <w:t xml:space="preserve"> </w:t>
      </w:r>
      <w:r w:rsidRPr="00CA2CC1">
        <w:rPr>
          <w:rFonts w:cs="Calibri"/>
        </w:rPr>
        <w:t>changes in each sector.</w:t>
      </w:r>
    </w:p>
    <w:p w14:paraId="3C74AE78" w14:textId="77777777" w:rsidR="00FA4226" w:rsidRPr="00CA2CC1" w:rsidRDefault="00000000" w:rsidP="0043303B">
      <w:pPr>
        <w:pStyle w:val="BodyText"/>
        <w:numPr>
          <w:ilvl w:val="0"/>
          <w:numId w:val="27"/>
        </w:numPr>
        <w:rPr>
          <w:rFonts w:cs="Calibri"/>
        </w:rPr>
      </w:pPr>
      <w:r w:rsidRPr="00CA2CC1">
        <w:rPr>
          <w:rFonts w:cs="Calibri"/>
        </w:rPr>
        <w:t>We held 5 workshops for community stakeholders across Victoria including 3 for the state’s rural and regional areas, one for Melbourne outer growth areas and one for metropolitan Melbourne. We wanted</w:t>
      </w:r>
      <w:r w:rsidRPr="00CA2CC1">
        <w:rPr>
          <w:rFonts w:cs="Calibri"/>
          <w:spacing w:val="-6"/>
        </w:rPr>
        <w:t xml:space="preserve"> </w:t>
      </w:r>
      <w:r w:rsidRPr="00CA2CC1">
        <w:rPr>
          <w:rFonts w:cs="Calibri"/>
        </w:rPr>
        <w:t>to</w:t>
      </w:r>
      <w:r w:rsidRPr="00CA2CC1">
        <w:rPr>
          <w:rFonts w:cs="Calibri"/>
          <w:spacing w:val="-6"/>
        </w:rPr>
        <w:t xml:space="preserve"> </w:t>
      </w:r>
      <w:r w:rsidRPr="00CA2CC1">
        <w:rPr>
          <w:rFonts w:cs="Calibri"/>
        </w:rPr>
        <w:t>hear</w:t>
      </w:r>
      <w:r w:rsidRPr="00CA2CC1">
        <w:rPr>
          <w:rFonts w:cs="Calibri"/>
          <w:spacing w:val="-6"/>
        </w:rPr>
        <w:t xml:space="preserve"> </w:t>
      </w:r>
      <w:r w:rsidRPr="00CA2CC1">
        <w:rPr>
          <w:rFonts w:cs="Calibri"/>
        </w:rPr>
        <w:t>about</w:t>
      </w:r>
      <w:r w:rsidRPr="00CA2CC1">
        <w:rPr>
          <w:rFonts w:cs="Calibri"/>
          <w:spacing w:val="-6"/>
        </w:rPr>
        <w:t xml:space="preserve"> </w:t>
      </w:r>
      <w:r w:rsidRPr="00CA2CC1">
        <w:rPr>
          <w:rFonts w:cs="Calibri"/>
        </w:rPr>
        <w:t>challenges</w:t>
      </w:r>
      <w:r w:rsidRPr="00CA2CC1">
        <w:rPr>
          <w:rFonts w:cs="Calibri"/>
          <w:spacing w:val="-6"/>
        </w:rPr>
        <w:t xml:space="preserve"> </w:t>
      </w:r>
      <w:r w:rsidRPr="00CA2CC1">
        <w:rPr>
          <w:rFonts w:cs="Calibri"/>
        </w:rPr>
        <w:t>and</w:t>
      </w:r>
      <w:r w:rsidRPr="00CA2CC1">
        <w:rPr>
          <w:rFonts w:cs="Calibri"/>
          <w:spacing w:val="-6"/>
        </w:rPr>
        <w:t xml:space="preserve"> </w:t>
      </w:r>
      <w:r w:rsidRPr="00CA2CC1">
        <w:rPr>
          <w:rFonts w:cs="Calibri"/>
        </w:rPr>
        <w:t>opportunities from the perspective of people living and working</w:t>
      </w:r>
      <w:r w:rsidRPr="00CA2CC1">
        <w:rPr>
          <w:rFonts w:cs="Calibri"/>
          <w:spacing w:val="40"/>
        </w:rPr>
        <w:t xml:space="preserve"> </w:t>
      </w:r>
      <w:r w:rsidRPr="00CA2CC1">
        <w:rPr>
          <w:rFonts w:cs="Calibri"/>
        </w:rPr>
        <w:t>in</w:t>
      </w:r>
      <w:r w:rsidRPr="00CA2CC1">
        <w:rPr>
          <w:rFonts w:cs="Calibri"/>
          <w:spacing w:val="-2"/>
        </w:rPr>
        <w:t xml:space="preserve"> </w:t>
      </w:r>
      <w:r w:rsidRPr="00CA2CC1">
        <w:rPr>
          <w:rFonts w:cs="Calibri"/>
        </w:rPr>
        <w:t>those</w:t>
      </w:r>
      <w:r w:rsidRPr="00CA2CC1">
        <w:rPr>
          <w:rFonts w:cs="Calibri"/>
          <w:spacing w:val="-2"/>
        </w:rPr>
        <w:t xml:space="preserve"> </w:t>
      </w:r>
      <w:r w:rsidRPr="00CA2CC1">
        <w:rPr>
          <w:rFonts w:cs="Calibri"/>
        </w:rPr>
        <w:t>communities.</w:t>
      </w:r>
      <w:r w:rsidRPr="00CA2CC1">
        <w:rPr>
          <w:rFonts w:cs="Calibri"/>
          <w:spacing w:val="-2"/>
        </w:rPr>
        <w:t xml:space="preserve"> </w:t>
      </w:r>
      <w:r w:rsidRPr="00CA2CC1">
        <w:rPr>
          <w:rFonts w:cs="Calibri"/>
        </w:rPr>
        <w:t>They</w:t>
      </w:r>
      <w:r w:rsidRPr="00CA2CC1">
        <w:rPr>
          <w:rFonts w:cs="Calibri"/>
          <w:spacing w:val="-2"/>
        </w:rPr>
        <w:t xml:space="preserve"> </w:t>
      </w:r>
      <w:r w:rsidRPr="00CA2CC1">
        <w:rPr>
          <w:rFonts w:cs="Calibri"/>
        </w:rPr>
        <w:t>told</w:t>
      </w:r>
      <w:r w:rsidRPr="00CA2CC1">
        <w:rPr>
          <w:rFonts w:cs="Calibri"/>
          <w:spacing w:val="-2"/>
        </w:rPr>
        <w:t xml:space="preserve"> </w:t>
      </w:r>
      <w:r w:rsidRPr="00CA2CC1">
        <w:rPr>
          <w:rFonts w:cs="Calibri"/>
        </w:rPr>
        <w:t>us</w:t>
      </w:r>
      <w:r w:rsidRPr="00CA2CC1">
        <w:rPr>
          <w:rFonts w:cs="Calibri"/>
          <w:spacing w:val="-2"/>
        </w:rPr>
        <w:t xml:space="preserve"> </w:t>
      </w:r>
      <w:r w:rsidRPr="00CA2CC1">
        <w:rPr>
          <w:rFonts w:cs="Calibri"/>
        </w:rPr>
        <w:t>that</w:t>
      </w:r>
      <w:r w:rsidRPr="00CA2CC1">
        <w:rPr>
          <w:rFonts w:cs="Calibri"/>
          <w:spacing w:val="-2"/>
        </w:rPr>
        <w:t xml:space="preserve"> </w:t>
      </w:r>
      <w:r w:rsidRPr="00CA2CC1">
        <w:rPr>
          <w:rFonts w:cs="Calibri"/>
        </w:rPr>
        <w:t>the</w:t>
      </w:r>
      <w:r w:rsidRPr="00CA2CC1">
        <w:rPr>
          <w:rFonts w:cs="Calibri"/>
          <w:spacing w:val="-2"/>
        </w:rPr>
        <w:t xml:space="preserve"> </w:t>
      </w:r>
      <w:r w:rsidRPr="00CA2CC1">
        <w:rPr>
          <w:rFonts w:cs="Calibri"/>
        </w:rPr>
        <w:t>shared challenges, such as COVID-19 and higher living prices, can impact people and communities differently, depending on where they live.</w:t>
      </w:r>
    </w:p>
    <w:p w14:paraId="63560D4E" w14:textId="77777777" w:rsidR="00FA4226" w:rsidRPr="00CA2CC1" w:rsidRDefault="00FA4226" w:rsidP="0043303B">
      <w:pPr>
        <w:rPr>
          <w:rFonts w:cs="Calibri"/>
          <w:color w:val="000000" w:themeColor="text1"/>
          <w:sz w:val="18"/>
        </w:rPr>
        <w:sectPr w:rsidR="00FA4226" w:rsidRPr="00CA2CC1" w:rsidSect="00E941A5">
          <w:type w:val="continuous"/>
          <w:pgSz w:w="11910" w:h="16840"/>
          <w:pgMar w:top="1134" w:right="1278" w:bottom="1134" w:left="1134" w:header="720" w:footer="720" w:gutter="0"/>
          <w:cols w:space="720"/>
        </w:sectPr>
      </w:pPr>
    </w:p>
    <w:p w14:paraId="0B42558C" w14:textId="4A0A2793" w:rsidR="00FA4226" w:rsidRPr="00CA2CC1" w:rsidRDefault="00000000" w:rsidP="0043303B">
      <w:pPr>
        <w:pStyle w:val="Heading1"/>
        <w:spacing w:before="193"/>
        <w:rPr>
          <w:rFonts w:cs="Calibri"/>
        </w:rPr>
      </w:pPr>
      <w:bookmarkStart w:id="15" w:name="Research,_advice_and_strategy_program"/>
      <w:bookmarkStart w:id="16" w:name="Victoria’s_30-year_infrastructure_strate"/>
      <w:bookmarkStart w:id="17" w:name="_bookmark8"/>
      <w:bookmarkEnd w:id="15"/>
      <w:bookmarkEnd w:id="16"/>
      <w:bookmarkEnd w:id="17"/>
      <w:r w:rsidRPr="00CA2CC1">
        <w:rPr>
          <w:rFonts w:cs="Calibri"/>
          <w:color w:val="231F20"/>
        </w:rPr>
        <w:lastRenderedPageBreak/>
        <w:t>Research, advice and</w:t>
      </w:r>
      <w:r w:rsidR="006D4C79" w:rsidRPr="00CA2CC1">
        <w:rPr>
          <w:rFonts w:cs="Calibri"/>
          <w:color w:val="231F20"/>
          <w:spacing w:val="80"/>
          <w:w w:val="110"/>
        </w:rPr>
        <w:t xml:space="preserve"> </w:t>
      </w:r>
      <w:r w:rsidRPr="00CA2CC1">
        <w:rPr>
          <w:rFonts w:cs="Calibri"/>
          <w:color w:val="231F20"/>
          <w:w w:val="110"/>
        </w:rPr>
        <w:t>strategy</w:t>
      </w:r>
      <w:r w:rsidR="006D4C79" w:rsidRPr="00CA2CC1">
        <w:rPr>
          <w:rFonts w:cs="Calibri"/>
          <w:color w:val="231F20"/>
          <w:w w:val="110"/>
        </w:rPr>
        <w:t xml:space="preserve"> </w:t>
      </w:r>
      <w:r w:rsidRPr="00CA2CC1">
        <w:rPr>
          <w:rFonts w:cs="Calibri"/>
          <w:color w:val="231F20"/>
          <w:w w:val="110"/>
        </w:rPr>
        <w:t>program</w:t>
      </w:r>
    </w:p>
    <w:p w14:paraId="0AD8976E" w14:textId="77777777" w:rsidR="00FA4226" w:rsidRPr="00CA2CC1" w:rsidRDefault="00FA4226" w:rsidP="0043303B">
      <w:pPr>
        <w:pStyle w:val="BodyText"/>
        <w:rPr>
          <w:rFonts w:cs="Calibri"/>
          <w:sz w:val="20"/>
        </w:rPr>
      </w:pPr>
    </w:p>
    <w:p w14:paraId="3EB40985" w14:textId="77777777" w:rsidR="00FA4226" w:rsidRPr="00CA2CC1" w:rsidRDefault="00FA4226" w:rsidP="0043303B">
      <w:pPr>
        <w:rPr>
          <w:rFonts w:cs="Calibri"/>
          <w:sz w:val="20"/>
        </w:rPr>
        <w:sectPr w:rsidR="00FA4226" w:rsidRPr="00CA2CC1" w:rsidSect="00E941A5">
          <w:pgSz w:w="11910" w:h="16840"/>
          <w:pgMar w:top="1134" w:right="1278" w:bottom="1134" w:left="1134" w:header="720" w:footer="720" w:gutter="0"/>
          <w:cols w:space="720"/>
        </w:sectPr>
      </w:pPr>
    </w:p>
    <w:p w14:paraId="1BDDF854" w14:textId="77777777" w:rsidR="00FA4226" w:rsidRPr="00CA2CC1" w:rsidRDefault="00000000" w:rsidP="007448F0">
      <w:pPr>
        <w:pStyle w:val="Heading3"/>
        <w:rPr>
          <w:rFonts w:cs="Calibri"/>
        </w:rPr>
      </w:pPr>
      <w:r w:rsidRPr="00CA2CC1">
        <w:rPr>
          <w:rFonts w:cs="Calibri"/>
        </w:rPr>
        <w:t>Victoria’s</w:t>
      </w:r>
      <w:r w:rsidRPr="00CA2CC1">
        <w:rPr>
          <w:rFonts w:cs="Calibri"/>
          <w:spacing w:val="-7"/>
        </w:rPr>
        <w:t xml:space="preserve"> </w:t>
      </w:r>
      <w:r w:rsidRPr="00CA2CC1">
        <w:rPr>
          <w:rFonts w:cs="Calibri"/>
        </w:rPr>
        <w:t>30-year</w:t>
      </w:r>
      <w:r w:rsidRPr="00CA2CC1">
        <w:rPr>
          <w:rFonts w:cs="Calibri"/>
          <w:spacing w:val="-7"/>
        </w:rPr>
        <w:t xml:space="preserve"> </w:t>
      </w:r>
      <w:r w:rsidRPr="00CA2CC1">
        <w:rPr>
          <w:rFonts w:cs="Calibri"/>
        </w:rPr>
        <w:t>infrastructure strategy update</w:t>
      </w:r>
    </w:p>
    <w:p w14:paraId="7F446BAC" w14:textId="75D2550D" w:rsidR="00FA4226" w:rsidRPr="00CA2CC1" w:rsidRDefault="00000000" w:rsidP="0043303B">
      <w:pPr>
        <w:pStyle w:val="BodyText"/>
        <w:spacing w:before="103"/>
        <w:rPr>
          <w:rFonts w:cs="Calibri"/>
        </w:rPr>
      </w:pPr>
      <w:r w:rsidRPr="00CA2CC1">
        <w:rPr>
          <w:rFonts w:cs="Calibri"/>
          <w:color w:val="414042"/>
        </w:rPr>
        <w:t>Infrastructure</w:t>
      </w:r>
      <w:r w:rsidRPr="00CA2CC1">
        <w:rPr>
          <w:rFonts w:cs="Calibri"/>
          <w:color w:val="414042"/>
          <w:spacing w:val="-11"/>
        </w:rPr>
        <w:t xml:space="preserve"> </w:t>
      </w:r>
      <w:r w:rsidRPr="00CA2CC1">
        <w:rPr>
          <w:rFonts w:cs="Calibri"/>
          <w:color w:val="414042"/>
        </w:rPr>
        <w:t>Victoria</w:t>
      </w:r>
      <w:r w:rsidRPr="00CA2CC1">
        <w:rPr>
          <w:rFonts w:cs="Calibri"/>
          <w:color w:val="414042"/>
          <w:spacing w:val="-11"/>
        </w:rPr>
        <w:t xml:space="preserve"> </w:t>
      </w:r>
      <w:r w:rsidRPr="00CA2CC1">
        <w:rPr>
          <w:rFonts w:cs="Calibri"/>
          <w:color w:val="414042"/>
        </w:rPr>
        <w:t>released</w:t>
      </w:r>
      <w:r w:rsidRPr="00CA2CC1">
        <w:rPr>
          <w:rFonts w:cs="Calibri"/>
          <w:color w:val="414042"/>
          <w:spacing w:val="-11"/>
        </w:rPr>
        <w:t xml:space="preserve"> </w:t>
      </w:r>
      <w:r w:rsidRPr="00CA2CC1">
        <w:rPr>
          <w:rFonts w:cs="Calibri"/>
          <w:color w:val="414042"/>
        </w:rPr>
        <w:t>the</w:t>
      </w:r>
      <w:r w:rsidRPr="00CA2CC1">
        <w:rPr>
          <w:rFonts w:cs="Calibri"/>
          <w:color w:val="414042"/>
          <w:spacing w:val="-11"/>
        </w:rPr>
        <w:t xml:space="preserve"> </w:t>
      </w:r>
      <w:r w:rsidRPr="00CA2CC1">
        <w:rPr>
          <w:rFonts w:cs="Calibri"/>
          <w:color w:val="414042"/>
        </w:rPr>
        <w:t>state’s</w:t>
      </w:r>
      <w:r w:rsidRPr="00CA2CC1">
        <w:rPr>
          <w:rFonts w:cs="Calibri"/>
          <w:color w:val="414042"/>
          <w:spacing w:val="-11"/>
        </w:rPr>
        <w:t xml:space="preserve"> </w:t>
      </w:r>
      <w:r w:rsidRPr="00CA2CC1">
        <w:rPr>
          <w:rFonts w:cs="Calibri"/>
          <w:color w:val="414042"/>
        </w:rPr>
        <w:t>first</w:t>
      </w:r>
      <w:r w:rsidRPr="00CA2CC1">
        <w:rPr>
          <w:rFonts w:cs="Calibri"/>
          <w:color w:val="414042"/>
          <w:spacing w:val="-11"/>
        </w:rPr>
        <w:t xml:space="preserve"> </w:t>
      </w:r>
      <w:r w:rsidRPr="00CA2CC1">
        <w:rPr>
          <w:rFonts w:cs="Calibri"/>
          <w:color w:val="414042"/>
        </w:rPr>
        <w:t>integrated, cross-sectoral, 30-year strategy in 2016. We updated</w:t>
      </w:r>
      <w:r w:rsidR="00A06C09" w:rsidRPr="00CA2CC1">
        <w:rPr>
          <w:rFonts w:cs="Calibri"/>
        </w:rPr>
        <w:t xml:space="preserve"> </w:t>
      </w:r>
      <w:r w:rsidRPr="00CA2CC1">
        <w:rPr>
          <w:rFonts w:cs="Calibri"/>
          <w:color w:val="414042"/>
        </w:rPr>
        <w:t>it in 2021 in consultation with stakeholders and the community</w:t>
      </w:r>
      <w:r w:rsidRPr="00CA2CC1">
        <w:rPr>
          <w:rFonts w:cs="Calibri"/>
          <w:color w:val="414042"/>
          <w:spacing w:val="-6"/>
        </w:rPr>
        <w:t xml:space="preserve"> </w:t>
      </w:r>
      <w:r w:rsidRPr="00CA2CC1">
        <w:rPr>
          <w:rFonts w:cs="Calibri"/>
          <w:color w:val="414042"/>
        </w:rPr>
        <w:t>and</w:t>
      </w:r>
      <w:r w:rsidRPr="00CA2CC1">
        <w:rPr>
          <w:rFonts w:cs="Calibri"/>
          <w:color w:val="414042"/>
          <w:spacing w:val="-6"/>
        </w:rPr>
        <w:t xml:space="preserve"> </w:t>
      </w:r>
      <w:r w:rsidRPr="00CA2CC1">
        <w:rPr>
          <w:rFonts w:cs="Calibri"/>
          <w:color w:val="414042"/>
        </w:rPr>
        <w:t>made</w:t>
      </w:r>
      <w:r w:rsidRPr="00CA2CC1">
        <w:rPr>
          <w:rFonts w:cs="Calibri"/>
          <w:color w:val="414042"/>
          <w:spacing w:val="-6"/>
        </w:rPr>
        <w:t xml:space="preserve"> </w:t>
      </w:r>
      <w:r w:rsidRPr="00CA2CC1">
        <w:rPr>
          <w:rFonts w:cs="Calibri"/>
          <w:color w:val="414042"/>
        </w:rPr>
        <w:t>94</w:t>
      </w:r>
      <w:r w:rsidRPr="00CA2CC1">
        <w:rPr>
          <w:rFonts w:cs="Calibri"/>
          <w:color w:val="414042"/>
          <w:spacing w:val="-6"/>
        </w:rPr>
        <w:t xml:space="preserve"> </w:t>
      </w:r>
      <w:r w:rsidRPr="00CA2CC1">
        <w:rPr>
          <w:rFonts w:cs="Calibri"/>
          <w:color w:val="414042"/>
        </w:rPr>
        <w:t>recommendations</w:t>
      </w:r>
      <w:r w:rsidRPr="00CA2CC1">
        <w:rPr>
          <w:rFonts w:cs="Calibri"/>
          <w:color w:val="414042"/>
          <w:spacing w:val="-6"/>
        </w:rPr>
        <w:t xml:space="preserve"> </w:t>
      </w:r>
      <w:r w:rsidRPr="00CA2CC1">
        <w:rPr>
          <w:rFonts w:cs="Calibri"/>
          <w:color w:val="414042"/>
        </w:rPr>
        <w:t>to</w:t>
      </w:r>
      <w:r w:rsidRPr="00CA2CC1">
        <w:rPr>
          <w:rFonts w:cs="Calibri"/>
          <w:color w:val="414042"/>
          <w:spacing w:val="-6"/>
        </w:rPr>
        <w:t xml:space="preserve"> </w:t>
      </w:r>
      <w:r w:rsidRPr="00CA2CC1">
        <w:rPr>
          <w:rFonts w:cs="Calibri"/>
          <w:color w:val="414042"/>
        </w:rPr>
        <w:t>the</w:t>
      </w:r>
      <w:r w:rsidRPr="00CA2CC1">
        <w:rPr>
          <w:rFonts w:cs="Calibri"/>
          <w:color w:val="414042"/>
          <w:spacing w:val="-6"/>
        </w:rPr>
        <w:t xml:space="preserve"> </w:t>
      </w:r>
      <w:r w:rsidRPr="00CA2CC1">
        <w:rPr>
          <w:rFonts w:cs="Calibri"/>
          <w:color w:val="414042"/>
        </w:rPr>
        <w:t>Victorian Government</w:t>
      </w:r>
      <w:r w:rsidRPr="00CA2CC1">
        <w:rPr>
          <w:rFonts w:cs="Calibri"/>
          <w:color w:val="414042"/>
          <w:spacing w:val="-1"/>
        </w:rPr>
        <w:t xml:space="preserve"> </w:t>
      </w:r>
      <w:r w:rsidRPr="00CA2CC1">
        <w:rPr>
          <w:rFonts w:cs="Calibri"/>
          <w:color w:val="414042"/>
        </w:rPr>
        <w:t>to</w:t>
      </w:r>
      <w:r w:rsidRPr="00CA2CC1">
        <w:rPr>
          <w:rFonts w:cs="Calibri"/>
          <w:color w:val="414042"/>
          <w:spacing w:val="-1"/>
        </w:rPr>
        <w:t xml:space="preserve"> </w:t>
      </w:r>
      <w:r w:rsidRPr="00CA2CC1">
        <w:rPr>
          <w:rFonts w:cs="Calibri"/>
          <w:color w:val="414042"/>
        </w:rPr>
        <w:t>support</w:t>
      </w:r>
      <w:r w:rsidRPr="00CA2CC1">
        <w:rPr>
          <w:rFonts w:cs="Calibri"/>
          <w:color w:val="414042"/>
          <w:spacing w:val="-1"/>
        </w:rPr>
        <w:t xml:space="preserve"> </w:t>
      </w:r>
      <w:r w:rsidRPr="00CA2CC1">
        <w:rPr>
          <w:rFonts w:cs="Calibri"/>
          <w:color w:val="414042"/>
        </w:rPr>
        <w:t>a</w:t>
      </w:r>
      <w:r w:rsidRPr="00CA2CC1">
        <w:rPr>
          <w:rFonts w:cs="Calibri"/>
          <w:color w:val="414042"/>
          <w:spacing w:val="-1"/>
        </w:rPr>
        <w:t xml:space="preserve"> </w:t>
      </w:r>
      <w:r w:rsidRPr="00CA2CC1">
        <w:rPr>
          <w:rFonts w:cs="Calibri"/>
          <w:color w:val="414042"/>
        </w:rPr>
        <w:t>thriving,</w:t>
      </w:r>
      <w:r w:rsidRPr="00CA2CC1">
        <w:rPr>
          <w:rFonts w:cs="Calibri"/>
          <w:color w:val="414042"/>
          <w:spacing w:val="-1"/>
        </w:rPr>
        <w:t xml:space="preserve"> </w:t>
      </w:r>
      <w:r w:rsidRPr="00CA2CC1">
        <w:rPr>
          <w:rFonts w:cs="Calibri"/>
          <w:color w:val="414042"/>
        </w:rPr>
        <w:t>inclusive</w:t>
      </w:r>
      <w:r w:rsidRPr="00CA2CC1">
        <w:rPr>
          <w:rFonts w:cs="Calibri"/>
          <w:color w:val="414042"/>
          <w:spacing w:val="-1"/>
        </w:rPr>
        <w:t xml:space="preserve"> </w:t>
      </w:r>
      <w:r w:rsidRPr="00CA2CC1">
        <w:rPr>
          <w:rFonts w:cs="Calibri"/>
          <w:color w:val="414042"/>
        </w:rPr>
        <w:t>and</w:t>
      </w:r>
      <w:r w:rsidRPr="00CA2CC1">
        <w:rPr>
          <w:rFonts w:cs="Calibri"/>
          <w:color w:val="414042"/>
          <w:spacing w:val="-1"/>
        </w:rPr>
        <w:t xml:space="preserve"> </w:t>
      </w:r>
      <w:r w:rsidRPr="00CA2CC1">
        <w:rPr>
          <w:rFonts w:cs="Calibri"/>
          <w:color w:val="414042"/>
        </w:rPr>
        <w:t>sustainable Victoria over the next 30 years.</w:t>
      </w:r>
    </w:p>
    <w:p w14:paraId="7EE3A502" w14:textId="77777777" w:rsidR="00FA4226" w:rsidRPr="00CA2CC1" w:rsidRDefault="00000000" w:rsidP="0043303B">
      <w:pPr>
        <w:pStyle w:val="BodyText"/>
        <w:spacing w:before="113"/>
        <w:rPr>
          <w:rFonts w:cs="Calibri"/>
        </w:rPr>
      </w:pPr>
      <w:r w:rsidRPr="00CA2CC1">
        <w:rPr>
          <w:rFonts w:cs="Calibri"/>
          <w:i/>
          <w:color w:val="414042"/>
        </w:rPr>
        <w:t xml:space="preserve">Victoria’s infrastructure strategy 2021–2051 </w:t>
      </w:r>
      <w:r w:rsidRPr="00CA2CC1">
        <w:rPr>
          <w:rFonts w:cs="Calibri"/>
          <w:color w:val="414042"/>
        </w:rPr>
        <w:t>reflects the opportunities, challenges and changes in our society, including</w:t>
      </w:r>
      <w:r w:rsidRPr="00CA2CC1">
        <w:rPr>
          <w:rFonts w:cs="Calibri"/>
          <w:color w:val="414042"/>
          <w:spacing w:val="-5"/>
        </w:rPr>
        <w:t xml:space="preserve"> </w:t>
      </w:r>
      <w:r w:rsidRPr="00CA2CC1">
        <w:rPr>
          <w:rFonts w:cs="Calibri"/>
          <w:color w:val="414042"/>
        </w:rPr>
        <w:t>the</w:t>
      </w:r>
      <w:r w:rsidRPr="00CA2CC1">
        <w:rPr>
          <w:rFonts w:cs="Calibri"/>
          <w:color w:val="414042"/>
          <w:spacing w:val="-5"/>
        </w:rPr>
        <w:t xml:space="preserve"> </w:t>
      </w:r>
      <w:r w:rsidRPr="00CA2CC1">
        <w:rPr>
          <w:rFonts w:cs="Calibri"/>
          <w:color w:val="414042"/>
        </w:rPr>
        <w:t>impacts</w:t>
      </w:r>
      <w:r w:rsidRPr="00CA2CC1">
        <w:rPr>
          <w:rFonts w:cs="Calibri"/>
          <w:color w:val="414042"/>
          <w:spacing w:val="-5"/>
        </w:rPr>
        <w:t xml:space="preserve"> </w:t>
      </w:r>
      <w:r w:rsidRPr="00CA2CC1">
        <w:rPr>
          <w:rFonts w:cs="Calibri"/>
          <w:color w:val="414042"/>
        </w:rPr>
        <w:t>of</w:t>
      </w:r>
      <w:r w:rsidRPr="00CA2CC1">
        <w:rPr>
          <w:rFonts w:cs="Calibri"/>
          <w:color w:val="414042"/>
          <w:spacing w:val="-5"/>
        </w:rPr>
        <w:t xml:space="preserve"> </w:t>
      </w:r>
      <w:r w:rsidRPr="00CA2CC1">
        <w:rPr>
          <w:rFonts w:cs="Calibri"/>
          <w:color w:val="414042"/>
        </w:rPr>
        <w:t>climate</w:t>
      </w:r>
      <w:r w:rsidRPr="00CA2CC1">
        <w:rPr>
          <w:rFonts w:cs="Calibri"/>
          <w:color w:val="414042"/>
          <w:spacing w:val="-5"/>
        </w:rPr>
        <w:t xml:space="preserve"> </w:t>
      </w:r>
      <w:r w:rsidRPr="00CA2CC1">
        <w:rPr>
          <w:rFonts w:cs="Calibri"/>
          <w:color w:val="414042"/>
        </w:rPr>
        <w:t>change</w:t>
      </w:r>
      <w:r w:rsidRPr="00CA2CC1">
        <w:rPr>
          <w:rFonts w:cs="Calibri"/>
          <w:color w:val="414042"/>
          <w:spacing w:val="-5"/>
        </w:rPr>
        <w:t xml:space="preserve"> </w:t>
      </w:r>
      <w:r w:rsidRPr="00CA2CC1">
        <w:rPr>
          <w:rFonts w:cs="Calibri"/>
          <w:color w:val="414042"/>
        </w:rPr>
        <w:t>and</w:t>
      </w:r>
      <w:r w:rsidRPr="00CA2CC1">
        <w:rPr>
          <w:rFonts w:cs="Calibri"/>
          <w:color w:val="414042"/>
          <w:spacing w:val="-5"/>
        </w:rPr>
        <w:t xml:space="preserve"> </w:t>
      </w:r>
      <w:r w:rsidRPr="00CA2CC1">
        <w:rPr>
          <w:rFonts w:cs="Calibri"/>
          <w:color w:val="414042"/>
        </w:rPr>
        <w:t>the</w:t>
      </w:r>
      <w:r w:rsidRPr="00CA2CC1">
        <w:rPr>
          <w:rFonts w:cs="Calibri"/>
          <w:color w:val="414042"/>
          <w:spacing w:val="-5"/>
        </w:rPr>
        <w:t xml:space="preserve"> </w:t>
      </w:r>
      <w:r w:rsidRPr="00CA2CC1">
        <w:rPr>
          <w:rFonts w:cs="Calibri"/>
          <w:color w:val="414042"/>
        </w:rPr>
        <w:t>pandemic. We incorporated lessons from the 2016 strategy in developing recommendations for projects, policies and reforms spanning many types of infrastructure.</w:t>
      </w:r>
    </w:p>
    <w:p w14:paraId="7E3E43C5" w14:textId="77777777" w:rsidR="00FA4226" w:rsidRPr="00CA2CC1" w:rsidRDefault="00000000" w:rsidP="0043303B">
      <w:pPr>
        <w:pStyle w:val="BodyText"/>
        <w:spacing w:before="113"/>
        <w:rPr>
          <w:rFonts w:cs="Calibri"/>
        </w:rPr>
      </w:pPr>
      <w:r w:rsidRPr="00CA2CC1">
        <w:rPr>
          <w:rFonts w:cs="Calibri"/>
          <w:color w:val="414042"/>
        </w:rPr>
        <w:t>In early 2023, we began engagement on objectives and infrastructure</w:t>
      </w:r>
      <w:r w:rsidRPr="00CA2CC1">
        <w:rPr>
          <w:rFonts w:cs="Calibri"/>
          <w:color w:val="414042"/>
          <w:spacing w:val="-8"/>
        </w:rPr>
        <w:t xml:space="preserve"> </w:t>
      </w:r>
      <w:r w:rsidRPr="00CA2CC1">
        <w:rPr>
          <w:rFonts w:cs="Calibri"/>
          <w:color w:val="414042"/>
        </w:rPr>
        <w:t>priorities</w:t>
      </w:r>
      <w:r w:rsidRPr="00CA2CC1">
        <w:rPr>
          <w:rFonts w:cs="Calibri"/>
          <w:color w:val="414042"/>
          <w:spacing w:val="-8"/>
        </w:rPr>
        <w:t xml:space="preserve"> </w:t>
      </w:r>
      <w:r w:rsidRPr="00CA2CC1">
        <w:rPr>
          <w:rFonts w:cs="Calibri"/>
          <w:color w:val="414042"/>
        </w:rPr>
        <w:t>to</w:t>
      </w:r>
      <w:r w:rsidRPr="00CA2CC1">
        <w:rPr>
          <w:rFonts w:cs="Calibri"/>
          <w:color w:val="414042"/>
          <w:spacing w:val="-8"/>
        </w:rPr>
        <w:t xml:space="preserve"> </w:t>
      </w:r>
      <w:r w:rsidRPr="00CA2CC1">
        <w:rPr>
          <w:rFonts w:cs="Calibri"/>
          <w:color w:val="414042"/>
        </w:rPr>
        <w:t>inform</w:t>
      </w:r>
      <w:r w:rsidRPr="00CA2CC1">
        <w:rPr>
          <w:rFonts w:cs="Calibri"/>
          <w:color w:val="414042"/>
          <w:spacing w:val="-8"/>
        </w:rPr>
        <w:t xml:space="preserve"> </w:t>
      </w:r>
      <w:r w:rsidRPr="00CA2CC1">
        <w:rPr>
          <w:rFonts w:cs="Calibri"/>
          <w:color w:val="414042"/>
        </w:rPr>
        <w:t>the</w:t>
      </w:r>
      <w:r w:rsidRPr="00CA2CC1">
        <w:rPr>
          <w:rFonts w:cs="Calibri"/>
          <w:color w:val="414042"/>
          <w:spacing w:val="-8"/>
        </w:rPr>
        <w:t xml:space="preserve"> </w:t>
      </w:r>
      <w:r w:rsidRPr="00CA2CC1">
        <w:rPr>
          <w:rFonts w:cs="Calibri"/>
          <w:color w:val="414042"/>
        </w:rPr>
        <w:t>next</w:t>
      </w:r>
      <w:r w:rsidRPr="00CA2CC1">
        <w:rPr>
          <w:rFonts w:cs="Calibri"/>
          <w:color w:val="414042"/>
          <w:spacing w:val="-8"/>
        </w:rPr>
        <w:t xml:space="preserve"> </w:t>
      </w:r>
      <w:r w:rsidRPr="00CA2CC1">
        <w:rPr>
          <w:rFonts w:cs="Calibri"/>
          <w:color w:val="414042"/>
        </w:rPr>
        <w:t>update</w:t>
      </w:r>
      <w:r w:rsidRPr="00CA2CC1">
        <w:rPr>
          <w:rFonts w:cs="Calibri"/>
          <w:color w:val="414042"/>
          <w:spacing w:val="-8"/>
        </w:rPr>
        <w:t xml:space="preserve"> </w:t>
      </w:r>
      <w:r w:rsidRPr="00CA2CC1">
        <w:rPr>
          <w:rFonts w:cs="Calibri"/>
          <w:color w:val="414042"/>
        </w:rPr>
        <w:t>of</w:t>
      </w:r>
      <w:r w:rsidRPr="00CA2CC1">
        <w:rPr>
          <w:rFonts w:cs="Calibri"/>
          <w:color w:val="414042"/>
          <w:spacing w:val="-8"/>
        </w:rPr>
        <w:t xml:space="preserve"> </w:t>
      </w:r>
      <w:r w:rsidRPr="00CA2CC1">
        <w:rPr>
          <w:rFonts w:cs="Calibri"/>
          <w:color w:val="414042"/>
        </w:rPr>
        <w:t>Victoria’s infrastructure strategy in 2025. Our strategy engagement program sought to answer questions such as:</w:t>
      </w:r>
    </w:p>
    <w:p w14:paraId="35BADB1F" w14:textId="77777777" w:rsidR="00FA4226" w:rsidRPr="00CA2CC1" w:rsidRDefault="00000000" w:rsidP="0043303B">
      <w:pPr>
        <w:pStyle w:val="BodyText"/>
        <w:numPr>
          <w:ilvl w:val="0"/>
          <w:numId w:val="28"/>
        </w:numPr>
        <w:rPr>
          <w:rFonts w:cs="Calibri"/>
        </w:rPr>
      </w:pPr>
      <w:r w:rsidRPr="00CA2CC1">
        <w:rPr>
          <w:rFonts w:cs="Calibri"/>
        </w:rPr>
        <w:t>How and where should infrastructure be delivered to support fairer access for all Victorians?</w:t>
      </w:r>
    </w:p>
    <w:p w14:paraId="5C750628" w14:textId="77777777" w:rsidR="00FA4226" w:rsidRPr="00CA2CC1" w:rsidRDefault="00000000" w:rsidP="0043303B">
      <w:pPr>
        <w:pStyle w:val="BodyText"/>
        <w:numPr>
          <w:ilvl w:val="0"/>
          <w:numId w:val="28"/>
        </w:numPr>
        <w:rPr>
          <w:rFonts w:cs="Calibri"/>
        </w:rPr>
      </w:pPr>
      <w:r w:rsidRPr="00CA2CC1">
        <w:rPr>
          <w:rFonts w:cs="Calibri"/>
        </w:rPr>
        <w:t>How can we better use our infrastructure and make it more productive?</w:t>
      </w:r>
    </w:p>
    <w:p w14:paraId="107A1AD4" w14:textId="77777777" w:rsidR="00FA4226" w:rsidRPr="00CA2CC1" w:rsidRDefault="00000000" w:rsidP="0043303B">
      <w:pPr>
        <w:pStyle w:val="BodyText"/>
        <w:numPr>
          <w:ilvl w:val="0"/>
          <w:numId w:val="28"/>
        </w:numPr>
        <w:rPr>
          <w:rFonts w:cs="Calibri"/>
        </w:rPr>
      </w:pPr>
      <w:r w:rsidRPr="00CA2CC1">
        <w:rPr>
          <w:rFonts w:cs="Calibri"/>
        </w:rPr>
        <w:t>How can infrastructure help reduce the impacts of climate change, and be adapted to withstand more frequent and extreme weather events?</w:t>
      </w:r>
    </w:p>
    <w:p w14:paraId="3763F8E1" w14:textId="77777777" w:rsidR="00FA4226" w:rsidRPr="00CA2CC1" w:rsidRDefault="00000000" w:rsidP="0043303B">
      <w:pPr>
        <w:pStyle w:val="BodyText"/>
        <w:numPr>
          <w:ilvl w:val="0"/>
          <w:numId w:val="28"/>
        </w:numPr>
        <w:rPr>
          <w:rFonts w:cs="Calibri"/>
        </w:rPr>
      </w:pPr>
      <w:r w:rsidRPr="00CA2CC1">
        <w:rPr>
          <w:rFonts w:cs="Calibri"/>
        </w:rPr>
        <w:t>How can infrastructure respond to change and disruption including population growth and new technology?</w:t>
      </w:r>
    </w:p>
    <w:p w14:paraId="114F9C9E" w14:textId="77777777" w:rsidR="00FA4226" w:rsidRPr="00CA2CC1" w:rsidRDefault="00000000" w:rsidP="0043303B">
      <w:pPr>
        <w:pStyle w:val="BodyText"/>
        <w:spacing w:before="116"/>
        <w:rPr>
          <w:rFonts w:cs="Calibri"/>
        </w:rPr>
      </w:pPr>
      <w:r w:rsidRPr="00CA2CC1">
        <w:rPr>
          <w:rFonts w:cs="Calibri"/>
          <w:color w:val="414042"/>
        </w:rPr>
        <w:t>As we update the strategy, we want to engage with Victorians</w:t>
      </w:r>
      <w:r w:rsidRPr="00CA2CC1">
        <w:rPr>
          <w:rFonts w:cs="Calibri"/>
          <w:color w:val="414042"/>
          <w:spacing w:val="-10"/>
        </w:rPr>
        <w:t xml:space="preserve"> </w:t>
      </w:r>
      <w:r w:rsidRPr="00CA2CC1">
        <w:rPr>
          <w:rFonts w:cs="Calibri"/>
          <w:color w:val="414042"/>
        </w:rPr>
        <w:t>meaningfully</w:t>
      </w:r>
      <w:r w:rsidRPr="00CA2CC1">
        <w:rPr>
          <w:rFonts w:cs="Calibri"/>
          <w:color w:val="414042"/>
          <w:spacing w:val="-10"/>
        </w:rPr>
        <w:t xml:space="preserve"> </w:t>
      </w:r>
      <w:r w:rsidRPr="00CA2CC1">
        <w:rPr>
          <w:rFonts w:cs="Calibri"/>
          <w:color w:val="414042"/>
        </w:rPr>
        <w:t>and</w:t>
      </w:r>
      <w:r w:rsidRPr="00CA2CC1">
        <w:rPr>
          <w:rFonts w:cs="Calibri"/>
          <w:color w:val="414042"/>
          <w:spacing w:val="-10"/>
        </w:rPr>
        <w:t xml:space="preserve"> </w:t>
      </w:r>
      <w:r w:rsidRPr="00CA2CC1">
        <w:rPr>
          <w:rFonts w:cs="Calibri"/>
          <w:color w:val="414042"/>
        </w:rPr>
        <w:t>transparently.</w:t>
      </w:r>
      <w:r w:rsidRPr="00CA2CC1">
        <w:rPr>
          <w:rFonts w:cs="Calibri"/>
          <w:color w:val="414042"/>
          <w:spacing w:val="-10"/>
        </w:rPr>
        <w:t xml:space="preserve"> </w:t>
      </w:r>
      <w:r w:rsidRPr="00CA2CC1">
        <w:rPr>
          <w:rFonts w:cs="Calibri"/>
          <w:color w:val="414042"/>
        </w:rPr>
        <w:t>During</w:t>
      </w:r>
      <w:r w:rsidRPr="00CA2CC1">
        <w:rPr>
          <w:rFonts w:cs="Calibri"/>
          <w:color w:val="414042"/>
          <w:spacing w:val="-10"/>
        </w:rPr>
        <w:t xml:space="preserve"> </w:t>
      </w:r>
      <w:r w:rsidRPr="00CA2CC1">
        <w:rPr>
          <w:rFonts w:cs="Calibri"/>
          <w:color w:val="414042"/>
        </w:rPr>
        <w:t>our</w:t>
      </w:r>
      <w:r w:rsidRPr="00CA2CC1">
        <w:rPr>
          <w:rFonts w:cs="Calibri"/>
          <w:color w:val="414042"/>
          <w:spacing w:val="-10"/>
        </w:rPr>
        <w:t xml:space="preserve"> </w:t>
      </w:r>
      <w:r w:rsidRPr="00CA2CC1">
        <w:rPr>
          <w:rFonts w:cs="Calibri"/>
          <w:color w:val="414042"/>
        </w:rPr>
        <w:t>initial engagement program, held between February and June 2023, we asked Victorians to help set the objectives of the strategy, define the major infrastructure challenges and</w:t>
      </w:r>
      <w:r w:rsidRPr="00CA2CC1">
        <w:rPr>
          <w:rFonts w:cs="Calibri"/>
          <w:color w:val="414042"/>
          <w:spacing w:val="-6"/>
        </w:rPr>
        <w:t xml:space="preserve"> </w:t>
      </w:r>
      <w:r w:rsidRPr="00CA2CC1">
        <w:rPr>
          <w:rFonts w:cs="Calibri"/>
          <w:color w:val="414042"/>
        </w:rPr>
        <w:t>opportunities,</w:t>
      </w:r>
      <w:r w:rsidRPr="00CA2CC1">
        <w:rPr>
          <w:rFonts w:cs="Calibri"/>
          <w:color w:val="414042"/>
          <w:spacing w:val="-6"/>
        </w:rPr>
        <w:t xml:space="preserve"> </w:t>
      </w:r>
      <w:r w:rsidRPr="00CA2CC1">
        <w:rPr>
          <w:rFonts w:cs="Calibri"/>
          <w:color w:val="414042"/>
        </w:rPr>
        <w:t>and</w:t>
      </w:r>
      <w:r w:rsidRPr="00CA2CC1">
        <w:rPr>
          <w:rFonts w:cs="Calibri"/>
          <w:color w:val="414042"/>
          <w:spacing w:val="-6"/>
        </w:rPr>
        <w:t xml:space="preserve"> </w:t>
      </w:r>
      <w:r w:rsidRPr="00CA2CC1">
        <w:rPr>
          <w:rFonts w:cs="Calibri"/>
          <w:color w:val="414042"/>
        </w:rPr>
        <w:t>propose</w:t>
      </w:r>
      <w:r w:rsidRPr="00CA2CC1">
        <w:rPr>
          <w:rFonts w:cs="Calibri"/>
          <w:color w:val="414042"/>
          <w:spacing w:val="-6"/>
        </w:rPr>
        <w:t xml:space="preserve"> </w:t>
      </w:r>
      <w:r w:rsidRPr="00CA2CC1">
        <w:rPr>
          <w:rFonts w:cs="Calibri"/>
          <w:color w:val="414042"/>
        </w:rPr>
        <w:t>infrastructure</w:t>
      </w:r>
      <w:r w:rsidRPr="00CA2CC1">
        <w:rPr>
          <w:rFonts w:cs="Calibri"/>
          <w:color w:val="414042"/>
          <w:spacing w:val="-6"/>
        </w:rPr>
        <w:t xml:space="preserve"> </w:t>
      </w:r>
      <w:r w:rsidRPr="00CA2CC1">
        <w:rPr>
          <w:rFonts w:cs="Calibri"/>
          <w:color w:val="414042"/>
        </w:rPr>
        <w:t>options</w:t>
      </w:r>
      <w:r w:rsidRPr="00CA2CC1">
        <w:rPr>
          <w:rFonts w:cs="Calibri"/>
          <w:color w:val="414042"/>
          <w:spacing w:val="-6"/>
        </w:rPr>
        <w:t xml:space="preserve"> </w:t>
      </w:r>
      <w:r w:rsidRPr="00CA2CC1">
        <w:rPr>
          <w:rFonts w:cs="Calibri"/>
          <w:color w:val="414042"/>
        </w:rPr>
        <w:t>and policies that address them.</w:t>
      </w:r>
    </w:p>
    <w:p w14:paraId="36381AD0" w14:textId="77777777" w:rsidR="00FA4226" w:rsidRPr="00CA2CC1" w:rsidRDefault="00000000" w:rsidP="0043303B">
      <w:pPr>
        <w:pStyle w:val="BodyText"/>
        <w:spacing w:before="113"/>
        <w:rPr>
          <w:rFonts w:cs="Calibri"/>
        </w:rPr>
      </w:pPr>
      <w:r w:rsidRPr="00CA2CC1">
        <w:rPr>
          <w:rFonts w:cs="Calibri"/>
          <w:color w:val="414042"/>
        </w:rPr>
        <w:t>We are also working with First Peoples including Aboriginal Community Controlled Organisations to hear their perspectives</w:t>
      </w:r>
      <w:r w:rsidRPr="00CA2CC1">
        <w:rPr>
          <w:rFonts w:cs="Calibri"/>
          <w:color w:val="414042"/>
          <w:spacing w:val="-4"/>
        </w:rPr>
        <w:t xml:space="preserve"> </w:t>
      </w:r>
      <w:r w:rsidRPr="00CA2CC1">
        <w:rPr>
          <w:rFonts w:cs="Calibri"/>
          <w:color w:val="414042"/>
        </w:rPr>
        <w:t>and</w:t>
      </w:r>
      <w:r w:rsidRPr="00CA2CC1">
        <w:rPr>
          <w:rFonts w:cs="Calibri"/>
          <w:color w:val="414042"/>
          <w:spacing w:val="-4"/>
        </w:rPr>
        <w:t xml:space="preserve"> </w:t>
      </w:r>
      <w:r w:rsidRPr="00CA2CC1">
        <w:rPr>
          <w:rFonts w:cs="Calibri"/>
          <w:color w:val="414042"/>
        </w:rPr>
        <w:t>the</w:t>
      </w:r>
      <w:r w:rsidRPr="00CA2CC1">
        <w:rPr>
          <w:rFonts w:cs="Calibri"/>
          <w:color w:val="414042"/>
          <w:spacing w:val="-4"/>
        </w:rPr>
        <w:t xml:space="preserve"> </w:t>
      </w:r>
      <w:r w:rsidRPr="00CA2CC1">
        <w:rPr>
          <w:rFonts w:cs="Calibri"/>
          <w:color w:val="414042"/>
        </w:rPr>
        <w:t>goals</w:t>
      </w:r>
      <w:r w:rsidRPr="00CA2CC1">
        <w:rPr>
          <w:rFonts w:cs="Calibri"/>
          <w:color w:val="414042"/>
          <w:spacing w:val="-4"/>
        </w:rPr>
        <w:t xml:space="preserve"> </w:t>
      </w:r>
      <w:r w:rsidRPr="00CA2CC1">
        <w:rPr>
          <w:rFonts w:cs="Calibri"/>
          <w:color w:val="414042"/>
        </w:rPr>
        <w:t>important</w:t>
      </w:r>
      <w:r w:rsidRPr="00CA2CC1">
        <w:rPr>
          <w:rFonts w:cs="Calibri"/>
          <w:color w:val="414042"/>
          <w:spacing w:val="-4"/>
        </w:rPr>
        <w:t xml:space="preserve"> </w:t>
      </w:r>
      <w:r w:rsidRPr="00CA2CC1">
        <w:rPr>
          <w:rFonts w:cs="Calibri"/>
          <w:color w:val="414042"/>
        </w:rPr>
        <w:t>to</w:t>
      </w:r>
      <w:r w:rsidRPr="00CA2CC1">
        <w:rPr>
          <w:rFonts w:cs="Calibri"/>
          <w:color w:val="414042"/>
          <w:spacing w:val="-4"/>
        </w:rPr>
        <w:t xml:space="preserve"> </w:t>
      </w:r>
      <w:r w:rsidRPr="00CA2CC1">
        <w:rPr>
          <w:rFonts w:cs="Calibri"/>
          <w:color w:val="414042"/>
        </w:rPr>
        <w:t>them.</w:t>
      </w:r>
      <w:r w:rsidRPr="00CA2CC1">
        <w:rPr>
          <w:rFonts w:cs="Calibri"/>
          <w:color w:val="414042"/>
          <w:spacing w:val="-4"/>
        </w:rPr>
        <w:t xml:space="preserve"> </w:t>
      </w:r>
      <w:r w:rsidRPr="00CA2CC1">
        <w:rPr>
          <w:rFonts w:cs="Calibri"/>
          <w:color w:val="414042"/>
        </w:rPr>
        <w:t>This</w:t>
      </w:r>
      <w:r w:rsidRPr="00CA2CC1">
        <w:rPr>
          <w:rFonts w:cs="Calibri"/>
          <w:color w:val="414042"/>
          <w:spacing w:val="-4"/>
        </w:rPr>
        <w:t xml:space="preserve"> </w:t>
      </w:r>
      <w:r w:rsidRPr="00CA2CC1">
        <w:rPr>
          <w:rFonts w:cs="Calibri"/>
          <w:color w:val="414042"/>
        </w:rPr>
        <w:t>is</w:t>
      </w:r>
      <w:r w:rsidRPr="00CA2CC1">
        <w:rPr>
          <w:rFonts w:cs="Calibri"/>
          <w:color w:val="414042"/>
          <w:spacing w:val="-4"/>
        </w:rPr>
        <w:t xml:space="preserve"> </w:t>
      </w:r>
      <w:r w:rsidRPr="00CA2CC1">
        <w:rPr>
          <w:rFonts w:cs="Calibri"/>
          <w:color w:val="414042"/>
        </w:rPr>
        <w:t>part</w:t>
      </w:r>
      <w:r w:rsidRPr="00CA2CC1">
        <w:rPr>
          <w:rFonts w:cs="Calibri"/>
          <w:color w:val="414042"/>
          <w:spacing w:val="-4"/>
        </w:rPr>
        <w:t xml:space="preserve"> </w:t>
      </w:r>
      <w:r w:rsidRPr="00CA2CC1">
        <w:rPr>
          <w:rFonts w:cs="Calibri"/>
          <w:color w:val="414042"/>
        </w:rPr>
        <w:t>of an</w:t>
      </w:r>
      <w:r w:rsidRPr="00CA2CC1">
        <w:rPr>
          <w:rFonts w:cs="Calibri"/>
          <w:color w:val="414042"/>
          <w:spacing w:val="-5"/>
        </w:rPr>
        <w:t xml:space="preserve"> </w:t>
      </w:r>
      <w:r w:rsidRPr="00CA2CC1">
        <w:rPr>
          <w:rFonts w:cs="Calibri"/>
          <w:color w:val="414042"/>
        </w:rPr>
        <w:t>ongoing</w:t>
      </w:r>
      <w:r w:rsidRPr="00CA2CC1">
        <w:rPr>
          <w:rFonts w:cs="Calibri"/>
          <w:color w:val="414042"/>
          <w:spacing w:val="-5"/>
        </w:rPr>
        <w:t xml:space="preserve"> </w:t>
      </w:r>
      <w:r w:rsidRPr="00CA2CC1">
        <w:rPr>
          <w:rFonts w:cs="Calibri"/>
          <w:color w:val="414042"/>
        </w:rPr>
        <w:t>conversation</w:t>
      </w:r>
      <w:r w:rsidRPr="00CA2CC1">
        <w:rPr>
          <w:rFonts w:cs="Calibri"/>
          <w:color w:val="414042"/>
          <w:spacing w:val="-5"/>
        </w:rPr>
        <w:t xml:space="preserve"> </w:t>
      </w:r>
      <w:r w:rsidRPr="00CA2CC1">
        <w:rPr>
          <w:rFonts w:cs="Calibri"/>
          <w:color w:val="414042"/>
        </w:rPr>
        <w:t>to</w:t>
      </w:r>
      <w:r w:rsidRPr="00CA2CC1">
        <w:rPr>
          <w:rFonts w:cs="Calibri"/>
          <w:color w:val="414042"/>
          <w:spacing w:val="-5"/>
        </w:rPr>
        <w:t xml:space="preserve"> </w:t>
      </w:r>
      <w:r w:rsidRPr="00CA2CC1">
        <w:rPr>
          <w:rFonts w:cs="Calibri"/>
          <w:color w:val="414042"/>
        </w:rPr>
        <w:t>integrate</w:t>
      </w:r>
      <w:r w:rsidRPr="00CA2CC1">
        <w:rPr>
          <w:rFonts w:cs="Calibri"/>
          <w:color w:val="414042"/>
          <w:spacing w:val="-5"/>
        </w:rPr>
        <w:t xml:space="preserve"> </w:t>
      </w:r>
      <w:r w:rsidRPr="00CA2CC1">
        <w:rPr>
          <w:rFonts w:cs="Calibri"/>
          <w:color w:val="414042"/>
        </w:rPr>
        <w:t>Victorian</w:t>
      </w:r>
      <w:r w:rsidRPr="00CA2CC1">
        <w:rPr>
          <w:rFonts w:cs="Calibri"/>
          <w:color w:val="414042"/>
          <w:spacing w:val="-5"/>
        </w:rPr>
        <w:t xml:space="preserve"> </w:t>
      </w:r>
      <w:r w:rsidRPr="00CA2CC1">
        <w:rPr>
          <w:rFonts w:cs="Calibri"/>
          <w:color w:val="414042"/>
        </w:rPr>
        <w:t>First</w:t>
      </w:r>
      <w:r w:rsidRPr="00CA2CC1">
        <w:rPr>
          <w:rFonts w:cs="Calibri"/>
          <w:color w:val="414042"/>
          <w:spacing w:val="-5"/>
        </w:rPr>
        <w:t xml:space="preserve"> </w:t>
      </w:r>
      <w:r w:rsidRPr="00CA2CC1">
        <w:rPr>
          <w:rFonts w:cs="Calibri"/>
          <w:color w:val="414042"/>
        </w:rPr>
        <w:t>Peoples’ perspectives into the updated infrastructure strategy, and better understand their perspectives on all our work.</w:t>
      </w:r>
    </w:p>
    <w:p w14:paraId="63A0F869" w14:textId="34F48158" w:rsidR="00FA4226" w:rsidRPr="00CA2CC1" w:rsidRDefault="00000000" w:rsidP="0043303B">
      <w:pPr>
        <w:pStyle w:val="BodyText"/>
        <w:rPr>
          <w:rFonts w:cs="Calibri"/>
          <w:sz w:val="15"/>
        </w:rPr>
      </w:pPr>
      <w:r w:rsidRPr="00CA2CC1">
        <w:rPr>
          <w:rFonts w:cs="Calibri"/>
        </w:rPr>
        <w:t>Victorians</w:t>
      </w:r>
      <w:r w:rsidRPr="00CA2CC1">
        <w:rPr>
          <w:rFonts w:cs="Calibri"/>
          <w:spacing w:val="-5"/>
        </w:rPr>
        <w:t xml:space="preserve"> </w:t>
      </w:r>
      <w:r w:rsidRPr="00CA2CC1">
        <w:rPr>
          <w:rFonts w:cs="Calibri"/>
        </w:rPr>
        <w:t>had</w:t>
      </w:r>
      <w:r w:rsidRPr="00CA2CC1">
        <w:rPr>
          <w:rFonts w:cs="Calibri"/>
          <w:spacing w:val="-5"/>
        </w:rPr>
        <w:t xml:space="preserve"> </w:t>
      </w:r>
      <w:r w:rsidRPr="00CA2CC1">
        <w:rPr>
          <w:rFonts w:cs="Calibri"/>
        </w:rPr>
        <w:t>many</w:t>
      </w:r>
      <w:r w:rsidRPr="00CA2CC1">
        <w:rPr>
          <w:rFonts w:cs="Calibri"/>
          <w:spacing w:val="-5"/>
        </w:rPr>
        <w:t xml:space="preserve"> </w:t>
      </w:r>
      <w:r w:rsidRPr="00CA2CC1">
        <w:rPr>
          <w:rFonts w:cs="Calibri"/>
        </w:rPr>
        <w:t>opportunities</w:t>
      </w:r>
      <w:r w:rsidRPr="00CA2CC1">
        <w:rPr>
          <w:rFonts w:cs="Calibri"/>
          <w:spacing w:val="-5"/>
        </w:rPr>
        <w:t xml:space="preserve"> </w:t>
      </w:r>
      <w:r w:rsidRPr="00CA2CC1">
        <w:rPr>
          <w:rFonts w:cs="Calibri"/>
        </w:rPr>
        <w:t>to</w:t>
      </w:r>
      <w:r w:rsidRPr="00CA2CC1">
        <w:rPr>
          <w:rFonts w:cs="Calibri"/>
          <w:spacing w:val="-5"/>
        </w:rPr>
        <w:t xml:space="preserve"> </w:t>
      </w:r>
      <w:r w:rsidRPr="00CA2CC1">
        <w:rPr>
          <w:rFonts w:cs="Calibri"/>
        </w:rPr>
        <w:t>take</w:t>
      </w:r>
      <w:r w:rsidRPr="00CA2CC1">
        <w:rPr>
          <w:rFonts w:cs="Calibri"/>
          <w:spacing w:val="-5"/>
        </w:rPr>
        <w:t xml:space="preserve"> </w:t>
      </w:r>
      <w:r w:rsidRPr="00CA2CC1">
        <w:rPr>
          <w:rFonts w:cs="Calibri"/>
        </w:rPr>
        <w:t>part</w:t>
      </w:r>
      <w:r w:rsidRPr="00CA2CC1">
        <w:rPr>
          <w:rFonts w:cs="Calibri"/>
          <w:spacing w:val="-5"/>
        </w:rPr>
        <w:t xml:space="preserve"> </w:t>
      </w:r>
      <w:r w:rsidRPr="00CA2CC1">
        <w:rPr>
          <w:rFonts w:cs="Calibri"/>
        </w:rPr>
        <w:t>in</w:t>
      </w:r>
      <w:r w:rsidRPr="00CA2CC1">
        <w:rPr>
          <w:rFonts w:cs="Calibri"/>
          <w:spacing w:val="-5"/>
        </w:rPr>
        <w:t xml:space="preserve"> </w:t>
      </w:r>
      <w:r w:rsidRPr="00CA2CC1">
        <w:rPr>
          <w:rFonts w:cs="Calibri"/>
        </w:rPr>
        <w:t>developing the objectives and informing the draft strategy, including:</w:t>
      </w:r>
    </w:p>
    <w:p w14:paraId="3166C1B1" w14:textId="77777777" w:rsidR="00FA4226" w:rsidRPr="00CA2CC1" w:rsidRDefault="00000000" w:rsidP="0043303B">
      <w:pPr>
        <w:pStyle w:val="BodyText"/>
        <w:rPr>
          <w:rFonts w:cs="Calibri"/>
          <w:b/>
          <w:bCs/>
        </w:rPr>
      </w:pPr>
      <w:r w:rsidRPr="00CA2CC1">
        <w:rPr>
          <w:rFonts w:cs="Calibri"/>
          <w:b/>
          <w:bCs/>
        </w:rPr>
        <w:t xml:space="preserve">Open call for ideas and </w:t>
      </w:r>
      <w:r w:rsidRPr="00CA2CC1">
        <w:rPr>
          <w:rFonts w:cs="Calibri"/>
          <w:b/>
          <w:bCs/>
          <w:spacing w:val="-2"/>
        </w:rPr>
        <w:t>submissions</w:t>
      </w:r>
    </w:p>
    <w:p w14:paraId="4E216C35" w14:textId="77777777" w:rsidR="00FA4226" w:rsidRPr="00CA2CC1" w:rsidRDefault="00000000" w:rsidP="0043303B">
      <w:pPr>
        <w:pStyle w:val="BodyText"/>
        <w:spacing w:before="116"/>
        <w:jc w:val="both"/>
        <w:rPr>
          <w:rFonts w:cs="Calibri"/>
        </w:rPr>
      </w:pPr>
      <w:r w:rsidRPr="00CA2CC1">
        <w:rPr>
          <w:rFonts w:cs="Calibri"/>
          <w:color w:val="414042"/>
        </w:rPr>
        <w:t>From</w:t>
      </w:r>
      <w:r w:rsidRPr="00CA2CC1">
        <w:rPr>
          <w:rFonts w:cs="Calibri"/>
          <w:color w:val="414042"/>
          <w:spacing w:val="-5"/>
        </w:rPr>
        <w:t xml:space="preserve"> </w:t>
      </w:r>
      <w:r w:rsidRPr="00CA2CC1">
        <w:rPr>
          <w:rFonts w:cs="Calibri"/>
          <w:color w:val="414042"/>
        </w:rPr>
        <w:t>23</w:t>
      </w:r>
      <w:r w:rsidRPr="00CA2CC1">
        <w:rPr>
          <w:rFonts w:cs="Calibri"/>
          <w:color w:val="414042"/>
          <w:spacing w:val="-5"/>
        </w:rPr>
        <w:t xml:space="preserve"> </w:t>
      </w:r>
      <w:r w:rsidRPr="00CA2CC1">
        <w:rPr>
          <w:rFonts w:cs="Calibri"/>
          <w:color w:val="414042"/>
        </w:rPr>
        <w:t>February</w:t>
      </w:r>
      <w:r w:rsidRPr="00CA2CC1">
        <w:rPr>
          <w:rFonts w:cs="Calibri"/>
          <w:color w:val="414042"/>
          <w:spacing w:val="-5"/>
        </w:rPr>
        <w:t xml:space="preserve"> </w:t>
      </w:r>
      <w:r w:rsidRPr="00CA2CC1">
        <w:rPr>
          <w:rFonts w:cs="Calibri"/>
          <w:color w:val="414042"/>
        </w:rPr>
        <w:t>to</w:t>
      </w:r>
      <w:r w:rsidRPr="00CA2CC1">
        <w:rPr>
          <w:rFonts w:cs="Calibri"/>
          <w:color w:val="414042"/>
          <w:spacing w:val="-5"/>
        </w:rPr>
        <w:t xml:space="preserve"> </w:t>
      </w:r>
      <w:r w:rsidRPr="00CA2CC1">
        <w:rPr>
          <w:rFonts w:cs="Calibri"/>
          <w:color w:val="414042"/>
        </w:rPr>
        <w:t>4</w:t>
      </w:r>
      <w:r w:rsidRPr="00CA2CC1">
        <w:rPr>
          <w:rFonts w:cs="Calibri"/>
          <w:color w:val="414042"/>
          <w:spacing w:val="-5"/>
        </w:rPr>
        <w:t xml:space="preserve"> </w:t>
      </w:r>
      <w:r w:rsidRPr="00CA2CC1">
        <w:rPr>
          <w:rFonts w:cs="Calibri"/>
          <w:color w:val="414042"/>
        </w:rPr>
        <w:t>June</w:t>
      </w:r>
      <w:r w:rsidRPr="00CA2CC1">
        <w:rPr>
          <w:rFonts w:cs="Calibri"/>
          <w:color w:val="414042"/>
          <w:spacing w:val="-5"/>
        </w:rPr>
        <w:t xml:space="preserve"> </w:t>
      </w:r>
      <w:r w:rsidRPr="00CA2CC1">
        <w:rPr>
          <w:rFonts w:cs="Calibri"/>
          <w:color w:val="414042"/>
        </w:rPr>
        <w:t>2023,</w:t>
      </w:r>
      <w:r w:rsidRPr="00CA2CC1">
        <w:rPr>
          <w:rFonts w:cs="Calibri"/>
          <w:color w:val="414042"/>
          <w:spacing w:val="-5"/>
        </w:rPr>
        <w:t xml:space="preserve"> </w:t>
      </w:r>
      <w:r w:rsidRPr="00CA2CC1">
        <w:rPr>
          <w:rFonts w:cs="Calibri"/>
          <w:color w:val="414042"/>
        </w:rPr>
        <w:t>Infrastructure</w:t>
      </w:r>
      <w:r w:rsidRPr="00CA2CC1">
        <w:rPr>
          <w:rFonts w:cs="Calibri"/>
          <w:color w:val="414042"/>
          <w:spacing w:val="-5"/>
        </w:rPr>
        <w:t xml:space="preserve"> </w:t>
      </w:r>
      <w:r w:rsidRPr="00CA2CC1">
        <w:rPr>
          <w:rFonts w:cs="Calibri"/>
          <w:color w:val="414042"/>
        </w:rPr>
        <w:t>Victoria called</w:t>
      </w:r>
      <w:r w:rsidRPr="00CA2CC1">
        <w:rPr>
          <w:rFonts w:cs="Calibri"/>
          <w:color w:val="414042"/>
          <w:spacing w:val="-5"/>
        </w:rPr>
        <w:t xml:space="preserve"> </w:t>
      </w:r>
      <w:r w:rsidRPr="00CA2CC1">
        <w:rPr>
          <w:rFonts w:cs="Calibri"/>
          <w:color w:val="414042"/>
        </w:rPr>
        <w:t>for</w:t>
      </w:r>
      <w:r w:rsidRPr="00CA2CC1">
        <w:rPr>
          <w:rFonts w:cs="Calibri"/>
          <w:color w:val="414042"/>
          <w:spacing w:val="-5"/>
        </w:rPr>
        <w:t xml:space="preserve"> </w:t>
      </w:r>
      <w:r w:rsidRPr="00CA2CC1">
        <w:rPr>
          <w:rFonts w:cs="Calibri"/>
          <w:color w:val="414042"/>
        </w:rPr>
        <w:t>short</w:t>
      </w:r>
      <w:r w:rsidRPr="00CA2CC1">
        <w:rPr>
          <w:rFonts w:cs="Calibri"/>
          <w:color w:val="414042"/>
          <w:spacing w:val="-5"/>
        </w:rPr>
        <w:t xml:space="preserve"> </w:t>
      </w:r>
      <w:r w:rsidRPr="00CA2CC1">
        <w:rPr>
          <w:rFonts w:cs="Calibri"/>
          <w:color w:val="414042"/>
        </w:rPr>
        <w:t>ideas</w:t>
      </w:r>
      <w:r w:rsidRPr="00CA2CC1">
        <w:rPr>
          <w:rFonts w:cs="Calibri"/>
          <w:color w:val="414042"/>
          <w:spacing w:val="-5"/>
        </w:rPr>
        <w:t xml:space="preserve"> </w:t>
      </w:r>
      <w:r w:rsidRPr="00CA2CC1">
        <w:rPr>
          <w:rFonts w:cs="Calibri"/>
          <w:color w:val="414042"/>
        </w:rPr>
        <w:t>and</w:t>
      </w:r>
      <w:r w:rsidRPr="00CA2CC1">
        <w:rPr>
          <w:rFonts w:cs="Calibri"/>
          <w:color w:val="414042"/>
          <w:spacing w:val="-5"/>
        </w:rPr>
        <w:t xml:space="preserve"> </w:t>
      </w:r>
      <w:r w:rsidRPr="00CA2CC1">
        <w:rPr>
          <w:rFonts w:cs="Calibri"/>
          <w:color w:val="414042"/>
        </w:rPr>
        <w:t>detailed</w:t>
      </w:r>
      <w:r w:rsidRPr="00CA2CC1">
        <w:rPr>
          <w:rFonts w:cs="Calibri"/>
          <w:color w:val="414042"/>
          <w:spacing w:val="-5"/>
        </w:rPr>
        <w:t xml:space="preserve"> </w:t>
      </w:r>
      <w:r w:rsidRPr="00CA2CC1">
        <w:rPr>
          <w:rFonts w:cs="Calibri"/>
          <w:color w:val="414042"/>
        </w:rPr>
        <w:t>submissions</w:t>
      </w:r>
      <w:r w:rsidRPr="00CA2CC1">
        <w:rPr>
          <w:rFonts w:cs="Calibri"/>
          <w:color w:val="414042"/>
          <w:spacing w:val="-5"/>
        </w:rPr>
        <w:t xml:space="preserve"> </w:t>
      </w:r>
      <w:r w:rsidRPr="00CA2CC1">
        <w:rPr>
          <w:rFonts w:cs="Calibri"/>
          <w:color w:val="414042"/>
        </w:rPr>
        <w:t>to</w:t>
      </w:r>
      <w:r w:rsidRPr="00CA2CC1">
        <w:rPr>
          <w:rFonts w:cs="Calibri"/>
          <w:color w:val="414042"/>
          <w:spacing w:val="-5"/>
        </w:rPr>
        <w:t xml:space="preserve"> </w:t>
      </w:r>
      <w:r w:rsidRPr="00CA2CC1">
        <w:rPr>
          <w:rFonts w:cs="Calibri"/>
          <w:color w:val="414042"/>
        </w:rPr>
        <w:t>inform our</w:t>
      </w:r>
      <w:r w:rsidRPr="00CA2CC1">
        <w:rPr>
          <w:rFonts w:cs="Calibri"/>
          <w:color w:val="414042"/>
          <w:spacing w:val="-1"/>
        </w:rPr>
        <w:t xml:space="preserve"> </w:t>
      </w:r>
      <w:r w:rsidRPr="00CA2CC1">
        <w:rPr>
          <w:rFonts w:cs="Calibri"/>
          <w:color w:val="414042"/>
        </w:rPr>
        <w:t>next</w:t>
      </w:r>
      <w:r w:rsidRPr="00CA2CC1">
        <w:rPr>
          <w:rFonts w:cs="Calibri"/>
          <w:color w:val="414042"/>
          <w:spacing w:val="-1"/>
        </w:rPr>
        <w:t xml:space="preserve"> </w:t>
      </w:r>
      <w:r w:rsidRPr="00CA2CC1">
        <w:rPr>
          <w:rFonts w:cs="Calibri"/>
          <w:color w:val="414042"/>
        </w:rPr>
        <w:t>strategy.</w:t>
      </w:r>
      <w:r w:rsidRPr="00CA2CC1">
        <w:rPr>
          <w:rFonts w:cs="Calibri"/>
          <w:color w:val="414042"/>
          <w:spacing w:val="-1"/>
        </w:rPr>
        <w:t xml:space="preserve"> </w:t>
      </w:r>
      <w:r w:rsidRPr="00CA2CC1">
        <w:rPr>
          <w:rFonts w:cs="Calibri"/>
          <w:color w:val="414042"/>
        </w:rPr>
        <w:t>We</w:t>
      </w:r>
      <w:r w:rsidRPr="00CA2CC1">
        <w:rPr>
          <w:rFonts w:cs="Calibri"/>
          <w:color w:val="414042"/>
          <w:spacing w:val="-1"/>
        </w:rPr>
        <w:t xml:space="preserve"> </w:t>
      </w:r>
      <w:r w:rsidRPr="00CA2CC1">
        <w:rPr>
          <w:rFonts w:cs="Calibri"/>
          <w:color w:val="414042"/>
        </w:rPr>
        <w:t>welcomed</w:t>
      </w:r>
      <w:r w:rsidRPr="00CA2CC1">
        <w:rPr>
          <w:rFonts w:cs="Calibri"/>
          <w:color w:val="414042"/>
          <w:spacing w:val="-1"/>
        </w:rPr>
        <w:t xml:space="preserve"> </w:t>
      </w:r>
      <w:r w:rsidRPr="00CA2CC1">
        <w:rPr>
          <w:rFonts w:cs="Calibri"/>
          <w:color w:val="414042"/>
        </w:rPr>
        <w:t>ideas</w:t>
      </w:r>
      <w:r w:rsidRPr="00CA2CC1">
        <w:rPr>
          <w:rFonts w:cs="Calibri"/>
          <w:color w:val="414042"/>
          <w:spacing w:val="-1"/>
        </w:rPr>
        <w:t xml:space="preserve"> </w:t>
      </w:r>
      <w:r w:rsidRPr="00CA2CC1">
        <w:rPr>
          <w:rFonts w:cs="Calibri"/>
          <w:color w:val="414042"/>
        </w:rPr>
        <w:t>and</w:t>
      </w:r>
      <w:r w:rsidRPr="00CA2CC1">
        <w:rPr>
          <w:rFonts w:cs="Calibri"/>
          <w:color w:val="414042"/>
          <w:spacing w:val="-1"/>
        </w:rPr>
        <w:t xml:space="preserve"> </w:t>
      </w:r>
      <w:r w:rsidRPr="00CA2CC1">
        <w:rPr>
          <w:rFonts w:cs="Calibri"/>
          <w:color w:val="414042"/>
        </w:rPr>
        <w:t>submissions from individuals and organisations across Victoria.</w:t>
      </w:r>
    </w:p>
    <w:p w14:paraId="7340FCFA" w14:textId="77777777" w:rsidR="00FA4226" w:rsidRPr="00CA2CC1" w:rsidRDefault="00000000" w:rsidP="0043303B">
      <w:pPr>
        <w:pStyle w:val="BodyText"/>
        <w:rPr>
          <w:rFonts w:cs="Calibri"/>
          <w:b/>
          <w:bCs/>
        </w:rPr>
      </w:pPr>
      <w:r w:rsidRPr="00CA2CC1">
        <w:rPr>
          <w:rFonts w:cs="Calibri"/>
          <w:b/>
          <w:bCs/>
        </w:rPr>
        <w:t xml:space="preserve">Objectives </w:t>
      </w:r>
      <w:r w:rsidRPr="00CA2CC1">
        <w:rPr>
          <w:rFonts w:cs="Calibri"/>
          <w:b/>
          <w:bCs/>
          <w:spacing w:val="-2"/>
        </w:rPr>
        <w:t>survey</w:t>
      </w:r>
    </w:p>
    <w:p w14:paraId="1F35E6DA" w14:textId="77777777" w:rsidR="00FA4226" w:rsidRPr="00CA2CC1" w:rsidRDefault="00000000" w:rsidP="0043303B">
      <w:pPr>
        <w:pStyle w:val="BodyText"/>
        <w:spacing w:before="117"/>
        <w:rPr>
          <w:rFonts w:cs="Calibri"/>
        </w:rPr>
      </w:pPr>
      <w:r w:rsidRPr="00CA2CC1">
        <w:rPr>
          <w:rFonts w:cs="Calibri"/>
          <w:color w:val="414042"/>
        </w:rPr>
        <w:t>The survey presented a series of scenarios and asked people to choose their preferred outcome. It also invited people to identify how they felt the Victorian Government should prioritise a set of outcomes when planning and delivering</w:t>
      </w:r>
      <w:r w:rsidRPr="00CA2CC1">
        <w:rPr>
          <w:rFonts w:cs="Calibri"/>
          <w:color w:val="414042"/>
          <w:spacing w:val="-9"/>
        </w:rPr>
        <w:t xml:space="preserve"> </w:t>
      </w:r>
      <w:r w:rsidRPr="00CA2CC1">
        <w:rPr>
          <w:rFonts w:cs="Calibri"/>
          <w:color w:val="414042"/>
        </w:rPr>
        <w:t>infrastructure.</w:t>
      </w:r>
      <w:r w:rsidRPr="00CA2CC1">
        <w:rPr>
          <w:rFonts w:cs="Calibri"/>
          <w:color w:val="414042"/>
          <w:spacing w:val="-9"/>
        </w:rPr>
        <w:t xml:space="preserve"> </w:t>
      </w:r>
      <w:r w:rsidRPr="00CA2CC1">
        <w:rPr>
          <w:rFonts w:cs="Calibri"/>
          <w:color w:val="414042"/>
        </w:rPr>
        <w:t>By</w:t>
      </w:r>
      <w:r w:rsidRPr="00CA2CC1">
        <w:rPr>
          <w:rFonts w:cs="Calibri"/>
          <w:color w:val="414042"/>
          <w:spacing w:val="-9"/>
        </w:rPr>
        <w:t xml:space="preserve"> </w:t>
      </w:r>
      <w:r w:rsidRPr="00CA2CC1">
        <w:rPr>
          <w:rFonts w:cs="Calibri"/>
          <w:color w:val="414042"/>
        </w:rPr>
        <w:t>probing</w:t>
      </w:r>
      <w:r w:rsidRPr="00CA2CC1">
        <w:rPr>
          <w:rFonts w:cs="Calibri"/>
          <w:color w:val="414042"/>
          <w:spacing w:val="-9"/>
        </w:rPr>
        <w:t xml:space="preserve"> </w:t>
      </w:r>
      <w:r w:rsidRPr="00CA2CC1">
        <w:rPr>
          <w:rFonts w:cs="Calibri"/>
          <w:color w:val="414042"/>
        </w:rPr>
        <w:t>more</w:t>
      </w:r>
      <w:r w:rsidRPr="00CA2CC1">
        <w:rPr>
          <w:rFonts w:cs="Calibri"/>
          <w:color w:val="414042"/>
          <w:spacing w:val="-9"/>
        </w:rPr>
        <w:t xml:space="preserve"> </w:t>
      </w:r>
      <w:r w:rsidRPr="00CA2CC1">
        <w:rPr>
          <w:rFonts w:cs="Calibri"/>
          <w:color w:val="414042"/>
        </w:rPr>
        <w:t>deeply,</w:t>
      </w:r>
      <w:r w:rsidRPr="00CA2CC1">
        <w:rPr>
          <w:rFonts w:cs="Calibri"/>
          <w:color w:val="414042"/>
          <w:spacing w:val="-9"/>
        </w:rPr>
        <w:t xml:space="preserve"> </w:t>
      </w:r>
      <w:r w:rsidRPr="00CA2CC1">
        <w:rPr>
          <w:rFonts w:cs="Calibri"/>
          <w:color w:val="414042"/>
        </w:rPr>
        <w:t>we</w:t>
      </w:r>
      <w:r w:rsidRPr="00CA2CC1">
        <w:rPr>
          <w:rFonts w:cs="Calibri"/>
          <w:color w:val="414042"/>
          <w:spacing w:val="-9"/>
        </w:rPr>
        <w:t xml:space="preserve"> </w:t>
      </w:r>
      <w:r w:rsidRPr="00CA2CC1">
        <w:rPr>
          <w:rFonts w:cs="Calibri"/>
          <w:color w:val="414042"/>
        </w:rPr>
        <w:t>hoped to better understand Victorians’ preferences and attitudes.</w:t>
      </w:r>
    </w:p>
    <w:p w14:paraId="71E5FF8D" w14:textId="77777777" w:rsidR="00FA4226" w:rsidRPr="00CA2CC1" w:rsidRDefault="00000000" w:rsidP="0043303B">
      <w:pPr>
        <w:pStyle w:val="BodyText"/>
        <w:rPr>
          <w:rFonts w:cs="Calibri"/>
          <w:b/>
          <w:bCs/>
        </w:rPr>
      </w:pPr>
      <w:r w:rsidRPr="00CA2CC1">
        <w:rPr>
          <w:rFonts w:cs="Calibri"/>
          <w:b/>
          <w:bCs/>
        </w:rPr>
        <w:t>Young</w:t>
      </w:r>
      <w:r w:rsidRPr="00CA2CC1">
        <w:rPr>
          <w:rFonts w:cs="Calibri"/>
          <w:b/>
          <w:bCs/>
          <w:spacing w:val="-5"/>
        </w:rPr>
        <w:t xml:space="preserve"> </w:t>
      </w:r>
      <w:r w:rsidRPr="00CA2CC1">
        <w:rPr>
          <w:rFonts w:cs="Calibri"/>
          <w:b/>
          <w:bCs/>
        </w:rPr>
        <w:t>people’s forum</w:t>
      </w:r>
    </w:p>
    <w:p w14:paraId="1F89B392" w14:textId="77777777" w:rsidR="00FA4226" w:rsidRPr="00CA2CC1" w:rsidRDefault="00000000" w:rsidP="0043303B">
      <w:pPr>
        <w:pStyle w:val="BodyText"/>
        <w:spacing w:before="116"/>
        <w:rPr>
          <w:rFonts w:cs="Calibri"/>
        </w:rPr>
      </w:pPr>
      <w:r w:rsidRPr="00CA2CC1">
        <w:rPr>
          <w:rFonts w:cs="Calibri"/>
          <w:color w:val="414042"/>
        </w:rPr>
        <w:t xml:space="preserve">The outcomes of a 30-year infrastructure strategy will most impact today’s young people during their </w:t>
      </w:r>
      <w:r w:rsidRPr="00CA2CC1">
        <w:rPr>
          <w:rFonts w:cs="Calibri"/>
          <w:color w:val="414042"/>
        </w:rPr>
        <w:lastRenderedPageBreak/>
        <w:t>lives. This meant we</w:t>
      </w:r>
      <w:r w:rsidRPr="00CA2CC1">
        <w:rPr>
          <w:rFonts w:cs="Calibri"/>
          <w:color w:val="414042"/>
          <w:spacing w:val="-7"/>
        </w:rPr>
        <w:t xml:space="preserve"> </w:t>
      </w:r>
      <w:r w:rsidRPr="00CA2CC1">
        <w:rPr>
          <w:rFonts w:cs="Calibri"/>
          <w:color w:val="414042"/>
        </w:rPr>
        <w:t>particularly</w:t>
      </w:r>
      <w:r w:rsidRPr="00CA2CC1">
        <w:rPr>
          <w:rFonts w:cs="Calibri"/>
          <w:color w:val="414042"/>
          <w:spacing w:val="-7"/>
        </w:rPr>
        <w:t xml:space="preserve"> </w:t>
      </w:r>
      <w:r w:rsidRPr="00CA2CC1">
        <w:rPr>
          <w:rFonts w:cs="Calibri"/>
          <w:color w:val="414042"/>
        </w:rPr>
        <w:t>wanted</w:t>
      </w:r>
      <w:r w:rsidRPr="00CA2CC1">
        <w:rPr>
          <w:rFonts w:cs="Calibri"/>
          <w:color w:val="414042"/>
          <w:spacing w:val="-7"/>
        </w:rPr>
        <w:t xml:space="preserve"> </w:t>
      </w:r>
      <w:r w:rsidRPr="00CA2CC1">
        <w:rPr>
          <w:rFonts w:cs="Calibri"/>
          <w:color w:val="414042"/>
        </w:rPr>
        <w:t>to</w:t>
      </w:r>
      <w:r w:rsidRPr="00CA2CC1">
        <w:rPr>
          <w:rFonts w:cs="Calibri"/>
          <w:color w:val="414042"/>
          <w:spacing w:val="-7"/>
        </w:rPr>
        <w:t xml:space="preserve"> </w:t>
      </w:r>
      <w:r w:rsidRPr="00CA2CC1">
        <w:rPr>
          <w:rFonts w:cs="Calibri"/>
          <w:color w:val="414042"/>
        </w:rPr>
        <w:t>hear</w:t>
      </w:r>
      <w:r w:rsidRPr="00CA2CC1">
        <w:rPr>
          <w:rFonts w:cs="Calibri"/>
          <w:color w:val="414042"/>
          <w:spacing w:val="-7"/>
        </w:rPr>
        <w:t xml:space="preserve"> </w:t>
      </w:r>
      <w:r w:rsidRPr="00CA2CC1">
        <w:rPr>
          <w:rFonts w:cs="Calibri"/>
          <w:color w:val="414042"/>
        </w:rPr>
        <w:t>from</w:t>
      </w:r>
      <w:r w:rsidRPr="00CA2CC1">
        <w:rPr>
          <w:rFonts w:cs="Calibri"/>
          <w:color w:val="414042"/>
          <w:spacing w:val="-7"/>
        </w:rPr>
        <w:t xml:space="preserve"> </w:t>
      </w:r>
      <w:r w:rsidRPr="00CA2CC1">
        <w:rPr>
          <w:rFonts w:cs="Calibri"/>
          <w:color w:val="414042"/>
        </w:rPr>
        <w:t>young</w:t>
      </w:r>
      <w:r w:rsidRPr="00CA2CC1">
        <w:rPr>
          <w:rFonts w:cs="Calibri"/>
          <w:color w:val="414042"/>
          <w:spacing w:val="-7"/>
        </w:rPr>
        <w:t xml:space="preserve"> </w:t>
      </w:r>
      <w:r w:rsidRPr="00CA2CC1">
        <w:rPr>
          <w:rFonts w:cs="Calibri"/>
          <w:color w:val="414042"/>
        </w:rPr>
        <w:t>Victorians.</w:t>
      </w:r>
      <w:r w:rsidRPr="00CA2CC1">
        <w:rPr>
          <w:rFonts w:cs="Calibri"/>
          <w:color w:val="414042"/>
          <w:spacing w:val="-7"/>
        </w:rPr>
        <w:t xml:space="preserve"> </w:t>
      </w:r>
      <w:r w:rsidRPr="00CA2CC1">
        <w:rPr>
          <w:rFonts w:cs="Calibri"/>
          <w:color w:val="414042"/>
        </w:rPr>
        <w:t>To</w:t>
      </w:r>
      <w:r w:rsidRPr="00CA2CC1">
        <w:rPr>
          <w:rFonts w:cs="Calibri"/>
          <w:color w:val="414042"/>
          <w:spacing w:val="-7"/>
        </w:rPr>
        <w:t xml:space="preserve"> </w:t>
      </w:r>
      <w:r w:rsidRPr="00CA2CC1">
        <w:rPr>
          <w:rFonts w:cs="Calibri"/>
          <w:color w:val="414042"/>
        </w:rPr>
        <w:t>do this, we ran a deliberative engagement forum for 39 young people. The forum gave them a chance to deeply consider infrastructure issues and tell us about their priorities for the future. It produced insights that will strengthen the strategy and helped us refine its objectives.</w:t>
      </w:r>
    </w:p>
    <w:p w14:paraId="00BA985F" w14:textId="77777777" w:rsidR="00FA4226" w:rsidRPr="00CA2CC1" w:rsidRDefault="00000000" w:rsidP="0043303B">
      <w:pPr>
        <w:pStyle w:val="BodyText"/>
        <w:rPr>
          <w:rFonts w:cs="Calibri"/>
          <w:b/>
          <w:bCs/>
        </w:rPr>
      </w:pPr>
      <w:r w:rsidRPr="00CA2CC1">
        <w:rPr>
          <w:rFonts w:cs="Calibri"/>
          <w:b/>
          <w:bCs/>
        </w:rPr>
        <w:t>Sector</w:t>
      </w:r>
      <w:r w:rsidRPr="00CA2CC1">
        <w:rPr>
          <w:rFonts w:cs="Calibri"/>
          <w:b/>
          <w:bCs/>
          <w:spacing w:val="-2"/>
        </w:rPr>
        <w:t xml:space="preserve"> </w:t>
      </w:r>
      <w:r w:rsidRPr="00CA2CC1">
        <w:rPr>
          <w:rFonts w:cs="Calibri"/>
          <w:b/>
          <w:bCs/>
        </w:rPr>
        <w:t>and</w:t>
      </w:r>
      <w:r w:rsidRPr="00CA2CC1">
        <w:rPr>
          <w:rFonts w:cs="Calibri"/>
          <w:b/>
          <w:bCs/>
          <w:spacing w:val="-1"/>
        </w:rPr>
        <w:t xml:space="preserve"> </w:t>
      </w:r>
      <w:r w:rsidRPr="00CA2CC1">
        <w:rPr>
          <w:rFonts w:cs="Calibri"/>
          <w:b/>
          <w:bCs/>
        </w:rPr>
        <w:t>regional</w:t>
      </w:r>
      <w:r w:rsidRPr="00CA2CC1">
        <w:rPr>
          <w:rFonts w:cs="Calibri"/>
          <w:b/>
          <w:bCs/>
          <w:spacing w:val="-1"/>
        </w:rPr>
        <w:t xml:space="preserve"> </w:t>
      </w:r>
      <w:r w:rsidRPr="00CA2CC1">
        <w:rPr>
          <w:rFonts w:cs="Calibri"/>
          <w:b/>
          <w:bCs/>
          <w:spacing w:val="-2"/>
        </w:rPr>
        <w:t>workshops</w:t>
      </w:r>
    </w:p>
    <w:p w14:paraId="11742E0F" w14:textId="77777777" w:rsidR="00FA4226" w:rsidRPr="00CA2CC1" w:rsidRDefault="00000000" w:rsidP="0043303B">
      <w:pPr>
        <w:pStyle w:val="BodyText"/>
        <w:spacing w:before="117"/>
        <w:rPr>
          <w:rFonts w:cs="Calibri"/>
        </w:rPr>
      </w:pPr>
      <w:r w:rsidRPr="00CA2CC1">
        <w:rPr>
          <w:rFonts w:cs="Calibri"/>
          <w:color w:val="414042"/>
        </w:rPr>
        <w:t>We consulted with stakeholders working in 9 infrastructure sectors</w:t>
      </w:r>
      <w:r w:rsidRPr="00CA2CC1">
        <w:rPr>
          <w:rFonts w:cs="Calibri"/>
          <w:color w:val="414042"/>
          <w:spacing w:val="-5"/>
        </w:rPr>
        <w:t xml:space="preserve"> </w:t>
      </w:r>
      <w:r w:rsidRPr="00CA2CC1">
        <w:rPr>
          <w:rFonts w:cs="Calibri"/>
          <w:color w:val="414042"/>
        </w:rPr>
        <w:t>to</w:t>
      </w:r>
      <w:r w:rsidRPr="00CA2CC1">
        <w:rPr>
          <w:rFonts w:cs="Calibri"/>
          <w:color w:val="414042"/>
          <w:spacing w:val="-5"/>
        </w:rPr>
        <w:t xml:space="preserve"> </w:t>
      </w:r>
      <w:r w:rsidRPr="00CA2CC1">
        <w:rPr>
          <w:rFonts w:cs="Calibri"/>
          <w:color w:val="414042"/>
        </w:rPr>
        <w:t>get</w:t>
      </w:r>
      <w:r w:rsidRPr="00CA2CC1">
        <w:rPr>
          <w:rFonts w:cs="Calibri"/>
          <w:color w:val="414042"/>
          <w:spacing w:val="-5"/>
        </w:rPr>
        <w:t xml:space="preserve"> </w:t>
      </w:r>
      <w:r w:rsidRPr="00CA2CC1">
        <w:rPr>
          <w:rFonts w:cs="Calibri"/>
          <w:color w:val="414042"/>
        </w:rPr>
        <w:t>accurate</w:t>
      </w:r>
      <w:r w:rsidRPr="00CA2CC1">
        <w:rPr>
          <w:rFonts w:cs="Calibri"/>
          <w:color w:val="414042"/>
          <w:spacing w:val="-5"/>
        </w:rPr>
        <w:t xml:space="preserve"> </w:t>
      </w:r>
      <w:r w:rsidRPr="00CA2CC1">
        <w:rPr>
          <w:rFonts w:cs="Calibri"/>
          <w:color w:val="414042"/>
        </w:rPr>
        <w:t>and</w:t>
      </w:r>
      <w:r w:rsidRPr="00CA2CC1">
        <w:rPr>
          <w:rFonts w:cs="Calibri"/>
          <w:color w:val="414042"/>
          <w:spacing w:val="-5"/>
        </w:rPr>
        <w:t xml:space="preserve"> </w:t>
      </w:r>
      <w:r w:rsidRPr="00CA2CC1">
        <w:rPr>
          <w:rFonts w:cs="Calibri"/>
          <w:color w:val="414042"/>
        </w:rPr>
        <w:t>contemporary</w:t>
      </w:r>
      <w:r w:rsidRPr="00CA2CC1">
        <w:rPr>
          <w:rFonts w:cs="Calibri"/>
          <w:color w:val="414042"/>
          <w:spacing w:val="-5"/>
        </w:rPr>
        <w:t xml:space="preserve"> </w:t>
      </w:r>
      <w:r w:rsidRPr="00CA2CC1">
        <w:rPr>
          <w:rFonts w:cs="Calibri"/>
          <w:color w:val="414042"/>
        </w:rPr>
        <w:t>information</w:t>
      </w:r>
      <w:r w:rsidRPr="00CA2CC1">
        <w:rPr>
          <w:rFonts w:cs="Calibri"/>
          <w:color w:val="414042"/>
          <w:spacing w:val="-5"/>
        </w:rPr>
        <w:t xml:space="preserve"> </w:t>
      </w:r>
      <w:r w:rsidRPr="00CA2CC1">
        <w:rPr>
          <w:rFonts w:cs="Calibri"/>
          <w:color w:val="414042"/>
        </w:rPr>
        <w:t>about Victoria’s infrastructure. This included government and non- government stakeholders.</w:t>
      </w:r>
    </w:p>
    <w:p w14:paraId="3117BC1C" w14:textId="77777777" w:rsidR="00FA4226" w:rsidRPr="00CA2CC1" w:rsidRDefault="00000000" w:rsidP="0043303B">
      <w:pPr>
        <w:pStyle w:val="BodyText"/>
        <w:spacing w:before="115"/>
        <w:rPr>
          <w:rFonts w:cs="Calibri"/>
        </w:rPr>
      </w:pPr>
      <w:r w:rsidRPr="00CA2CC1">
        <w:rPr>
          <w:rFonts w:cs="Calibri"/>
          <w:color w:val="414042"/>
        </w:rPr>
        <w:t>We also wanted to hear from regional Victorians, because they</w:t>
      </w:r>
      <w:r w:rsidRPr="00CA2CC1">
        <w:rPr>
          <w:rFonts w:cs="Calibri"/>
          <w:color w:val="414042"/>
          <w:spacing w:val="-8"/>
        </w:rPr>
        <w:t xml:space="preserve"> </w:t>
      </w:r>
      <w:r w:rsidRPr="00CA2CC1">
        <w:rPr>
          <w:rFonts w:cs="Calibri"/>
          <w:color w:val="414042"/>
        </w:rPr>
        <w:t>offer</w:t>
      </w:r>
      <w:r w:rsidRPr="00CA2CC1">
        <w:rPr>
          <w:rFonts w:cs="Calibri"/>
          <w:color w:val="414042"/>
          <w:spacing w:val="-8"/>
        </w:rPr>
        <w:t xml:space="preserve"> </w:t>
      </w:r>
      <w:r w:rsidRPr="00CA2CC1">
        <w:rPr>
          <w:rFonts w:cs="Calibri"/>
          <w:color w:val="414042"/>
        </w:rPr>
        <w:t>different</w:t>
      </w:r>
      <w:r w:rsidRPr="00CA2CC1">
        <w:rPr>
          <w:rFonts w:cs="Calibri"/>
          <w:color w:val="414042"/>
          <w:spacing w:val="-8"/>
        </w:rPr>
        <w:t xml:space="preserve"> </w:t>
      </w:r>
      <w:r w:rsidRPr="00CA2CC1">
        <w:rPr>
          <w:rFonts w:cs="Calibri"/>
          <w:color w:val="414042"/>
        </w:rPr>
        <w:t>perspectives</w:t>
      </w:r>
      <w:r w:rsidRPr="00CA2CC1">
        <w:rPr>
          <w:rFonts w:cs="Calibri"/>
          <w:color w:val="414042"/>
          <w:spacing w:val="-8"/>
        </w:rPr>
        <w:t xml:space="preserve"> </w:t>
      </w:r>
      <w:r w:rsidRPr="00CA2CC1">
        <w:rPr>
          <w:rFonts w:cs="Calibri"/>
          <w:color w:val="414042"/>
        </w:rPr>
        <w:t>and</w:t>
      </w:r>
      <w:r w:rsidRPr="00CA2CC1">
        <w:rPr>
          <w:rFonts w:cs="Calibri"/>
          <w:color w:val="414042"/>
          <w:spacing w:val="-8"/>
        </w:rPr>
        <w:t xml:space="preserve"> </w:t>
      </w:r>
      <w:r w:rsidRPr="00CA2CC1">
        <w:rPr>
          <w:rFonts w:cs="Calibri"/>
          <w:color w:val="414042"/>
        </w:rPr>
        <w:t>face</w:t>
      </w:r>
      <w:r w:rsidRPr="00CA2CC1">
        <w:rPr>
          <w:rFonts w:cs="Calibri"/>
          <w:color w:val="414042"/>
          <w:spacing w:val="-8"/>
        </w:rPr>
        <w:t xml:space="preserve"> </w:t>
      </w:r>
      <w:r w:rsidRPr="00CA2CC1">
        <w:rPr>
          <w:rFonts w:cs="Calibri"/>
          <w:color w:val="414042"/>
        </w:rPr>
        <w:t>different</w:t>
      </w:r>
      <w:r w:rsidRPr="00CA2CC1">
        <w:rPr>
          <w:rFonts w:cs="Calibri"/>
          <w:color w:val="414042"/>
          <w:spacing w:val="-8"/>
        </w:rPr>
        <w:t xml:space="preserve"> </w:t>
      </w:r>
      <w:r w:rsidRPr="00CA2CC1">
        <w:rPr>
          <w:rFonts w:cs="Calibri"/>
          <w:color w:val="414042"/>
        </w:rPr>
        <w:t>challenges and opportunities. We held regional stakeholder workshops to hear directly from local community representatives. Our young people’s forum also included participants who live in regional areas.</w:t>
      </w:r>
    </w:p>
    <w:p w14:paraId="4B15481D" w14:textId="78A659CF" w:rsidR="00FA4226" w:rsidRPr="00CA2CC1" w:rsidRDefault="00000000" w:rsidP="000A7226">
      <w:pPr>
        <w:pStyle w:val="BodyText"/>
        <w:spacing w:before="113"/>
        <w:rPr>
          <w:rFonts w:cs="Calibri"/>
        </w:rPr>
        <w:sectPr w:rsidR="00FA4226" w:rsidRPr="00CA2CC1" w:rsidSect="00E941A5">
          <w:type w:val="continuous"/>
          <w:pgSz w:w="11910" w:h="16840"/>
          <w:pgMar w:top="1134" w:right="1278" w:bottom="1134" w:left="1134" w:header="720" w:footer="720" w:gutter="0"/>
          <w:cols w:space="720"/>
        </w:sectPr>
      </w:pPr>
      <w:r w:rsidRPr="00CA2CC1">
        <w:rPr>
          <w:rFonts w:cs="Calibri"/>
          <w:color w:val="414042"/>
        </w:rPr>
        <w:t>Consistent themes were highlighted through all our engagement</w:t>
      </w:r>
      <w:r w:rsidRPr="00CA2CC1">
        <w:rPr>
          <w:rFonts w:cs="Calibri"/>
          <w:color w:val="414042"/>
          <w:spacing w:val="-7"/>
        </w:rPr>
        <w:t xml:space="preserve"> </w:t>
      </w:r>
      <w:r w:rsidRPr="00CA2CC1">
        <w:rPr>
          <w:rFonts w:cs="Calibri"/>
          <w:color w:val="414042"/>
        </w:rPr>
        <w:t>with</w:t>
      </w:r>
      <w:r w:rsidRPr="00CA2CC1">
        <w:rPr>
          <w:rFonts w:cs="Calibri"/>
          <w:color w:val="414042"/>
          <w:spacing w:val="-7"/>
        </w:rPr>
        <w:t xml:space="preserve"> </w:t>
      </w:r>
      <w:r w:rsidRPr="00CA2CC1">
        <w:rPr>
          <w:rFonts w:cs="Calibri"/>
          <w:color w:val="414042"/>
        </w:rPr>
        <w:t>community</w:t>
      </w:r>
      <w:r w:rsidRPr="00CA2CC1">
        <w:rPr>
          <w:rFonts w:cs="Calibri"/>
          <w:color w:val="414042"/>
          <w:spacing w:val="-7"/>
        </w:rPr>
        <w:t xml:space="preserve"> </w:t>
      </w:r>
      <w:r w:rsidRPr="00CA2CC1">
        <w:rPr>
          <w:rFonts w:cs="Calibri"/>
          <w:color w:val="414042"/>
        </w:rPr>
        <w:t>members,</w:t>
      </w:r>
      <w:r w:rsidRPr="00CA2CC1">
        <w:rPr>
          <w:rFonts w:cs="Calibri"/>
          <w:color w:val="414042"/>
          <w:spacing w:val="-7"/>
        </w:rPr>
        <w:t xml:space="preserve"> </w:t>
      </w:r>
      <w:r w:rsidRPr="00CA2CC1">
        <w:rPr>
          <w:rFonts w:cs="Calibri"/>
          <w:color w:val="414042"/>
        </w:rPr>
        <w:t>stakeholders</w:t>
      </w:r>
      <w:r w:rsidRPr="00CA2CC1">
        <w:rPr>
          <w:rFonts w:cs="Calibri"/>
          <w:color w:val="414042"/>
          <w:spacing w:val="-7"/>
        </w:rPr>
        <w:t xml:space="preserve"> </w:t>
      </w:r>
      <w:r w:rsidRPr="00CA2CC1">
        <w:rPr>
          <w:rFonts w:cs="Calibri"/>
          <w:color w:val="414042"/>
        </w:rPr>
        <w:t>and young people. People told us they highly value action on climate change, managing water wisely, access to public transport,</w:t>
      </w:r>
      <w:r w:rsidRPr="00CA2CC1">
        <w:rPr>
          <w:rFonts w:cs="Calibri"/>
          <w:color w:val="414042"/>
          <w:spacing w:val="-6"/>
        </w:rPr>
        <w:t xml:space="preserve"> </w:t>
      </w:r>
      <w:r w:rsidRPr="00CA2CC1">
        <w:rPr>
          <w:rFonts w:cs="Calibri"/>
          <w:color w:val="414042"/>
        </w:rPr>
        <w:t>using</w:t>
      </w:r>
      <w:r w:rsidRPr="00CA2CC1">
        <w:rPr>
          <w:rFonts w:cs="Calibri"/>
          <w:color w:val="414042"/>
          <w:spacing w:val="-6"/>
        </w:rPr>
        <w:t xml:space="preserve"> </w:t>
      </w:r>
      <w:r w:rsidRPr="00CA2CC1">
        <w:rPr>
          <w:rFonts w:cs="Calibri"/>
          <w:color w:val="414042"/>
        </w:rPr>
        <w:t>resources</w:t>
      </w:r>
      <w:r w:rsidRPr="00CA2CC1">
        <w:rPr>
          <w:rFonts w:cs="Calibri"/>
          <w:color w:val="414042"/>
          <w:spacing w:val="-6"/>
        </w:rPr>
        <w:t xml:space="preserve"> </w:t>
      </w:r>
      <w:r w:rsidRPr="00CA2CC1">
        <w:rPr>
          <w:rFonts w:cs="Calibri"/>
          <w:color w:val="414042"/>
        </w:rPr>
        <w:t>efficiently,</w:t>
      </w:r>
      <w:r w:rsidRPr="00CA2CC1">
        <w:rPr>
          <w:rFonts w:cs="Calibri"/>
          <w:color w:val="414042"/>
          <w:spacing w:val="-6"/>
        </w:rPr>
        <w:t xml:space="preserve"> </w:t>
      </w:r>
      <w:r w:rsidRPr="00CA2CC1">
        <w:rPr>
          <w:rFonts w:cs="Calibri"/>
          <w:color w:val="414042"/>
        </w:rPr>
        <w:t>and</w:t>
      </w:r>
      <w:r w:rsidRPr="00CA2CC1">
        <w:rPr>
          <w:rFonts w:cs="Calibri"/>
          <w:color w:val="414042"/>
          <w:spacing w:val="-6"/>
        </w:rPr>
        <w:t xml:space="preserve"> </w:t>
      </w:r>
      <w:r w:rsidRPr="00CA2CC1">
        <w:rPr>
          <w:rFonts w:cs="Calibri"/>
          <w:color w:val="414042"/>
        </w:rPr>
        <w:t>achieving</w:t>
      </w:r>
      <w:r w:rsidRPr="00CA2CC1">
        <w:rPr>
          <w:rFonts w:cs="Calibri"/>
          <w:color w:val="414042"/>
          <w:spacing w:val="-6"/>
        </w:rPr>
        <w:t xml:space="preserve"> </w:t>
      </w:r>
      <w:r w:rsidRPr="00CA2CC1">
        <w:rPr>
          <w:rFonts w:cs="Calibri"/>
          <w:color w:val="414042"/>
        </w:rPr>
        <w:t>better social equity.</w:t>
      </w:r>
    </w:p>
    <w:p w14:paraId="7FF823CD" w14:textId="77777777" w:rsidR="000A7226" w:rsidRPr="00CA2CC1" w:rsidRDefault="000A7226" w:rsidP="00CA2CC1">
      <w:pPr>
        <w:pStyle w:val="Heading4"/>
        <w:rPr>
          <w:color w:val="3C3C3B"/>
          <w:lang w:val="en-GB"/>
        </w:rPr>
      </w:pPr>
      <w:r w:rsidRPr="00CA2CC1">
        <w:rPr>
          <w:lang w:val="en-GB"/>
        </w:rPr>
        <w:t xml:space="preserve">The draft strategy </w:t>
      </w:r>
      <w:r w:rsidRPr="00CA2CC1">
        <w:rPr>
          <w:spacing w:val="-2"/>
          <w:lang w:val="en-GB"/>
        </w:rPr>
        <w:t>objectives</w:t>
      </w:r>
      <w:r w:rsidRPr="00CA2CC1">
        <w:rPr>
          <w:color w:val="3C3C3B"/>
          <w:lang w:val="en-GB"/>
        </w:rPr>
        <w:t xml:space="preserve"> </w:t>
      </w:r>
    </w:p>
    <w:p w14:paraId="5E1B084D" w14:textId="5780B6F8" w:rsidR="0097268C" w:rsidRPr="00CA2CC1" w:rsidRDefault="0097268C" w:rsidP="0043303B">
      <w:pPr>
        <w:adjustRightInd w:val="0"/>
        <w:spacing w:before="112"/>
        <w:rPr>
          <w:rFonts w:cs="Calibri"/>
          <w:color w:val="3C3C3B"/>
          <w:kern w:val="1"/>
          <w:lang w:val="en-GB"/>
        </w:rPr>
      </w:pPr>
      <w:r w:rsidRPr="00CA2CC1">
        <w:rPr>
          <w:rFonts w:cs="Calibri"/>
          <w:color w:val="3C3C3B"/>
          <w:kern w:val="1"/>
          <w:lang w:val="en-GB"/>
        </w:rPr>
        <w:t>Informed</w:t>
      </w:r>
      <w:r w:rsidRPr="00CA2CC1">
        <w:rPr>
          <w:rFonts w:cs="Calibri"/>
          <w:color w:val="3C3C3B"/>
          <w:spacing w:val="-3"/>
          <w:kern w:val="1"/>
          <w:lang w:val="en-GB"/>
        </w:rPr>
        <w:t xml:space="preserve"> </w:t>
      </w:r>
      <w:r w:rsidRPr="00CA2CC1">
        <w:rPr>
          <w:rFonts w:cs="Calibri"/>
          <w:color w:val="3C3C3B"/>
          <w:kern w:val="1"/>
          <w:lang w:val="en-GB"/>
        </w:rPr>
        <w:t>by</w:t>
      </w:r>
      <w:r w:rsidRPr="00CA2CC1">
        <w:rPr>
          <w:rFonts w:cs="Calibri"/>
          <w:color w:val="3C3C3B"/>
          <w:spacing w:val="-3"/>
          <w:kern w:val="1"/>
          <w:lang w:val="en-GB"/>
        </w:rPr>
        <w:t xml:space="preserve"> </w:t>
      </w:r>
      <w:r w:rsidRPr="00CA2CC1">
        <w:rPr>
          <w:rFonts w:cs="Calibri"/>
          <w:color w:val="3C3C3B"/>
          <w:kern w:val="1"/>
          <w:lang w:val="en-GB"/>
        </w:rPr>
        <w:t>the</w:t>
      </w:r>
      <w:r w:rsidRPr="00CA2CC1">
        <w:rPr>
          <w:rFonts w:cs="Calibri"/>
          <w:color w:val="3C3C3B"/>
          <w:spacing w:val="-3"/>
          <w:kern w:val="1"/>
          <w:lang w:val="en-GB"/>
        </w:rPr>
        <w:t xml:space="preserve"> </w:t>
      </w:r>
      <w:r w:rsidRPr="00CA2CC1">
        <w:rPr>
          <w:rFonts w:cs="Calibri"/>
          <w:color w:val="3C3C3B"/>
          <w:kern w:val="1"/>
          <w:lang w:val="en-GB"/>
        </w:rPr>
        <w:t>feedback</w:t>
      </w:r>
      <w:r w:rsidRPr="00CA2CC1">
        <w:rPr>
          <w:rFonts w:cs="Calibri"/>
          <w:color w:val="3C3C3B"/>
          <w:spacing w:val="-3"/>
          <w:kern w:val="1"/>
          <w:lang w:val="en-GB"/>
        </w:rPr>
        <w:t xml:space="preserve"> </w:t>
      </w:r>
      <w:r w:rsidRPr="00CA2CC1">
        <w:rPr>
          <w:rFonts w:cs="Calibri"/>
          <w:color w:val="3C3C3B"/>
          <w:kern w:val="1"/>
          <w:lang w:val="en-GB"/>
        </w:rPr>
        <w:t>across</w:t>
      </w:r>
      <w:r w:rsidRPr="00CA2CC1">
        <w:rPr>
          <w:rFonts w:cs="Calibri"/>
          <w:color w:val="3C3C3B"/>
          <w:spacing w:val="-3"/>
          <w:kern w:val="1"/>
          <w:lang w:val="en-GB"/>
        </w:rPr>
        <w:t xml:space="preserve"> </w:t>
      </w:r>
      <w:r w:rsidRPr="00CA2CC1">
        <w:rPr>
          <w:rFonts w:cs="Calibri"/>
          <w:color w:val="3C3C3B"/>
          <w:kern w:val="1"/>
          <w:lang w:val="en-GB"/>
        </w:rPr>
        <w:t>our</w:t>
      </w:r>
      <w:r w:rsidRPr="00CA2CC1">
        <w:rPr>
          <w:rFonts w:cs="Calibri"/>
          <w:color w:val="3C3C3B"/>
          <w:spacing w:val="-3"/>
          <w:kern w:val="1"/>
          <w:lang w:val="en-GB"/>
        </w:rPr>
        <w:t xml:space="preserve"> </w:t>
      </w:r>
      <w:r w:rsidRPr="00CA2CC1">
        <w:rPr>
          <w:rFonts w:cs="Calibri"/>
          <w:color w:val="3C3C3B"/>
          <w:kern w:val="1"/>
          <w:lang w:val="en-GB"/>
        </w:rPr>
        <w:t>engagement</w:t>
      </w:r>
      <w:r w:rsidRPr="00CA2CC1">
        <w:rPr>
          <w:rFonts w:cs="Calibri"/>
          <w:color w:val="3C3C3B"/>
          <w:spacing w:val="-3"/>
          <w:kern w:val="1"/>
          <w:lang w:val="en-GB"/>
        </w:rPr>
        <w:t xml:space="preserve"> </w:t>
      </w:r>
      <w:r w:rsidRPr="00CA2CC1">
        <w:rPr>
          <w:rFonts w:cs="Calibri"/>
          <w:color w:val="3C3C3B"/>
          <w:kern w:val="1"/>
          <w:lang w:val="en-GB"/>
        </w:rPr>
        <w:t>activities;</w:t>
      </w:r>
      <w:r w:rsidRPr="00CA2CC1">
        <w:rPr>
          <w:rFonts w:cs="Calibri"/>
          <w:color w:val="3C3C3B"/>
          <w:spacing w:val="-3"/>
          <w:kern w:val="1"/>
          <w:lang w:val="en-GB"/>
        </w:rPr>
        <w:t xml:space="preserve"> </w:t>
      </w:r>
      <w:r w:rsidRPr="00CA2CC1">
        <w:rPr>
          <w:rFonts w:cs="Calibri"/>
          <w:color w:val="3C3C3B"/>
          <w:kern w:val="1"/>
          <w:lang w:val="en-GB"/>
        </w:rPr>
        <w:t>we</w:t>
      </w:r>
      <w:r w:rsidRPr="00CA2CC1">
        <w:rPr>
          <w:rFonts w:cs="Calibri"/>
          <w:color w:val="3C3C3B"/>
          <w:spacing w:val="-3"/>
          <w:kern w:val="1"/>
          <w:lang w:val="en-GB"/>
        </w:rPr>
        <w:t xml:space="preserve"> </w:t>
      </w:r>
      <w:r w:rsidRPr="00CA2CC1">
        <w:rPr>
          <w:rFonts w:cs="Calibri"/>
          <w:color w:val="3C3C3B"/>
          <w:kern w:val="1"/>
          <w:lang w:val="en-GB"/>
        </w:rPr>
        <w:t>developed</w:t>
      </w:r>
      <w:r w:rsidRPr="00CA2CC1">
        <w:rPr>
          <w:rFonts w:cs="Calibri"/>
          <w:color w:val="3C3C3B"/>
          <w:spacing w:val="-3"/>
          <w:kern w:val="1"/>
          <w:lang w:val="en-GB"/>
        </w:rPr>
        <w:t xml:space="preserve"> </w:t>
      </w:r>
      <w:r w:rsidRPr="00CA2CC1">
        <w:rPr>
          <w:rFonts w:cs="Calibri"/>
          <w:color w:val="3C3C3B"/>
          <w:kern w:val="1"/>
          <w:lang w:val="en-GB"/>
        </w:rPr>
        <w:t>the</w:t>
      </w:r>
      <w:r w:rsidRPr="00CA2CC1">
        <w:rPr>
          <w:rFonts w:cs="Calibri"/>
          <w:color w:val="3C3C3B"/>
          <w:spacing w:val="-3"/>
          <w:kern w:val="1"/>
          <w:lang w:val="en-GB"/>
        </w:rPr>
        <w:t xml:space="preserve"> </w:t>
      </w:r>
      <w:r w:rsidRPr="00CA2CC1">
        <w:rPr>
          <w:rFonts w:cs="Calibri"/>
          <w:color w:val="3C3C3B"/>
          <w:kern w:val="1"/>
          <w:lang w:val="en-GB"/>
        </w:rPr>
        <w:t>following</w:t>
      </w:r>
      <w:r w:rsidRPr="00CA2CC1">
        <w:rPr>
          <w:rFonts w:cs="Calibri"/>
          <w:color w:val="3C3C3B"/>
          <w:spacing w:val="-3"/>
          <w:kern w:val="1"/>
          <w:lang w:val="en-GB"/>
        </w:rPr>
        <w:t xml:space="preserve"> </w:t>
      </w:r>
      <w:r w:rsidRPr="00CA2CC1">
        <w:rPr>
          <w:rFonts w:cs="Calibri"/>
          <w:color w:val="3C3C3B"/>
          <w:kern w:val="1"/>
          <w:lang w:val="en-GB"/>
        </w:rPr>
        <w:t>6</w:t>
      </w:r>
      <w:r w:rsidRPr="00CA2CC1">
        <w:rPr>
          <w:rFonts w:cs="Calibri"/>
          <w:color w:val="3C3C3B"/>
          <w:spacing w:val="-3"/>
          <w:kern w:val="1"/>
          <w:lang w:val="en-GB"/>
        </w:rPr>
        <w:t xml:space="preserve"> </w:t>
      </w:r>
      <w:r w:rsidRPr="00CA2CC1">
        <w:rPr>
          <w:rFonts w:cs="Calibri"/>
          <w:color w:val="3C3C3B"/>
          <w:kern w:val="1"/>
          <w:lang w:val="en-GB"/>
        </w:rPr>
        <w:t>objectives</w:t>
      </w:r>
      <w:r w:rsidRPr="00CA2CC1">
        <w:rPr>
          <w:rFonts w:cs="Calibri"/>
          <w:color w:val="3C3C3B"/>
          <w:spacing w:val="-3"/>
          <w:kern w:val="1"/>
          <w:lang w:val="en-GB"/>
        </w:rPr>
        <w:t xml:space="preserve"> </w:t>
      </w:r>
      <w:r w:rsidRPr="00CA2CC1">
        <w:rPr>
          <w:rFonts w:cs="Calibri"/>
          <w:color w:val="3C3C3B"/>
          <w:kern w:val="1"/>
          <w:lang w:val="en-GB"/>
        </w:rPr>
        <w:t>to</w:t>
      </w:r>
      <w:r w:rsidRPr="00CA2CC1">
        <w:rPr>
          <w:rFonts w:cs="Calibri"/>
          <w:color w:val="3C3C3B"/>
          <w:spacing w:val="-3"/>
          <w:kern w:val="1"/>
          <w:lang w:val="en-GB"/>
        </w:rPr>
        <w:t xml:space="preserve"> </w:t>
      </w:r>
      <w:r w:rsidRPr="00CA2CC1">
        <w:rPr>
          <w:rFonts w:cs="Calibri"/>
          <w:color w:val="3C3C3B"/>
          <w:kern w:val="1"/>
          <w:lang w:val="en-GB"/>
        </w:rPr>
        <w:t>guide the draft infrastructure strategy. These objectives are the ultimate goals the strategy will aspire to achieve.</w:t>
      </w:r>
    </w:p>
    <w:p w14:paraId="4E1A516E" w14:textId="77777777" w:rsidR="0097268C" w:rsidRPr="00CA2CC1" w:rsidRDefault="0097268C" w:rsidP="0043303B">
      <w:pPr>
        <w:adjustRightInd w:val="0"/>
        <w:spacing w:before="11"/>
        <w:rPr>
          <w:rFonts w:cs="Calibri"/>
          <w:kern w:val="1"/>
          <w:lang w:val="en-GB"/>
        </w:rPr>
      </w:pPr>
    </w:p>
    <w:p w14:paraId="62B2D288" w14:textId="77777777" w:rsidR="0097268C" w:rsidRPr="00CA2CC1" w:rsidRDefault="0097268C" w:rsidP="00CA2CC1">
      <w:pPr>
        <w:pStyle w:val="Heading4"/>
        <w:rPr>
          <w:lang w:val="en-GB"/>
        </w:rPr>
      </w:pPr>
      <w:r w:rsidRPr="00CA2CC1">
        <w:rPr>
          <w:lang w:val="en-GB"/>
        </w:rPr>
        <w:t>Victoria’s 2025–2055 strategy objectives</w:t>
      </w:r>
    </w:p>
    <w:p w14:paraId="0143A8FD" w14:textId="77777777" w:rsidR="0097268C" w:rsidRPr="00CA2CC1" w:rsidRDefault="0097268C" w:rsidP="0043303B">
      <w:pPr>
        <w:pStyle w:val="ListParagraph"/>
        <w:numPr>
          <w:ilvl w:val="0"/>
          <w:numId w:val="33"/>
        </w:numPr>
        <w:adjustRightInd w:val="0"/>
        <w:spacing w:before="80"/>
        <w:rPr>
          <w:rFonts w:cs="Calibri"/>
          <w:color w:val="414142"/>
          <w:kern w:val="1"/>
          <w:lang w:val="en-GB"/>
        </w:rPr>
      </w:pPr>
      <w:r w:rsidRPr="00CA2CC1">
        <w:rPr>
          <w:rFonts w:cs="Calibri"/>
          <w:color w:val="414142"/>
          <w:kern w:val="1"/>
          <w:lang w:val="en-GB"/>
        </w:rPr>
        <w:t>Victoria</w:t>
      </w:r>
      <w:r w:rsidRPr="00CA2CC1">
        <w:rPr>
          <w:rFonts w:cs="Calibri"/>
          <w:color w:val="414142"/>
          <w:spacing w:val="-14"/>
          <w:kern w:val="1"/>
          <w:lang w:val="en-GB"/>
        </w:rPr>
        <w:t xml:space="preserve"> </w:t>
      </w:r>
      <w:r w:rsidRPr="00CA2CC1">
        <w:rPr>
          <w:rFonts w:cs="Calibri"/>
          <w:color w:val="414142"/>
          <w:kern w:val="1"/>
          <w:lang w:val="en-GB"/>
        </w:rPr>
        <w:t>has</w:t>
      </w:r>
      <w:r w:rsidRPr="00CA2CC1">
        <w:rPr>
          <w:rFonts w:cs="Calibri"/>
          <w:color w:val="414142"/>
          <w:spacing w:val="-12"/>
          <w:kern w:val="1"/>
          <w:lang w:val="en-GB"/>
        </w:rPr>
        <w:t xml:space="preserve"> </w:t>
      </w:r>
      <w:r w:rsidRPr="00CA2CC1">
        <w:rPr>
          <w:rFonts w:cs="Calibri"/>
          <w:color w:val="414142"/>
          <w:kern w:val="1"/>
          <w:lang w:val="en-GB"/>
        </w:rPr>
        <w:t>a</w:t>
      </w:r>
      <w:r w:rsidRPr="00CA2CC1">
        <w:rPr>
          <w:rFonts w:cs="Calibri"/>
          <w:color w:val="414142"/>
          <w:spacing w:val="-11"/>
          <w:kern w:val="1"/>
          <w:lang w:val="en-GB"/>
        </w:rPr>
        <w:t xml:space="preserve"> </w:t>
      </w:r>
      <w:r w:rsidRPr="00CA2CC1">
        <w:rPr>
          <w:rFonts w:cs="Calibri"/>
          <w:color w:val="414142"/>
          <w:kern w:val="1"/>
          <w:lang w:val="en-GB"/>
        </w:rPr>
        <w:t>high productivity and circular economy</w:t>
      </w:r>
    </w:p>
    <w:p w14:paraId="1BB6B5DF" w14:textId="77777777" w:rsidR="0097268C" w:rsidRPr="00CA2CC1" w:rsidRDefault="0097268C" w:rsidP="0043303B">
      <w:pPr>
        <w:pStyle w:val="ListParagraph"/>
        <w:numPr>
          <w:ilvl w:val="0"/>
          <w:numId w:val="33"/>
        </w:numPr>
        <w:adjustRightInd w:val="0"/>
        <w:spacing w:before="80"/>
        <w:rPr>
          <w:rFonts w:cs="Calibri"/>
          <w:color w:val="414142"/>
          <w:kern w:val="1"/>
          <w:lang w:val="en-GB"/>
        </w:rPr>
      </w:pPr>
      <w:r w:rsidRPr="00CA2CC1">
        <w:rPr>
          <w:rFonts w:cs="Calibri"/>
          <w:color w:val="414142"/>
          <w:kern w:val="1"/>
          <w:lang w:val="en-GB"/>
        </w:rPr>
        <w:t>Victoria</w:t>
      </w:r>
      <w:r w:rsidRPr="00CA2CC1">
        <w:rPr>
          <w:rFonts w:cs="Calibri"/>
          <w:color w:val="414142"/>
          <w:spacing w:val="-14"/>
          <w:kern w:val="1"/>
          <w:lang w:val="en-GB"/>
        </w:rPr>
        <w:t xml:space="preserve"> </w:t>
      </w:r>
      <w:r w:rsidRPr="00CA2CC1">
        <w:rPr>
          <w:rFonts w:cs="Calibri"/>
          <w:color w:val="414142"/>
          <w:kern w:val="1"/>
          <w:lang w:val="en-GB"/>
        </w:rPr>
        <w:t>is</w:t>
      </w:r>
      <w:r w:rsidRPr="00CA2CC1">
        <w:rPr>
          <w:rFonts w:cs="Calibri"/>
          <w:color w:val="414142"/>
          <w:spacing w:val="-12"/>
          <w:kern w:val="1"/>
          <w:lang w:val="en-GB"/>
        </w:rPr>
        <w:t xml:space="preserve"> </w:t>
      </w:r>
      <w:r w:rsidRPr="00CA2CC1">
        <w:rPr>
          <w:rFonts w:cs="Calibri"/>
          <w:color w:val="414142"/>
          <w:kern w:val="1"/>
          <w:lang w:val="en-GB"/>
        </w:rPr>
        <w:t>resilient</w:t>
      </w:r>
      <w:r w:rsidRPr="00CA2CC1">
        <w:rPr>
          <w:rFonts w:cs="Calibri"/>
          <w:color w:val="414142"/>
          <w:spacing w:val="-11"/>
          <w:kern w:val="1"/>
          <w:lang w:val="en-GB"/>
        </w:rPr>
        <w:t xml:space="preserve"> </w:t>
      </w:r>
      <w:r w:rsidRPr="00CA2CC1">
        <w:rPr>
          <w:rFonts w:cs="Calibri"/>
          <w:color w:val="414142"/>
          <w:kern w:val="1"/>
          <w:lang w:val="en-GB"/>
        </w:rPr>
        <w:t>to climate change and other future risks</w:t>
      </w:r>
    </w:p>
    <w:p w14:paraId="4B6BFC30" w14:textId="77777777" w:rsidR="0097268C" w:rsidRPr="00CA2CC1" w:rsidRDefault="0097268C" w:rsidP="0043303B">
      <w:pPr>
        <w:pStyle w:val="ListParagraph"/>
        <w:numPr>
          <w:ilvl w:val="0"/>
          <w:numId w:val="33"/>
        </w:numPr>
        <w:adjustRightInd w:val="0"/>
        <w:spacing w:before="80"/>
        <w:rPr>
          <w:rFonts w:cs="Calibri"/>
          <w:color w:val="414142"/>
          <w:spacing w:val="-2"/>
          <w:kern w:val="1"/>
          <w:lang w:val="en-GB"/>
        </w:rPr>
      </w:pPr>
      <w:r w:rsidRPr="00CA2CC1">
        <w:rPr>
          <w:rFonts w:cs="Calibri"/>
          <w:color w:val="414142"/>
          <w:kern w:val="1"/>
          <w:lang w:val="en-GB"/>
        </w:rPr>
        <w:t xml:space="preserve">Victoria has a thriving natural </w:t>
      </w:r>
      <w:r w:rsidRPr="00CA2CC1">
        <w:rPr>
          <w:rFonts w:cs="Calibri"/>
          <w:color w:val="414142"/>
          <w:spacing w:val="-2"/>
          <w:kern w:val="1"/>
          <w:lang w:val="en-GB"/>
        </w:rPr>
        <w:t>environment</w:t>
      </w:r>
    </w:p>
    <w:p w14:paraId="08B68A0E" w14:textId="77777777" w:rsidR="0097268C" w:rsidRPr="00CA2CC1" w:rsidRDefault="0097268C" w:rsidP="0043303B">
      <w:pPr>
        <w:pStyle w:val="ListParagraph"/>
        <w:numPr>
          <w:ilvl w:val="0"/>
          <w:numId w:val="33"/>
        </w:numPr>
        <w:adjustRightInd w:val="0"/>
        <w:spacing w:before="80"/>
        <w:rPr>
          <w:rFonts w:cs="Calibri"/>
          <w:color w:val="414142"/>
          <w:kern w:val="1"/>
          <w:lang w:val="en-GB"/>
        </w:rPr>
      </w:pPr>
      <w:r w:rsidRPr="00CA2CC1">
        <w:rPr>
          <w:rFonts w:cs="Calibri"/>
          <w:color w:val="414142"/>
          <w:kern w:val="1"/>
          <w:lang w:val="en-GB"/>
        </w:rPr>
        <w:t>Victorians are healthy and safe</w:t>
      </w:r>
    </w:p>
    <w:p w14:paraId="5DDAF754" w14:textId="77777777" w:rsidR="0097268C" w:rsidRPr="00CA2CC1" w:rsidRDefault="0097268C" w:rsidP="0043303B">
      <w:pPr>
        <w:pStyle w:val="ListParagraph"/>
        <w:numPr>
          <w:ilvl w:val="0"/>
          <w:numId w:val="33"/>
        </w:numPr>
        <w:adjustRightInd w:val="0"/>
        <w:spacing w:before="80"/>
        <w:rPr>
          <w:rFonts w:cs="Calibri"/>
          <w:color w:val="414142"/>
          <w:kern w:val="1"/>
          <w:lang w:val="en-GB"/>
        </w:rPr>
      </w:pPr>
      <w:r w:rsidRPr="00CA2CC1">
        <w:rPr>
          <w:rFonts w:cs="Calibri"/>
          <w:color w:val="414142"/>
          <w:spacing w:val="-2"/>
          <w:kern w:val="1"/>
          <w:lang w:val="en-GB"/>
        </w:rPr>
        <w:t>Aboriginal</w:t>
      </w:r>
      <w:r w:rsidRPr="00CA2CC1">
        <w:rPr>
          <w:rFonts w:cs="Calibri"/>
          <w:color w:val="414142"/>
          <w:spacing w:val="-10"/>
          <w:kern w:val="1"/>
          <w:lang w:val="en-GB"/>
        </w:rPr>
        <w:t xml:space="preserve"> </w:t>
      </w:r>
      <w:r w:rsidRPr="00CA2CC1">
        <w:rPr>
          <w:rFonts w:cs="Calibri"/>
          <w:color w:val="414142"/>
          <w:spacing w:val="-2"/>
          <w:kern w:val="1"/>
          <w:lang w:val="en-GB"/>
        </w:rPr>
        <w:t>people</w:t>
      </w:r>
      <w:r w:rsidRPr="00CA2CC1">
        <w:rPr>
          <w:rFonts w:cs="Calibri"/>
          <w:color w:val="414142"/>
          <w:spacing w:val="-10"/>
          <w:kern w:val="1"/>
          <w:lang w:val="en-GB"/>
        </w:rPr>
        <w:t xml:space="preserve"> </w:t>
      </w:r>
      <w:r w:rsidRPr="00CA2CC1">
        <w:rPr>
          <w:rFonts w:cs="Calibri"/>
          <w:color w:val="414142"/>
          <w:spacing w:val="-2"/>
          <w:kern w:val="1"/>
          <w:lang w:val="en-GB"/>
        </w:rPr>
        <w:t xml:space="preserve">have </w:t>
      </w:r>
      <w:r w:rsidRPr="00CA2CC1">
        <w:rPr>
          <w:rFonts w:cs="Calibri"/>
          <w:color w:val="414142"/>
          <w:kern w:val="1"/>
          <w:lang w:val="en-GB"/>
        </w:rPr>
        <w:t>self-determination</w:t>
      </w:r>
      <w:r w:rsidRPr="00CA2CC1">
        <w:rPr>
          <w:rFonts w:cs="Calibri"/>
          <w:color w:val="414142"/>
          <w:spacing w:val="-12"/>
          <w:kern w:val="1"/>
          <w:lang w:val="en-GB"/>
        </w:rPr>
        <w:t xml:space="preserve"> </w:t>
      </w:r>
      <w:r w:rsidRPr="00CA2CC1">
        <w:rPr>
          <w:rFonts w:cs="Calibri"/>
          <w:color w:val="414142"/>
          <w:kern w:val="1"/>
          <w:lang w:val="en-GB"/>
        </w:rPr>
        <w:t>and equal outcomes to other Victorians</w:t>
      </w:r>
    </w:p>
    <w:p w14:paraId="344F2CDB" w14:textId="77777777" w:rsidR="0097268C" w:rsidRPr="00CA2CC1" w:rsidRDefault="0097268C" w:rsidP="0043303B">
      <w:pPr>
        <w:pStyle w:val="ListParagraph"/>
        <w:numPr>
          <w:ilvl w:val="0"/>
          <w:numId w:val="33"/>
        </w:numPr>
        <w:adjustRightInd w:val="0"/>
        <w:spacing w:before="80"/>
        <w:rPr>
          <w:rFonts w:cs="Calibri"/>
          <w:color w:val="414142"/>
          <w:spacing w:val="-2"/>
          <w:kern w:val="1"/>
          <w:lang w:val="en-GB"/>
        </w:rPr>
      </w:pPr>
      <w:r w:rsidRPr="00CA2CC1">
        <w:rPr>
          <w:rFonts w:cs="Calibri"/>
          <w:color w:val="414142"/>
          <w:spacing w:val="-2"/>
          <w:kern w:val="1"/>
          <w:lang w:val="en-GB"/>
        </w:rPr>
        <w:t>Victorians</w:t>
      </w:r>
      <w:r w:rsidRPr="00CA2CC1">
        <w:rPr>
          <w:rFonts w:cs="Calibri"/>
          <w:color w:val="414142"/>
          <w:spacing w:val="-10"/>
          <w:kern w:val="1"/>
          <w:lang w:val="en-GB"/>
        </w:rPr>
        <w:t xml:space="preserve"> </w:t>
      </w:r>
      <w:r w:rsidRPr="00CA2CC1">
        <w:rPr>
          <w:rFonts w:cs="Calibri"/>
          <w:color w:val="414142"/>
          <w:spacing w:val="-2"/>
          <w:kern w:val="1"/>
          <w:lang w:val="en-GB"/>
        </w:rPr>
        <w:t>have</w:t>
      </w:r>
      <w:r w:rsidRPr="00CA2CC1">
        <w:rPr>
          <w:rFonts w:cs="Calibri"/>
          <w:color w:val="414142"/>
          <w:spacing w:val="-10"/>
          <w:kern w:val="1"/>
          <w:lang w:val="en-GB"/>
        </w:rPr>
        <w:t xml:space="preserve"> </w:t>
      </w:r>
      <w:r w:rsidRPr="00CA2CC1">
        <w:rPr>
          <w:rFonts w:cs="Calibri"/>
          <w:color w:val="414142"/>
          <w:spacing w:val="-2"/>
          <w:kern w:val="1"/>
          <w:lang w:val="en-GB"/>
        </w:rPr>
        <w:t xml:space="preserve">good </w:t>
      </w:r>
      <w:r w:rsidRPr="00CA2CC1">
        <w:rPr>
          <w:rFonts w:cs="Calibri"/>
          <w:color w:val="414142"/>
          <w:kern w:val="1"/>
          <w:lang w:val="en-GB"/>
        </w:rPr>
        <w:t xml:space="preserve">access to housing, jobs, services and </w:t>
      </w:r>
      <w:r w:rsidRPr="00CA2CC1">
        <w:rPr>
          <w:rFonts w:cs="Calibri"/>
          <w:color w:val="414142"/>
          <w:spacing w:val="-2"/>
          <w:kern w:val="1"/>
          <w:lang w:val="en-GB"/>
        </w:rPr>
        <w:t>opportunities</w:t>
      </w:r>
    </w:p>
    <w:p w14:paraId="5C789124" w14:textId="77777777" w:rsidR="0097268C" w:rsidRPr="00CA2CC1" w:rsidRDefault="0097268C" w:rsidP="0043303B">
      <w:pPr>
        <w:adjustRightInd w:val="0"/>
        <w:rPr>
          <w:rFonts w:cs="Calibri"/>
          <w:kern w:val="1"/>
          <w:lang w:val="en-GB"/>
        </w:rPr>
      </w:pPr>
    </w:p>
    <w:p w14:paraId="18650C24" w14:textId="77777777" w:rsidR="0097268C" w:rsidRPr="00CA2CC1" w:rsidRDefault="0097268C" w:rsidP="0043303B">
      <w:pPr>
        <w:adjustRightInd w:val="0"/>
        <w:spacing w:before="80"/>
        <w:rPr>
          <w:rFonts w:cs="Calibri"/>
          <w:color w:val="000000" w:themeColor="text1"/>
          <w:spacing w:val="-2"/>
          <w:kern w:val="1"/>
          <w:lang w:val="en-GB"/>
        </w:rPr>
      </w:pPr>
      <w:r w:rsidRPr="00CA2CC1">
        <w:rPr>
          <w:rFonts w:cs="Calibri"/>
          <w:color w:val="000000" w:themeColor="text1"/>
          <w:kern w:val="1"/>
          <w:lang w:val="en-GB"/>
        </w:rPr>
        <w:t>Timeline</w:t>
      </w:r>
      <w:r w:rsidRPr="00CA2CC1">
        <w:rPr>
          <w:rFonts w:cs="Calibri"/>
          <w:color w:val="000000" w:themeColor="text1"/>
          <w:spacing w:val="-6"/>
          <w:kern w:val="1"/>
          <w:lang w:val="en-GB"/>
        </w:rPr>
        <w:t xml:space="preserve"> </w:t>
      </w:r>
      <w:r w:rsidRPr="00CA2CC1">
        <w:rPr>
          <w:rFonts w:cs="Calibri"/>
          <w:color w:val="000000" w:themeColor="text1"/>
          <w:kern w:val="1"/>
          <w:lang w:val="en-GB"/>
        </w:rPr>
        <w:t>for</w:t>
      </w:r>
      <w:r w:rsidRPr="00CA2CC1">
        <w:rPr>
          <w:rFonts w:cs="Calibri"/>
          <w:color w:val="000000" w:themeColor="text1"/>
          <w:spacing w:val="-4"/>
          <w:kern w:val="1"/>
          <w:lang w:val="en-GB"/>
        </w:rPr>
        <w:t xml:space="preserve"> </w:t>
      </w:r>
      <w:r w:rsidRPr="00CA2CC1">
        <w:rPr>
          <w:rFonts w:cs="Calibri"/>
          <w:color w:val="000000" w:themeColor="text1"/>
          <w:kern w:val="1"/>
          <w:lang w:val="en-GB"/>
        </w:rPr>
        <w:t>Victoria’s</w:t>
      </w:r>
      <w:r w:rsidRPr="00CA2CC1">
        <w:rPr>
          <w:rFonts w:cs="Calibri"/>
          <w:color w:val="000000" w:themeColor="text1"/>
          <w:spacing w:val="-3"/>
          <w:kern w:val="1"/>
          <w:lang w:val="en-GB"/>
        </w:rPr>
        <w:t xml:space="preserve"> </w:t>
      </w:r>
      <w:r w:rsidRPr="00CA2CC1">
        <w:rPr>
          <w:rFonts w:cs="Calibri"/>
          <w:color w:val="000000" w:themeColor="text1"/>
          <w:kern w:val="1"/>
          <w:lang w:val="en-GB"/>
        </w:rPr>
        <w:t>infrastructure</w:t>
      </w:r>
      <w:r w:rsidRPr="00CA2CC1">
        <w:rPr>
          <w:rFonts w:cs="Calibri"/>
          <w:color w:val="000000" w:themeColor="text1"/>
          <w:spacing w:val="-4"/>
          <w:kern w:val="1"/>
          <w:lang w:val="en-GB"/>
        </w:rPr>
        <w:t xml:space="preserve"> </w:t>
      </w:r>
      <w:r w:rsidRPr="00CA2CC1">
        <w:rPr>
          <w:rFonts w:cs="Calibri"/>
          <w:color w:val="000000" w:themeColor="text1"/>
          <w:kern w:val="1"/>
          <w:lang w:val="en-GB"/>
        </w:rPr>
        <w:t>strategy</w:t>
      </w:r>
      <w:r w:rsidRPr="00CA2CC1">
        <w:rPr>
          <w:rFonts w:cs="Calibri"/>
          <w:color w:val="000000" w:themeColor="text1"/>
          <w:spacing w:val="-3"/>
          <w:kern w:val="1"/>
          <w:lang w:val="en-GB"/>
        </w:rPr>
        <w:t xml:space="preserve"> </w:t>
      </w:r>
      <w:r w:rsidRPr="00CA2CC1">
        <w:rPr>
          <w:rFonts w:cs="Calibri"/>
          <w:color w:val="000000" w:themeColor="text1"/>
          <w:spacing w:val="-2"/>
          <w:kern w:val="1"/>
          <w:lang w:val="en-GB"/>
        </w:rPr>
        <w:t>update</w:t>
      </w:r>
    </w:p>
    <w:p w14:paraId="778F706E" w14:textId="77777777" w:rsidR="0097268C" w:rsidRPr="00CA2CC1" w:rsidRDefault="0097268C" w:rsidP="00CA2CC1">
      <w:pPr>
        <w:pStyle w:val="Heading5"/>
        <w:rPr>
          <w:spacing w:val="-4"/>
          <w:lang w:val="en-GB"/>
        </w:rPr>
      </w:pPr>
      <w:r w:rsidRPr="00CA2CC1">
        <w:rPr>
          <w:lang w:val="en-GB"/>
        </w:rPr>
        <w:t xml:space="preserve">23 February — 4 June </w:t>
      </w:r>
      <w:r w:rsidRPr="00CA2CC1">
        <w:rPr>
          <w:spacing w:val="-4"/>
          <w:lang w:val="en-GB"/>
        </w:rPr>
        <w:t>2023</w:t>
      </w:r>
    </w:p>
    <w:p w14:paraId="54D9245F" w14:textId="77777777" w:rsidR="0097268C" w:rsidRPr="00CA2CC1" w:rsidRDefault="0097268C" w:rsidP="0043303B">
      <w:pPr>
        <w:adjustRightInd w:val="0"/>
        <w:spacing w:before="80"/>
        <w:ind w:hanging="1"/>
        <w:rPr>
          <w:rFonts w:cs="Calibri"/>
          <w:color w:val="3C3C3B"/>
          <w:kern w:val="1"/>
          <w:lang w:val="en-GB"/>
        </w:rPr>
      </w:pPr>
      <w:r w:rsidRPr="00CA2CC1">
        <w:rPr>
          <w:rFonts w:cs="Calibri"/>
          <w:color w:val="3C3C3B"/>
          <w:kern w:val="1"/>
          <w:lang w:val="en-GB"/>
        </w:rPr>
        <w:t>Initial engagement period: sector and region workshops,</w:t>
      </w:r>
      <w:r w:rsidRPr="00CA2CC1">
        <w:rPr>
          <w:rFonts w:cs="Calibri"/>
          <w:color w:val="3C3C3B"/>
          <w:spacing w:val="-12"/>
          <w:kern w:val="1"/>
          <w:lang w:val="en-GB"/>
        </w:rPr>
        <w:t xml:space="preserve"> </w:t>
      </w:r>
      <w:r w:rsidRPr="00CA2CC1">
        <w:rPr>
          <w:rFonts w:cs="Calibri"/>
          <w:color w:val="3C3C3B"/>
          <w:kern w:val="1"/>
          <w:lang w:val="en-GB"/>
        </w:rPr>
        <w:t>young</w:t>
      </w:r>
      <w:r w:rsidRPr="00CA2CC1">
        <w:rPr>
          <w:rFonts w:cs="Calibri"/>
          <w:color w:val="3C3C3B"/>
          <w:spacing w:val="-11"/>
          <w:kern w:val="1"/>
          <w:lang w:val="en-GB"/>
        </w:rPr>
        <w:t xml:space="preserve"> </w:t>
      </w:r>
      <w:r w:rsidRPr="00CA2CC1">
        <w:rPr>
          <w:rFonts w:cs="Calibri"/>
          <w:color w:val="3C3C3B"/>
          <w:kern w:val="1"/>
          <w:lang w:val="en-GB"/>
        </w:rPr>
        <w:t>people’s</w:t>
      </w:r>
      <w:r w:rsidRPr="00CA2CC1">
        <w:rPr>
          <w:rFonts w:cs="Calibri"/>
          <w:color w:val="3C3C3B"/>
          <w:spacing w:val="-11"/>
          <w:kern w:val="1"/>
          <w:lang w:val="en-GB"/>
        </w:rPr>
        <w:t xml:space="preserve"> </w:t>
      </w:r>
      <w:r w:rsidRPr="00CA2CC1">
        <w:rPr>
          <w:rFonts w:cs="Calibri"/>
          <w:color w:val="3C3C3B"/>
          <w:kern w:val="1"/>
          <w:lang w:val="en-GB"/>
        </w:rPr>
        <w:t>forum,</w:t>
      </w:r>
      <w:r w:rsidRPr="00CA2CC1">
        <w:rPr>
          <w:rFonts w:cs="Calibri"/>
          <w:color w:val="3C3C3B"/>
          <w:spacing w:val="-11"/>
          <w:kern w:val="1"/>
          <w:lang w:val="en-GB"/>
        </w:rPr>
        <w:t xml:space="preserve"> </w:t>
      </w:r>
      <w:r w:rsidRPr="00CA2CC1">
        <w:rPr>
          <w:rFonts w:cs="Calibri"/>
          <w:color w:val="3C3C3B"/>
          <w:kern w:val="1"/>
          <w:lang w:val="en-GB"/>
        </w:rPr>
        <w:t>objectives survey, call for ideas and submissions</w:t>
      </w:r>
    </w:p>
    <w:p w14:paraId="29552675" w14:textId="77777777" w:rsidR="0097268C" w:rsidRPr="00CA2CC1" w:rsidRDefault="0097268C" w:rsidP="00CA2CC1">
      <w:pPr>
        <w:pStyle w:val="Heading5"/>
        <w:rPr>
          <w:lang w:val="en-GB"/>
        </w:rPr>
      </w:pPr>
      <w:r w:rsidRPr="00CA2CC1">
        <w:rPr>
          <w:lang w:val="en-GB"/>
        </w:rPr>
        <w:t xml:space="preserve">September 2023 </w:t>
      </w:r>
    </w:p>
    <w:p w14:paraId="42B11718" w14:textId="77777777" w:rsidR="0097268C" w:rsidRPr="00CA2CC1" w:rsidRDefault="0097268C" w:rsidP="0043303B">
      <w:pPr>
        <w:adjustRightInd w:val="0"/>
        <w:spacing w:before="80"/>
        <w:rPr>
          <w:rFonts w:cs="Calibri"/>
          <w:color w:val="3C3C3B"/>
          <w:spacing w:val="-2"/>
          <w:kern w:val="1"/>
          <w:lang w:val="en-GB"/>
        </w:rPr>
      </w:pPr>
      <w:r w:rsidRPr="00CA2CC1">
        <w:rPr>
          <w:rFonts w:cs="Calibri"/>
          <w:color w:val="3C3C3B"/>
          <w:spacing w:val="-2"/>
          <w:kern w:val="1"/>
          <w:lang w:val="en-GB"/>
        </w:rPr>
        <w:t>Engagement</w:t>
      </w:r>
      <w:r w:rsidRPr="00CA2CC1">
        <w:rPr>
          <w:rFonts w:cs="Calibri"/>
          <w:color w:val="3C3C3B"/>
          <w:spacing w:val="-10"/>
          <w:kern w:val="1"/>
          <w:lang w:val="en-GB"/>
        </w:rPr>
        <w:t xml:space="preserve"> </w:t>
      </w:r>
      <w:r w:rsidRPr="00CA2CC1">
        <w:rPr>
          <w:rFonts w:cs="Calibri"/>
          <w:color w:val="3C3C3B"/>
          <w:spacing w:val="-2"/>
          <w:kern w:val="1"/>
          <w:lang w:val="en-GB"/>
        </w:rPr>
        <w:t>report released</w:t>
      </w:r>
    </w:p>
    <w:p w14:paraId="1ECFBD3A" w14:textId="77777777" w:rsidR="0097268C" w:rsidRPr="00CA2CC1" w:rsidRDefault="0097268C" w:rsidP="00CA2CC1">
      <w:pPr>
        <w:pStyle w:val="Heading5"/>
        <w:rPr>
          <w:lang w:val="en-GB"/>
        </w:rPr>
      </w:pPr>
      <w:r w:rsidRPr="00CA2CC1">
        <w:rPr>
          <w:lang w:val="en-GB"/>
        </w:rPr>
        <w:t>Early</w:t>
      </w:r>
      <w:r w:rsidRPr="00CA2CC1">
        <w:rPr>
          <w:spacing w:val="-2"/>
          <w:lang w:val="en-GB"/>
        </w:rPr>
        <w:t xml:space="preserve"> </w:t>
      </w:r>
      <w:r w:rsidRPr="00CA2CC1">
        <w:rPr>
          <w:lang w:val="en-GB"/>
        </w:rPr>
        <w:t xml:space="preserve">2025 </w:t>
      </w:r>
    </w:p>
    <w:p w14:paraId="229B14D1" w14:textId="77777777" w:rsidR="0097268C" w:rsidRPr="00CA2CC1" w:rsidRDefault="0097268C" w:rsidP="0043303B">
      <w:pPr>
        <w:adjustRightInd w:val="0"/>
        <w:spacing w:before="80"/>
        <w:rPr>
          <w:rFonts w:cs="Calibri"/>
          <w:color w:val="39ADCA"/>
          <w:spacing w:val="-4"/>
          <w:kern w:val="1"/>
          <w:lang w:val="en-GB"/>
        </w:rPr>
      </w:pPr>
      <w:r w:rsidRPr="00CA2CC1">
        <w:rPr>
          <w:rFonts w:cs="Calibri"/>
          <w:color w:val="3C3C3B"/>
          <w:spacing w:val="-2"/>
          <w:kern w:val="1"/>
          <w:lang w:val="en-GB"/>
        </w:rPr>
        <w:t>Draft</w:t>
      </w:r>
      <w:r w:rsidRPr="00CA2CC1">
        <w:rPr>
          <w:rFonts w:cs="Calibri"/>
          <w:color w:val="3C3C3B"/>
          <w:spacing w:val="-5"/>
          <w:kern w:val="1"/>
          <w:lang w:val="en-GB"/>
        </w:rPr>
        <w:t xml:space="preserve"> </w:t>
      </w:r>
      <w:r w:rsidRPr="00CA2CC1">
        <w:rPr>
          <w:rFonts w:cs="Calibri"/>
          <w:color w:val="3C3C3B"/>
          <w:spacing w:val="-2"/>
          <w:kern w:val="1"/>
          <w:lang w:val="en-GB"/>
        </w:rPr>
        <w:t xml:space="preserve">infrastructure </w:t>
      </w:r>
      <w:r w:rsidRPr="00CA2CC1">
        <w:rPr>
          <w:rFonts w:cs="Calibri"/>
          <w:color w:val="3C3C3B"/>
          <w:kern w:val="1"/>
          <w:lang w:val="en-GB"/>
        </w:rPr>
        <w:t>strategy released</w:t>
      </w:r>
    </w:p>
    <w:p w14:paraId="327A58FD" w14:textId="77777777" w:rsidR="0097268C" w:rsidRPr="00CA2CC1" w:rsidRDefault="0097268C" w:rsidP="00CA2CC1">
      <w:pPr>
        <w:pStyle w:val="Heading5"/>
        <w:rPr>
          <w:lang w:val="en-GB"/>
        </w:rPr>
      </w:pPr>
      <w:r w:rsidRPr="00CA2CC1">
        <w:rPr>
          <w:lang w:val="en-GB"/>
        </w:rPr>
        <w:t xml:space="preserve">Early to mid-2025 </w:t>
      </w:r>
    </w:p>
    <w:p w14:paraId="1AB4AB31" w14:textId="77777777" w:rsidR="0097268C" w:rsidRPr="00CA2CC1" w:rsidRDefault="0097268C" w:rsidP="0043303B">
      <w:pPr>
        <w:adjustRightInd w:val="0"/>
        <w:spacing w:before="80"/>
        <w:rPr>
          <w:rFonts w:cs="Calibri"/>
          <w:color w:val="3C3C3B"/>
          <w:kern w:val="1"/>
          <w:lang w:val="en-GB"/>
        </w:rPr>
      </w:pPr>
      <w:r w:rsidRPr="00CA2CC1">
        <w:rPr>
          <w:rFonts w:cs="Calibri"/>
          <w:color w:val="3C3C3B"/>
          <w:kern w:val="1"/>
          <w:lang w:val="en-GB"/>
        </w:rPr>
        <w:t>Draft strategy engagement</w:t>
      </w:r>
      <w:r w:rsidRPr="00CA2CC1">
        <w:rPr>
          <w:rFonts w:cs="Calibri"/>
          <w:color w:val="3C3C3B"/>
          <w:spacing w:val="-12"/>
          <w:kern w:val="1"/>
          <w:lang w:val="en-GB"/>
        </w:rPr>
        <w:t xml:space="preserve"> </w:t>
      </w:r>
      <w:r w:rsidRPr="00CA2CC1">
        <w:rPr>
          <w:rFonts w:cs="Calibri"/>
          <w:color w:val="3C3C3B"/>
          <w:kern w:val="1"/>
          <w:lang w:val="en-GB"/>
        </w:rPr>
        <w:t>opens</w:t>
      </w:r>
    </w:p>
    <w:p w14:paraId="20184301" w14:textId="77777777" w:rsidR="0097268C" w:rsidRPr="00CA2CC1" w:rsidRDefault="0097268C" w:rsidP="00CA2CC1">
      <w:pPr>
        <w:pStyle w:val="Heading5"/>
      </w:pPr>
      <w:r w:rsidRPr="00CA2CC1">
        <w:t>Late</w:t>
      </w:r>
      <w:r w:rsidRPr="00CA2CC1">
        <w:rPr>
          <w:spacing w:val="-2"/>
        </w:rPr>
        <w:t xml:space="preserve"> </w:t>
      </w:r>
      <w:r w:rsidRPr="00CA2CC1">
        <w:t xml:space="preserve">2025 </w:t>
      </w:r>
    </w:p>
    <w:p w14:paraId="5DCF4CC9" w14:textId="77777777" w:rsidR="0097268C" w:rsidRPr="00CA2CC1" w:rsidRDefault="0097268C" w:rsidP="0043303B">
      <w:pPr>
        <w:adjustRightInd w:val="0"/>
        <w:spacing w:before="80"/>
        <w:rPr>
          <w:rFonts w:cs="Calibri"/>
          <w:color w:val="39ADCA"/>
          <w:spacing w:val="-4"/>
          <w:kern w:val="1"/>
          <w:lang w:val="en-GB"/>
        </w:rPr>
      </w:pPr>
      <w:r w:rsidRPr="00CA2CC1">
        <w:rPr>
          <w:rFonts w:cs="Calibri"/>
          <w:color w:val="3C3C3B"/>
          <w:kern w:val="1"/>
          <w:lang w:val="en-GB"/>
        </w:rPr>
        <w:t>Final</w:t>
      </w:r>
      <w:r w:rsidRPr="00CA2CC1">
        <w:rPr>
          <w:rFonts w:cs="Calibri"/>
          <w:color w:val="3C3C3B"/>
          <w:spacing w:val="-12"/>
          <w:kern w:val="1"/>
          <w:lang w:val="en-GB"/>
        </w:rPr>
        <w:t xml:space="preserve"> </w:t>
      </w:r>
      <w:r w:rsidRPr="00CA2CC1">
        <w:rPr>
          <w:rFonts w:cs="Calibri"/>
          <w:color w:val="3C3C3B"/>
          <w:kern w:val="1"/>
          <w:lang w:val="en-GB"/>
        </w:rPr>
        <w:t>infrastructure strategy update</w:t>
      </w:r>
    </w:p>
    <w:p w14:paraId="4EEC66AB" w14:textId="74C1A989" w:rsidR="0097268C" w:rsidRPr="00CA2CC1" w:rsidRDefault="0097268C" w:rsidP="0043303B">
      <w:pPr>
        <w:pStyle w:val="BodyText"/>
        <w:rPr>
          <w:rFonts w:cs="Calibri"/>
          <w:szCs w:val="22"/>
        </w:rPr>
      </w:pPr>
    </w:p>
    <w:p w14:paraId="06B3CCFC" w14:textId="28E1E55F" w:rsidR="0097268C" w:rsidRPr="00CA2CC1" w:rsidRDefault="0097268C" w:rsidP="0043303B">
      <w:pPr>
        <w:pStyle w:val="BodyText"/>
        <w:rPr>
          <w:rFonts w:cs="Calibri"/>
          <w:szCs w:val="22"/>
        </w:rPr>
        <w:sectPr w:rsidR="0097268C" w:rsidRPr="00CA2CC1" w:rsidSect="00E941A5">
          <w:type w:val="continuous"/>
          <w:pgSz w:w="11910" w:h="16840"/>
          <w:pgMar w:top="1134" w:right="1278" w:bottom="1134" w:left="1134" w:header="720" w:footer="720" w:gutter="0"/>
          <w:cols w:space="720"/>
        </w:sectPr>
      </w:pPr>
    </w:p>
    <w:p w14:paraId="3ACB9353" w14:textId="77777777" w:rsidR="00FA4226" w:rsidRPr="00CA2CC1" w:rsidRDefault="00FA4226" w:rsidP="0043303B">
      <w:pPr>
        <w:pStyle w:val="BodyText"/>
        <w:spacing w:before="9"/>
        <w:rPr>
          <w:rFonts w:cs="Calibri"/>
        </w:rPr>
      </w:pPr>
    </w:p>
    <w:bookmarkStart w:id="18" w:name="Our_home_choices:_how_more__housing_opti"/>
    <w:bookmarkStart w:id="19" w:name="_bookmark9"/>
    <w:bookmarkEnd w:id="18"/>
    <w:bookmarkEnd w:id="19"/>
    <w:p w14:paraId="2EDF9E56" w14:textId="7D52C39A" w:rsidR="00FA4226" w:rsidRPr="00CA2CC1" w:rsidRDefault="00000000" w:rsidP="00CA2CC1">
      <w:pPr>
        <w:pStyle w:val="Heading3"/>
        <w:rPr>
          <w:u w:val="single"/>
        </w:rPr>
      </w:pPr>
      <w:r w:rsidRPr="00CA2CC1">
        <w:rPr>
          <w:u w:val="single"/>
        </w:rPr>
        <w:fldChar w:fldCharType="begin"/>
      </w:r>
      <w:r w:rsidRPr="00CA2CC1">
        <w:rPr>
          <w:u w:val="single"/>
        </w:rPr>
        <w:instrText>HYPERLINK "https://www.infrastructurevictoria.com.au/project/our-home-choices/" \h</w:instrText>
      </w:r>
      <w:r w:rsidRPr="00CA2CC1">
        <w:rPr>
          <w:u w:val="single"/>
        </w:rPr>
      </w:r>
      <w:r w:rsidRPr="00CA2CC1">
        <w:rPr>
          <w:u w:val="single"/>
        </w:rPr>
        <w:fldChar w:fldCharType="separate"/>
      </w:r>
      <w:r w:rsidRPr="00CA2CC1">
        <w:rPr>
          <w:u w:val="single"/>
        </w:rPr>
        <w:t xml:space="preserve">Our home choices: how more </w:t>
      </w:r>
      <w:r w:rsidRPr="00CA2CC1">
        <w:rPr>
          <w:u w:val="single"/>
        </w:rPr>
        <w:fldChar w:fldCharType="end"/>
      </w:r>
      <w:hyperlink r:id="rId8">
        <w:r w:rsidRPr="00CA2CC1">
          <w:rPr>
            <w:u w:val="single"/>
          </w:rPr>
          <w:t xml:space="preserve">housing options can make better </w:t>
        </w:r>
      </w:hyperlink>
      <w:hyperlink r:id="rId9">
        <w:r w:rsidRPr="00CA2CC1">
          <w:rPr>
            <w:u w:val="single"/>
          </w:rPr>
          <w:t>use of Victoria’s existing infrastructure</w:t>
        </w:r>
      </w:hyperlink>
    </w:p>
    <w:p w14:paraId="53CA1226" w14:textId="77777777" w:rsidR="00FA4226" w:rsidRPr="00CA2CC1" w:rsidRDefault="00FA4226" w:rsidP="0043303B">
      <w:pPr>
        <w:pStyle w:val="BodyText"/>
        <w:spacing w:before="3"/>
        <w:rPr>
          <w:rFonts w:cs="Calibri"/>
          <w:sz w:val="11"/>
        </w:rPr>
      </w:pPr>
    </w:p>
    <w:p w14:paraId="0A270B88" w14:textId="77777777" w:rsidR="00FA4226" w:rsidRPr="00CA2CC1" w:rsidRDefault="00FA4226" w:rsidP="0043303B">
      <w:pPr>
        <w:rPr>
          <w:rFonts w:cs="Calibri"/>
          <w:sz w:val="11"/>
        </w:rPr>
        <w:sectPr w:rsidR="00FA4226" w:rsidRPr="00CA2CC1" w:rsidSect="00E941A5">
          <w:pgSz w:w="11910" w:h="16840"/>
          <w:pgMar w:top="1134" w:right="1278" w:bottom="1134" w:left="1134" w:header="720" w:footer="720" w:gutter="0"/>
          <w:cols w:space="720"/>
        </w:sectPr>
      </w:pPr>
    </w:p>
    <w:p w14:paraId="16F21E13" w14:textId="77777777" w:rsidR="00FA4226" w:rsidRPr="00CA2CC1" w:rsidRDefault="00000000" w:rsidP="0043303B">
      <w:pPr>
        <w:pStyle w:val="BodyText"/>
        <w:rPr>
          <w:rFonts w:cs="Calibri"/>
        </w:rPr>
      </w:pPr>
      <w:r w:rsidRPr="00CA2CC1">
        <w:rPr>
          <w:rFonts w:cs="Calibri"/>
          <w:i/>
        </w:rPr>
        <w:t>Our</w:t>
      </w:r>
      <w:r w:rsidRPr="00CA2CC1">
        <w:rPr>
          <w:rFonts w:cs="Calibri"/>
          <w:i/>
          <w:spacing w:val="-2"/>
        </w:rPr>
        <w:t xml:space="preserve"> </w:t>
      </w:r>
      <w:r w:rsidRPr="00CA2CC1">
        <w:rPr>
          <w:rFonts w:cs="Calibri"/>
          <w:i/>
        </w:rPr>
        <w:t>home</w:t>
      </w:r>
      <w:r w:rsidRPr="00CA2CC1">
        <w:rPr>
          <w:rFonts w:cs="Calibri"/>
          <w:i/>
          <w:spacing w:val="-2"/>
        </w:rPr>
        <w:t xml:space="preserve"> </w:t>
      </w:r>
      <w:r w:rsidRPr="00CA2CC1">
        <w:rPr>
          <w:rFonts w:cs="Calibri"/>
          <w:i/>
        </w:rPr>
        <w:t>choices:</w:t>
      </w:r>
      <w:r w:rsidRPr="00CA2CC1">
        <w:rPr>
          <w:rFonts w:cs="Calibri"/>
          <w:i/>
          <w:spacing w:val="-2"/>
        </w:rPr>
        <w:t xml:space="preserve"> </w:t>
      </w:r>
      <w:r w:rsidRPr="00CA2CC1">
        <w:rPr>
          <w:rFonts w:cs="Calibri"/>
          <w:i/>
        </w:rPr>
        <w:t>how</w:t>
      </w:r>
      <w:r w:rsidRPr="00CA2CC1">
        <w:rPr>
          <w:rFonts w:cs="Calibri"/>
          <w:i/>
          <w:spacing w:val="-2"/>
        </w:rPr>
        <w:t xml:space="preserve"> </w:t>
      </w:r>
      <w:r w:rsidRPr="00CA2CC1">
        <w:rPr>
          <w:rFonts w:cs="Calibri"/>
          <w:i/>
        </w:rPr>
        <w:t>more</w:t>
      </w:r>
      <w:r w:rsidRPr="00CA2CC1">
        <w:rPr>
          <w:rFonts w:cs="Calibri"/>
          <w:i/>
          <w:spacing w:val="-2"/>
        </w:rPr>
        <w:t xml:space="preserve"> </w:t>
      </w:r>
      <w:r w:rsidRPr="00CA2CC1">
        <w:rPr>
          <w:rFonts w:cs="Calibri"/>
          <w:i/>
        </w:rPr>
        <w:t>housing</w:t>
      </w:r>
      <w:r w:rsidRPr="00CA2CC1">
        <w:rPr>
          <w:rFonts w:cs="Calibri"/>
          <w:i/>
          <w:spacing w:val="-2"/>
        </w:rPr>
        <w:t xml:space="preserve"> </w:t>
      </w:r>
      <w:r w:rsidRPr="00CA2CC1">
        <w:rPr>
          <w:rFonts w:cs="Calibri"/>
          <w:i/>
        </w:rPr>
        <w:t>options</w:t>
      </w:r>
      <w:r w:rsidRPr="00CA2CC1">
        <w:rPr>
          <w:rFonts w:cs="Calibri"/>
          <w:i/>
          <w:spacing w:val="-2"/>
        </w:rPr>
        <w:t xml:space="preserve"> </w:t>
      </w:r>
      <w:r w:rsidRPr="00CA2CC1">
        <w:rPr>
          <w:rFonts w:cs="Calibri"/>
          <w:i/>
        </w:rPr>
        <w:t>can</w:t>
      </w:r>
      <w:r w:rsidRPr="00CA2CC1">
        <w:rPr>
          <w:rFonts w:cs="Calibri"/>
          <w:i/>
          <w:spacing w:val="-2"/>
        </w:rPr>
        <w:t xml:space="preserve"> </w:t>
      </w:r>
      <w:r w:rsidRPr="00CA2CC1">
        <w:rPr>
          <w:rFonts w:cs="Calibri"/>
          <w:i/>
        </w:rPr>
        <w:t>make better</w:t>
      </w:r>
      <w:r w:rsidRPr="00CA2CC1">
        <w:rPr>
          <w:rFonts w:cs="Calibri"/>
          <w:i/>
          <w:spacing w:val="-8"/>
        </w:rPr>
        <w:t xml:space="preserve"> </w:t>
      </w:r>
      <w:r w:rsidRPr="00CA2CC1">
        <w:rPr>
          <w:rFonts w:cs="Calibri"/>
          <w:i/>
        </w:rPr>
        <w:t>use</w:t>
      </w:r>
      <w:r w:rsidRPr="00CA2CC1">
        <w:rPr>
          <w:rFonts w:cs="Calibri"/>
          <w:i/>
          <w:spacing w:val="-8"/>
        </w:rPr>
        <w:t xml:space="preserve"> </w:t>
      </w:r>
      <w:r w:rsidRPr="00CA2CC1">
        <w:rPr>
          <w:rFonts w:cs="Calibri"/>
          <w:i/>
        </w:rPr>
        <w:t>of</w:t>
      </w:r>
      <w:r w:rsidRPr="00CA2CC1">
        <w:rPr>
          <w:rFonts w:cs="Calibri"/>
          <w:i/>
          <w:spacing w:val="-8"/>
        </w:rPr>
        <w:t xml:space="preserve"> </w:t>
      </w:r>
      <w:r w:rsidRPr="00CA2CC1">
        <w:rPr>
          <w:rFonts w:cs="Calibri"/>
          <w:i/>
        </w:rPr>
        <w:t>Victoria’s</w:t>
      </w:r>
      <w:r w:rsidRPr="00CA2CC1">
        <w:rPr>
          <w:rFonts w:cs="Calibri"/>
          <w:i/>
          <w:spacing w:val="-8"/>
        </w:rPr>
        <w:t xml:space="preserve"> </w:t>
      </w:r>
      <w:r w:rsidRPr="00CA2CC1">
        <w:rPr>
          <w:rFonts w:cs="Calibri"/>
          <w:i/>
        </w:rPr>
        <w:t>existing</w:t>
      </w:r>
      <w:r w:rsidRPr="00CA2CC1">
        <w:rPr>
          <w:rFonts w:cs="Calibri"/>
          <w:i/>
          <w:spacing w:val="-8"/>
        </w:rPr>
        <w:t xml:space="preserve"> </w:t>
      </w:r>
      <w:r w:rsidRPr="00CA2CC1">
        <w:rPr>
          <w:rFonts w:cs="Calibri"/>
          <w:i/>
        </w:rPr>
        <w:t>infrastructure</w:t>
      </w:r>
      <w:r w:rsidRPr="00CA2CC1">
        <w:rPr>
          <w:rFonts w:cs="Calibri"/>
          <w:i/>
          <w:spacing w:val="-9"/>
        </w:rPr>
        <w:t xml:space="preserve"> </w:t>
      </w:r>
      <w:r w:rsidRPr="00CA2CC1">
        <w:rPr>
          <w:rFonts w:cs="Calibri"/>
        </w:rPr>
        <w:t>shows</w:t>
      </w:r>
      <w:r w:rsidRPr="00CA2CC1">
        <w:rPr>
          <w:rFonts w:cs="Calibri"/>
          <w:spacing w:val="-8"/>
        </w:rPr>
        <w:t xml:space="preserve"> </w:t>
      </w:r>
      <w:r w:rsidRPr="00CA2CC1">
        <w:rPr>
          <w:rFonts w:cs="Calibri"/>
        </w:rPr>
        <w:t>more choice and housing diversity is needed to meet people’s needs as Victoria’s population grows.</w:t>
      </w:r>
    </w:p>
    <w:p w14:paraId="6178852F" w14:textId="77777777" w:rsidR="00FA4226" w:rsidRPr="00CA2CC1" w:rsidRDefault="00000000" w:rsidP="0043303B">
      <w:pPr>
        <w:pStyle w:val="BodyText"/>
        <w:spacing w:before="116"/>
        <w:rPr>
          <w:rFonts w:cs="Calibri"/>
        </w:rPr>
      </w:pPr>
      <w:r w:rsidRPr="00CA2CC1">
        <w:rPr>
          <w:rFonts w:cs="Calibri"/>
        </w:rPr>
        <w:t>This research looks at how demand for housing in new greenfield</w:t>
      </w:r>
      <w:r w:rsidRPr="00CA2CC1">
        <w:rPr>
          <w:rFonts w:cs="Calibri"/>
          <w:spacing w:val="-4"/>
        </w:rPr>
        <w:t xml:space="preserve"> </w:t>
      </w:r>
      <w:r w:rsidRPr="00CA2CC1">
        <w:rPr>
          <w:rFonts w:cs="Calibri"/>
        </w:rPr>
        <w:t>suburbs</w:t>
      </w:r>
      <w:r w:rsidRPr="00CA2CC1">
        <w:rPr>
          <w:rFonts w:cs="Calibri"/>
          <w:spacing w:val="-4"/>
        </w:rPr>
        <w:t xml:space="preserve"> </w:t>
      </w:r>
      <w:r w:rsidRPr="00CA2CC1">
        <w:rPr>
          <w:rFonts w:cs="Calibri"/>
        </w:rPr>
        <w:t>can</w:t>
      </w:r>
      <w:r w:rsidRPr="00CA2CC1">
        <w:rPr>
          <w:rFonts w:cs="Calibri"/>
          <w:spacing w:val="-4"/>
        </w:rPr>
        <w:t xml:space="preserve"> </w:t>
      </w:r>
      <w:r w:rsidRPr="00CA2CC1">
        <w:rPr>
          <w:rFonts w:cs="Calibri"/>
        </w:rPr>
        <w:t>be</w:t>
      </w:r>
      <w:r w:rsidRPr="00CA2CC1">
        <w:rPr>
          <w:rFonts w:cs="Calibri"/>
          <w:spacing w:val="-4"/>
        </w:rPr>
        <w:t xml:space="preserve"> </w:t>
      </w:r>
      <w:r w:rsidRPr="00CA2CC1">
        <w:rPr>
          <w:rFonts w:cs="Calibri"/>
        </w:rPr>
        <w:t>shifted</w:t>
      </w:r>
      <w:r w:rsidRPr="00CA2CC1">
        <w:rPr>
          <w:rFonts w:cs="Calibri"/>
          <w:spacing w:val="-4"/>
        </w:rPr>
        <w:t xml:space="preserve"> </w:t>
      </w:r>
      <w:r w:rsidRPr="00CA2CC1">
        <w:rPr>
          <w:rFonts w:cs="Calibri"/>
        </w:rPr>
        <w:t>to</w:t>
      </w:r>
      <w:r w:rsidRPr="00CA2CC1">
        <w:rPr>
          <w:rFonts w:cs="Calibri"/>
          <w:spacing w:val="-4"/>
        </w:rPr>
        <w:t xml:space="preserve"> </w:t>
      </w:r>
      <w:r w:rsidRPr="00CA2CC1">
        <w:rPr>
          <w:rFonts w:cs="Calibri"/>
        </w:rPr>
        <w:t>established</w:t>
      </w:r>
      <w:r w:rsidRPr="00CA2CC1">
        <w:rPr>
          <w:rFonts w:cs="Calibri"/>
          <w:spacing w:val="-4"/>
        </w:rPr>
        <w:t xml:space="preserve"> </w:t>
      </w:r>
      <w:r w:rsidRPr="00CA2CC1">
        <w:rPr>
          <w:rFonts w:cs="Calibri"/>
        </w:rPr>
        <w:t>suburbs, closer</w:t>
      </w:r>
      <w:r w:rsidRPr="00CA2CC1">
        <w:rPr>
          <w:rFonts w:cs="Calibri"/>
          <w:spacing w:val="-6"/>
        </w:rPr>
        <w:t xml:space="preserve"> </w:t>
      </w:r>
      <w:r w:rsidRPr="00CA2CC1">
        <w:rPr>
          <w:rFonts w:cs="Calibri"/>
        </w:rPr>
        <w:t>to</w:t>
      </w:r>
      <w:r w:rsidRPr="00CA2CC1">
        <w:rPr>
          <w:rFonts w:cs="Calibri"/>
          <w:spacing w:val="-6"/>
        </w:rPr>
        <w:t xml:space="preserve"> </w:t>
      </w:r>
      <w:r w:rsidRPr="00CA2CC1">
        <w:rPr>
          <w:rFonts w:cs="Calibri"/>
        </w:rPr>
        <w:t>existing</w:t>
      </w:r>
      <w:r w:rsidRPr="00CA2CC1">
        <w:rPr>
          <w:rFonts w:cs="Calibri"/>
          <w:spacing w:val="-6"/>
        </w:rPr>
        <w:t xml:space="preserve"> </w:t>
      </w:r>
      <w:r w:rsidRPr="00CA2CC1">
        <w:rPr>
          <w:rFonts w:cs="Calibri"/>
        </w:rPr>
        <w:t>infrastructure</w:t>
      </w:r>
      <w:r w:rsidRPr="00CA2CC1">
        <w:rPr>
          <w:rFonts w:cs="Calibri"/>
          <w:spacing w:val="-6"/>
        </w:rPr>
        <w:t xml:space="preserve"> </w:t>
      </w:r>
      <w:r w:rsidRPr="00CA2CC1">
        <w:rPr>
          <w:rFonts w:cs="Calibri"/>
        </w:rPr>
        <w:t>such</w:t>
      </w:r>
      <w:r w:rsidRPr="00CA2CC1">
        <w:rPr>
          <w:rFonts w:cs="Calibri"/>
          <w:spacing w:val="-6"/>
        </w:rPr>
        <w:t xml:space="preserve"> </w:t>
      </w:r>
      <w:r w:rsidRPr="00CA2CC1">
        <w:rPr>
          <w:rFonts w:cs="Calibri"/>
        </w:rPr>
        <w:t>as</w:t>
      </w:r>
      <w:r w:rsidRPr="00CA2CC1">
        <w:rPr>
          <w:rFonts w:cs="Calibri"/>
          <w:spacing w:val="-6"/>
        </w:rPr>
        <w:t xml:space="preserve"> </w:t>
      </w:r>
      <w:r w:rsidRPr="00CA2CC1">
        <w:rPr>
          <w:rFonts w:cs="Calibri"/>
        </w:rPr>
        <w:t>schools,</w:t>
      </w:r>
      <w:r w:rsidRPr="00CA2CC1">
        <w:rPr>
          <w:rFonts w:cs="Calibri"/>
          <w:spacing w:val="-6"/>
        </w:rPr>
        <w:t xml:space="preserve"> </w:t>
      </w:r>
      <w:r w:rsidRPr="00CA2CC1">
        <w:rPr>
          <w:rFonts w:cs="Calibri"/>
        </w:rPr>
        <w:t>hospitals and public transport.</w:t>
      </w:r>
    </w:p>
    <w:p w14:paraId="679A4472" w14:textId="77777777" w:rsidR="00FA4226" w:rsidRPr="00CA2CC1" w:rsidRDefault="00000000" w:rsidP="0043303B">
      <w:pPr>
        <w:pStyle w:val="BodyText"/>
        <w:spacing w:before="115"/>
        <w:rPr>
          <w:rFonts w:cs="Calibri"/>
        </w:rPr>
      </w:pPr>
      <w:r w:rsidRPr="00CA2CC1">
        <w:rPr>
          <w:rFonts w:cs="Calibri"/>
        </w:rPr>
        <w:t>Our 18-month project included 22 focus groups and a survey of over 6,000 people from Melbourne, Geelong and Ballarat – the largest of its kind in Australia. It also included complex</w:t>
      </w:r>
      <w:r w:rsidRPr="00CA2CC1">
        <w:rPr>
          <w:rFonts w:cs="Calibri"/>
          <w:spacing w:val="-7"/>
        </w:rPr>
        <w:t xml:space="preserve"> </w:t>
      </w:r>
      <w:r w:rsidRPr="00CA2CC1">
        <w:rPr>
          <w:rFonts w:cs="Calibri"/>
        </w:rPr>
        <w:t>price</w:t>
      </w:r>
      <w:r w:rsidRPr="00CA2CC1">
        <w:rPr>
          <w:rFonts w:cs="Calibri"/>
          <w:spacing w:val="-7"/>
        </w:rPr>
        <w:t xml:space="preserve"> </w:t>
      </w:r>
      <w:r w:rsidRPr="00CA2CC1">
        <w:rPr>
          <w:rFonts w:cs="Calibri"/>
        </w:rPr>
        <w:t>analysis</w:t>
      </w:r>
      <w:r w:rsidRPr="00CA2CC1">
        <w:rPr>
          <w:rFonts w:cs="Calibri"/>
          <w:spacing w:val="-7"/>
        </w:rPr>
        <w:t xml:space="preserve"> </w:t>
      </w:r>
      <w:r w:rsidRPr="00CA2CC1">
        <w:rPr>
          <w:rFonts w:cs="Calibri"/>
        </w:rPr>
        <w:t>of</w:t>
      </w:r>
      <w:r w:rsidRPr="00CA2CC1">
        <w:rPr>
          <w:rFonts w:cs="Calibri"/>
          <w:spacing w:val="-7"/>
        </w:rPr>
        <w:t xml:space="preserve"> </w:t>
      </w:r>
      <w:r w:rsidRPr="00CA2CC1">
        <w:rPr>
          <w:rFonts w:cs="Calibri"/>
        </w:rPr>
        <w:t>more</w:t>
      </w:r>
      <w:r w:rsidRPr="00CA2CC1">
        <w:rPr>
          <w:rFonts w:cs="Calibri"/>
          <w:spacing w:val="-7"/>
        </w:rPr>
        <w:t xml:space="preserve"> </w:t>
      </w:r>
      <w:r w:rsidRPr="00CA2CC1">
        <w:rPr>
          <w:rFonts w:cs="Calibri"/>
        </w:rPr>
        <w:t>than</w:t>
      </w:r>
      <w:r w:rsidRPr="00CA2CC1">
        <w:rPr>
          <w:rFonts w:cs="Calibri"/>
          <w:spacing w:val="-7"/>
        </w:rPr>
        <w:t xml:space="preserve"> </w:t>
      </w:r>
      <w:r w:rsidRPr="00CA2CC1">
        <w:rPr>
          <w:rFonts w:cs="Calibri"/>
        </w:rPr>
        <w:t>344,000</w:t>
      </w:r>
      <w:r w:rsidRPr="00CA2CC1">
        <w:rPr>
          <w:rFonts w:cs="Calibri"/>
          <w:spacing w:val="-7"/>
        </w:rPr>
        <w:t xml:space="preserve"> </w:t>
      </w:r>
      <w:r w:rsidRPr="00CA2CC1">
        <w:rPr>
          <w:rFonts w:cs="Calibri"/>
        </w:rPr>
        <w:t>properties</w:t>
      </w:r>
      <w:r w:rsidRPr="00CA2CC1">
        <w:rPr>
          <w:rFonts w:cs="Calibri"/>
          <w:spacing w:val="-7"/>
        </w:rPr>
        <w:t xml:space="preserve"> </w:t>
      </w:r>
      <w:r w:rsidRPr="00CA2CC1">
        <w:rPr>
          <w:rFonts w:cs="Calibri"/>
        </w:rPr>
        <w:t>sold from January 2017 to June 2022 in greater Melbourne.</w:t>
      </w:r>
    </w:p>
    <w:p w14:paraId="2440CA98" w14:textId="77777777" w:rsidR="00FA4226" w:rsidRPr="00CA2CC1" w:rsidRDefault="00000000" w:rsidP="0043303B">
      <w:pPr>
        <w:pStyle w:val="BodyText"/>
        <w:spacing w:before="114"/>
        <w:rPr>
          <w:rFonts w:cs="Calibri"/>
        </w:rPr>
      </w:pPr>
      <w:r w:rsidRPr="00CA2CC1">
        <w:rPr>
          <w:rFonts w:cs="Calibri"/>
        </w:rPr>
        <w:t>Our findings show there is a lack of suitable housing for moderate</w:t>
      </w:r>
      <w:r w:rsidRPr="00CA2CC1">
        <w:rPr>
          <w:rFonts w:cs="Calibri"/>
          <w:spacing w:val="-6"/>
        </w:rPr>
        <w:t xml:space="preserve"> </w:t>
      </w:r>
      <w:r w:rsidRPr="00CA2CC1">
        <w:rPr>
          <w:rFonts w:cs="Calibri"/>
        </w:rPr>
        <w:t>income</w:t>
      </w:r>
      <w:r w:rsidRPr="00CA2CC1">
        <w:rPr>
          <w:rFonts w:cs="Calibri"/>
          <w:spacing w:val="-6"/>
        </w:rPr>
        <w:t xml:space="preserve"> </w:t>
      </w:r>
      <w:r w:rsidRPr="00CA2CC1">
        <w:rPr>
          <w:rFonts w:cs="Calibri"/>
        </w:rPr>
        <w:t>households</w:t>
      </w:r>
      <w:r w:rsidRPr="00CA2CC1">
        <w:rPr>
          <w:rFonts w:cs="Calibri"/>
          <w:spacing w:val="-6"/>
        </w:rPr>
        <w:t xml:space="preserve"> </w:t>
      </w:r>
      <w:r w:rsidRPr="00CA2CC1">
        <w:rPr>
          <w:rFonts w:cs="Calibri"/>
        </w:rPr>
        <w:t>in</w:t>
      </w:r>
      <w:r w:rsidRPr="00CA2CC1">
        <w:rPr>
          <w:rFonts w:cs="Calibri"/>
          <w:spacing w:val="-6"/>
        </w:rPr>
        <w:t xml:space="preserve"> </w:t>
      </w:r>
      <w:r w:rsidRPr="00CA2CC1">
        <w:rPr>
          <w:rFonts w:cs="Calibri"/>
        </w:rPr>
        <w:t>established</w:t>
      </w:r>
      <w:r w:rsidRPr="00CA2CC1">
        <w:rPr>
          <w:rFonts w:cs="Calibri"/>
          <w:spacing w:val="-6"/>
        </w:rPr>
        <w:t xml:space="preserve"> </w:t>
      </w:r>
      <w:r w:rsidRPr="00CA2CC1">
        <w:rPr>
          <w:rFonts w:cs="Calibri"/>
        </w:rPr>
        <w:t>suburbs.</w:t>
      </w:r>
      <w:r w:rsidRPr="00CA2CC1">
        <w:rPr>
          <w:rFonts w:cs="Calibri"/>
          <w:spacing w:val="-6"/>
        </w:rPr>
        <w:t xml:space="preserve"> </w:t>
      </w:r>
      <w:r w:rsidRPr="00CA2CC1">
        <w:rPr>
          <w:rFonts w:cs="Calibri"/>
        </w:rPr>
        <w:t>This</w:t>
      </w:r>
      <w:r w:rsidRPr="00CA2CC1">
        <w:rPr>
          <w:rFonts w:cs="Calibri"/>
          <w:spacing w:val="-6"/>
        </w:rPr>
        <w:t xml:space="preserve"> </w:t>
      </w:r>
      <w:r w:rsidRPr="00CA2CC1">
        <w:rPr>
          <w:rFonts w:cs="Calibri"/>
        </w:rPr>
        <w:t>is pushing people further away from jobs, schools and public transport, and locking them in to more travel time in the car.</w:t>
      </w:r>
    </w:p>
    <w:p w14:paraId="64A8E263" w14:textId="77777777" w:rsidR="00FA4226" w:rsidRPr="00CA2CC1" w:rsidRDefault="00000000" w:rsidP="0043303B">
      <w:pPr>
        <w:pStyle w:val="BodyText"/>
        <w:spacing w:before="116"/>
        <w:rPr>
          <w:rFonts w:cs="Calibri"/>
        </w:rPr>
      </w:pPr>
      <w:r w:rsidRPr="00CA2CC1">
        <w:rPr>
          <w:rFonts w:cs="Calibri"/>
        </w:rPr>
        <w:t>Up</w:t>
      </w:r>
      <w:r w:rsidRPr="00CA2CC1">
        <w:rPr>
          <w:rFonts w:cs="Calibri"/>
          <w:spacing w:val="-4"/>
        </w:rPr>
        <w:t xml:space="preserve"> </w:t>
      </w:r>
      <w:r w:rsidRPr="00CA2CC1">
        <w:rPr>
          <w:rFonts w:cs="Calibri"/>
        </w:rPr>
        <w:t>to</w:t>
      </w:r>
      <w:r w:rsidRPr="00CA2CC1">
        <w:rPr>
          <w:rFonts w:cs="Calibri"/>
          <w:spacing w:val="-4"/>
        </w:rPr>
        <w:t xml:space="preserve"> </w:t>
      </w:r>
      <w:r w:rsidRPr="00CA2CC1">
        <w:rPr>
          <w:rFonts w:cs="Calibri"/>
        </w:rPr>
        <w:t>one</w:t>
      </w:r>
      <w:r w:rsidRPr="00CA2CC1">
        <w:rPr>
          <w:rFonts w:cs="Calibri"/>
          <w:spacing w:val="-4"/>
        </w:rPr>
        <w:t xml:space="preserve"> </w:t>
      </w:r>
      <w:r w:rsidRPr="00CA2CC1">
        <w:rPr>
          <w:rFonts w:cs="Calibri"/>
        </w:rPr>
        <w:t>in</w:t>
      </w:r>
      <w:r w:rsidRPr="00CA2CC1">
        <w:rPr>
          <w:rFonts w:cs="Calibri"/>
          <w:spacing w:val="-4"/>
        </w:rPr>
        <w:t xml:space="preserve"> </w:t>
      </w:r>
      <w:r w:rsidRPr="00CA2CC1">
        <w:rPr>
          <w:rFonts w:cs="Calibri"/>
        </w:rPr>
        <w:t>3</w:t>
      </w:r>
      <w:r w:rsidRPr="00CA2CC1">
        <w:rPr>
          <w:rFonts w:cs="Calibri"/>
          <w:spacing w:val="-4"/>
        </w:rPr>
        <w:t xml:space="preserve"> </w:t>
      </w:r>
      <w:r w:rsidRPr="00CA2CC1">
        <w:rPr>
          <w:rFonts w:cs="Calibri"/>
        </w:rPr>
        <w:t>households</w:t>
      </w:r>
      <w:r w:rsidRPr="00CA2CC1">
        <w:rPr>
          <w:rFonts w:cs="Calibri"/>
          <w:spacing w:val="-4"/>
        </w:rPr>
        <w:t xml:space="preserve"> </w:t>
      </w:r>
      <w:r w:rsidRPr="00CA2CC1">
        <w:rPr>
          <w:rFonts w:cs="Calibri"/>
        </w:rPr>
        <w:t>said</w:t>
      </w:r>
      <w:r w:rsidRPr="00CA2CC1">
        <w:rPr>
          <w:rFonts w:cs="Calibri"/>
          <w:spacing w:val="-4"/>
        </w:rPr>
        <w:t xml:space="preserve"> </w:t>
      </w:r>
      <w:r w:rsidRPr="00CA2CC1">
        <w:rPr>
          <w:rFonts w:cs="Calibri"/>
        </w:rPr>
        <w:t>they</w:t>
      </w:r>
      <w:r w:rsidRPr="00CA2CC1">
        <w:rPr>
          <w:rFonts w:cs="Calibri"/>
          <w:spacing w:val="-4"/>
        </w:rPr>
        <w:t xml:space="preserve"> </w:t>
      </w:r>
      <w:r w:rsidRPr="00CA2CC1">
        <w:rPr>
          <w:rFonts w:cs="Calibri"/>
        </w:rPr>
        <w:t>would</w:t>
      </w:r>
      <w:r w:rsidRPr="00CA2CC1">
        <w:rPr>
          <w:rFonts w:cs="Calibri"/>
          <w:spacing w:val="-4"/>
        </w:rPr>
        <w:t xml:space="preserve"> </w:t>
      </w:r>
      <w:r w:rsidRPr="00CA2CC1">
        <w:rPr>
          <w:rFonts w:cs="Calibri"/>
        </w:rPr>
        <w:t>trade</w:t>
      </w:r>
      <w:r w:rsidRPr="00CA2CC1">
        <w:rPr>
          <w:rFonts w:cs="Calibri"/>
          <w:spacing w:val="-4"/>
        </w:rPr>
        <w:t xml:space="preserve"> </w:t>
      </w:r>
      <w:r w:rsidRPr="00CA2CC1">
        <w:rPr>
          <w:rFonts w:cs="Calibri"/>
        </w:rPr>
        <w:t>a</w:t>
      </w:r>
      <w:r w:rsidRPr="00CA2CC1">
        <w:rPr>
          <w:rFonts w:cs="Calibri"/>
          <w:spacing w:val="-4"/>
        </w:rPr>
        <w:t xml:space="preserve"> </w:t>
      </w:r>
      <w:r w:rsidRPr="00CA2CC1">
        <w:rPr>
          <w:rFonts w:cs="Calibri"/>
        </w:rPr>
        <w:t>detached home in a new suburb for a townhouse or apartment for the same price closer to city centres. These families and first home buyers want more housing choices closer to existing infrastructure and family and friends.</w:t>
      </w:r>
    </w:p>
    <w:p w14:paraId="3E01E082" w14:textId="77777777" w:rsidR="00FA4226" w:rsidRPr="00CA2CC1" w:rsidRDefault="00000000" w:rsidP="0043303B">
      <w:pPr>
        <w:pStyle w:val="BodyText"/>
        <w:spacing w:before="114"/>
        <w:rPr>
          <w:rFonts w:cs="Calibri"/>
        </w:rPr>
      </w:pPr>
      <w:r w:rsidRPr="00CA2CC1">
        <w:rPr>
          <w:rFonts w:cs="Calibri"/>
        </w:rPr>
        <w:t>Our report offers 10 policy options for the Victorian Government</w:t>
      </w:r>
      <w:r w:rsidRPr="00CA2CC1">
        <w:rPr>
          <w:rFonts w:cs="Calibri"/>
          <w:spacing w:val="-6"/>
        </w:rPr>
        <w:t xml:space="preserve"> </w:t>
      </w:r>
      <w:r w:rsidRPr="00CA2CC1">
        <w:rPr>
          <w:rFonts w:cs="Calibri"/>
        </w:rPr>
        <w:t>to</w:t>
      </w:r>
      <w:r w:rsidRPr="00CA2CC1">
        <w:rPr>
          <w:rFonts w:cs="Calibri"/>
          <w:spacing w:val="-6"/>
        </w:rPr>
        <w:t xml:space="preserve"> </w:t>
      </w:r>
      <w:r w:rsidRPr="00CA2CC1">
        <w:rPr>
          <w:rFonts w:cs="Calibri"/>
        </w:rPr>
        <w:t>support</w:t>
      </w:r>
      <w:r w:rsidRPr="00CA2CC1">
        <w:rPr>
          <w:rFonts w:cs="Calibri"/>
          <w:spacing w:val="-6"/>
        </w:rPr>
        <w:t xml:space="preserve"> </w:t>
      </w:r>
      <w:r w:rsidRPr="00CA2CC1">
        <w:rPr>
          <w:rFonts w:cs="Calibri"/>
        </w:rPr>
        <w:t>more</w:t>
      </w:r>
      <w:r w:rsidRPr="00CA2CC1">
        <w:rPr>
          <w:rFonts w:cs="Calibri"/>
          <w:spacing w:val="-6"/>
        </w:rPr>
        <w:t xml:space="preserve"> </w:t>
      </w:r>
      <w:r w:rsidRPr="00CA2CC1">
        <w:rPr>
          <w:rFonts w:cs="Calibri"/>
        </w:rPr>
        <w:t>choice</w:t>
      </w:r>
      <w:r w:rsidRPr="00CA2CC1">
        <w:rPr>
          <w:rFonts w:cs="Calibri"/>
          <w:spacing w:val="-6"/>
        </w:rPr>
        <w:t xml:space="preserve"> </w:t>
      </w:r>
      <w:r w:rsidRPr="00CA2CC1">
        <w:rPr>
          <w:rFonts w:cs="Calibri"/>
        </w:rPr>
        <w:t>for</w:t>
      </w:r>
      <w:r w:rsidRPr="00CA2CC1">
        <w:rPr>
          <w:rFonts w:cs="Calibri"/>
          <w:spacing w:val="-6"/>
        </w:rPr>
        <w:t xml:space="preserve"> </w:t>
      </w:r>
      <w:r w:rsidRPr="00CA2CC1">
        <w:rPr>
          <w:rFonts w:cs="Calibri"/>
        </w:rPr>
        <w:t>moderate</w:t>
      </w:r>
      <w:r w:rsidRPr="00CA2CC1">
        <w:rPr>
          <w:rFonts w:cs="Calibri"/>
          <w:spacing w:val="-6"/>
        </w:rPr>
        <w:t xml:space="preserve"> </w:t>
      </w:r>
      <w:r w:rsidRPr="00CA2CC1">
        <w:rPr>
          <w:rFonts w:cs="Calibri"/>
        </w:rPr>
        <w:t>income households who prefer to live in established suburbs.</w:t>
      </w:r>
    </w:p>
    <w:p w14:paraId="787E4651" w14:textId="77777777" w:rsidR="001F4F50" w:rsidRPr="00CA2CC1" w:rsidRDefault="00000000" w:rsidP="0043303B">
      <w:pPr>
        <w:pStyle w:val="BodyText"/>
        <w:rPr>
          <w:rFonts w:cs="Calibri"/>
        </w:rPr>
      </w:pPr>
      <w:r w:rsidRPr="00CA2CC1">
        <w:rPr>
          <w:rFonts w:cs="Calibri"/>
        </w:rPr>
        <w:t>The</w:t>
      </w:r>
      <w:r w:rsidRPr="00CA2CC1">
        <w:rPr>
          <w:rFonts w:cs="Calibri"/>
          <w:spacing w:val="-7"/>
        </w:rPr>
        <w:t xml:space="preserve"> </w:t>
      </w:r>
      <w:r w:rsidRPr="00CA2CC1">
        <w:rPr>
          <w:rFonts w:cs="Calibri"/>
        </w:rPr>
        <w:t>options</w:t>
      </w:r>
      <w:r w:rsidRPr="00CA2CC1">
        <w:rPr>
          <w:rFonts w:cs="Calibri"/>
          <w:spacing w:val="-7"/>
        </w:rPr>
        <w:t xml:space="preserve"> </w:t>
      </w:r>
      <w:r w:rsidRPr="00CA2CC1">
        <w:rPr>
          <w:rFonts w:cs="Calibri"/>
        </w:rPr>
        <w:t>include</w:t>
      </w:r>
      <w:r w:rsidRPr="00CA2CC1">
        <w:rPr>
          <w:rFonts w:cs="Calibri"/>
          <w:spacing w:val="-7"/>
        </w:rPr>
        <w:t xml:space="preserve"> </w:t>
      </w:r>
      <w:r w:rsidRPr="00CA2CC1">
        <w:rPr>
          <w:rFonts w:cs="Calibri"/>
        </w:rPr>
        <w:t>fast-tracking</w:t>
      </w:r>
      <w:r w:rsidRPr="00CA2CC1">
        <w:rPr>
          <w:rFonts w:cs="Calibri"/>
          <w:spacing w:val="-7"/>
        </w:rPr>
        <w:t xml:space="preserve"> </w:t>
      </w:r>
      <w:r w:rsidRPr="00CA2CC1">
        <w:rPr>
          <w:rFonts w:cs="Calibri"/>
        </w:rPr>
        <w:t>planning</w:t>
      </w:r>
      <w:r w:rsidRPr="00CA2CC1">
        <w:rPr>
          <w:rFonts w:cs="Calibri"/>
          <w:spacing w:val="-7"/>
        </w:rPr>
        <w:t xml:space="preserve"> </w:t>
      </w:r>
      <w:r w:rsidRPr="00CA2CC1">
        <w:rPr>
          <w:rFonts w:cs="Calibri"/>
        </w:rPr>
        <w:t>approval</w:t>
      </w:r>
      <w:r w:rsidRPr="00CA2CC1">
        <w:rPr>
          <w:rFonts w:cs="Calibri"/>
          <w:spacing w:val="-7"/>
        </w:rPr>
        <w:t xml:space="preserve"> </w:t>
      </w:r>
      <w:r w:rsidRPr="00CA2CC1">
        <w:rPr>
          <w:rFonts w:cs="Calibri"/>
        </w:rPr>
        <w:t>for high-quality</w:t>
      </w:r>
      <w:r w:rsidRPr="00CA2CC1">
        <w:rPr>
          <w:rFonts w:cs="Calibri"/>
          <w:spacing w:val="-2"/>
        </w:rPr>
        <w:t xml:space="preserve"> </w:t>
      </w:r>
      <w:r w:rsidRPr="00CA2CC1">
        <w:rPr>
          <w:rFonts w:cs="Calibri"/>
        </w:rPr>
        <w:t>townhouses,</w:t>
      </w:r>
      <w:r w:rsidRPr="00CA2CC1">
        <w:rPr>
          <w:rFonts w:cs="Calibri"/>
          <w:spacing w:val="-2"/>
        </w:rPr>
        <w:t xml:space="preserve"> </w:t>
      </w:r>
      <w:r w:rsidRPr="00CA2CC1">
        <w:rPr>
          <w:rFonts w:cs="Calibri"/>
        </w:rPr>
        <w:t>better</w:t>
      </w:r>
      <w:r w:rsidRPr="00CA2CC1">
        <w:rPr>
          <w:rFonts w:cs="Calibri"/>
          <w:spacing w:val="-2"/>
        </w:rPr>
        <w:t xml:space="preserve"> </w:t>
      </w:r>
      <w:r w:rsidRPr="00CA2CC1">
        <w:rPr>
          <w:rFonts w:cs="Calibri"/>
        </w:rPr>
        <w:t>standards</w:t>
      </w:r>
      <w:r w:rsidRPr="00CA2CC1">
        <w:rPr>
          <w:rFonts w:cs="Calibri"/>
          <w:spacing w:val="-2"/>
        </w:rPr>
        <w:t xml:space="preserve"> </w:t>
      </w:r>
      <w:r w:rsidRPr="00CA2CC1">
        <w:rPr>
          <w:rFonts w:cs="Calibri"/>
        </w:rPr>
        <w:t>for</w:t>
      </w:r>
      <w:r w:rsidRPr="00CA2CC1">
        <w:rPr>
          <w:rFonts w:cs="Calibri"/>
          <w:spacing w:val="-2"/>
        </w:rPr>
        <w:t xml:space="preserve"> </w:t>
      </w:r>
      <w:r w:rsidRPr="00CA2CC1">
        <w:rPr>
          <w:rFonts w:cs="Calibri"/>
        </w:rPr>
        <w:t xml:space="preserve">low-rise apartments and changes to developer infrastructure </w:t>
      </w:r>
      <w:r w:rsidRPr="00CA2CC1">
        <w:rPr>
          <w:rFonts w:cs="Calibri"/>
          <w:spacing w:val="-2"/>
        </w:rPr>
        <w:t>contributions.</w:t>
      </w:r>
    </w:p>
    <w:p w14:paraId="73426A7C" w14:textId="7DDF3EEF" w:rsidR="00FA4226" w:rsidRPr="00CA2CC1" w:rsidRDefault="00000000" w:rsidP="0043303B">
      <w:pPr>
        <w:pStyle w:val="BodyText"/>
        <w:rPr>
          <w:rFonts w:cs="Calibri"/>
        </w:rPr>
      </w:pPr>
      <w:r w:rsidRPr="00CA2CC1">
        <w:rPr>
          <w:rFonts w:cs="Calibri"/>
        </w:rPr>
        <w:t>The</w:t>
      </w:r>
      <w:r w:rsidRPr="00CA2CC1">
        <w:rPr>
          <w:rFonts w:cs="Calibri"/>
          <w:spacing w:val="-3"/>
        </w:rPr>
        <w:t xml:space="preserve"> </w:t>
      </w:r>
      <w:r w:rsidRPr="00CA2CC1">
        <w:rPr>
          <w:rFonts w:cs="Calibri"/>
        </w:rPr>
        <w:t>proposed</w:t>
      </w:r>
      <w:r w:rsidRPr="00CA2CC1">
        <w:rPr>
          <w:rFonts w:cs="Calibri"/>
          <w:spacing w:val="-1"/>
        </w:rPr>
        <w:t xml:space="preserve"> </w:t>
      </w:r>
      <w:r w:rsidRPr="00CA2CC1">
        <w:rPr>
          <w:rFonts w:cs="Calibri"/>
        </w:rPr>
        <w:t>policy</w:t>
      </w:r>
      <w:r w:rsidRPr="00CA2CC1">
        <w:rPr>
          <w:rFonts w:cs="Calibri"/>
          <w:spacing w:val="-1"/>
        </w:rPr>
        <w:t xml:space="preserve"> </w:t>
      </w:r>
      <w:r w:rsidRPr="00CA2CC1">
        <w:rPr>
          <w:rFonts w:cs="Calibri"/>
        </w:rPr>
        <w:t>options</w:t>
      </w:r>
      <w:r w:rsidRPr="00CA2CC1">
        <w:rPr>
          <w:rFonts w:cs="Calibri"/>
          <w:spacing w:val="-1"/>
        </w:rPr>
        <w:t xml:space="preserve"> </w:t>
      </w:r>
      <w:r w:rsidRPr="00CA2CC1">
        <w:rPr>
          <w:rFonts w:cs="Calibri"/>
          <w:spacing w:val="-4"/>
        </w:rPr>
        <w:t>are:</w:t>
      </w:r>
    </w:p>
    <w:p w14:paraId="55FC0A10" w14:textId="77777777" w:rsidR="00FA4226" w:rsidRPr="00CA2CC1" w:rsidRDefault="00000000" w:rsidP="0043303B">
      <w:pPr>
        <w:pStyle w:val="BodyText"/>
        <w:numPr>
          <w:ilvl w:val="0"/>
          <w:numId w:val="29"/>
        </w:numPr>
        <w:rPr>
          <w:rFonts w:cs="Calibri"/>
          <w:szCs w:val="22"/>
        </w:rPr>
      </w:pPr>
      <w:r w:rsidRPr="00CA2CC1">
        <w:rPr>
          <w:rFonts w:cs="Calibri"/>
          <w:szCs w:val="22"/>
        </w:rPr>
        <w:t>Reform</w:t>
      </w:r>
      <w:r w:rsidRPr="00CA2CC1">
        <w:rPr>
          <w:rFonts w:cs="Calibri"/>
          <w:spacing w:val="-6"/>
          <w:szCs w:val="22"/>
        </w:rPr>
        <w:t xml:space="preserve"> </w:t>
      </w:r>
      <w:r w:rsidRPr="00CA2CC1">
        <w:rPr>
          <w:rFonts w:cs="Calibri"/>
          <w:szCs w:val="22"/>
        </w:rPr>
        <w:t>infrastructure</w:t>
      </w:r>
      <w:r w:rsidRPr="00CA2CC1">
        <w:rPr>
          <w:rFonts w:cs="Calibri"/>
          <w:spacing w:val="-6"/>
          <w:szCs w:val="22"/>
        </w:rPr>
        <w:t xml:space="preserve"> </w:t>
      </w:r>
      <w:r w:rsidRPr="00CA2CC1">
        <w:rPr>
          <w:rFonts w:cs="Calibri"/>
          <w:szCs w:val="22"/>
        </w:rPr>
        <w:t>contributions</w:t>
      </w:r>
      <w:r w:rsidRPr="00CA2CC1">
        <w:rPr>
          <w:rFonts w:cs="Calibri"/>
          <w:spacing w:val="-6"/>
          <w:szCs w:val="22"/>
        </w:rPr>
        <w:t xml:space="preserve"> </w:t>
      </w:r>
      <w:r w:rsidRPr="00CA2CC1">
        <w:rPr>
          <w:rFonts w:cs="Calibri"/>
          <w:szCs w:val="22"/>
        </w:rPr>
        <w:t>to</w:t>
      </w:r>
      <w:r w:rsidRPr="00CA2CC1">
        <w:rPr>
          <w:rFonts w:cs="Calibri"/>
          <w:spacing w:val="-6"/>
          <w:szCs w:val="22"/>
        </w:rPr>
        <w:t xml:space="preserve"> </w:t>
      </w:r>
      <w:r w:rsidRPr="00CA2CC1">
        <w:rPr>
          <w:rFonts w:cs="Calibri"/>
          <w:szCs w:val="22"/>
        </w:rPr>
        <w:t>send</w:t>
      </w:r>
      <w:r w:rsidRPr="00CA2CC1">
        <w:rPr>
          <w:rFonts w:cs="Calibri"/>
          <w:spacing w:val="-6"/>
          <w:szCs w:val="22"/>
        </w:rPr>
        <w:t xml:space="preserve"> </w:t>
      </w:r>
      <w:r w:rsidRPr="00CA2CC1">
        <w:rPr>
          <w:rFonts w:cs="Calibri"/>
          <w:szCs w:val="22"/>
        </w:rPr>
        <w:t>the</w:t>
      </w:r>
      <w:r w:rsidRPr="00CA2CC1">
        <w:rPr>
          <w:rFonts w:cs="Calibri"/>
          <w:spacing w:val="-6"/>
          <w:szCs w:val="22"/>
        </w:rPr>
        <w:t xml:space="preserve"> </w:t>
      </w:r>
      <w:r w:rsidRPr="00CA2CC1">
        <w:rPr>
          <w:rFonts w:cs="Calibri"/>
          <w:szCs w:val="22"/>
        </w:rPr>
        <w:t>right price signals</w:t>
      </w:r>
    </w:p>
    <w:p w14:paraId="411ADAC2" w14:textId="77777777" w:rsidR="00FA4226" w:rsidRPr="00CA2CC1" w:rsidRDefault="00000000" w:rsidP="0043303B">
      <w:pPr>
        <w:pStyle w:val="BodyText"/>
        <w:numPr>
          <w:ilvl w:val="0"/>
          <w:numId w:val="29"/>
        </w:numPr>
        <w:rPr>
          <w:rFonts w:cs="Calibri"/>
          <w:szCs w:val="22"/>
        </w:rPr>
      </w:pPr>
      <w:r w:rsidRPr="00CA2CC1">
        <w:rPr>
          <w:rFonts w:cs="Calibri"/>
          <w:szCs w:val="22"/>
        </w:rPr>
        <w:t xml:space="preserve">Reform stamp duties that distort home </w:t>
      </w:r>
      <w:r w:rsidRPr="00CA2CC1">
        <w:rPr>
          <w:rFonts w:cs="Calibri"/>
          <w:spacing w:val="-2"/>
          <w:szCs w:val="22"/>
        </w:rPr>
        <w:t>choices</w:t>
      </w:r>
    </w:p>
    <w:p w14:paraId="3E47213D" w14:textId="77777777" w:rsidR="00FA4226" w:rsidRPr="00CA2CC1" w:rsidRDefault="00000000" w:rsidP="0043303B">
      <w:pPr>
        <w:pStyle w:val="BodyText"/>
        <w:numPr>
          <w:ilvl w:val="0"/>
          <w:numId w:val="29"/>
        </w:numPr>
        <w:rPr>
          <w:rFonts w:cs="Calibri"/>
          <w:szCs w:val="22"/>
        </w:rPr>
      </w:pPr>
      <w:r w:rsidRPr="00CA2CC1">
        <w:rPr>
          <w:rFonts w:cs="Calibri"/>
          <w:szCs w:val="22"/>
        </w:rPr>
        <w:t>Remove</w:t>
      </w:r>
      <w:r w:rsidRPr="00CA2CC1">
        <w:rPr>
          <w:rFonts w:cs="Calibri"/>
          <w:spacing w:val="-7"/>
          <w:szCs w:val="22"/>
        </w:rPr>
        <w:t xml:space="preserve"> </w:t>
      </w:r>
      <w:r w:rsidRPr="00CA2CC1">
        <w:rPr>
          <w:rFonts w:cs="Calibri"/>
          <w:szCs w:val="22"/>
        </w:rPr>
        <w:t>home</w:t>
      </w:r>
      <w:r w:rsidRPr="00CA2CC1">
        <w:rPr>
          <w:rFonts w:cs="Calibri"/>
          <w:spacing w:val="-7"/>
          <w:szCs w:val="22"/>
        </w:rPr>
        <w:t xml:space="preserve"> </w:t>
      </w:r>
      <w:r w:rsidRPr="00CA2CC1">
        <w:rPr>
          <w:rFonts w:cs="Calibri"/>
          <w:szCs w:val="22"/>
        </w:rPr>
        <w:t>subsidies</w:t>
      </w:r>
      <w:r w:rsidRPr="00CA2CC1">
        <w:rPr>
          <w:rFonts w:cs="Calibri"/>
          <w:spacing w:val="-7"/>
          <w:szCs w:val="22"/>
        </w:rPr>
        <w:t xml:space="preserve"> </w:t>
      </w:r>
      <w:r w:rsidRPr="00CA2CC1">
        <w:rPr>
          <w:rFonts w:cs="Calibri"/>
          <w:szCs w:val="22"/>
        </w:rPr>
        <w:t>that</w:t>
      </w:r>
      <w:r w:rsidRPr="00CA2CC1">
        <w:rPr>
          <w:rFonts w:cs="Calibri"/>
          <w:spacing w:val="-7"/>
          <w:szCs w:val="22"/>
        </w:rPr>
        <w:t xml:space="preserve"> </w:t>
      </w:r>
      <w:r w:rsidRPr="00CA2CC1">
        <w:rPr>
          <w:rFonts w:cs="Calibri"/>
          <w:szCs w:val="22"/>
        </w:rPr>
        <w:t>encourage</w:t>
      </w:r>
      <w:r w:rsidRPr="00CA2CC1">
        <w:rPr>
          <w:rFonts w:cs="Calibri"/>
          <w:spacing w:val="-7"/>
          <w:szCs w:val="22"/>
        </w:rPr>
        <w:t xml:space="preserve"> </w:t>
      </w:r>
      <w:r w:rsidRPr="00CA2CC1">
        <w:rPr>
          <w:rFonts w:cs="Calibri"/>
          <w:szCs w:val="22"/>
        </w:rPr>
        <w:t>greenfield choices without improving affordability</w:t>
      </w:r>
    </w:p>
    <w:p w14:paraId="49D2F60E" w14:textId="77777777" w:rsidR="00FA4226" w:rsidRPr="00CA2CC1" w:rsidRDefault="00000000" w:rsidP="0043303B">
      <w:pPr>
        <w:pStyle w:val="BodyText"/>
        <w:numPr>
          <w:ilvl w:val="0"/>
          <w:numId w:val="29"/>
        </w:numPr>
        <w:rPr>
          <w:rFonts w:cs="Calibri"/>
          <w:szCs w:val="22"/>
        </w:rPr>
      </w:pPr>
      <w:r w:rsidRPr="00CA2CC1">
        <w:rPr>
          <w:rFonts w:cs="Calibri"/>
          <w:szCs w:val="22"/>
        </w:rPr>
        <w:t>Use</w:t>
      </w:r>
      <w:r w:rsidRPr="00CA2CC1">
        <w:rPr>
          <w:rFonts w:cs="Calibri"/>
          <w:spacing w:val="-6"/>
          <w:szCs w:val="22"/>
        </w:rPr>
        <w:t xml:space="preserve"> </w:t>
      </w:r>
      <w:r w:rsidRPr="00CA2CC1">
        <w:rPr>
          <w:rFonts w:cs="Calibri"/>
          <w:szCs w:val="22"/>
        </w:rPr>
        <w:t>government</w:t>
      </w:r>
      <w:r w:rsidRPr="00CA2CC1">
        <w:rPr>
          <w:rFonts w:cs="Calibri"/>
          <w:spacing w:val="-6"/>
          <w:szCs w:val="22"/>
        </w:rPr>
        <w:t xml:space="preserve"> </w:t>
      </w:r>
      <w:r w:rsidRPr="00CA2CC1">
        <w:rPr>
          <w:rFonts w:cs="Calibri"/>
          <w:szCs w:val="22"/>
        </w:rPr>
        <w:t>‘shared</w:t>
      </w:r>
      <w:r w:rsidRPr="00CA2CC1">
        <w:rPr>
          <w:rFonts w:cs="Calibri"/>
          <w:spacing w:val="-6"/>
          <w:szCs w:val="22"/>
        </w:rPr>
        <w:t xml:space="preserve"> </w:t>
      </w:r>
      <w:r w:rsidRPr="00CA2CC1">
        <w:rPr>
          <w:rFonts w:cs="Calibri"/>
          <w:szCs w:val="22"/>
        </w:rPr>
        <w:t>equity’</w:t>
      </w:r>
      <w:r w:rsidRPr="00CA2CC1">
        <w:rPr>
          <w:rFonts w:cs="Calibri"/>
          <w:spacing w:val="-6"/>
          <w:szCs w:val="22"/>
        </w:rPr>
        <w:t xml:space="preserve"> </w:t>
      </w:r>
      <w:r w:rsidRPr="00CA2CC1">
        <w:rPr>
          <w:rFonts w:cs="Calibri"/>
          <w:szCs w:val="22"/>
        </w:rPr>
        <w:t>schemes</w:t>
      </w:r>
      <w:r w:rsidRPr="00CA2CC1">
        <w:rPr>
          <w:rFonts w:cs="Calibri"/>
          <w:spacing w:val="-6"/>
          <w:szCs w:val="22"/>
        </w:rPr>
        <w:t xml:space="preserve"> </w:t>
      </w:r>
      <w:r w:rsidRPr="00CA2CC1">
        <w:rPr>
          <w:rFonts w:cs="Calibri"/>
          <w:szCs w:val="22"/>
        </w:rPr>
        <w:t>to</w:t>
      </w:r>
      <w:r w:rsidRPr="00CA2CC1">
        <w:rPr>
          <w:rFonts w:cs="Calibri"/>
          <w:spacing w:val="-6"/>
          <w:szCs w:val="22"/>
        </w:rPr>
        <w:t xml:space="preserve"> </w:t>
      </w:r>
      <w:r w:rsidRPr="00CA2CC1">
        <w:rPr>
          <w:rFonts w:cs="Calibri"/>
          <w:szCs w:val="22"/>
        </w:rPr>
        <w:t>encourage established suburb home ownership</w:t>
      </w:r>
    </w:p>
    <w:p w14:paraId="3D364935" w14:textId="77777777" w:rsidR="00FA4226" w:rsidRPr="00CA2CC1" w:rsidRDefault="00000000" w:rsidP="0043303B">
      <w:pPr>
        <w:pStyle w:val="BodyText"/>
        <w:numPr>
          <w:ilvl w:val="0"/>
          <w:numId w:val="29"/>
        </w:numPr>
        <w:rPr>
          <w:rFonts w:cs="Calibri"/>
          <w:szCs w:val="22"/>
        </w:rPr>
      </w:pPr>
      <w:r w:rsidRPr="00CA2CC1">
        <w:rPr>
          <w:rFonts w:cs="Calibri"/>
          <w:szCs w:val="22"/>
        </w:rPr>
        <w:t>Measure</w:t>
      </w:r>
      <w:r w:rsidRPr="00CA2CC1">
        <w:rPr>
          <w:rFonts w:cs="Calibri"/>
          <w:spacing w:val="-8"/>
          <w:szCs w:val="22"/>
        </w:rPr>
        <w:t xml:space="preserve"> </w:t>
      </w:r>
      <w:r w:rsidRPr="00CA2CC1">
        <w:rPr>
          <w:rFonts w:cs="Calibri"/>
          <w:szCs w:val="22"/>
        </w:rPr>
        <w:t>and</w:t>
      </w:r>
      <w:r w:rsidRPr="00CA2CC1">
        <w:rPr>
          <w:rFonts w:cs="Calibri"/>
          <w:spacing w:val="-8"/>
          <w:szCs w:val="22"/>
        </w:rPr>
        <w:t xml:space="preserve"> </w:t>
      </w:r>
      <w:r w:rsidRPr="00CA2CC1">
        <w:rPr>
          <w:rFonts w:cs="Calibri"/>
          <w:szCs w:val="22"/>
        </w:rPr>
        <w:t>incentivise</w:t>
      </w:r>
      <w:r w:rsidRPr="00CA2CC1">
        <w:rPr>
          <w:rFonts w:cs="Calibri"/>
          <w:spacing w:val="-8"/>
          <w:szCs w:val="22"/>
        </w:rPr>
        <w:t xml:space="preserve"> </w:t>
      </w:r>
      <w:r w:rsidRPr="00CA2CC1">
        <w:rPr>
          <w:rFonts w:cs="Calibri"/>
          <w:szCs w:val="22"/>
        </w:rPr>
        <w:t>progress</w:t>
      </w:r>
      <w:r w:rsidRPr="00CA2CC1">
        <w:rPr>
          <w:rFonts w:cs="Calibri"/>
          <w:spacing w:val="-8"/>
          <w:szCs w:val="22"/>
        </w:rPr>
        <w:t xml:space="preserve"> </w:t>
      </w:r>
      <w:r w:rsidRPr="00CA2CC1">
        <w:rPr>
          <w:rFonts w:cs="Calibri"/>
          <w:szCs w:val="22"/>
        </w:rPr>
        <w:t>towards</w:t>
      </w:r>
      <w:r w:rsidRPr="00CA2CC1">
        <w:rPr>
          <w:rFonts w:cs="Calibri"/>
          <w:spacing w:val="-8"/>
          <w:szCs w:val="22"/>
        </w:rPr>
        <w:t xml:space="preserve"> </w:t>
      </w:r>
      <w:r w:rsidRPr="00CA2CC1">
        <w:rPr>
          <w:rFonts w:cs="Calibri"/>
          <w:szCs w:val="22"/>
        </w:rPr>
        <w:t>new</w:t>
      </w:r>
      <w:r w:rsidRPr="00CA2CC1">
        <w:rPr>
          <w:rFonts w:cs="Calibri"/>
          <w:spacing w:val="-8"/>
          <w:szCs w:val="22"/>
        </w:rPr>
        <w:t xml:space="preserve"> </w:t>
      </w:r>
      <w:r w:rsidRPr="00CA2CC1">
        <w:rPr>
          <w:rFonts w:cs="Calibri"/>
          <w:szCs w:val="22"/>
        </w:rPr>
        <w:t>local housing targets</w:t>
      </w:r>
    </w:p>
    <w:p w14:paraId="66A35317" w14:textId="77777777" w:rsidR="00FA4226" w:rsidRPr="00CA2CC1" w:rsidRDefault="00000000" w:rsidP="0043303B">
      <w:pPr>
        <w:pStyle w:val="BodyText"/>
        <w:numPr>
          <w:ilvl w:val="0"/>
          <w:numId w:val="29"/>
        </w:numPr>
        <w:rPr>
          <w:rFonts w:cs="Calibri"/>
          <w:szCs w:val="22"/>
        </w:rPr>
      </w:pPr>
      <w:r w:rsidRPr="00CA2CC1">
        <w:rPr>
          <w:rFonts w:cs="Calibri"/>
          <w:szCs w:val="22"/>
        </w:rPr>
        <w:t>Prioritise</w:t>
      </w:r>
      <w:r w:rsidRPr="00CA2CC1">
        <w:rPr>
          <w:rFonts w:cs="Calibri"/>
          <w:spacing w:val="-7"/>
          <w:szCs w:val="22"/>
        </w:rPr>
        <w:t xml:space="preserve"> </w:t>
      </w:r>
      <w:r w:rsidRPr="00CA2CC1">
        <w:rPr>
          <w:rFonts w:cs="Calibri"/>
          <w:szCs w:val="22"/>
        </w:rPr>
        <w:t>and</w:t>
      </w:r>
      <w:r w:rsidRPr="00CA2CC1">
        <w:rPr>
          <w:rFonts w:cs="Calibri"/>
          <w:spacing w:val="-7"/>
          <w:szCs w:val="22"/>
        </w:rPr>
        <w:t xml:space="preserve"> </w:t>
      </w:r>
      <w:r w:rsidRPr="00CA2CC1">
        <w:rPr>
          <w:rFonts w:cs="Calibri"/>
          <w:szCs w:val="22"/>
        </w:rPr>
        <w:t>streamline</w:t>
      </w:r>
      <w:r w:rsidRPr="00CA2CC1">
        <w:rPr>
          <w:rFonts w:cs="Calibri"/>
          <w:spacing w:val="-7"/>
          <w:szCs w:val="22"/>
        </w:rPr>
        <w:t xml:space="preserve"> </w:t>
      </w:r>
      <w:r w:rsidRPr="00CA2CC1">
        <w:rPr>
          <w:rFonts w:cs="Calibri"/>
          <w:szCs w:val="22"/>
        </w:rPr>
        <w:t>approvals</w:t>
      </w:r>
      <w:r w:rsidRPr="00CA2CC1">
        <w:rPr>
          <w:rFonts w:cs="Calibri"/>
          <w:spacing w:val="-7"/>
          <w:szCs w:val="22"/>
        </w:rPr>
        <w:t xml:space="preserve"> </w:t>
      </w:r>
      <w:r w:rsidRPr="00CA2CC1">
        <w:rPr>
          <w:rFonts w:cs="Calibri"/>
          <w:szCs w:val="22"/>
        </w:rPr>
        <w:t>for</w:t>
      </w:r>
      <w:r w:rsidRPr="00CA2CC1">
        <w:rPr>
          <w:rFonts w:cs="Calibri"/>
          <w:spacing w:val="-7"/>
          <w:szCs w:val="22"/>
        </w:rPr>
        <w:t xml:space="preserve"> </w:t>
      </w:r>
      <w:r w:rsidRPr="00CA2CC1">
        <w:rPr>
          <w:rFonts w:cs="Calibri"/>
          <w:szCs w:val="22"/>
        </w:rPr>
        <w:t>urban</w:t>
      </w:r>
      <w:r w:rsidRPr="00CA2CC1">
        <w:rPr>
          <w:rFonts w:cs="Calibri"/>
          <w:spacing w:val="-7"/>
          <w:szCs w:val="22"/>
        </w:rPr>
        <w:t xml:space="preserve"> </w:t>
      </w:r>
      <w:r w:rsidRPr="00CA2CC1">
        <w:rPr>
          <w:rFonts w:cs="Calibri"/>
          <w:szCs w:val="22"/>
        </w:rPr>
        <w:t xml:space="preserve">renewal </w:t>
      </w:r>
      <w:r w:rsidRPr="00CA2CC1">
        <w:rPr>
          <w:rFonts w:cs="Calibri"/>
          <w:spacing w:val="-2"/>
          <w:szCs w:val="22"/>
        </w:rPr>
        <w:t>precincts</w:t>
      </w:r>
    </w:p>
    <w:p w14:paraId="22B77538" w14:textId="77777777" w:rsidR="00FA4226" w:rsidRPr="00CA2CC1" w:rsidRDefault="00000000" w:rsidP="0043303B">
      <w:pPr>
        <w:pStyle w:val="BodyText"/>
        <w:numPr>
          <w:ilvl w:val="0"/>
          <w:numId w:val="29"/>
        </w:numPr>
        <w:rPr>
          <w:rFonts w:cs="Calibri"/>
          <w:szCs w:val="22"/>
        </w:rPr>
      </w:pPr>
      <w:r w:rsidRPr="00CA2CC1">
        <w:rPr>
          <w:rFonts w:cs="Calibri"/>
          <w:szCs w:val="22"/>
        </w:rPr>
        <w:t>Develop better standards for low-rise apartments, then</w:t>
      </w:r>
      <w:r w:rsidRPr="00CA2CC1">
        <w:rPr>
          <w:rFonts w:cs="Calibri"/>
          <w:spacing w:val="-5"/>
          <w:szCs w:val="22"/>
        </w:rPr>
        <w:t xml:space="preserve"> </w:t>
      </w:r>
      <w:r w:rsidRPr="00CA2CC1">
        <w:rPr>
          <w:rFonts w:cs="Calibri"/>
          <w:szCs w:val="22"/>
        </w:rPr>
        <w:t>increase</w:t>
      </w:r>
      <w:r w:rsidRPr="00CA2CC1">
        <w:rPr>
          <w:rFonts w:cs="Calibri"/>
          <w:spacing w:val="-5"/>
          <w:szCs w:val="22"/>
        </w:rPr>
        <w:t xml:space="preserve"> </w:t>
      </w:r>
      <w:r w:rsidRPr="00CA2CC1">
        <w:rPr>
          <w:rFonts w:cs="Calibri"/>
          <w:szCs w:val="22"/>
        </w:rPr>
        <w:t>their</w:t>
      </w:r>
      <w:r w:rsidRPr="00CA2CC1">
        <w:rPr>
          <w:rFonts w:cs="Calibri"/>
          <w:spacing w:val="-5"/>
          <w:szCs w:val="22"/>
        </w:rPr>
        <w:t xml:space="preserve"> </w:t>
      </w:r>
      <w:r w:rsidRPr="00CA2CC1">
        <w:rPr>
          <w:rFonts w:cs="Calibri"/>
          <w:szCs w:val="22"/>
        </w:rPr>
        <w:t>supply</w:t>
      </w:r>
      <w:r w:rsidRPr="00CA2CC1">
        <w:rPr>
          <w:rFonts w:cs="Calibri"/>
          <w:spacing w:val="-5"/>
          <w:szCs w:val="22"/>
        </w:rPr>
        <w:t xml:space="preserve"> </w:t>
      </w:r>
      <w:r w:rsidRPr="00CA2CC1">
        <w:rPr>
          <w:rFonts w:cs="Calibri"/>
          <w:szCs w:val="22"/>
        </w:rPr>
        <w:t>by</w:t>
      </w:r>
      <w:r w:rsidRPr="00CA2CC1">
        <w:rPr>
          <w:rFonts w:cs="Calibri"/>
          <w:spacing w:val="-5"/>
          <w:szCs w:val="22"/>
        </w:rPr>
        <w:t xml:space="preserve"> </w:t>
      </w:r>
      <w:r w:rsidRPr="00CA2CC1">
        <w:rPr>
          <w:rFonts w:cs="Calibri"/>
          <w:szCs w:val="22"/>
        </w:rPr>
        <w:t>expanding</w:t>
      </w:r>
      <w:r w:rsidRPr="00CA2CC1">
        <w:rPr>
          <w:rFonts w:cs="Calibri"/>
          <w:spacing w:val="-5"/>
          <w:szCs w:val="22"/>
        </w:rPr>
        <w:t xml:space="preserve"> </w:t>
      </w:r>
      <w:r w:rsidRPr="00CA2CC1">
        <w:rPr>
          <w:rFonts w:cs="Calibri"/>
          <w:szCs w:val="22"/>
        </w:rPr>
        <w:t>use</w:t>
      </w:r>
      <w:r w:rsidRPr="00CA2CC1">
        <w:rPr>
          <w:rFonts w:cs="Calibri"/>
          <w:spacing w:val="-5"/>
          <w:szCs w:val="22"/>
        </w:rPr>
        <w:t xml:space="preserve"> </w:t>
      </w:r>
      <w:r w:rsidRPr="00CA2CC1">
        <w:rPr>
          <w:rFonts w:cs="Calibri"/>
          <w:szCs w:val="22"/>
        </w:rPr>
        <w:t>of</w:t>
      </w:r>
      <w:r w:rsidRPr="00CA2CC1">
        <w:rPr>
          <w:rFonts w:cs="Calibri"/>
          <w:spacing w:val="-5"/>
          <w:szCs w:val="22"/>
        </w:rPr>
        <w:t xml:space="preserve"> </w:t>
      </w:r>
      <w:r w:rsidRPr="00CA2CC1">
        <w:rPr>
          <w:rFonts w:cs="Calibri"/>
          <w:szCs w:val="22"/>
        </w:rPr>
        <w:t>the Residential Growth Zone</w:t>
      </w:r>
    </w:p>
    <w:p w14:paraId="7318B357" w14:textId="77777777" w:rsidR="00FA4226" w:rsidRPr="00CA2CC1" w:rsidRDefault="00000000" w:rsidP="0043303B">
      <w:pPr>
        <w:pStyle w:val="BodyText"/>
        <w:numPr>
          <w:ilvl w:val="0"/>
          <w:numId w:val="29"/>
        </w:numPr>
        <w:rPr>
          <w:rFonts w:cs="Calibri"/>
          <w:szCs w:val="22"/>
        </w:rPr>
      </w:pPr>
      <w:r w:rsidRPr="00CA2CC1">
        <w:rPr>
          <w:rFonts w:cs="Calibri"/>
          <w:szCs w:val="22"/>
        </w:rPr>
        <w:t xml:space="preserve">Develop a dual occupancy and townhouse </w:t>
      </w:r>
      <w:r w:rsidRPr="00CA2CC1">
        <w:rPr>
          <w:rFonts w:cs="Calibri"/>
          <w:spacing w:val="-4"/>
          <w:szCs w:val="22"/>
        </w:rPr>
        <w:t>code</w:t>
      </w:r>
    </w:p>
    <w:p w14:paraId="15A5142F" w14:textId="77777777" w:rsidR="00FA4226" w:rsidRPr="00CA2CC1" w:rsidRDefault="00000000" w:rsidP="0043303B">
      <w:pPr>
        <w:pStyle w:val="BodyText"/>
        <w:numPr>
          <w:ilvl w:val="0"/>
          <w:numId w:val="29"/>
        </w:numPr>
        <w:rPr>
          <w:rFonts w:cs="Calibri"/>
          <w:szCs w:val="22"/>
        </w:rPr>
      </w:pPr>
      <w:r w:rsidRPr="00CA2CC1">
        <w:rPr>
          <w:rFonts w:cs="Calibri"/>
          <w:szCs w:val="22"/>
        </w:rPr>
        <w:t>Allow</w:t>
      </w:r>
      <w:r w:rsidRPr="00CA2CC1">
        <w:rPr>
          <w:rFonts w:cs="Calibri"/>
          <w:spacing w:val="-1"/>
          <w:szCs w:val="22"/>
        </w:rPr>
        <w:t xml:space="preserve"> </w:t>
      </w:r>
      <w:r w:rsidRPr="00CA2CC1">
        <w:rPr>
          <w:rFonts w:cs="Calibri"/>
          <w:szCs w:val="22"/>
        </w:rPr>
        <w:t>homebuyers</w:t>
      </w:r>
      <w:r w:rsidRPr="00CA2CC1">
        <w:rPr>
          <w:rFonts w:cs="Calibri"/>
          <w:spacing w:val="-1"/>
          <w:szCs w:val="22"/>
        </w:rPr>
        <w:t xml:space="preserve"> </w:t>
      </w:r>
      <w:r w:rsidRPr="00CA2CC1">
        <w:rPr>
          <w:rFonts w:cs="Calibri"/>
          <w:szCs w:val="22"/>
        </w:rPr>
        <w:t>more</w:t>
      </w:r>
      <w:r w:rsidRPr="00CA2CC1">
        <w:rPr>
          <w:rFonts w:cs="Calibri"/>
          <w:spacing w:val="-1"/>
          <w:szCs w:val="22"/>
        </w:rPr>
        <w:t xml:space="preserve"> </w:t>
      </w:r>
      <w:r w:rsidRPr="00CA2CC1">
        <w:rPr>
          <w:rFonts w:cs="Calibri"/>
          <w:szCs w:val="22"/>
        </w:rPr>
        <w:t>parking</w:t>
      </w:r>
      <w:r w:rsidRPr="00CA2CC1">
        <w:rPr>
          <w:rFonts w:cs="Calibri"/>
          <w:spacing w:val="-1"/>
          <w:szCs w:val="22"/>
        </w:rPr>
        <w:t xml:space="preserve"> </w:t>
      </w:r>
      <w:r w:rsidRPr="00CA2CC1">
        <w:rPr>
          <w:rFonts w:cs="Calibri"/>
          <w:spacing w:val="-2"/>
          <w:szCs w:val="22"/>
        </w:rPr>
        <w:t>options</w:t>
      </w:r>
    </w:p>
    <w:p w14:paraId="7904010C" w14:textId="77777777" w:rsidR="00FA4226" w:rsidRPr="00CA2CC1" w:rsidRDefault="00000000" w:rsidP="0043303B">
      <w:pPr>
        <w:pStyle w:val="BodyText"/>
        <w:numPr>
          <w:ilvl w:val="0"/>
          <w:numId w:val="29"/>
        </w:numPr>
        <w:rPr>
          <w:rFonts w:cs="Calibri"/>
          <w:szCs w:val="22"/>
        </w:rPr>
      </w:pPr>
      <w:r w:rsidRPr="00CA2CC1">
        <w:rPr>
          <w:rFonts w:cs="Calibri"/>
          <w:szCs w:val="22"/>
        </w:rPr>
        <w:t xml:space="preserve">Encourage child-friendly design in new </w:t>
      </w:r>
      <w:r w:rsidRPr="00CA2CC1">
        <w:rPr>
          <w:rFonts w:cs="Calibri"/>
          <w:spacing w:val="-2"/>
          <w:szCs w:val="22"/>
        </w:rPr>
        <w:t>apartments.</w:t>
      </w:r>
    </w:p>
    <w:p w14:paraId="67B699C2" w14:textId="77777777" w:rsidR="00FA4226" w:rsidRPr="00CA2CC1" w:rsidRDefault="00FA4226" w:rsidP="0043303B">
      <w:pPr>
        <w:pStyle w:val="BodyText"/>
        <w:rPr>
          <w:rFonts w:cs="Calibri"/>
          <w:szCs w:val="22"/>
        </w:rPr>
      </w:pPr>
    </w:p>
    <w:p w14:paraId="633587D5" w14:textId="77777777" w:rsidR="00446A8F" w:rsidRPr="00CA2CC1" w:rsidRDefault="00446A8F" w:rsidP="00CA2CC1">
      <w:pPr>
        <w:pStyle w:val="Heading4"/>
        <w:rPr>
          <w:spacing w:val="-2"/>
          <w:lang w:val="en-GB"/>
        </w:rPr>
      </w:pPr>
      <w:r w:rsidRPr="00CA2CC1">
        <w:rPr>
          <w:lang w:val="en-GB"/>
        </w:rPr>
        <w:t>Melbourne</w:t>
      </w:r>
      <w:r w:rsidRPr="00CA2CC1">
        <w:rPr>
          <w:spacing w:val="1"/>
          <w:lang w:val="en-GB"/>
        </w:rPr>
        <w:t xml:space="preserve"> </w:t>
      </w:r>
      <w:r w:rsidRPr="00CA2CC1">
        <w:rPr>
          <w:lang w:val="en-GB"/>
        </w:rPr>
        <w:t>fast</w:t>
      </w:r>
      <w:r w:rsidRPr="00CA2CC1">
        <w:rPr>
          <w:spacing w:val="2"/>
          <w:lang w:val="en-GB"/>
        </w:rPr>
        <w:t xml:space="preserve"> </w:t>
      </w:r>
      <w:r w:rsidRPr="00CA2CC1">
        <w:rPr>
          <w:spacing w:val="-2"/>
          <w:lang w:val="en-GB"/>
        </w:rPr>
        <w:t>facts</w:t>
      </w:r>
    </w:p>
    <w:p w14:paraId="17A8E6D9" w14:textId="77777777" w:rsidR="00446A8F" w:rsidRPr="00CA2CC1" w:rsidRDefault="00446A8F" w:rsidP="0043303B">
      <w:pPr>
        <w:pStyle w:val="ListParagraph"/>
        <w:numPr>
          <w:ilvl w:val="0"/>
          <w:numId w:val="30"/>
        </w:numPr>
        <w:tabs>
          <w:tab w:val="left" w:pos="1530"/>
        </w:tabs>
        <w:adjustRightInd w:val="0"/>
        <w:spacing w:before="0" w:after="100"/>
        <w:ind w:left="360"/>
        <w:contextualSpacing/>
        <w:rPr>
          <w:rFonts w:cs="Calibri"/>
          <w:color w:val="3C3C3B"/>
          <w:spacing w:val="-2"/>
          <w:kern w:val="1"/>
          <w:szCs w:val="22"/>
          <w:lang w:val="en-GB"/>
        </w:rPr>
      </w:pPr>
      <w:r w:rsidRPr="00CA2CC1">
        <w:rPr>
          <w:rFonts w:cs="Calibri"/>
          <w:color w:val="3C3C3B"/>
          <w:kern w:val="1"/>
          <w:szCs w:val="22"/>
          <w:lang w:val="en-GB"/>
        </w:rPr>
        <w:t>Melbourne needs 932,000 new homes in established areas by 2051 – the equivalent of 8 times the</w:t>
      </w:r>
      <w:r w:rsidRPr="00CA2CC1">
        <w:rPr>
          <w:rFonts w:cs="Calibri"/>
          <w:color w:val="3C3C3B"/>
          <w:spacing w:val="-8"/>
          <w:kern w:val="1"/>
          <w:szCs w:val="22"/>
          <w:lang w:val="en-GB"/>
        </w:rPr>
        <w:t xml:space="preserve"> </w:t>
      </w:r>
      <w:r w:rsidRPr="00CA2CC1">
        <w:rPr>
          <w:rFonts w:cs="Calibri"/>
          <w:color w:val="3C3C3B"/>
          <w:kern w:val="1"/>
          <w:szCs w:val="22"/>
          <w:lang w:val="en-GB"/>
        </w:rPr>
        <w:t>number</w:t>
      </w:r>
      <w:r w:rsidRPr="00CA2CC1">
        <w:rPr>
          <w:rFonts w:cs="Calibri"/>
          <w:color w:val="3C3C3B"/>
          <w:spacing w:val="-8"/>
          <w:kern w:val="1"/>
          <w:szCs w:val="22"/>
          <w:lang w:val="en-GB"/>
        </w:rPr>
        <w:t xml:space="preserve"> </w:t>
      </w:r>
      <w:r w:rsidRPr="00CA2CC1">
        <w:rPr>
          <w:rFonts w:cs="Calibri"/>
          <w:color w:val="3C3C3B"/>
          <w:kern w:val="1"/>
          <w:szCs w:val="22"/>
          <w:lang w:val="en-GB"/>
        </w:rPr>
        <w:t>of</w:t>
      </w:r>
      <w:r w:rsidRPr="00CA2CC1">
        <w:rPr>
          <w:rFonts w:cs="Calibri"/>
          <w:color w:val="3C3C3B"/>
          <w:spacing w:val="-8"/>
          <w:kern w:val="1"/>
          <w:szCs w:val="22"/>
          <w:lang w:val="en-GB"/>
        </w:rPr>
        <w:t xml:space="preserve"> </w:t>
      </w:r>
      <w:r w:rsidRPr="00CA2CC1">
        <w:rPr>
          <w:rFonts w:cs="Calibri"/>
          <w:color w:val="3C3C3B"/>
          <w:kern w:val="1"/>
          <w:szCs w:val="22"/>
          <w:lang w:val="en-GB"/>
        </w:rPr>
        <w:t>homes</w:t>
      </w:r>
      <w:r w:rsidRPr="00CA2CC1">
        <w:rPr>
          <w:rFonts w:cs="Calibri"/>
          <w:color w:val="3C3C3B"/>
          <w:spacing w:val="-8"/>
          <w:kern w:val="1"/>
          <w:szCs w:val="22"/>
          <w:lang w:val="en-GB"/>
        </w:rPr>
        <w:t xml:space="preserve"> </w:t>
      </w:r>
      <w:r w:rsidRPr="00CA2CC1">
        <w:rPr>
          <w:rFonts w:cs="Calibri"/>
          <w:color w:val="3C3C3B"/>
          <w:kern w:val="1"/>
          <w:szCs w:val="22"/>
          <w:lang w:val="en-GB"/>
        </w:rPr>
        <w:t>in</w:t>
      </w:r>
      <w:r w:rsidRPr="00CA2CC1">
        <w:rPr>
          <w:rFonts w:cs="Calibri"/>
          <w:color w:val="3C3C3B"/>
          <w:spacing w:val="-8"/>
          <w:kern w:val="1"/>
          <w:szCs w:val="22"/>
          <w:lang w:val="en-GB"/>
        </w:rPr>
        <w:t xml:space="preserve"> </w:t>
      </w:r>
      <w:r w:rsidRPr="00CA2CC1">
        <w:rPr>
          <w:rFonts w:cs="Calibri"/>
          <w:color w:val="3C3C3B"/>
          <w:kern w:val="1"/>
          <w:szCs w:val="22"/>
          <w:lang w:val="en-GB"/>
        </w:rPr>
        <w:t xml:space="preserve">Geelong </w:t>
      </w:r>
      <w:r w:rsidRPr="00CA2CC1">
        <w:rPr>
          <w:rFonts w:cs="Calibri"/>
          <w:color w:val="3C3C3B"/>
          <w:spacing w:val="-2"/>
          <w:kern w:val="1"/>
          <w:szCs w:val="22"/>
          <w:lang w:val="en-GB"/>
        </w:rPr>
        <w:t xml:space="preserve">today. </w:t>
      </w:r>
    </w:p>
    <w:p w14:paraId="45ACDEF6" w14:textId="77777777" w:rsidR="00446A8F" w:rsidRPr="00CA2CC1" w:rsidRDefault="00446A8F" w:rsidP="0043303B">
      <w:pPr>
        <w:pStyle w:val="ListParagraph"/>
        <w:numPr>
          <w:ilvl w:val="0"/>
          <w:numId w:val="30"/>
        </w:numPr>
        <w:tabs>
          <w:tab w:val="left" w:pos="1530"/>
        </w:tabs>
        <w:adjustRightInd w:val="0"/>
        <w:spacing w:before="0" w:after="100"/>
        <w:ind w:left="360"/>
        <w:contextualSpacing/>
        <w:rPr>
          <w:rFonts w:cs="Calibri"/>
          <w:color w:val="3C3C3B"/>
          <w:spacing w:val="-2"/>
          <w:kern w:val="1"/>
          <w:szCs w:val="22"/>
          <w:lang w:val="en-GB"/>
        </w:rPr>
      </w:pPr>
      <w:r w:rsidRPr="00CA2CC1">
        <w:rPr>
          <w:rFonts w:cs="Calibri"/>
          <w:color w:val="3C3C3B"/>
          <w:kern w:val="1"/>
          <w:szCs w:val="22"/>
          <w:lang w:val="en-GB"/>
        </w:rPr>
        <w:t>Melbourne has around 5 million people making it the 102nd largest global city by population, but</w:t>
      </w:r>
      <w:r w:rsidRPr="00CA2CC1">
        <w:rPr>
          <w:rFonts w:cs="Calibri"/>
          <w:color w:val="3C3C3B"/>
          <w:spacing w:val="-8"/>
          <w:kern w:val="1"/>
          <w:szCs w:val="22"/>
          <w:lang w:val="en-GB"/>
        </w:rPr>
        <w:t xml:space="preserve"> </w:t>
      </w:r>
      <w:r w:rsidRPr="00CA2CC1">
        <w:rPr>
          <w:rFonts w:cs="Calibri"/>
          <w:color w:val="3C3C3B"/>
          <w:kern w:val="1"/>
          <w:szCs w:val="22"/>
          <w:lang w:val="en-GB"/>
        </w:rPr>
        <w:t>it</w:t>
      </w:r>
      <w:r w:rsidRPr="00CA2CC1">
        <w:rPr>
          <w:rFonts w:cs="Calibri"/>
          <w:color w:val="3C3C3B"/>
          <w:spacing w:val="-8"/>
          <w:kern w:val="1"/>
          <w:szCs w:val="22"/>
          <w:lang w:val="en-GB"/>
        </w:rPr>
        <w:t xml:space="preserve"> </w:t>
      </w:r>
      <w:r w:rsidRPr="00CA2CC1">
        <w:rPr>
          <w:rFonts w:cs="Calibri"/>
          <w:color w:val="3C3C3B"/>
          <w:kern w:val="1"/>
          <w:szCs w:val="22"/>
          <w:lang w:val="en-GB"/>
        </w:rPr>
        <w:t>has</w:t>
      </w:r>
      <w:r w:rsidRPr="00CA2CC1">
        <w:rPr>
          <w:rFonts w:cs="Calibri"/>
          <w:color w:val="3C3C3B"/>
          <w:spacing w:val="-8"/>
          <w:kern w:val="1"/>
          <w:szCs w:val="22"/>
          <w:lang w:val="en-GB"/>
        </w:rPr>
        <w:t xml:space="preserve"> </w:t>
      </w:r>
      <w:r w:rsidRPr="00CA2CC1">
        <w:rPr>
          <w:rFonts w:cs="Calibri"/>
          <w:color w:val="3C3C3B"/>
          <w:kern w:val="1"/>
          <w:szCs w:val="22"/>
          <w:lang w:val="en-GB"/>
        </w:rPr>
        <w:t>the</w:t>
      </w:r>
      <w:r w:rsidRPr="00CA2CC1">
        <w:rPr>
          <w:rFonts w:cs="Calibri"/>
          <w:color w:val="3C3C3B"/>
          <w:spacing w:val="-8"/>
          <w:kern w:val="1"/>
          <w:szCs w:val="22"/>
          <w:lang w:val="en-GB"/>
        </w:rPr>
        <w:t xml:space="preserve"> </w:t>
      </w:r>
      <w:r w:rsidRPr="00CA2CC1">
        <w:rPr>
          <w:rFonts w:cs="Calibri"/>
          <w:color w:val="3C3C3B"/>
          <w:kern w:val="1"/>
          <w:szCs w:val="22"/>
          <w:lang w:val="en-GB"/>
        </w:rPr>
        <w:t>33rd</w:t>
      </w:r>
      <w:r w:rsidRPr="00CA2CC1">
        <w:rPr>
          <w:rFonts w:cs="Calibri"/>
          <w:color w:val="3C3C3B"/>
          <w:spacing w:val="-8"/>
          <w:kern w:val="1"/>
          <w:szCs w:val="22"/>
          <w:lang w:val="en-GB"/>
        </w:rPr>
        <w:t xml:space="preserve"> </w:t>
      </w:r>
      <w:r w:rsidRPr="00CA2CC1">
        <w:rPr>
          <w:rFonts w:cs="Calibri"/>
          <w:color w:val="3C3C3B"/>
          <w:kern w:val="1"/>
          <w:szCs w:val="22"/>
          <w:lang w:val="en-GB"/>
        </w:rPr>
        <w:t>largest</w:t>
      </w:r>
      <w:r w:rsidRPr="00CA2CC1">
        <w:rPr>
          <w:rFonts w:cs="Calibri"/>
          <w:color w:val="3C3C3B"/>
          <w:spacing w:val="-8"/>
          <w:kern w:val="1"/>
          <w:szCs w:val="22"/>
          <w:lang w:val="en-GB"/>
        </w:rPr>
        <w:t xml:space="preserve"> </w:t>
      </w:r>
      <w:r w:rsidRPr="00CA2CC1">
        <w:rPr>
          <w:rFonts w:cs="Calibri"/>
          <w:color w:val="3C3C3B"/>
          <w:kern w:val="1"/>
          <w:szCs w:val="22"/>
          <w:lang w:val="en-GB"/>
        </w:rPr>
        <w:t>built-up land area in the world.</w:t>
      </w:r>
    </w:p>
    <w:p w14:paraId="13F24BD3" w14:textId="77777777" w:rsidR="00446A8F" w:rsidRPr="00CA2CC1" w:rsidRDefault="00446A8F" w:rsidP="0043303B">
      <w:pPr>
        <w:pStyle w:val="ListParagraph"/>
        <w:numPr>
          <w:ilvl w:val="0"/>
          <w:numId w:val="30"/>
        </w:numPr>
        <w:tabs>
          <w:tab w:val="left" w:pos="1530"/>
        </w:tabs>
        <w:adjustRightInd w:val="0"/>
        <w:spacing w:before="0" w:after="100"/>
        <w:ind w:left="360"/>
        <w:contextualSpacing/>
        <w:rPr>
          <w:rFonts w:cs="Calibri"/>
          <w:color w:val="3C3C3B"/>
          <w:kern w:val="1"/>
          <w:szCs w:val="22"/>
          <w:lang w:val="en-GB"/>
        </w:rPr>
      </w:pPr>
      <w:r w:rsidRPr="00CA2CC1">
        <w:rPr>
          <w:rFonts w:cs="Calibri"/>
          <w:color w:val="3C3C3B"/>
          <w:kern w:val="1"/>
          <w:szCs w:val="22"/>
          <w:lang w:val="en-GB"/>
        </w:rPr>
        <w:t>The Victorian Government’s long-term planning document, Plan</w:t>
      </w:r>
      <w:r w:rsidRPr="00CA2CC1">
        <w:rPr>
          <w:rFonts w:cs="Calibri"/>
          <w:color w:val="3C3C3B"/>
          <w:spacing w:val="-10"/>
          <w:kern w:val="1"/>
          <w:szCs w:val="22"/>
          <w:lang w:val="en-GB"/>
        </w:rPr>
        <w:t xml:space="preserve"> </w:t>
      </w:r>
      <w:r w:rsidRPr="00CA2CC1">
        <w:rPr>
          <w:rFonts w:cs="Calibri"/>
          <w:color w:val="3C3C3B"/>
          <w:kern w:val="1"/>
          <w:szCs w:val="22"/>
          <w:lang w:val="en-GB"/>
        </w:rPr>
        <w:t>Melbourne,</w:t>
      </w:r>
      <w:r w:rsidRPr="00CA2CC1">
        <w:rPr>
          <w:rFonts w:cs="Calibri"/>
          <w:color w:val="3C3C3B"/>
          <w:spacing w:val="-10"/>
          <w:kern w:val="1"/>
          <w:szCs w:val="22"/>
          <w:lang w:val="en-GB"/>
        </w:rPr>
        <w:t xml:space="preserve"> </w:t>
      </w:r>
      <w:r w:rsidRPr="00CA2CC1">
        <w:rPr>
          <w:rFonts w:cs="Calibri"/>
          <w:color w:val="3C3C3B"/>
          <w:kern w:val="1"/>
          <w:szCs w:val="22"/>
          <w:lang w:val="en-GB"/>
        </w:rPr>
        <w:t>aspires</w:t>
      </w:r>
      <w:r w:rsidRPr="00CA2CC1">
        <w:rPr>
          <w:rFonts w:cs="Calibri"/>
          <w:color w:val="3C3C3B"/>
          <w:spacing w:val="-10"/>
          <w:kern w:val="1"/>
          <w:szCs w:val="22"/>
          <w:lang w:val="en-GB"/>
        </w:rPr>
        <w:t xml:space="preserve"> </w:t>
      </w:r>
      <w:r w:rsidRPr="00CA2CC1">
        <w:rPr>
          <w:rFonts w:cs="Calibri"/>
          <w:color w:val="3C3C3B"/>
          <w:kern w:val="1"/>
          <w:szCs w:val="22"/>
          <w:lang w:val="en-GB"/>
        </w:rPr>
        <w:t>to</w:t>
      </w:r>
      <w:r w:rsidRPr="00CA2CC1">
        <w:rPr>
          <w:rFonts w:cs="Calibri"/>
          <w:color w:val="3C3C3B"/>
          <w:spacing w:val="-10"/>
          <w:kern w:val="1"/>
          <w:szCs w:val="22"/>
          <w:lang w:val="en-GB"/>
        </w:rPr>
        <w:t xml:space="preserve"> </w:t>
      </w:r>
      <w:r w:rsidRPr="00CA2CC1">
        <w:rPr>
          <w:rFonts w:cs="Calibri"/>
          <w:color w:val="3C3C3B"/>
          <w:kern w:val="1"/>
          <w:szCs w:val="22"/>
          <w:lang w:val="en-GB"/>
        </w:rPr>
        <w:t>70% of new homes being built in established</w:t>
      </w:r>
      <w:r w:rsidRPr="00CA2CC1">
        <w:rPr>
          <w:rFonts w:cs="Calibri"/>
          <w:color w:val="3C3C3B"/>
          <w:spacing w:val="-11"/>
          <w:kern w:val="1"/>
          <w:szCs w:val="22"/>
          <w:lang w:val="en-GB"/>
        </w:rPr>
        <w:t xml:space="preserve"> </w:t>
      </w:r>
      <w:r w:rsidRPr="00CA2CC1">
        <w:rPr>
          <w:rFonts w:cs="Calibri"/>
          <w:color w:val="3C3C3B"/>
          <w:kern w:val="1"/>
          <w:szCs w:val="22"/>
          <w:lang w:val="en-GB"/>
        </w:rPr>
        <w:t>areas.</w:t>
      </w:r>
      <w:r w:rsidRPr="00CA2CC1">
        <w:rPr>
          <w:rFonts w:cs="Calibri"/>
          <w:color w:val="3C3C3B"/>
          <w:spacing w:val="-11"/>
          <w:kern w:val="1"/>
          <w:szCs w:val="22"/>
          <w:lang w:val="en-GB"/>
        </w:rPr>
        <w:t xml:space="preserve"> </w:t>
      </w:r>
      <w:r w:rsidRPr="00CA2CC1">
        <w:rPr>
          <w:rFonts w:cs="Calibri"/>
          <w:color w:val="3C3C3B"/>
          <w:kern w:val="1"/>
          <w:szCs w:val="22"/>
          <w:lang w:val="en-GB"/>
        </w:rPr>
        <w:t>In</w:t>
      </w:r>
      <w:r w:rsidRPr="00CA2CC1">
        <w:rPr>
          <w:rFonts w:cs="Calibri"/>
          <w:color w:val="3C3C3B"/>
          <w:spacing w:val="-11"/>
          <w:kern w:val="1"/>
          <w:szCs w:val="22"/>
          <w:lang w:val="en-GB"/>
        </w:rPr>
        <w:t xml:space="preserve"> </w:t>
      </w:r>
      <w:r w:rsidRPr="00CA2CC1">
        <w:rPr>
          <w:rFonts w:cs="Calibri"/>
          <w:color w:val="3C3C3B"/>
          <w:kern w:val="1"/>
          <w:szCs w:val="22"/>
          <w:lang w:val="en-GB"/>
        </w:rPr>
        <w:t>2021,</w:t>
      </w:r>
      <w:r w:rsidRPr="00CA2CC1">
        <w:rPr>
          <w:rFonts w:cs="Calibri"/>
          <w:color w:val="3C3C3B"/>
          <w:spacing w:val="-11"/>
          <w:kern w:val="1"/>
          <w:szCs w:val="22"/>
          <w:lang w:val="en-GB"/>
        </w:rPr>
        <w:t xml:space="preserve"> </w:t>
      </w:r>
      <w:r w:rsidRPr="00CA2CC1">
        <w:rPr>
          <w:rFonts w:cs="Calibri"/>
          <w:color w:val="3C3C3B"/>
          <w:kern w:val="1"/>
          <w:szCs w:val="22"/>
          <w:lang w:val="en-GB"/>
        </w:rPr>
        <w:t>fewer than half (44%) of Melbourne’s new homes were built in established suburbs compared with over 60% in 2012.</w:t>
      </w:r>
    </w:p>
    <w:p w14:paraId="5153A9EE" w14:textId="77777777" w:rsidR="00446A8F" w:rsidRPr="00CA2CC1" w:rsidRDefault="00446A8F" w:rsidP="0043303B">
      <w:pPr>
        <w:pStyle w:val="ListParagraph"/>
        <w:numPr>
          <w:ilvl w:val="0"/>
          <w:numId w:val="30"/>
        </w:numPr>
        <w:tabs>
          <w:tab w:val="left" w:pos="1530"/>
        </w:tabs>
        <w:adjustRightInd w:val="0"/>
        <w:spacing w:before="0" w:after="100"/>
        <w:ind w:left="360"/>
        <w:contextualSpacing/>
        <w:rPr>
          <w:rFonts w:cs="Calibri"/>
          <w:color w:val="3C3C3B"/>
          <w:kern w:val="1"/>
          <w:szCs w:val="22"/>
          <w:lang w:val="en-GB"/>
        </w:rPr>
      </w:pPr>
      <w:r w:rsidRPr="00CA2CC1">
        <w:rPr>
          <w:rFonts w:cs="Calibri"/>
          <w:color w:val="3C3C3B"/>
          <w:kern w:val="1"/>
          <w:szCs w:val="22"/>
          <w:lang w:val="en-GB"/>
        </w:rPr>
        <w:t>The 7 local government areas home</w:t>
      </w:r>
      <w:r w:rsidRPr="00CA2CC1">
        <w:rPr>
          <w:rFonts w:cs="Calibri"/>
          <w:color w:val="3C3C3B"/>
          <w:spacing w:val="-13"/>
          <w:kern w:val="1"/>
          <w:szCs w:val="22"/>
          <w:lang w:val="en-GB"/>
        </w:rPr>
        <w:t xml:space="preserve"> </w:t>
      </w:r>
      <w:r w:rsidRPr="00CA2CC1">
        <w:rPr>
          <w:rFonts w:cs="Calibri"/>
          <w:color w:val="3C3C3B"/>
          <w:kern w:val="1"/>
          <w:szCs w:val="22"/>
          <w:lang w:val="en-GB"/>
        </w:rPr>
        <w:t>to</w:t>
      </w:r>
      <w:r w:rsidRPr="00CA2CC1">
        <w:rPr>
          <w:rFonts w:cs="Calibri"/>
          <w:color w:val="3C3C3B"/>
          <w:spacing w:val="-13"/>
          <w:kern w:val="1"/>
          <w:szCs w:val="22"/>
          <w:lang w:val="en-GB"/>
        </w:rPr>
        <w:t xml:space="preserve"> </w:t>
      </w:r>
      <w:r w:rsidRPr="00CA2CC1">
        <w:rPr>
          <w:rFonts w:cs="Calibri"/>
          <w:color w:val="3C3C3B"/>
          <w:kern w:val="1"/>
          <w:szCs w:val="22"/>
          <w:lang w:val="en-GB"/>
        </w:rPr>
        <w:t>Melbourne’s</w:t>
      </w:r>
      <w:r w:rsidRPr="00CA2CC1">
        <w:rPr>
          <w:rFonts w:cs="Calibri"/>
          <w:color w:val="3C3C3B"/>
          <w:spacing w:val="-12"/>
          <w:kern w:val="1"/>
          <w:szCs w:val="22"/>
          <w:lang w:val="en-GB"/>
        </w:rPr>
        <w:t xml:space="preserve"> </w:t>
      </w:r>
      <w:r w:rsidRPr="00CA2CC1">
        <w:rPr>
          <w:rFonts w:cs="Calibri"/>
          <w:color w:val="3C3C3B"/>
          <w:kern w:val="1"/>
          <w:szCs w:val="22"/>
          <w:lang w:val="en-GB"/>
        </w:rPr>
        <w:t>new</w:t>
      </w:r>
      <w:r w:rsidRPr="00CA2CC1">
        <w:rPr>
          <w:rFonts w:cs="Calibri"/>
          <w:color w:val="3C3C3B"/>
          <w:spacing w:val="-13"/>
          <w:kern w:val="1"/>
          <w:szCs w:val="22"/>
          <w:lang w:val="en-GB"/>
        </w:rPr>
        <w:t xml:space="preserve"> </w:t>
      </w:r>
      <w:r w:rsidRPr="00CA2CC1">
        <w:rPr>
          <w:rFonts w:cs="Calibri"/>
          <w:color w:val="3C3C3B"/>
          <w:kern w:val="1"/>
          <w:szCs w:val="22"/>
          <w:lang w:val="en-GB"/>
        </w:rPr>
        <w:t>growth suburbs (Cardinia, Casey, Hume, Melton, Whittlesea, Wyndham plus</w:t>
      </w:r>
      <w:r w:rsidRPr="00CA2CC1">
        <w:rPr>
          <w:rFonts w:cs="Calibri"/>
          <w:color w:val="3C3C3B"/>
          <w:spacing w:val="-4"/>
          <w:kern w:val="1"/>
          <w:szCs w:val="22"/>
          <w:lang w:val="en-GB"/>
        </w:rPr>
        <w:t xml:space="preserve"> </w:t>
      </w:r>
      <w:r w:rsidRPr="00CA2CC1">
        <w:rPr>
          <w:rFonts w:cs="Calibri"/>
          <w:color w:val="3C3C3B"/>
          <w:kern w:val="1"/>
          <w:szCs w:val="22"/>
          <w:lang w:val="en-GB"/>
        </w:rPr>
        <w:t>the</w:t>
      </w:r>
      <w:r w:rsidRPr="00CA2CC1">
        <w:rPr>
          <w:rFonts w:cs="Calibri"/>
          <w:color w:val="3C3C3B"/>
          <w:spacing w:val="-4"/>
          <w:kern w:val="1"/>
          <w:szCs w:val="22"/>
          <w:lang w:val="en-GB"/>
        </w:rPr>
        <w:t xml:space="preserve"> </w:t>
      </w:r>
      <w:r w:rsidRPr="00CA2CC1">
        <w:rPr>
          <w:rFonts w:cs="Calibri"/>
          <w:color w:val="3C3C3B"/>
          <w:kern w:val="1"/>
          <w:szCs w:val="22"/>
          <w:lang w:val="en-GB"/>
        </w:rPr>
        <w:t>southern</w:t>
      </w:r>
      <w:r w:rsidRPr="00CA2CC1">
        <w:rPr>
          <w:rFonts w:cs="Calibri"/>
          <w:color w:val="3C3C3B"/>
          <w:spacing w:val="-4"/>
          <w:kern w:val="1"/>
          <w:szCs w:val="22"/>
          <w:lang w:val="en-GB"/>
        </w:rPr>
        <w:t xml:space="preserve"> </w:t>
      </w:r>
      <w:r w:rsidRPr="00CA2CC1">
        <w:rPr>
          <w:rFonts w:cs="Calibri"/>
          <w:color w:val="3C3C3B"/>
          <w:kern w:val="1"/>
          <w:szCs w:val="22"/>
          <w:lang w:val="en-GB"/>
        </w:rPr>
        <w:t>part</w:t>
      </w:r>
      <w:r w:rsidRPr="00CA2CC1">
        <w:rPr>
          <w:rFonts w:cs="Calibri"/>
          <w:color w:val="3C3C3B"/>
          <w:spacing w:val="-4"/>
          <w:kern w:val="1"/>
          <w:szCs w:val="22"/>
          <w:lang w:val="en-GB"/>
        </w:rPr>
        <w:t xml:space="preserve"> </w:t>
      </w:r>
      <w:r w:rsidRPr="00CA2CC1">
        <w:rPr>
          <w:rFonts w:cs="Calibri"/>
          <w:color w:val="3C3C3B"/>
          <w:kern w:val="1"/>
          <w:szCs w:val="22"/>
          <w:lang w:val="en-GB"/>
        </w:rPr>
        <w:t>of</w:t>
      </w:r>
      <w:r w:rsidRPr="00CA2CC1">
        <w:rPr>
          <w:rFonts w:cs="Calibri"/>
          <w:color w:val="3C3C3B"/>
          <w:spacing w:val="-4"/>
          <w:kern w:val="1"/>
          <w:szCs w:val="22"/>
          <w:lang w:val="en-GB"/>
        </w:rPr>
        <w:t xml:space="preserve"> </w:t>
      </w:r>
      <w:r w:rsidRPr="00CA2CC1">
        <w:rPr>
          <w:rFonts w:cs="Calibri"/>
          <w:color w:val="3C3C3B"/>
          <w:kern w:val="1"/>
          <w:szCs w:val="22"/>
          <w:lang w:val="en-GB"/>
        </w:rPr>
        <w:t xml:space="preserve">Mitchell) accounted for 50% of Victoria’s total </w:t>
      </w:r>
      <w:r w:rsidRPr="00CA2CC1">
        <w:rPr>
          <w:rFonts w:cs="Calibri"/>
          <w:color w:val="3C3C3B"/>
          <w:kern w:val="1"/>
          <w:szCs w:val="22"/>
          <w:lang w:val="en-GB"/>
        </w:rPr>
        <w:lastRenderedPageBreak/>
        <w:t>population growth over the last 10 years.</w:t>
      </w:r>
    </w:p>
    <w:p w14:paraId="11AAE5DB" w14:textId="77777777" w:rsidR="00446A8F" w:rsidRPr="00CA2CC1" w:rsidRDefault="00446A8F" w:rsidP="0043303B">
      <w:pPr>
        <w:pStyle w:val="ListParagraph"/>
        <w:numPr>
          <w:ilvl w:val="0"/>
          <w:numId w:val="30"/>
        </w:numPr>
        <w:tabs>
          <w:tab w:val="left" w:pos="1530"/>
        </w:tabs>
        <w:adjustRightInd w:val="0"/>
        <w:spacing w:before="0" w:after="100"/>
        <w:ind w:left="360"/>
        <w:contextualSpacing/>
        <w:rPr>
          <w:rFonts w:cs="Calibri"/>
          <w:color w:val="3C3C3B"/>
          <w:kern w:val="1"/>
          <w:szCs w:val="22"/>
          <w:lang w:val="en-GB"/>
        </w:rPr>
      </w:pPr>
      <w:r w:rsidRPr="00CA2CC1">
        <w:rPr>
          <w:rFonts w:cs="Calibri"/>
          <w:color w:val="3C3C3B"/>
          <w:kern w:val="1"/>
          <w:szCs w:val="22"/>
          <w:lang w:val="en-GB"/>
        </w:rPr>
        <w:t>The median household income for</w:t>
      </w:r>
      <w:r w:rsidRPr="00CA2CC1">
        <w:rPr>
          <w:rFonts w:cs="Calibri"/>
          <w:color w:val="3C3C3B"/>
          <w:spacing w:val="-10"/>
          <w:kern w:val="1"/>
          <w:szCs w:val="22"/>
          <w:lang w:val="en-GB"/>
        </w:rPr>
        <w:t xml:space="preserve"> </w:t>
      </w:r>
      <w:r w:rsidRPr="00CA2CC1">
        <w:rPr>
          <w:rFonts w:cs="Calibri"/>
          <w:color w:val="3C3C3B"/>
          <w:kern w:val="1"/>
          <w:szCs w:val="22"/>
          <w:lang w:val="en-GB"/>
        </w:rPr>
        <w:t>homebuyers</w:t>
      </w:r>
      <w:r w:rsidRPr="00CA2CC1">
        <w:rPr>
          <w:rFonts w:cs="Calibri"/>
          <w:color w:val="3C3C3B"/>
          <w:spacing w:val="-10"/>
          <w:kern w:val="1"/>
          <w:szCs w:val="22"/>
          <w:lang w:val="en-GB"/>
        </w:rPr>
        <w:t xml:space="preserve"> </w:t>
      </w:r>
      <w:r w:rsidRPr="00CA2CC1">
        <w:rPr>
          <w:rFonts w:cs="Calibri"/>
          <w:color w:val="3C3C3B"/>
          <w:kern w:val="1"/>
          <w:szCs w:val="22"/>
          <w:lang w:val="en-GB"/>
        </w:rPr>
        <w:t>in</w:t>
      </w:r>
      <w:r w:rsidRPr="00CA2CC1">
        <w:rPr>
          <w:rFonts w:cs="Calibri"/>
          <w:color w:val="3C3C3B"/>
          <w:spacing w:val="-10"/>
          <w:kern w:val="1"/>
          <w:szCs w:val="22"/>
          <w:lang w:val="en-GB"/>
        </w:rPr>
        <w:t xml:space="preserve"> </w:t>
      </w:r>
      <w:r w:rsidRPr="00CA2CC1">
        <w:rPr>
          <w:rFonts w:cs="Calibri"/>
          <w:color w:val="3C3C3B"/>
          <w:kern w:val="1"/>
          <w:szCs w:val="22"/>
          <w:lang w:val="en-GB"/>
        </w:rPr>
        <w:t>new</w:t>
      </w:r>
      <w:r w:rsidRPr="00CA2CC1">
        <w:rPr>
          <w:rFonts w:cs="Calibri"/>
          <w:color w:val="3C3C3B"/>
          <w:spacing w:val="-10"/>
          <w:kern w:val="1"/>
          <w:szCs w:val="22"/>
          <w:lang w:val="en-GB"/>
        </w:rPr>
        <w:t xml:space="preserve"> </w:t>
      </w:r>
      <w:r w:rsidRPr="00CA2CC1">
        <w:rPr>
          <w:rFonts w:cs="Calibri"/>
          <w:color w:val="3C3C3B"/>
          <w:kern w:val="1"/>
          <w:szCs w:val="22"/>
          <w:lang w:val="en-GB"/>
        </w:rPr>
        <w:t>suburbs is just over $90,000.</w:t>
      </w:r>
    </w:p>
    <w:p w14:paraId="6440C697" w14:textId="77777777" w:rsidR="00446A8F" w:rsidRPr="00CA2CC1" w:rsidRDefault="00446A8F" w:rsidP="0043303B">
      <w:pPr>
        <w:pStyle w:val="ListParagraph"/>
        <w:numPr>
          <w:ilvl w:val="0"/>
          <w:numId w:val="30"/>
        </w:numPr>
        <w:tabs>
          <w:tab w:val="left" w:pos="1530"/>
        </w:tabs>
        <w:adjustRightInd w:val="0"/>
        <w:spacing w:before="0" w:after="100"/>
        <w:ind w:left="360"/>
        <w:contextualSpacing/>
        <w:rPr>
          <w:rFonts w:cs="Calibri"/>
          <w:color w:val="3C3C3B"/>
          <w:kern w:val="1"/>
          <w:szCs w:val="22"/>
          <w:lang w:val="en-GB"/>
        </w:rPr>
      </w:pPr>
      <w:r w:rsidRPr="00CA2CC1">
        <w:rPr>
          <w:rFonts w:cs="Calibri"/>
          <w:color w:val="3C3C3B"/>
          <w:kern w:val="1"/>
          <w:szCs w:val="22"/>
          <w:lang w:val="en-GB"/>
        </w:rPr>
        <w:t>Block sizes in growth areas vary generally</w:t>
      </w:r>
      <w:r w:rsidRPr="00CA2CC1">
        <w:rPr>
          <w:rFonts w:cs="Calibri"/>
          <w:color w:val="3C3C3B"/>
          <w:spacing w:val="-10"/>
          <w:kern w:val="1"/>
          <w:szCs w:val="22"/>
          <w:lang w:val="en-GB"/>
        </w:rPr>
        <w:t xml:space="preserve"> </w:t>
      </w:r>
      <w:r w:rsidRPr="00CA2CC1">
        <w:rPr>
          <w:rFonts w:cs="Calibri"/>
          <w:color w:val="3C3C3B"/>
          <w:kern w:val="1"/>
          <w:szCs w:val="22"/>
          <w:lang w:val="en-GB"/>
        </w:rPr>
        <w:t>between</w:t>
      </w:r>
      <w:r w:rsidRPr="00CA2CC1">
        <w:rPr>
          <w:rFonts w:cs="Calibri"/>
          <w:color w:val="3C3C3B"/>
          <w:spacing w:val="-10"/>
          <w:kern w:val="1"/>
          <w:szCs w:val="22"/>
          <w:lang w:val="en-GB"/>
        </w:rPr>
        <w:t xml:space="preserve"> </w:t>
      </w:r>
      <w:r w:rsidRPr="00CA2CC1">
        <w:rPr>
          <w:rFonts w:cs="Calibri"/>
          <w:color w:val="3C3C3B"/>
          <w:kern w:val="1"/>
          <w:szCs w:val="22"/>
          <w:lang w:val="en-GB"/>
        </w:rPr>
        <w:t>400</w:t>
      </w:r>
      <w:r w:rsidRPr="00CA2CC1">
        <w:rPr>
          <w:rFonts w:cs="Calibri"/>
          <w:color w:val="3C3C3B"/>
          <w:spacing w:val="-10"/>
          <w:kern w:val="1"/>
          <w:szCs w:val="22"/>
          <w:lang w:val="en-GB"/>
        </w:rPr>
        <w:t xml:space="preserve"> </w:t>
      </w:r>
      <w:r w:rsidRPr="00CA2CC1">
        <w:rPr>
          <w:rFonts w:cs="Calibri"/>
          <w:color w:val="3C3C3B"/>
          <w:kern w:val="1"/>
          <w:szCs w:val="22"/>
          <w:lang w:val="en-GB"/>
        </w:rPr>
        <w:t>to</w:t>
      </w:r>
      <w:r w:rsidRPr="00CA2CC1">
        <w:rPr>
          <w:rFonts w:cs="Calibri"/>
          <w:color w:val="3C3C3B"/>
          <w:spacing w:val="-10"/>
          <w:kern w:val="1"/>
          <w:szCs w:val="22"/>
          <w:lang w:val="en-GB"/>
        </w:rPr>
        <w:t xml:space="preserve"> </w:t>
      </w:r>
      <w:r w:rsidRPr="00CA2CC1">
        <w:rPr>
          <w:rFonts w:cs="Calibri"/>
          <w:color w:val="3C3C3B"/>
          <w:kern w:val="1"/>
          <w:szCs w:val="22"/>
          <w:lang w:val="en-GB"/>
        </w:rPr>
        <w:t>600m².</w:t>
      </w:r>
    </w:p>
    <w:p w14:paraId="240F8C5D" w14:textId="77777777" w:rsidR="00446A8F" w:rsidRPr="00CA2CC1" w:rsidRDefault="00446A8F" w:rsidP="0043303B">
      <w:pPr>
        <w:pStyle w:val="ListParagraph"/>
        <w:numPr>
          <w:ilvl w:val="0"/>
          <w:numId w:val="30"/>
        </w:numPr>
        <w:tabs>
          <w:tab w:val="left" w:pos="1530"/>
        </w:tabs>
        <w:adjustRightInd w:val="0"/>
        <w:spacing w:before="0" w:after="100"/>
        <w:ind w:left="360"/>
        <w:contextualSpacing/>
        <w:rPr>
          <w:rFonts w:cs="Calibri"/>
          <w:color w:val="3C3C3B"/>
          <w:kern w:val="1"/>
          <w:szCs w:val="22"/>
          <w:lang w:val="en-GB"/>
        </w:rPr>
      </w:pPr>
      <w:r w:rsidRPr="00CA2CC1">
        <w:rPr>
          <w:rFonts w:cs="Calibri"/>
          <w:color w:val="3C3C3B"/>
          <w:kern w:val="1"/>
          <w:szCs w:val="22"/>
          <w:lang w:val="en-GB"/>
        </w:rPr>
        <w:t>Around 60% of people who chose</w:t>
      </w:r>
      <w:r w:rsidRPr="00CA2CC1">
        <w:rPr>
          <w:rFonts w:cs="Calibri"/>
          <w:color w:val="3C3C3B"/>
          <w:spacing w:val="-13"/>
          <w:kern w:val="1"/>
          <w:szCs w:val="22"/>
          <w:lang w:val="en-GB"/>
        </w:rPr>
        <w:t xml:space="preserve"> </w:t>
      </w:r>
      <w:r w:rsidRPr="00CA2CC1">
        <w:rPr>
          <w:rFonts w:cs="Calibri"/>
          <w:color w:val="3C3C3B"/>
          <w:kern w:val="1"/>
          <w:szCs w:val="22"/>
          <w:lang w:val="en-GB"/>
        </w:rPr>
        <w:t>an</w:t>
      </w:r>
      <w:r w:rsidRPr="00CA2CC1">
        <w:rPr>
          <w:rFonts w:cs="Calibri"/>
          <w:color w:val="3C3C3B"/>
          <w:spacing w:val="-13"/>
          <w:kern w:val="1"/>
          <w:szCs w:val="22"/>
          <w:lang w:val="en-GB"/>
        </w:rPr>
        <w:t xml:space="preserve"> </w:t>
      </w:r>
      <w:r w:rsidRPr="00CA2CC1">
        <w:rPr>
          <w:rFonts w:cs="Calibri"/>
          <w:color w:val="3C3C3B"/>
          <w:kern w:val="1"/>
          <w:szCs w:val="22"/>
          <w:lang w:val="en-GB"/>
        </w:rPr>
        <w:t>apartment</w:t>
      </w:r>
      <w:r w:rsidRPr="00CA2CC1">
        <w:rPr>
          <w:rFonts w:cs="Calibri"/>
          <w:color w:val="3C3C3B"/>
          <w:spacing w:val="-12"/>
          <w:kern w:val="1"/>
          <w:szCs w:val="22"/>
          <w:lang w:val="en-GB"/>
        </w:rPr>
        <w:t xml:space="preserve"> </w:t>
      </w:r>
      <w:r w:rsidRPr="00CA2CC1">
        <w:rPr>
          <w:rFonts w:cs="Calibri"/>
          <w:color w:val="3C3C3B"/>
          <w:kern w:val="1"/>
          <w:szCs w:val="22"/>
          <w:lang w:val="en-GB"/>
        </w:rPr>
        <w:t>preferred 2 or 3 storey buildings while 20% preferred an apartment block of 11 storeys or higher.</w:t>
      </w:r>
    </w:p>
    <w:p w14:paraId="038888C8" w14:textId="77777777" w:rsidR="00446A8F" w:rsidRPr="00CA2CC1" w:rsidRDefault="00446A8F" w:rsidP="00CA2CC1">
      <w:pPr>
        <w:pStyle w:val="Heading4"/>
        <w:rPr>
          <w:spacing w:val="-2"/>
          <w:lang w:val="en-GB"/>
        </w:rPr>
      </w:pPr>
      <w:r w:rsidRPr="00CA2CC1">
        <w:rPr>
          <w:lang w:val="en-GB"/>
        </w:rPr>
        <w:t xml:space="preserve">Geelong fast </w:t>
      </w:r>
      <w:r w:rsidRPr="00CA2CC1">
        <w:rPr>
          <w:spacing w:val="-2"/>
          <w:lang w:val="en-GB"/>
        </w:rPr>
        <w:t>facts</w:t>
      </w:r>
    </w:p>
    <w:p w14:paraId="27F40E97" w14:textId="77777777" w:rsidR="00446A8F" w:rsidRPr="00CA2CC1" w:rsidRDefault="00446A8F" w:rsidP="0043303B">
      <w:pPr>
        <w:numPr>
          <w:ilvl w:val="0"/>
          <w:numId w:val="31"/>
        </w:numPr>
        <w:tabs>
          <w:tab w:val="left" w:pos="552"/>
        </w:tabs>
        <w:adjustRightInd w:val="0"/>
        <w:spacing w:before="112"/>
        <w:ind w:left="360"/>
        <w:rPr>
          <w:rFonts w:cs="Calibri"/>
          <w:color w:val="3C3C3B"/>
          <w:kern w:val="1"/>
          <w:lang w:val="en-GB"/>
        </w:rPr>
      </w:pPr>
      <w:r w:rsidRPr="00CA2CC1">
        <w:rPr>
          <w:rFonts w:cs="Calibri"/>
          <w:color w:val="3C3C3B"/>
          <w:kern w:val="1"/>
          <w:lang w:val="en-GB"/>
        </w:rPr>
        <w:t>The</w:t>
      </w:r>
      <w:r w:rsidRPr="00CA2CC1">
        <w:rPr>
          <w:rFonts w:cs="Calibri"/>
          <w:color w:val="3C3C3B"/>
          <w:spacing w:val="-2"/>
          <w:kern w:val="1"/>
          <w:lang w:val="en-GB"/>
        </w:rPr>
        <w:t xml:space="preserve"> </w:t>
      </w:r>
      <w:r w:rsidRPr="00CA2CC1">
        <w:rPr>
          <w:rFonts w:cs="Calibri"/>
          <w:color w:val="3C3C3B"/>
          <w:kern w:val="1"/>
          <w:lang w:val="en-GB"/>
        </w:rPr>
        <w:t>City</w:t>
      </w:r>
      <w:r w:rsidRPr="00CA2CC1">
        <w:rPr>
          <w:rFonts w:cs="Calibri"/>
          <w:color w:val="3C3C3B"/>
          <w:spacing w:val="-2"/>
          <w:kern w:val="1"/>
          <w:lang w:val="en-GB"/>
        </w:rPr>
        <w:t xml:space="preserve"> </w:t>
      </w:r>
      <w:r w:rsidRPr="00CA2CC1">
        <w:rPr>
          <w:rFonts w:cs="Calibri"/>
          <w:color w:val="3C3C3B"/>
          <w:kern w:val="1"/>
          <w:lang w:val="en-GB"/>
        </w:rPr>
        <w:t>of</w:t>
      </w:r>
      <w:r w:rsidRPr="00CA2CC1">
        <w:rPr>
          <w:rFonts w:cs="Calibri"/>
          <w:color w:val="3C3C3B"/>
          <w:spacing w:val="-2"/>
          <w:kern w:val="1"/>
          <w:lang w:val="en-GB"/>
        </w:rPr>
        <w:t xml:space="preserve"> </w:t>
      </w:r>
      <w:r w:rsidRPr="00CA2CC1">
        <w:rPr>
          <w:rFonts w:cs="Calibri"/>
          <w:color w:val="3C3C3B"/>
          <w:kern w:val="1"/>
          <w:lang w:val="en-GB"/>
        </w:rPr>
        <w:t>Greater</w:t>
      </w:r>
      <w:r w:rsidRPr="00CA2CC1">
        <w:rPr>
          <w:rFonts w:cs="Calibri"/>
          <w:color w:val="3C3C3B"/>
          <w:spacing w:val="-2"/>
          <w:kern w:val="1"/>
          <w:lang w:val="en-GB"/>
        </w:rPr>
        <w:t xml:space="preserve"> </w:t>
      </w:r>
      <w:r w:rsidRPr="00CA2CC1">
        <w:rPr>
          <w:rFonts w:cs="Calibri"/>
          <w:color w:val="3C3C3B"/>
          <w:kern w:val="1"/>
          <w:lang w:val="en-GB"/>
        </w:rPr>
        <w:t>Geelong</w:t>
      </w:r>
      <w:r w:rsidRPr="00CA2CC1">
        <w:rPr>
          <w:rFonts w:cs="Calibri"/>
          <w:color w:val="3C3C3B"/>
          <w:spacing w:val="-2"/>
          <w:kern w:val="1"/>
          <w:lang w:val="en-GB"/>
        </w:rPr>
        <w:t xml:space="preserve"> </w:t>
      </w:r>
      <w:r w:rsidRPr="00CA2CC1">
        <w:rPr>
          <w:rFonts w:cs="Calibri"/>
          <w:color w:val="3C3C3B"/>
          <w:kern w:val="1"/>
          <w:lang w:val="en-GB"/>
        </w:rPr>
        <w:t>is expected to grow by 22% (or around 59,000) people in the 10 years to 2031 – taking the population</w:t>
      </w:r>
      <w:r w:rsidRPr="00CA2CC1">
        <w:rPr>
          <w:rFonts w:cs="Calibri"/>
          <w:color w:val="3C3C3B"/>
          <w:spacing w:val="-13"/>
          <w:kern w:val="1"/>
          <w:lang w:val="en-GB"/>
        </w:rPr>
        <w:t xml:space="preserve"> </w:t>
      </w:r>
      <w:r w:rsidRPr="00CA2CC1">
        <w:rPr>
          <w:rFonts w:cs="Calibri"/>
          <w:color w:val="3C3C3B"/>
          <w:kern w:val="1"/>
          <w:lang w:val="en-GB"/>
        </w:rPr>
        <w:t>to</w:t>
      </w:r>
      <w:r w:rsidRPr="00CA2CC1">
        <w:rPr>
          <w:rFonts w:cs="Calibri"/>
          <w:color w:val="3C3C3B"/>
          <w:spacing w:val="-13"/>
          <w:kern w:val="1"/>
          <w:lang w:val="en-GB"/>
        </w:rPr>
        <w:t xml:space="preserve"> </w:t>
      </w:r>
      <w:r w:rsidRPr="00CA2CC1">
        <w:rPr>
          <w:rFonts w:cs="Calibri"/>
          <w:color w:val="3C3C3B"/>
          <w:kern w:val="1"/>
          <w:lang w:val="en-GB"/>
        </w:rPr>
        <w:t>around</w:t>
      </w:r>
      <w:r w:rsidRPr="00CA2CC1">
        <w:rPr>
          <w:rFonts w:cs="Calibri"/>
          <w:color w:val="3C3C3B"/>
          <w:spacing w:val="-12"/>
          <w:kern w:val="1"/>
          <w:lang w:val="en-GB"/>
        </w:rPr>
        <w:t xml:space="preserve"> </w:t>
      </w:r>
      <w:r w:rsidRPr="00CA2CC1">
        <w:rPr>
          <w:rFonts w:cs="Calibri"/>
          <w:color w:val="3C3C3B"/>
          <w:kern w:val="1"/>
          <w:lang w:val="en-GB"/>
        </w:rPr>
        <w:t>330,000.</w:t>
      </w:r>
    </w:p>
    <w:p w14:paraId="58E07798" w14:textId="77777777" w:rsidR="00446A8F" w:rsidRPr="00CA2CC1" w:rsidRDefault="00446A8F" w:rsidP="0043303B">
      <w:pPr>
        <w:numPr>
          <w:ilvl w:val="0"/>
          <w:numId w:val="31"/>
        </w:numPr>
        <w:tabs>
          <w:tab w:val="left" w:pos="552"/>
        </w:tabs>
        <w:adjustRightInd w:val="0"/>
        <w:spacing w:before="115"/>
        <w:ind w:left="360"/>
        <w:rPr>
          <w:rFonts w:cs="Calibri"/>
          <w:color w:val="3C3C3B"/>
          <w:kern w:val="1"/>
          <w:lang w:val="en-GB"/>
        </w:rPr>
      </w:pPr>
      <w:r w:rsidRPr="00CA2CC1">
        <w:rPr>
          <w:rFonts w:cs="Calibri"/>
          <w:color w:val="3C3C3B"/>
          <w:kern w:val="1"/>
          <w:lang w:val="en-GB"/>
        </w:rPr>
        <w:t>From</w:t>
      </w:r>
      <w:r w:rsidRPr="00CA2CC1">
        <w:rPr>
          <w:rFonts w:cs="Calibri"/>
          <w:color w:val="3C3C3B"/>
          <w:spacing w:val="-11"/>
          <w:kern w:val="1"/>
          <w:lang w:val="en-GB"/>
        </w:rPr>
        <w:t xml:space="preserve"> </w:t>
      </w:r>
      <w:r w:rsidRPr="00CA2CC1">
        <w:rPr>
          <w:rFonts w:cs="Calibri"/>
          <w:color w:val="3C3C3B"/>
          <w:kern w:val="1"/>
          <w:lang w:val="en-GB"/>
        </w:rPr>
        <w:t>2008-2018,</w:t>
      </w:r>
      <w:r w:rsidRPr="00CA2CC1">
        <w:rPr>
          <w:rFonts w:cs="Calibri"/>
          <w:color w:val="3C3C3B"/>
          <w:spacing w:val="-11"/>
          <w:kern w:val="1"/>
          <w:lang w:val="en-GB"/>
        </w:rPr>
        <w:t xml:space="preserve"> </w:t>
      </w:r>
      <w:r w:rsidRPr="00CA2CC1">
        <w:rPr>
          <w:rFonts w:cs="Calibri"/>
          <w:color w:val="3C3C3B"/>
          <w:kern w:val="1"/>
          <w:lang w:val="en-GB"/>
        </w:rPr>
        <w:t>70%</w:t>
      </w:r>
      <w:r w:rsidRPr="00CA2CC1">
        <w:rPr>
          <w:rFonts w:cs="Calibri"/>
          <w:color w:val="3C3C3B"/>
          <w:spacing w:val="-11"/>
          <w:kern w:val="1"/>
          <w:lang w:val="en-GB"/>
        </w:rPr>
        <w:t xml:space="preserve"> </w:t>
      </w:r>
      <w:r w:rsidRPr="00CA2CC1">
        <w:rPr>
          <w:rFonts w:cs="Calibri"/>
          <w:color w:val="3C3C3B"/>
          <w:kern w:val="1"/>
          <w:lang w:val="en-GB"/>
        </w:rPr>
        <w:t>of</w:t>
      </w:r>
      <w:r w:rsidRPr="00CA2CC1">
        <w:rPr>
          <w:rFonts w:cs="Calibri"/>
          <w:color w:val="3C3C3B"/>
          <w:spacing w:val="-11"/>
          <w:kern w:val="1"/>
          <w:lang w:val="en-GB"/>
        </w:rPr>
        <w:t xml:space="preserve"> </w:t>
      </w:r>
      <w:r w:rsidRPr="00CA2CC1">
        <w:rPr>
          <w:rFonts w:cs="Calibri"/>
          <w:color w:val="3C3C3B"/>
          <w:kern w:val="1"/>
          <w:lang w:val="en-GB"/>
        </w:rPr>
        <w:t>new housing in Geelong was built in new, greenfield suburbs.</w:t>
      </w:r>
    </w:p>
    <w:p w14:paraId="3658D9A9" w14:textId="77777777" w:rsidR="00446A8F" w:rsidRPr="00CA2CC1" w:rsidRDefault="00446A8F" w:rsidP="0043303B">
      <w:pPr>
        <w:numPr>
          <w:ilvl w:val="0"/>
          <w:numId w:val="31"/>
        </w:numPr>
        <w:tabs>
          <w:tab w:val="left" w:pos="552"/>
        </w:tabs>
        <w:adjustRightInd w:val="0"/>
        <w:spacing w:before="116"/>
        <w:ind w:left="360"/>
        <w:rPr>
          <w:rFonts w:cs="Calibri"/>
          <w:color w:val="3C3C3B"/>
          <w:kern w:val="1"/>
          <w:lang w:val="en-GB"/>
        </w:rPr>
      </w:pPr>
      <w:r w:rsidRPr="00CA2CC1">
        <w:rPr>
          <w:rFonts w:cs="Calibri"/>
          <w:color w:val="3C3C3B"/>
          <w:kern w:val="1"/>
          <w:lang w:val="en-GB"/>
        </w:rPr>
        <w:t>One</w:t>
      </w:r>
      <w:r w:rsidRPr="00CA2CC1">
        <w:rPr>
          <w:rFonts w:cs="Calibri"/>
          <w:color w:val="3C3C3B"/>
          <w:spacing w:val="-10"/>
          <w:kern w:val="1"/>
          <w:lang w:val="en-GB"/>
        </w:rPr>
        <w:t xml:space="preserve"> </w:t>
      </w:r>
      <w:r w:rsidRPr="00CA2CC1">
        <w:rPr>
          <w:rFonts w:cs="Calibri"/>
          <w:color w:val="3C3C3B"/>
          <w:kern w:val="1"/>
          <w:lang w:val="en-GB"/>
        </w:rPr>
        <w:t>in</w:t>
      </w:r>
      <w:r w:rsidRPr="00CA2CC1">
        <w:rPr>
          <w:rFonts w:cs="Calibri"/>
          <w:color w:val="3C3C3B"/>
          <w:spacing w:val="-10"/>
          <w:kern w:val="1"/>
          <w:lang w:val="en-GB"/>
        </w:rPr>
        <w:t xml:space="preserve"> </w:t>
      </w:r>
      <w:r w:rsidRPr="00CA2CC1">
        <w:rPr>
          <w:rFonts w:cs="Calibri"/>
          <w:color w:val="3C3C3B"/>
          <w:kern w:val="1"/>
          <w:lang w:val="en-GB"/>
        </w:rPr>
        <w:t>3</w:t>
      </w:r>
      <w:r w:rsidRPr="00CA2CC1">
        <w:rPr>
          <w:rFonts w:cs="Calibri"/>
          <w:color w:val="3C3C3B"/>
          <w:spacing w:val="-10"/>
          <w:kern w:val="1"/>
          <w:lang w:val="en-GB"/>
        </w:rPr>
        <w:t xml:space="preserve"> </w:t>
      </w:r>
      <w:r w:rsidRPr="00CA2CC1">
        <w:rPr>
          <w:rFonts w:cs="Calibri"/>
          <w:color w:val="3C3C3B"/>
          <w:kern w:val="1"/>
          <w:lang w:val="en-GB"/>
        </w:rPr>
        <w:t>Geelong</w:t>
      </w:r>
      <w:r w:rsidRPr="00CA2CC1">
        <w:rPr>
          <w:rFonts w:cs="Calibri"/>
          <w:color w:val="3C3C3B"/>
          <w:spacing w:val="-10"/>
          <w:kern w:val="1"/>
          <w:lang w:val="en-GB"/>
        </w:rPr>
        <w:t xml:space="preserve"> </w:t>
      </w:r>
      <w:r w:rsidRPr="00CA2CC1">
        <w:rPr>
          <w:rFonts w:cs="Calibri"/>
          <w:color w:val="3C3C3B"/>
          <w:kern w:val="1"/>
          <w:lang w:val="en-GB"/>
        </w:rPr>
        <w:t>households – compared with one in 5 in Melbourne – said they would trade a detached home in a new suburb for a townhouse or low- rise</w:t>
      </w:r>
      <w:r w:rsidRPr="00CA2CC1">
        <w:rPr>
          <w:rFonts w:cs="Calibri"/>
          <w:color w:val="3C3C3B"/>
          <w:spacing w:val="-8"/>
          <w:kern w:val="1"/>
          <w:lang w:val="en-GB"/>
        </w:rPr>
        <w:t xml:space="preserve"> </w:t>
      </w:r>
      <w:r w:rsidRPr="00CA2CC1">
        <w:rPr>
          <w:rFonts w:cs="Calibri"/>
          <w:color w:val="3C3C3B"/>
          <w:kern w:val="1"/>
          <w:lang w:val="en-GB"/>
        </w:rPr>
        <w:t>apartment</w:t>
      </w:r>
      <w:r w:rsidRPr="00CA2CC1">
        <w:rPr>
          <w:rFonts w:cs="Calibri"/>
          <w:color w:val="3C3C3B"/>
          <w:spacing w:val="-8"/>
          <w:kern w:val="1"/>
          <w:lang w:val="en-GB"/>
        </w:rPr>
        <w:t xml:space="preserve"> </w:t>
      </w:r>
      <w:r w:rsidRPr="00CA2CC1">
        <w:rPr>
          <w:rFonts w:cs="Calibri"/>
          <w:color w:val="3C3C3B"/>
          <w:kern w:val="1"/>
          <w:lang w:val="en-GB"/>
        </w:rPr>
        <w:t>for</w:t>
      </w:r>
      <w:r w:rsidRPr="00CA2CC1">
        <w:rPr>
          <w:rFonts w:cs="Calibri"/>
          <w:color w:val="3C3C3B"/>
          <w:spacing w:val="-8"/>
          <w:kern w:val="1"/>
          <w:lang w:val="en-GB"/>
        </w:rPr>
        <w:t xml:space="preserve"> </w:t>
      </w:r>
      <w:r w:rsidRPr="00CA2CC1">
        <w:rPr>
          <w:rFonts w:cs="Calibri"/>
          <w:color w:val="3C3C3B"/>
          <w:kern w:val="1"/>
          <w:lang w:val="en-GB"/>
        </w:rPr>
        <w:t>the</w:t>
      </w:r>
      <w:r w:rsidRPr="00CA2CC1">
        <w:rPr>
          <w:rFonts w:cs="Calibri"/>
          <w:color w:val="3C3C3B"/>
          <w:spacing w:val="-8"/>
          <w:kern w:val="1"/>
          <w:lang w:val="en-GB"/>
        </w:rPr>
        <w:t xml:space="preserve"> </w:t>
      </w:r>
      <w:r w:rsidRPr="00CA2CC1">
        <w:rPr>
          <w:rFonts w:cs="Calibri"/>
          <w:color w:val="3C3C3B"/>
          <w:kern w:val="1"/>
          <w:lang w:val="en-GB"/>
        </w:rPr>
        <w:t>same</w:t>
      </w:r>
      <w:r w:rsidRPr="00CA2CC1">
        <w:rPr>
          <w:rFonts w:cs="Calibri"/>
          <w:color w:val="3C3C3B"/>
          <w:spacing w:val="-8"/>
          <w:kern w:val="1"/>
          <w:lang w:val="en-GB"/>
        </w:rPr>
        <w:t xml:space="preserve"> </w:t>
      </w:r>
      <w:r w:rsidRPr="00CA2CC1">
        <w:rPr>
          <w:rFonts w:cs="Calibri"/>
          <w:color w:val="3C3C3B"/>
          <w:kern w:val="1"/>
          <w:lang w:val="en-GB"/>
        </w:rPr>
        <w:t>price closer to the city centre.</w:t>
      </w:r>
    </w:p>
    <w:p w14:paraId="09A30143" w14:textId="77777777" w:rsidR="00446A8F" w:rsidRPr="00CA2CC1" w:rsidRDefault="00446A8F" w:rsidP="0043303B">
      <w:pPr>
        <w:numPr>
          <w:ilvl w:val="0"/>
          <w:numId w:val="31"/>
        </w:numPr>
        <w:tabs>
          <w:tab w:val="left" w:pos="552"/>
        </w:tabs>
        <w:adjustRightInd w:val="0"/>
        <w:spacing w:before="112"/>
        <w:ind w:left="360"/>
        <w:rPr>
          <w:rFonts w:cs="Calibri"/>
          <w:color w:val="3C3C3B"/>
          <w:kern w:val="1"/>
          <w:lang w:val="en-GB"/>
        </w:rPr>
      </w:pPr>
      <w:r w:rsidRPr="00CA2CC1">
        <w:rPr>
          <w:rFonts w:cs="Calibri"/>
          <w:color w:val="3C3C3B"/>
          <w:kern w:val="1"/>
          <w:lang w:val="en-GB"/>
        </w:rPr>
        <w:t>Of the households surveyed who would choose to live in Geelong,</w:t>
      </w:r>
      <w:r w:rsidRPr="00CA2CC1">
        <w:rPr>
          <w:rFonts w:cs="Calibri"/>
          <w:color w:val="3C3C3B"/>
          <w:spacing w:val="-10"/>
          <w:kern w:val="1"/>
          <w:lang w:val="en-GB"/>
        </w:rPr>
        <w:t xml:space="preserve"> </w:t>
      </w:r>
      <w:r w:rsidRPr="00CA2CC1">
        <w:rPr>
          <w:rFonts w:cs="Calibri"/>
          <w:color w:val="3C3C3B"/>
          <w:kern w:val="1"/>
          <w:lang w:val="en-GB"/>
        </w:rPr>
        <w:t>81%</w:t>
      </w:r>
      <w:r w:rsidRPr="00CA2CC1">
        <w:rPr>
          <w:rFonts w:cs="Calibri"/>
          <w:color w:val="3C3C3B"/>
          <w:spacing w:val="-10"/>
          <w:kern w:val="1"/>
          <w:lang w:val="en-GB"/>
        </w:rPr>
        <w:t xml:space="preserve"> </w:t>
      </w:r>
      <w:r w:rsidRPr="00CA2CC1">
        <w:rPr>
          <w:rFonts w:cs="Calibri"/>
          <w:color w:val="3C3C3B"/>
          <w:kern w:val="1"/>
          <w:lang w:val="en-GB"/>
        </w:rPr>
        <w:t>would</w:t>
      </w:r>
      <w:r w:rsidRPr="00CA2CC1">
        <w:rPr>
          <w:rFonts w:cs="Calibri"/>
          <w:color w:val="3C3C3B"/>
          <w:spacing w:val="-10"/>
          <w:kern w:val="1"/>
          <w:lang w:val="en-GB"/>
        </w:rPr>
        <w:t xml:space="preserve"> </w:t>
      </w:r>
      <w:r w:rsidRPr="00CA2CC1">
        <w:rPr>
          <w:rFonts w:cs="Calibri"/>
          <w:color w:val="3C3C3B"/>
          <w:kern w:val="1"/>
          <w:lang w:val="en-GB"/>
        </w:rPr>
        <w:t>choose</w:t>
      </w:r>
      <w:r w:rsidRPr="00CA2CC1">
        <w:rPr>
          <w:rFonts w:cs="Calibri"/>
          <w:color w:val="3C3C3B"/>
          <w:spacing w:val="-10"/>
          <w:kern w:val="1"/>
          <w:lang w:val="en-GB"/>
        </w:rPr>
        <w:t xml:space="preserve"> </w:t>
      </w:r>
      <w:r w:rsidRPr="00CA2CC1">
        <w:rPr>
          <w:rFonts w:cs="Calibri"/>
          <w:color w:val="3C3C3B"/>
          <w:kern w:val="1"/>
          <w:lang w:val="en-GB"/>
        </w:rPr>
        <w:t>an established suburb compared with 19% who would choose a home in a new growth area.</w:t>
      </w:r>
    </w:p>
    <w:p w14:paraId="4D742B26" w14:textId="77777777" w:rsidR="00446A8F" w:rsidRPr="00CA2CC1" w:rsidRDefault="00446A8F" w:rsidP="0043303B">
      <w:pPr>
        <w:numPr>
          <w:ilvl w:val="0"/>
          <w:numId w:val="31"/>
        </w:numPr>
        <w:tabs>
          <w:tab w:val="left" w:pos="552"/>
        </w:tabs>
        <w:adjustRightInd w:val="0"/>
        <w:spacing w:before="114"/>
        <w:ind w:left="360"/>
        <w:rPr>
          <w:rFonts w:cs="Calibri"/>
          <w:color w:val="3C3C3B"/>
          <w:kern w:val="1"/>
          <w:lang w:val="en-GB"/>
        </w:rPr>
      </w:pPr>
      <w:r w:rsidRPr="00CA2CC1">
        <w:rPr>
          <w:rFonts w:cs="Calibri"/>
          <w:color w:val="3C3C3B"/>
          <w:kern w:val="1"/>
          <w:lang w:val="en-GB"/>
        </w:rPr>
        <w:t>Of</w:t>
      </w:r>
      <w:r w:rsidRPr="00CA2CC1">
        <w:rPr>
          <w:rFonts w:cs="Calibri"/>
          <w:color w:val="3C3C3B"/>
          <w:spacing w:val="-10"/>
          <w:kern w:val="1"/>
          <w:lang w:val="en-GB"/>
        </w:rPr>
        <w:t xml:space="preserve"> </w:t>
      </w:r>
      <w:r w:rsidRPr="00CA2CC1">
        <w:rPr>
          <w:rFonts w:cs="Calibri"/>
          <w:color w:val="3C3C3B"/>
          <w:kern w:val="1"/>
          <w:lang w:val="en-GB"/>
        </w:rPr>
        <w:t>the</w:t>
      </w:r>
      <w:r w:rsidRPr="00CA2CC1">
        <w:rPr>
          <w:rFonts w:cs="Calibri"/>
          <w:color w:val="3C3C3B"/>
          <w:spacing w:val="-10"/>
          <w:kern w:val="1"/>
          <w:lang w:val="en-GB"/>
        </w:rPr>
        <w:t xml:space="preserve"> </w:t>
      </w:r>
      <w:r w:rsidRPr="00CA2CC1">
        <w:rPr>
          <w:rFonts w:cs="Calibri"/>
          <w:color w:val="3C3C3B"/>
          <w:kern w:val="1"/>
          <w:lang w:val="en-GB"/>
        </w:rPr>
        <w:t>households</w:t>
      </w:r>
      <w:r w:rsidRPr="00CA2CC1">
        <w:rPr>
          <w:rFonts w:cs="Calibri"/>
          <w:color w:val="3C3C3B"/>
          <w:spacing w:val="-10"/>
          <w:kern w:val="1"/>
          <w:lang w:val="en-GB"/>
        </w:rPr>
        <w:t xml:space="preserve"> </w:t>
      </w:r>
      <w:r w:rsidRPr="00CA2CC1">
        <w:rPr>
          <w:rFonts w:cs="Calibri"/>
          <w:color w:val="3C3C3B"/>
          <w:kern w:val="1"/>
          <w:lang w:val="en-GB"/>
        </w:rPr>
        <w:t>surveyed</w:t>
      </w:r>
      <w:r w:rsidRPr="00CA2CC1">
        <w:rPr>
          <w:rFonts w:cs="Calibri"/>
          <w:color w:val="3C3C3B"/>
          <w:spacing w:val="-10"/>
          <w:kern w:val="1"/>
          <w:lang w:val="en-GB"/>
        </w:rPr>
        <w:t xml:space="preserve"> </w:t>
      </w:r>
      <w:r w:rsidRPr="00CA2CC1">
        <w:rPr>
          <w:rFonts w:cs="Calibri"/>
          <w:color w:val="3C3C3B"/>
          <w:kern w:val="1"/>
          <w:lang w:val="en-GB"/>
        </w:rPr>
        <w:t>who would</w:t>
      </w:r>
      <w:r w:rsidRPr="00CA2CC1">
        <w:rPr>
          <w:rFonts w:cs="Calibri"/>
          <w:color w:val="3C3C3B"/>
          <w:spacing w:val="-2"/>
          <w:kern w:val="1"/>
          <w:lang w:val="en-GB"/>
        </w:rPr>
        <w:t xml:space="preserve"> </w:t>
      </w:r>
      <w:r w:rsidRPr="00CA2CC1">
        <w:rPr>
          <w:rFonts w:cs="Calibri"/>
          <w:color w:val="3C3C3B"/>
          <w:kern w:val="1"/>
          <w:lang w:val="en-GB"/>
        </w:rPr>
        <w:t>choose</w:t>
      </w:r>
      <w:r w:rsidRPr="00CA2CC1">
        <w:rPr>
          <w:rFonts w:cs="Calibri"/>
          <w:color w:val="3C3C3B"/>
          <w:spacing w:val="-2"/>
          <w:kern w:val="1"/>
          <w:lang w:val="en-GB"/>
        </w:rPr>
        <w:t xml:space="preserve"> </w:t>
      </w:r>
      <w:r w:rsidRPr="00CA2CC1">
        <w:rPr>
          <w:rFonts w:cs="Calibri"/>
          <w:color w:val="3C3C3B"/>
          <w:kern w:val="1"/>
          <w:lang w:val="en-GB"/>
        </w:rPr>
        <w:t>to</w:t>
      </w:r>
      <w:r w:rsidRPr="00CA2CC1">
        <w:rPr>
          <w:rFonts w:cs="Calibri"/>
          <w:color w:val="3C3C3B"/>
          <w:spacing w:val="-2"/>
          <w:kern w:val="1"/>
          <w:lang w:val="en-GB"/>
        </w:rPr>
        <w:t xml:space="preserve"> </w:t>
      </w:r>
      <w:r w:rsidRPr="00CA2CC1">
        <w:rPr>
          <w:rFonts w:cs="Calibri"/>
          <w:color w:val="3C3C3B"/>
          <w:kern w:val="1"/>
          <w:lang w:val="en-GB"/>
        </w:rPr>
        <w:t>live</w:t>
      </w:r>
      <w:r w:rsidRPr="00CA2CC1">
        <w:rPr>
          <w:rFonts w:cs="Calibri"/>
          <w:color w:val="3C3C3B"/>
          <w:spacing w:val="-2"/>
          <w:kern w:val="1"/>
          <w:lang w:val="en-GB"/>
        </w:rPr>
        <w:t xml:space="preserve"> </w:t>
      </w:r>
      <w:r w:rsidRPr="00CA2CC1">
        <w:rPr>
          <w:rFonts w:cs="Calibri"/>
          <w:color w:val="3C3C3B"/>
          <w:kern w:val="1"/>
          <w:lang w:val="en-GB"/>
        </w:rPr>
        <w:t>in</w:t>
      </w:r>
      <w:r w:rsidRPr="00CA2CC1">
        <w:rPr>
          <w:rFonts w:cs="Calibri"/>
          <w:color w:val="3C3C3B"/>
          <w:spacing w:val="-2"/>
          <w:kern w:val="1"/>
          <w:lang w:val="en-GB"/>
        </w:rPr>
        <w:t xml:space="preserve"> </w:t>
      </w:r>
      <w:r w:rsidRPr="00CA2CC1">
        <w:rPr>
          <w:rFonts w:cs="Calibri"/>
          <w:color w:val="3C3C3B"/>
          <w:kern w:val="1"/>
          <w:lang w:val="en-GB"/>
        </w:rPr>
        <w:t>Geelong, 86% would choose to live in a detached house compared to 13% in apartments and 2% in townhouses. Of the households surveyed who chose a Geelong apartment, 91% preferred 2 or 3</w:t>
      </w:r>
      <w:r w:rsidRPr="00CA2CC1">
        <w:rPr>
          <w:rFonts w:cs="Calibri"/>
          <w:color w:val="3C3C3B"/>
          <w:spacing w:val="-11"/>
          <w:kern w:val="1"/>
          <w:lang w:val="en-GB"/>
        </w:rPr>
        <w:t xml:space="preserve"> </w:t>
      </w:r>
      <w:r w:rsidRPr="00CA2CC1">
        <w:rPr>
          <w:rFonts w:cs="Calibri"/>
          <w:color w:val="3C3C3B"/>
          <w:kern w:val="1"/>
          <w:lang w:val="en-GB"/>
        </w:rPr>
        <w:t>storeys</w:t>
      </w:r>
      <w:r w:rsidRPr="00CA2CC1">
        <w:rPr>
          <w:rFonts w:cs="Calibri"/>
          <w:color w:val="3C3C3B"/>
          <w:spacing w:val="-11"/>
          <w:kern w:val="1"/>
          <w:lang w:val="en-GB"/>
        </w:rPr>
        <w:t xml:space="preserve"> </w:t>
      </w:r>
      <w:r w:rsidRPr="00CA2CC1">
        <w:rPr>
          <w:rFonts w:cs="Calibri"/>
          <w:color w:val="3C3C3B"/>
          <w:kern w:val="1"/>
          <w:lang w:val="en-GB"/>
        </w:rPr>
        <w:t>compared</w:t>
      </w:r>
      <w:r w:rsidRPr="00CA2CC1">
        <w:rPr>
          <w:rFonts w:cs="Calibri"/>
          <w:color w:val="3C3C3B"/>
          <w:spacing w:val="-11"/>
          <w:kern w:val="1"/>
          <w:lang w:val="en-GB"/>
        </w:rPr>
        <w:t xml:space="preserve"> </w:t>
      </w:r>
      <w:r w:rsidRPr="00CA2CC1">
        <w:rPr>
          <w:rFonts w:cs="Calibri"/>
          <w:color w:val="3C3C3B"/>
          <w:kern w:val="1"/>
          <w:lang w:val="en-GB"/>
        </w:rPr>
        <w:t>with</w:t>
      </w:r>
      <w:r w:rsidRPr="00CA2CC1">
        <w:rPr>
          <w:rFonts w:cs="Calibri"/>
          <w:color w:val="3C3C3B"/>
          <w:spacing w:val="-11"/>
          <w:kern w:val="1"/>
          <w:lang w:val="en-GB"/>
        </w:rPr>
        <w:t xml:space="preserve"> </w:t>
      </w:r>
      <w:r w:rsidRPr="00CA2CC1">
        <w:rPr>
          <w:rFonts w:cs="Calibri"/>
          <w:color w:val="3C3C3B"/>
          <w:kern w:val="1"/>
          <w:lang w:val="en-GB"/>
        </w:rPr>
        <w:t>9% who preferred an apartment of 4 storeys or higher.</w:t>
      </w:r>
    </w:p>
    <w:p w14:paraId="7CA83967" w14:textId="77777777" w:rsidR="00446A8F" w:rsidRPr="00CA2CC1" w:rsidRDefault="00446A8F" w:rsidP="0043303B">
      <w:pPr>
        <w:numPr>
          <w:ilvl w:val="0"/>
          <w:numId w:val="31"/>
        </w:numPr>
        <w:tabs>
          <w:tab w:val="left" w:pos="552"/>
        </w:tabs>
        <w:adjustRightInd w:val="0"/>
        <w:spacing w:before="107"/>
        <w:ind w:left="360"/>
        <w:rPr>
          <w:rFonts w:cs="Calibri"/>
          <w:color w:val="3C3C3B"/>
          <w:kern w:val="1"/>
          <w:lang w:val="en-GB"/>
        </w:rPr>
      </w:pPr>
      <w:r w:rsidRPr="00CA2CC1">
        <w:rPr>
          <w:rFonts w:cs="Calibri"/>
          <w:color w:val="3C3C3B"/>
          <w:kern w:val="1"/>
          <w:lang w:val="en-GB"/>
        </w:rPr>
        <w:t>The City of Greater Geelong has</w:t>
      </w:r>
      <w:r w:rsidRPr="00CA2CC1">
        <w:rPr>
          <w:rFonts w:cs="Calibri"/>
          <w:color w:val="3C3C3B"/>
          <w:spacing w:val="-8"/>
          <w:kern w:val="1"/>
          <w:lang w:val="en-GB"/>
        </w:rPr>
        <w:t xml:space="preserve"> </w:t>
      </w:r>
      <w:r w:rsidRPr="00CA2CC1">
        <w:rPr>
          <w:rFonts w:cs="Calibri"/>
          <w:color w:val="3C3C3B"/>
          <w:kern w:val="1"/>
          <w:lang w:val="en-GB"/>
        </w:rPr>
        <w:t>a</w:t>
      </w:r>
      <w:r w:rsidRPr="00CA2CC1">
        <w:rPr>
          <w:rFonts w:cs="Calibri"/>
          <w:color w:val="3C3C3B"/>
          <w:spacing w:val="-8"/>
          <w:kern w:val="1"/>
          <w:lang w:val="en-GB"/>
        </w:rPr>
        <w:t xml:space="preserve"> </w:t>
      </w:r>
      <w:r w:rsidRPr="00CA2CC1">
        <w:rPr>
          <w:rFonts w:cs="Calibri"/>
          <w:color w:val="3C3C3B"/>
          <w:kern w:val="1"/>
          <w:lang w:val="en-GB"/>
        </w:rPr>
        <w:t>target</w:t>
      </w:r>
      <w:r w:rsidRPr="00CA2CC1">
        <w:rPr>
          <w:rFonts w:cs="Calibri"/>
          <w:color w:val="3C3C3B"/>
          <w:spacing w:val="-8"/>
          <w:kern w:val="1"/>
          <w:lang w:val="en-GB"/>
        </w:rPr>
        <w:t xml:space="preserve"> </w:t>
      </w:r>
      <w:r w:rsidRPr="00CA2CC1">
        <w:rPr>
          <w:rFonts w:cs="Calibri"/>
          <w:color w:val="3C3C3B"/>
          <w:kern w:val="1"/>
          <w:lang w:val="en-GB"/>
        </w:rPr>
        <w:t>of</w:t>
      </w:r>
      <w:r w:rsidRPr="00CA2CC1">
        <w:rPr>
          <w:rFonts w:cs="Calibri"/>
          <w:color w:val="3C3C3B"/>
          <w:spacing w:val="-8"/>
          <w:kern w:val="1"/>
          <w:lang w:val="en-GB"/>
        </w:rPr>
        <w:t xml:space="preserve"> </w:t>
      </w:r>
      <w:r w:rsidRPr="00CA2CC1">
        <w:rPr>
          <w:rFonts w:cs="Calibri"/>
          <w:color w:val="3C3C3B"/>
          <w:kern w:val="1"/>
          <w:lang w:val="en-GB"/>
        </w:rPr>
        <w:t>10,000</w:t>
      </w:r>
      <w:r w:rsidRPr="00CA2CC1">
        <w:rPr>
          <w:rFonts w:cs="Calibri"/>
          <w:color w:val="3C3C3B"/>
          <w:spacing w:val="-8"/>
          <w:kern w:val="1"/>
          <w:lang w:val="en-GB"/>
        </w:rPr>
        <w:t xml:space="preserve"> </w:t>
      </w:r>
      <w:r w:rsidRPr="00CA2CC1">
        <w:rPr>
          <w:rFonts w:cs="Calibri"/>
          <w:color w:val="3C3C3B"/>
          <w:kern w:val="1"/>
          <w:lang w:val="en-GB"/>
        </w:rPr>
        <w:t>people to be living in the CBD by 2026 in Central Geelong through increased residential development. It also has an aspirational target of 50% of new housing development in established</w:t>
      </w:r>
      <w:r w:rsidRPr="00CA2CC1">
        <w:rPr>
          <w:rFonts w:cs="Calibri"/>
          <w:color w:val="3C3C3B"/>
          <w:spacing w:val="-12"/>
          <w:kern w:val="1"/>
          <w:lang w:val="en-GB"/>
        </w:rPr>
        <w:t xml:space="preserve"> </w:t>
      </w:r>
      <w:r w:rsidRPr="00CA2CC1">
        <w:rPr>
          <w:rFonts w:cs="Calibri"/>
          <w:color w:val="3C3C3B"/>
          <w:kern w:val="1"/>
          <w:lang w:val="en-GB"/>
        </w:rPr>
        <w:t>suburbs</w:t>
      </w:r>
      <w:r w:rsidRPr="00CA2CC1">
        <w:rPr>
          <w:rFonts w:cs="Calibri"/>
          <w:color w:val="3C3C3B"/>
          <w:spacing w:val="-12"/>
          <w:kern w:val="1"/>
          <w:lang w:val="en-GB"/>
        </w:rPr>
        <w:t xml:space="preserve"> </w:t>
      </w:r>
      <w:r w:rsidRPr="00CA2CC1">
        <w:rPr>
          <w:rFonts w:cs="Calibri"/>
          <w:color w:val="3C3C3B"/>
          <w:kern w:val="1"/>
          <w:lang w:val="en-GB"/>
        </w:rPr>
        <w:t>by</w:t>
      </w:r>
      <w:r w:rsidRPr="00CA2CC1">
        <w:rPr>
          <w:rFonts w:cs="Calibri"/>
          <w:color w:val="3C3C3B"/>
          <w:spacing w:val="-12"/>
          <w:kern w:val="1"/>
          <w:lang w:val="en-GB"/>
        </w:rPr>
        <w:t xml:space="preserve"> </w:t>
      </w:r>
      <w:r w:rsidRPr="00CA2CC1">
        <w:rPr>
          <w:rFonts w:cs="Calibri"/>
          <w:color w:val="3C3C3B"/>
          <w:kern w:val="1"/>
          <w:lang w:val="en-GB"/>
        </w:rPr>
        <w:t>2047.</w:t>
      </w:r>
    </w:p>
    <w:p w14:paraId="5CAF1422" w14:textId="77777777" w:rsidR="00446A8F" w:rsidRPr="00CA2CC1" w:rsidRDefault="00446A8F" w:rsidP="00CA2CC1">
      <w:pPr>
        <w:pStyle w:val="Heading4"/>
        <w:rPr>
          <w:spacing w:val="-2"/>
          <w:lang w:val="en-GB"/>
        </w:rPr>
      </w:pPr>
      <w:r w:rsidRPr="00CA2CC1">
        <w:rPr>
          <w:lang w:val="en-GB"/>
        </w:rPr>
        <w:t xml:space="preserve">Ballarat fast </w:t>
      </w:r>
      <w:r w:rsidRPr="00CA2CC1">
        <w:rPr>
          <w:spacing w:val="-2"/>
          <w:lang w:val="en-GB"/>
        </w:rPr>
        <w:t>facts</w:t>
      </w:r>
    </w:p>
    <w:p w14:paraId="43A455F6" w14:textId="77777777" w:rsidR="00446A8F" w:rsidRPr="00CA2CC1" w:rsidRDefault="00446A8F" w:rsidP="0043303B">
      <w:pPr>
        <w:numPr>
          <w:ilvl w:val="0"/>
          <w:numId w:val="32"/>
        </w:numPr>
        <w:tabs>
          <w:tab w:val="left" w:pos="608"/>
        </w:tabs>
        <w:adjustRightInd w:val="0"/>
        <w:spacing w:before="112"/>
        <w:ind w:left="360"/>
        <w:rPr>
          <w:rFonts w:cs="Calibri"/>
          <w:color w:val="3C3C3B"/>
          <w:kern w:val="1"/>
          <w:lang w:val="en-GB"/>
        </w:rPr>
      </w:pPr>
      <w:r w:rsidRPr="00CA2CC1">
        <w:rPr>
          <w:rFonts w:cs="Calibri"/>
          <w:color w:val="3C3C3B"/>
          <w:kern w:val="1"/>
          <w:lang w:val="en-GB"/>
        </w:rPr>
        <w:t>The population of Ballarat is forecast</w:t>
      </w:r>
      <w:r w:rsidRPr="00CA2CC1">
        <w:rPr>
          <w:rFonts w:cs="Calibri"/>
          <w:color w:val="3C3C3B"/>
          <w:spacing w:val="-9"/>
          <w:kern w:val="1"/>
          <w:lang w:val="en-GB"/>
        </w:rPr>
        <w:t xml:space="preserve"> </w:t>
      </w:r>
      <w:r w:rsidRPr="00CA2CC1">
        <w:rPr>
          <w:rFonts w:cs="Calibri"/>
          <w:color w:val="3C3C3B"/>
          <w:kern w:val="1"/>
          <w:lang w:val="en-GB"/>
        </w:rPr>
        <w:t>to</w:t>
      </w:r>
      <w:r w:rsidRPr="00CA2CC1">
        <w:rPr>
          <w:rFonts w:cs="Calibri"/>
          <w:color w:val="3C3C3B"/>
          <w:spacing w:val="-9"/>
          <w:kern w:val="1"/>
          <w:lang w:val="en-GB"/>
        </w:rPr>
        <w:t xml:space="preserve"> </w:t>
      </w:r>
      <w:r w:rsidRPr="00CA2CC1">
        <w:rPr>
          <w:rFonts w:cs="Calibri"/>
          <w:color w:val="3C3C3B"/>
          <w:kern w:val="1"/>
          <w:lang w:val="en-GB"/>
        </w:rPr>
        <w:t>grow</w:t>
      </w:r>
      <w:r w:rsidRPr="00CA2CC1">
        <w:rPr>
          <w:rFonts w:cs="Calibri"/>
          <w:color w:val="3C3C3B"/>
          <w:spacing w:val="-9"/>
          <w:kern w:val="1"/>
          <w:lang w:val="en-GB"/>
        </w:rPr>
        <w:t xml:space="preserve"> </w:t>
      </w:r>
      <w:r w:rsidRPr="00CA2CC1">
        <w:rPr>
          <w:rFonts w:cs="Calibri"/>
          <w:color w:val="3C3C3B"/>
          <w:kern w:val="1"/>
          <w:lang w:val="en-GB"/>
        </w:rPr>
        <w:t>by</w:t>
      </w:r>
      <w:r w:rsidRPr="00CA2CC1">
        <w:rPr>
          <w:rFonts w:cs="Calibri"/>
          <w:color w:val="3C3C3B"/>
          <w:spacing w:val="-9"/>
          <w:kern w:val="1"/>
          <w:lang w:val="en-GB"/>
        </w:rPr>
        <w:t xml:space="preserve"> </w:t>
      </w:r>
      <w:r w:rsidRPr="00CA2CC1">
        <w:rPr>
          <w:rFonts w:cs="Calibri"/>
          <w:color w:val="3C3C3B"/>
          <w:kern w:val="1"/>
          <w:lang w:val="en-GB"/>
        </w:rPr>
        <w:t>more</w:t>
      </w:r>
      <w:r w:rsidRPr="00CA2CC1">
        <w:rPr>
          <w:rFonts w:cs="Calibri"/>
          <w:color w:val="3C3C3B"/>
          <w:spacing w:val="-9"/>
          <w:kern w:val="1"/>
          <w:lang w:val="en-GB"/>
        </w:rPr>
        <w:t xml:space="preserve"> </w:t>
      </w:r>
      <w:r w:rsidRPr="00CA2CC1">
        <w:rPr>
          <w:rFonts w:cs="Calibri"/>
          <w:color w:val="3C3C3B"/>
          <w:kern w:val="1"/>
          <w:lang w:val="en-GB"/>
        </w:rPr>
        <w:t>than 60,000 people by 2040.</w:t>
      </w:r>
    </w:p>
    <w:p w14:paraId="128290A4" w14:textId="77777777" w:rsidR="00446A8F" w:rsidRPr="00CA2CC1" w:rsidRDefault="00446A8F" w:rsidP="0043303B">
      <w:pPr>
        <w:numPr>
          <w:ilvl w:val="0"/>
          <w:numId w:val="32"/>
        </w:numPr>
        <w:tabs>
          <w:tab w:val="left" w:pos="608"/>
        </w:tabs>
        <w:adjustRightInd w:val="0"/>
        <w:spacing w:before="117"/>
        <w:ind w:left="360"/>
        <w:rPr>
          <w:rFonts w:cs="Calibri"/>
          <w:color w:val="3C3C3B"/>
          <w:kern w:val="1"/>
          <w:lang w:val="en-GB"/>
        </w:rPr>
      </w:pPr>
      <w:r w:rsidRPr="00CA2CC1">
        <w:rPr>
          <w:rFonts w:cs="Calibri"/>
          <w:color w:val="3C3C3B"/>
          <w:kern w:val="1"/>
          <w:lang w:val="en-GB"/>
        </w:rPr>
        <w:t>One in 4 Ballarat households</w:t>
      </w:r>
      <w:r w:rsidRPr="00CA2CC1">
        <w:rPr>
          <w:rFonts w:cs="Calibri"/>
          <w:color w:val="3C3C3B"/>
          <w:spacing w:val="80"/>
          <w:kern w:val="1"/>
          <w:lang w:val="en-GB"/>
        </w:rPr>
        <w:t xml:space="preserve"> </w:t>
      </w:r>
      <w:r w:rsidRPr="00CA2CC1">
        <w:rPr>
          <w:rFonts w:cs="Calibri"/>
          <w:color w:val="3C3C3B"/>
          <w:kern w:val="1"/>
          <w:lang w:val="en-GB"/>
        </w:rPr>
        <w:t>said</w:t>
      </w:r>
      <w:r w:rsidRPr="00CA2CC1">
        <w:rPr>
          <w:rFonts w:cs="Calibri"/>
          <w:color w:val="3C3C3B"/>
          <w:spacing w:val="-7"/>
          <w:kern w:val="1"/>
          <w:lang w:val="en-GB"/>
        </w:rPr>
        <w:t xml:space="preserve"> </w:t>
      </w:r>
      <w:r w:rsidRPr="00CA2CC1">
        <w:rPr>
          <w:rFonts w:cs="Calibri"/>
          <w:color w:val="3C3C3B"/>
          <w:kern w:val="1"/>
          <w:lang w:val="en-GB"/>
        </w:rPr>
        <w:t>they</w:t>
      </w:r>
      <w:r w:rsidRPr="00CA2CC1">
        <w:rPr>
          <w:rFonts w:cs="Calibri"/>
          <w:color w:val="3C3C3B"/>
          <w:spacing w:val="-7"/>
          <w:kern w:val="1"/>
          <w:lang w:val="en-GB"/>
        </w:rPr>
        <w:t xml:space="preserve"> </w:t>
      </w:r>
      <w:r w:rsidRPr="00CA2CC1">
        <w:rPr>
          <w:rFonts w:cs="Calibri"/>
          <w:color w:val="3C3C3B"/>
          <w:kern w:val="1"/>
          <w:lang w:val="en-GB"/>
        </w:rPr>
        <w:t>would</w:t>
      </w:r>
      <w:r w:rsidRPr="00CA2CC1">
        <w:rPr>
          <w:rFonts w:cs="Calibri"/>
          <w:color w:val="3C3C3B"/>
          <w:spacing w:val="-7"/>
          <w:kern w:val="1"/>
          <w:lang w:val="en-GB"/>
        </w:rPr>
        <w:t xml:space="preserve"> </w:t>
      </w:r>
      <w:r w:rsidRPr="00CA2CC1">
        <w:rPr>
          <w:rFonts w:cs="Calibri"/>
          <w:color w:val="3C3C3B"/>
          <w:kern w:val="1"/>
          <w:lang w:val="en-GB"/>
        </w:rPr>
        <w:t>trade</w:t>
      </w:r>
      <w:r w:rsidRPr="00CA2CC1">
        <w:rPr>
          <w:rFonts w:cs="Calibri"/>
          <w:color w:val="3C3C3B"/>
          <w:spacing w:val="-7"/>
          <w:kern w:val="1"/>
          <w:lang w:val="en-GB"/>
        </w:rPr>
        <w:t xml:space="preserve"> </w:t>
      </w:r>
      <w:r w:rsidRPr="00CA2CC1">
        <w:rPr>
          <w:rFonts w:cs="Calibri"/>
          <w:color w:val="3C3C3B"/>
          <w:kern w:val="1"/>
          <w:lang w:val="en-GB"/>
        </w:rPr>
        <w:t>a</w:t>
      </w:r>
      <w:r w:rsidRPr="00CA2CC1">
        <w:rPr>
          <w:rFonts w:cs="Calibri"/>
          <w:color w:val="3C3C3B"/>
          <w:spacing w:val="-7"/>
          <w:kern w:val="1"/>
          <w:lang w:val="en-GB"/>
        </w:rPr>
        <w:t xml:space="preserve"> </w:t>
      </w:r>
      <w:r w:rsidRPr="00CA2CC1">
        <w:rPr>
          <w:rFonts w:cs="Calibri"/>
          <w:color w:val="3C3C3B"/>
          <w:kern w:val="1"/>
          <w:lang w:val="en-GB"/>
        </w:rPr>
        <w:t>detached home in a new suburb for a townhouse</w:t>
      </w:r>
      <w:r w:rsidRPr="00CA2CC1">
        <w:rPr>
          <w:rFonts w:cs="Calibri"/>
          <w:color w:val="3C3C3B"/>
          <w:spacing w:val="-11"/>
          <w:kern w:val="1"/>
          <w:lang w:val="en-GB"/>
        </w:rPr>
        <w:t xml:space="preserve"> </w:t>
      </w:r>
      <w:r w:rsidRPr="00CA2CC1">
        <w:rPr>
          <w:rFonts w:cs="Calibri"/>
          <w:color w:val="3C3C3B"/>
          <w:kern w:val="1"/>
          <w:lang w:val="en-GB"/>
        </w:rPr>
        <w:t>or</w:t>
      </w:r>
      <w:r w:rsidRPr="00CA2CC1">
        <w:rPr>
          <w:rFonts w:cs="Calibri"/>
          <w:color w:val="3C3C3B"/>
          <w:spacing w:val="-11"/>
          <w:kern w:val="1"/>
          <w:lang w:val="en-GB"/>
        </w:rPr>
        <w:t xml:space="preserve"> </w:t>
      </w:r>
      <w:r w:rsidRPr="00CA2CC1">
        <w:rPr>
          <w:rFonts w:cs="Calibri"/>
          <w:color w:val="3C3C3B"/>
          <w:kern w:val="1"/>
          <w:lang w:val="en-GB"/>
        </w:rPr>
        <w:t>low-rise</w:t>
      </w:r>
      <w:r w:rsidRPr="00CA2CC1">
        <w:rPr>
          <w:rFonts w:cs="Calibri"/>
          <w:color w:val="3C3C3B"/>
          <w:spacing w:val="-11"/>
          <w:kern w:val="1"/>
          <w:lang w:val="en-GB"/>
        </w:rPr>
        <w:t xml:space="preserve"> </w:t>
      </w:r>
      <w:r w:rsidRPr="00CA2CC1">
        <w:rPr>
          <w:rFonts w:cs="Calibri"/>
          <w:color w:val="3C3C3B"/>
          <w:kern w:val="1"/>
          <w:lang w:val="en-GB"/>
        </w:rPr>
        <w:t>apartment, for the same price, closer to central Ballarat.</w:t>
      </w:r>
    </w:p>
    <w:p w14:paraId="35F3A7FD" w14:textId="77777777" w:rsidR="00446A8F" w:rsidRPr="00CA2CC1" w:rsidRDefault="00446A8F" w:rsidP="0043303B">
      <w:pPr>
        <w:numPr>
          <w:ilvl w:val="0"/>
          <w:numId w:val="32"/>
        </w:numPr>
        <w:tabs>
          <w:tab w:val="left" w:pos="608"/>
        </w:tabs>
        <w:adjustRightInd w:val="0"/>
        <w:spacing w:before="113"/>
        <w:ind w:left="360"/>
        <w:rPr>
          <w:rFonts w:cs="Calibri"/>
          <w:color w:val="3C3C3B"/>
          <w:kern w:val="1"/>
          <w:lang w:val="en-GB"/>
        </w:rPr>
      </w:pPr>
      <w:r w:rsidRPr="00CA2CC1">
        <w:rPr>
          <w:rFonts w:cs="Calibri"/>
          <w:color w:val="3C3C3B"/>
          <w:kern w:val="1"/>
          <w:lang w:val="en-GB"/>
        </w:rPr>
        <w:t>Of the households who want to live</w:t>
      </w:r>
      <w:r w:rsidRPr="00CA2CC1">
        <w:rPr>
          <w:rFonts w:cs="Calibri"/>
          <w:color w:val="3C3C3B"/>
          <w:spacing w:val="-7"/>
          <w:kern w:val="1"/>
          <w:lang w:val="en-GB"/>
        </w:rPr>
        <w:t xml:space="preserve"> </w:t>
      </w:r>
      <w:r w:rsidRPr="00CA2CC1">
        <w:rPr>
          <w:rFonts w:cs="Calibri"/>
          <w:color w:val="3C3C3B"/>
          <w:kern w:val="1"/>
          <w:lang w:val="en-GB"/>
        </w:rPr>
        <w:t>in</w:t>
      </w:r>
      <w:r w:rsidRPr="00CA2CC1">
        <w:rPr>
          <w:rFonts w:cs="Calibri"/>
          <w:color w:val="3C3C3B"/>
          <w:spacing w:val="-7"/>
          <w:kern w:val="1"/>
          <w:lang w:val="en-GB"/>
        </w:rPr>
        <w:t xml:space="preserve"> </w:t>
      </w:r>
      <w:r w:rsidRPr="00CA2CC1">
        <w:rPr>
          <w:rFonts w:cs="Calibri"/>
          <w:color w:val="3C3C3B"/>
          <w:kern w:val="1"/>
          <w:lang w:val="en-GB"/>
        </w:rPr>
        <w:t>Ballarat,</w:t>
      </w:r>
      <w:r w:rsidRPr="00CA2CC1">
        <w:rPr>
          <w:rFonts w:cs="Calibri"/>
          <w:color w:val="3C3C3B"/>
          <w:spacing w:val="-7"/>
          <w:kern w:val="1"/>
          <w:lang w:val="en-GB"/>
        </w:rPr>
        <w:t xml:space="preserve"> </w:t>
      </w:r>
      <w:r w:rsidRPr="00CA2CC1">
        <w:rPr>
          <w:rFonts w:cs="Calibri"/>
          <w:color w:val="3C3C3B"/>
          <w:kern w:val="1"/>
          <w:lang w:val="en-GB"/>
        </w:rPr>
        <w:t>80%</w:t>
      </w:r>
      <w:r w:rsidRPr="00CA2CC1">
        <w:rPr>
          <w:rFonts w:cs="Calibri"/>
          <w:color w:val="3C3C3B"/>
          <w:spacing w:val="-7"/>
          <w:kern w:val="1"/>
          <w:lang w:val="en-GB"/>
        </w:rPr>
        <w:t xml:space="preserve"> </w:t>
      </w:r>
      <w:r w:rsidRPr="00CA2CC1">
        <w:rPr>
          <w:rFonts w:cs="Calibri"/>
          <w:color w:val="3C3C3B"/>
          <w:kern w:val="1"/>
          <w:lang w:val="en-GB"/>
        </w:rPr>
        <w:t>would</w:t>
      </w:r>
      <w:r w:rsidRPr="00CA2CC1">
        <w:rPr>
          <w:rFonts w:cs="Calibri"/>
          <w:color w:val="3C3C3B"/>
          <w:spacing w:val="-7"/>
          <w:kern w:val="1"/>
          <w:lang w:val="en-GB"/>
        </w:rPr>
        <w:t xml:space="preserve"> </w:t>
      </w:r>
      <w:r w:rsidRPr="00CA2CC1">
        <w:rPr>
          <w:rFonts w:cs="Calibri"/>
          <w:color w:val="3C3C3B"/>
          <w:kern w:val="1"/>
          <w:lang w:val="en-GB"/>
        </w:rPr>
        <w:t>choose an established suburb compared with 20% who would choose a</w:t>
      </w:r>
      <w:r w:rsidRPr="00CA2CC1">
        <w:rPr>
          <w:rFonts w:cs="Calibri"/>
          <w:color w:val="3C3C3B"/>
          <w:spacing w:val="-1"/>
          <w:kern w:val="1"/>
          <w:lang w:val="en-GB"/>
        </w:rPr>
        <w:t xml:space="preserve"> </w:t>
      </w:r>
      <w:r w:rsidRPr="00CA2CC1">
        <w:rPr>
          <w:rFonts w:cs="Calibri"/>
          <w:color w:val="3C3C3B"/>
          <w:kern w:val="1"/>
          <w:lang w:val="en-GB"/>
        </w:rPr>
        <w:t>home</w:t>
      </w:r>
      <w:r w:rsidRPr="00CA2CC1">
        <w:rPr>
          <w:rFonts w:cs="Calibri"/>
          <w:color w:val="3C3C3B"/>
          <w:spacing w:val="-1"/>
          <w:kern w:val="1"/>
          <w:lang w:val="en-GB"/>
        </w:rPr>
        <w:t xml:space="preserve"> </w:t>
      </w:r>
      <w:r w:rsidRPr="00CA2CC1">
        <w:rPr>
          <w:rFonts w:cs="Calibri"/>
          <w:color w:val="3C3C3B"/>
          <w:kern w:val="1"/>
          <w:lang w:val="en-GB"/>
        </w:rPr>
        <w:t>in a</w:t>
      </w:r>
      <w:r w:rsidRPr="00CA2CC1">
        <w:rPr>
          <w:rFonts w:cs="Calibri"/>
          <w:color w:val="3C3C3B"/>
          <w:spacing w:val="-1"/>
          <w:kern w:val="1"/>
          <w:lang w:val="en-GB"/>
        </w:rPr>
        <w:t xml:space="preserve"> </w:t>
      </w:r>
      <w:r w:rsidRPr="00CA2CC1">
        <w:rPr>
          <w:rFonts w:cs="Calibri"/>
          <w:color w:val="3C3C3B"/>
          <w:kern w:val="1"/>
          <w:lang w:val="en-GB"/>
        </w:rPr>
        <w:t>new</w:t>
      </w:r>
      <w:r w:rsidRPr="00CA2CC1">
        <w:rPr>
          <w:rFonts w:cs="Calibri"/>
          <w:color w:val="3C3C3B"/>
          <w:spacing w:val="-1"/>
          <w:kern w:val="1"/>
          <w:lang w:val="en-GB"/>
        </w:rPr>
        <w:t xml:space="preserve"> </w:t>
      </w:r>
      <w:r w:rsidRPr="00CA2CC1">
        <w:rPr>
          <w:rFonts w:cs="Calibri"/>
          <w:color w:val="3C3C3B"/>
          <w:kern w:val="1"/>
          <w:lang w:val="en-GB"/>
        </w:rPr>
        <w:t xml:space="preserve">growth </w:t>
      </w:r>
      <w:r w:rsidRPr="00CA2CC1">
        <w:rPr>
          <w:rFonts w:cs="Calibri"/>
          <w:color w:val="3C3C3B"/>
          <w:spacing w:val="-2"/>
          <w:kern w:val="1"/>
          <w:lang w:val="en-GB"/>
        </w:rPr>
        <w:t>area.</w:t>
      </w:r>
    </w:p>
    <w:p w14:paraId="5F806887" w14:textId="77777777" w:rsidR="00446A8F" w:rsidRPr="00CA2CC1" w:rsidRDefault="00446A8F" w:rsidP="0043303B">
      <w:pPr>
        <w:numPr>
          <w:ilvl w:val="0"/>
          <w:numId w:val="32"/>
        </w:numPr>
        <w:tabs>
          <w:tab w:val="left" w:pos="608"/>
        </w:tabs>
        <w:adjustRightInd w:val="0"/>
        <w:spacing w:before="118"/>
        <w:ind w:left="360"/>
        <w:rPr>
          <w:rFonts w:cs="Calibri"/>
          <w:color w:val="3C3C3B"/>
          <w:kern w:val="1"/>
          <w:lang w:val="en-GB"/>
        </w:rPr>
      </w:pPr>
      <w:r w:rsidRPr="00CA2CC1">
        <w:rPr>
          <w:rFonts w:cs="Calibri"/>
          <w:color w:val="3C3C3B"/>
          <w:kern w:val="1"/>
          <w:lang w:val="en-GB"/>
        </w:rPr>
        <w:t>Of the households who would choose a Ballarat apartment, almost</w:t>
      </w:r>
      <w:r w:rsidRPr="00CA2CC1">
        <w:rPr>
          <w:rFonts w:cs="Calibri"/>
          <w:color w:val="3C3C3B"/>
          <w:spacing w:val="-7"/>
          <w:kern w:val="1"/>
          <w:lang w:val="en-GB"/>
        </w:rPr>
        <w:t xml:space="preserve"> </w:t>
      </w:r>
      <w:r w:rsidRPr="00CA2CC1">
        <w:rPr>
          <w:rFonts w:cs="Calibri"/>
          <w:color w:val="3C3C3B"/>
          <w:kern w:val="1"/>
          <w:lang w:val="en-GB"/>
        </w:rPr>
        <w:t>all</w:t>
      </w:r>
      <w:r w:rsidRPr="00CA2CC1">
        <w:rPr>
          <w:rFonts w:cs="Calibri"/>
          <w:color w:val="3C3C3B"/>
          <w:spacing w:val="-7"/>
          <w:kern w:val="1"/>
          <w:lang w:val="en-GB"/>
        </w:rPr>
        <w:t xml:space="preserve"> </w:t>
      </w:r>
      <w:r w:rsidRPr="00CA2CC1">
        <w:rPr>
          <w:rFonts w:cs="Calibri"/>
          <w:color w:val="3C3C3B"/>
          <w:kern w:val="1"/>
          <w:lang w:val="en-GB"/>
        </w:rPr>
        <w:t>(99%)</w:t>
      </w:r>
      <w:r w:rsidRPr="00CA2CC1">
        <w:rPr>
          <w:rFonts w:cs="Calibri"/>
          <w:color w:val="3C3C3B"/>
          <w:spacing w:val="-7"/>
          <w:kern w:val="1"/>
          <w:lang w:val="en-GB"/>
        </w:rPr>
        <w:t xml:space="preserve"> </w:t>
      </w:r>
      <w:r w:rsidRPr="00CA2CC1">
        <w:rPr>
          <w:rFonts w:cs="Calibri"/>
          <w:color w:val="3C3C3B"/>
          <w:kern w:val="1"/>
          <w:lang w:val="en-GB"/>
        </w:rPr>
        <w:t>preferred</w:t>
      </w:r>
      <w:r w:rsidRPr="00CA2CC1">
        <w:rPr>
          <w:rFonts w:cs="Calibri"/>
          <w:color w:val="3C3C3B"/>
          <w:spacing w:val="-7"/>
          <w:kern w:val="1"/>
          <w:lang w:val="en-GB"/>
        </w:rPr>
        <w:t xml:space="preserve"> </w:t>
      </w:r>
      <w:r w:rsidRPr="00CA2CC1">
        <w:rPr>
          <w:rFonts w:cs="Calibri"/>
          <w:color w:val="3C3C3B"/>
          <w:kern w:val="1"/>
          <w:lang w:val="en-GB"/>
        </w:rPr>
        <w:t>2</w:t>
      </w:r>
      <w:r w:rsidRPr="00CA2CC1">
        <w:rPr>
          <w:rFonts w:cs="Calibri"/>
          <w:color w:val="3C3C3B"/>
          <w:spacing w:val="-7"/>
          <w:kern w:val="1"/>
          <w:lang w:val="en-GB"/>
        </w:rPr>
        <w:t xml:space="preserve"> </w:t>
      </w:r>
      <w:r w:rsidRPr="00CA2CC1">
        <w:rPr>
          <w:rFonts w:cs="Calibri"/>
          <w:color w:val="3C3C3B"/>
          <w:kern w:val="1"/>
          <w:lang w:val="en-GB"/>
        </w:rPr>
        <w:t>or</w:t>
      </w:r>
      <w:r w:rsidRPr="00CA2CC1">
        <w:rPr>
          <w:rFonts w:cs="Calibri"/>
          <w:color w:val="3C3C3B"/>
          <w:spacing w:val="-7"/>
          <w:kern w:val="1"/>
          <w:lang w:val="en-GB"/>
        </w:rPr>
        <w:t xml:space="preserve"> </w:t>
      </w:r>
      <w:r w:rsidRPr="00CA2CC1">
        <w:rPr>
          <w:rFonts w:cs="Calibri"/>
          <w:color w:val="3C3C3B"/>
          <w:kern w:val="1"/>
          <w:lang w:val="en-GB"/>
        </w:rPr>
        <w:t>3 storey buildings compared with an</w:t>
      </w:r>
      <w:r w:rsidRPr="00CA2CC1">
        <w:rPr>
          <w:rFonts w:cs="Calibri"/>
          <w:color w:val="3C3C3B"/>
          <w:spacing w:val="-3"/>
          <w:kern w:val="1"/>
          <w:lang w:val="en-GB"/>
        </w:rPr>
        <w:t xml:space="preserve"> </w:t>
      </w:r>
      <w:r w:rsidRPr="00CA2CC1">
        <w:rPr>
          <w:rFonts w:cs="Calibri"/>
          <w:color w:val="3C3C3B"/>
          <w:kern w:val="1"/>
          <w:lang w:val="en-GB"/>
        </w:rPr>
        <w:t>apartment</w:t>
      </w:r>
      <w:r w:rsidRPr="00CA2CC1">
        <w:rPr>
          <w:rFonts w:cs="Calibri"/>
          <w:color w:val="3C3C3B"/>
          <w:spacing w:val="-3"/>
          <w:kern w:val="1"/>
          <w:lang w:val="en-GB"/>
        </w:rPr>
        <w:t xml:space="preserve"> </w:t>
      </w:r>
      <w:r w:rsidRPr="00CA2CC1">
        <w:rPr>
          <w:rFonts w:cs="Calibri"/>
          <w:color w:val="3C3C3B"/>
          <w:kern w:val="1"/>
          <w:lang w:val="en-GB"/>
        </w:rPr>
        <w:t>block</w:t>
      </w:r>
      <w:r w:rsidRPr="00CA2CC1">
        <w:rPr>
          <w:rFonts w:cs="Calibri"/>
          <w:color w:val="3C3C3B"/>
          <w:spacing w:val="-3"/>
          <w:kern w:val="1"/>
          <w:lang w:val="en-GB"/>
        </w:rPr>
        <w:t xml:space="preserve"> </w:t>
      </w:r>
      <w:r w:rsidRPr="00CA2CC1">
        <w:rPr>
          <w:rFonts w:cs="Calibri"/>
          <w:color w:val="3C3C3B"/>
          <w:kern w:val="1"/>
          <w:lang w:val="en-GB"/>
        </w:rPr>
        <w:t>of</w:t>
      </w:r>
      <w:r w:rsidRPr="00CA2CC1">
        <w:rPr>
          <w:rFonts w:cs="Calibri"/>
          <w:color w:val="3C3C3B"/>
          <w:spacing w:val="-3"/>
          <w:kern w:val="1"/>
          <w:lang w:val="en-GB"/>
        </w:rPr>
        <w:t xml:space="preserve"> </w:t>
      </w:r>
      <w:r w:rsidRPr="00CA2CC1">
        <w:rPr>
          <w:rFonts w:cs="Calibri"/>
          <w:color w:val="3C3C3B"/>
          <w:kern w:val="1"/>
          <w:lang w:val="en-GB"/>
        </w:rPr>
        <w:t>4</w:t>
      </w:r>
      <w:r w:rsidRPr="00CA2CC1">
        <w:rPr>
          <w:rFonts w:cs="Calibri"/>
          <w:color w:val="3C3C3B"/>
          <w:spacing w:val="-3"/>
          <w:kern w:val="1"/>
          <w:lang w:val="en-GB"/>
        </w:rPr>
        <w:t xml:space="preserve"> </w:t>
      </w:r>
      <w:r w:rsidRPr="00CA2CC1">
        <w:rPr>
          <w:rFonts w:cs="Calibri"/>
          <w:color w:val="3C3C3B"/>
          <w:kern w:val="1"/>
          <w:lang w:val="en-GB"/>
        </w:rPr>
        <w:t>storeys or higher.</w:t>
      </w:r>
    </w:p>
    <w:p w14:paraId="035F47BF" w14:textId="77777777" w:rsidR="0076069E" w:rsidRPr="00CA2CC1" w:rsidRDefault="00446A8F" w:rsidP="0043303B">
      <w:pPr>
        <w:numPr>
          <w:ilvl w:val="0"/>
          <w:numId w:val="32"/>
        </w:numPr>
        <w:tabs>
          <w:tab w:val="left" w:pos="608"/>
        </w:tabs>
        <w:adjustRightInd w:val="0"/>
        <w:spacing w:before="113"/>
        <w:ind w:left="360"/>
        <w:rPr>
          <w:rFonts w:cs="Calibri"/>
          <w:color w:val="3C3C3B"/>
          <w:kern w:val="1"/>
          <w:lang w:val="en-GB"/>
        </w:rPr>
      </w:pPr>
      <w:r w:rsidRPr="00CA2CC1">
        <w:rPr>
          <w:rFonts w:cs="Calibri"/>
          <w:color w:val="3C3C3B"/>
          <w:kern w:val="1"/>
          <w:lang w:val="en-GB"/>
        </w:rPr>
        <w:t>The City of Ballarat has an aspiration to support 50% of new housing in established neighbourhoods and 50% greenfield to 2040 and to actively pursue more housing developments</w:t>
      </w:r>
      <w:r w:rsidRPr="00CA2CC1">
        <w:rPr>
          <w:rFonts w:cs="Calibri"/>
          <w:color w:val="3C3C3B"/>
          <w:spacing w:val="-12"/>
          <w:kern w:val="1"/>
          <w:lang w:val="en-GB"/>
        </w:rPr>
        <w:t xml:space="preserve"> </w:t>
      </w:r>
      <w:r w:rsidRPr="00CA2CC1">
        <w:rPr>
          <w:rFonts w:cs="Calibri"/>
          <w:color w:val="3C3C3B"/>
          <w:kern w:val="1"/>
          <w:lang w:val="en-GB"/>
        </w:rPr>
        <w:t>within</w:t>
      </w:r>
      <w:r w:rsidRPr="00CA2CC1">
        <w:rPr>
          <w:rFonts w:cs="Calibri"/>
          <w:color w:val="3C3C3B"/>
          <w:spacing w:val="-12"/>
          <w:kern w:val="1"/>
          <w:lang w:val="en-GB"/>
        </w:rPr>
        <w:t xml:space="preserve"> </w:t>
      </w:r>
      <w:r w:rsidRPr="00CA2CC1">
        <w:rPr>
          <w:rFonts w:cs="Calibri"/>
          <w:color w:val="3C3C3B"/>
          <w:kern w:val="1"/>
          <w:lang w:val="en-GB"/>
        </w:rPr>
        <w:t>200</w:t>
      </w:r>
      <w:r w:rsidRPr="00CA2CC1">
        <w:rPr>
          <w:rFonts w:cs="Calibri"/>
          <w:color w:val="3C3C3B"/>
          <w:spacing w:val="-12"/>
          <w:kern w:val="1"/>
          <w:lang w:val="en-GB"/>
        </w:rPr>
        <w:t xml:space="preserve"> </w:t>
      </w:r>
      <w:r w:rsidRPr="00CA2CC1">
        <w:rPr>
          <w:rFonts w:cs="Calibri"/>
          <w:color w:val="3C3C3B"/>
          <w:kern w:val="1"/>
          <w:lang w:val="en-GB"/>
        </w:rPr>
        <w:t>metres of public transport and walking distance</w:t>
      </w:r>
      <w:r w:rsidRPr="00CA2CC1">
        <w:rPr>
          <w:rFonts w:cs="Calibri"/>
          <w:color w:val="3C3C3B"/>
          <w:spacing w:val="-7"/>
          <w:kern w:val="1"/>
          <w:lang w:val="en-GB"/>
        </w:rPr>
        <w:t xml:space="preserve"> </w:t>
      </w:r>
      <w:r w:rsidRPr="00CA2CC1">
        <w:rPr>
          <w:rFonts w:cs="Calibri"/>
          <w:color w:val="3C3C3B"/>
          <w:kern w:val="1"/>
          <w:lang w:val="en-GB"/>
        </w:rPr>
        <w:t>to</w:t>
      </w:r>
      <w:r w:rsidRPr="00CA2CC1">
        <w:rPr>
          <w:rFonts w:cs="Calibri"/>
          <w:color w:val="3C3C3B"/>
          <w:spacing w:val="-7"/>
          <w:kern w:val="1"/>
          <w:lang w:val="en-GB"/>
        </w:rPr>
        <w:t xml:space="preserve"> </w:t>
      </w:r>
      <w:r w:rsidRPr="00CA2CC1">
        <w:rPr>
          <w:rFonts w:cs="Calibri"/>
          <w:color w:val="3C3C3B"/>
          <w:kern w:val="1"/>
          <w:lang w:val="en-GB"/>
        </w:rPr>
        <w:t>local</w:t>
      </w:r>
      <w:r w:rsidRPr="00CA2CC1">
        <w:rPr>
          <w:rFonts w:cs="Calibri"/>
          <w:color w:val="3C3C3B"/>
          <w:spacing w:val="-7"/>
          <w:kern w:val="1"/>
          <w:lang w:val="en-GB"/>
        </w:rPr>
        <w:t xml:space="preserve"> </w:t>
      </w:r>
      <w:r w:rsidRPr="00CA2CC1">
        <w:rPr>
          <w:rFonts w:cs="Calibri"/>
          <w:color w:val="3C3C3B"/>
          <w:kern w:val="1"/>
          <w:lang w:val="en-GB"/>
        </w:rPr>
        <w:t>activity</w:t>
      </w:r>
      <w:r w:rsidRPr="00CA2CC1">
        <w:rPr>
          <w:rFonts w:cs="Calibri"/>
          <w:color w:val="3C3C3B"/>
          <w:spacing w:val="-7"/>
          <w:kern w:val="1"/>
          <w:lang w:val="en-GB"/>
        </w:rPr>
        <w:t xml:space="preserve"> </w:t>
      </w:r>
      <w:r w:rsidRPr="00CA2CC1">
        <w:rPr>
          <w:rFonts w:cs="Calibri"/>
          <w:color w:val="3C3C3B"/>
          <w:kern w:val="1"/>
          <w:lang w:val="en-GB"/>
        </w:rPr>
        <w:t>centres.</w:t>
      </w:r>
    </w:p>
    <w:p w14:paraId="29A92F7C" w14:textId="7F90D199" w:rsidR="0076069E" w:rsidRPr="00CA2CC1" w:rsidRDefault="0076069E" w:rsidP="0043303B">
      <w:pPr>
        <w:tabs>
          <w:tab w:val="left" w:pos="608"/>
        </w:tabs>
        <w:adjustRightInd w:val="0"/>
        <w:spacing w:before="113"/>
        <w:rPr>
          <w:rFonts w:cs="Calibri"/>
          <w:color w:val="3C3C3B"/>
          <w:kern w:val="1"/>
          <w:lang w:val="en-GB"/>
        </w:rPr>
        <w:sectPr w:rsidR="0076069E" w:rsidRPr="00CA2CC1" w:rsidSect="00E941A5">
          <w:type w:val="continuous"/>
          <w:pgSz w:w="11910" w:h="16840"/>
          <w:pgMar w:top="1134" w:right="1278" w:bottom="1134" w:left="1134" w:header="720" w:footer="720" w:gutter="0"/>
          <w:cols w:space="720"/>
        </w:sectPr>
      </w:pPr>
    </w:p>
    <w:p w14:paraId="09468020" w14:textId="77777777" w:rsidR="0076069E" w:rsidRPr="00CA2CC1" w:rsidRDefault="0076069E" w:rsidP="0043303B">
      <w:pPr>
        <w:pStyle w:val="BodyText"/>
        <w:rPr>
          <w:rFonts w:cs="Calibri"/>
        </w:rPr>
      </w:pPr>
      <w:bookmarkStart w:id="20" w:name="Our_home_choices:_policy_evidence"/>
      <w:bookmarkStart w:id="21" w:name="Measuring_home_price_differences:_how_fe"/>
      <w:bookmarkStart w:id="22" w:name="_bookmark10"/>
      <w:bookmarkEnd w:id="20"/>
      <w:bookmarkEnd w:id="21"/>
      <w:bookmarkEnd w:id="22"/>
    </w:p>
    <w:p w14:paraId="5B893FF1" w14:textId="24270DBB" w:rsidR="00FA4226" w:rsidRPr="00CA2CC1" w:rsidRDefault="00000000" w:rsidP="00CA2CC1">
      <w:pPr>
        <w:pStyle w:val="Heading3"/>
        <w:rPr>
          <w:u w:val="single"/>
        </w:rPr>
      </w:pPr>
      <w:hyperlink r:id="rId10">
        <w:r w:rsidRPr="00CA2CC1">
          <w:rPr>
            <w:u w:val="single"/>
          </w:rPr>
          <w:t>Our home choices: policy evidence</w:t>
        </w:r>
      </w:hyperlink>
    </w:p>
    <w:p w14:paraId="3B66D824" w14:textId="77777777" w:rsidR="00FA4226" w:rsidRPr="00CA2CC1" w:rsidRDefault="00000000" w:rsidP="0043303B">
      <w:pPr>
        <w:pStyle w:val="BodyText"/>
        <w:rPr>
          <w:rFonts w:cs="Calibri"/>
        </w:rPr>
      </w:pPr>
      <w:r w:rsidRPr="00CA2CC1">
        <w:rPr>
          <w:rFonts w:cs="Calibri"/>
        </w:rPr>
        <w:t>This</w:t>
      </w:r>
      <w:r w:rsidRPr="00CA2CC1">
        <w:rPr>
          <w:rFonts w:cs="Calibri"/>
          <w:spacing w:val="-9"/>
        </w:rPr>
        <w:t xml:space="preserve"> </w:t>
      </w:r>
      <w:r w:rsidRPr="00CA2CC1">
        <w:rPr>
          <w:rFonts w:cs="Calibri"/>
        </w:rPr>
        <w:t>report</w:t>
      </w:r>
      <w:r w:rsidRPr="00CA2CC1">
        <w:rPr>
          <w:rFonts w:cs="Calibri"/>
          <w:spacing w:val="-9"/>
        </w:rPr>
        <w:t xml:space="preserve"> </w:t>
      </w:r>
      <w:r w:rsidRPr="00CA2CC1">
        <w:rPr>
          <w:rFonts w:cs="Calibri"/>
        </w:rPr>
        <w:t>describes</w:t>
      </w:r>
      <w:r w:rsidRPr="00CA2CC1">
        <w:rPr>
          <w:rFonts w:cs="Calibri"/>
          <w:spacing w:val="-9"/>
        </w:rPr>
        <w:t xml:space="preserve"> </w:t>
      </w:r>
      <w:r w:rsidRPr="00CA2CC1">
        <w:rPr>
          <w:rFonts w:cs="Calibri"/>
        </w:rPr>
        <w:t>the</w:t>
      </w:r>
      <w:r w:rsidRPr="00CA2CC1">
        <w:rPr>
          <w:rFonts w:cs="Calibri"/>
          <w:spacing w:val="-9"/>
        </w:rPr>
        <w:t xml:space="preserve"> </w:t>
      </w:r>
      <w:r w:rsidRPr="00CA2CC1">
        <w:rPr>
          <w:rFonts w:cs="Calibri"/>
        </w:rPr>
        <w:t>findings</w:t>
      </w:r>
      <w:r w:rsidRPr="00CA2CC1">
        <w:rPr>
          <w:rFonts w:cs="Calibri"/>
          <w:spacing w:val="-9"/>
        </w:rPr>
        <w:t xml:space="preserve"> </w:t>
      </w:r>
      <w:r w:rsidRPr="00CA2CC1">
        <w:rPr>
          <w:rFonts w:cs="Calibri"/>
        </w:rPr>
        <w:t>from</w:t>
      </w:r>
      <w:r w:rsidRPr="00CA2CC1">
        <w:rPr>
          <w:rFonts w:cs="Calibri"/>
          <w:spacing w:val="-9"/>
        </w:rPr>
        <w:t xml:space="preserve"> </w:t>
      </w:r>
      <w:r w:rsidRPr="00CA2CC1">
        <w:rPr>
          <w:rFonts w:cs="Calibri"/>
        </w:rPr>
        <w:t>Infrastructure</w:t>
      </w:r>
      <w:r w:rsidRPr="00CA2CC1">
        <w:rPr>
          <w:rFonts w:cs="Calibri"/>
          <w:spacing w:val="-9"/>
        </w:rPr>
        <w:t xml:space="preserve"> </w:t>
      </w:r>
      <w:r w:rsidRPr="00CA2CC1">
        <w:rPr>
          <w:rFonts w:cs="Calibri"/>
        </w:rPr>
        <w:t>Victoria’s literature reviews and qualitative stakeholder research. It documents evidence underpinning our research on factors affecting home choices in new and established suburbs.</w:t>
      </w:r>
    </w:p>
    <w:p w14:paraId="737EC3E0" w14:textId="77777777" w:rsidR="00FA4226" w:rsidRPr="00CA2CC1" w:rsidRDefault="00000000" w:rsidP="0043303B">
      <w:pPr>
        <w:pStyle w:val="BodyText"/>
        <w:rPr>
          <w:rFonts w:cs="Calibri"/>
        </w:rPr>
      </w:pPr>
      <w:r w:rsidRPr="00CA2CC1">
        <w:rPr>
          <w:rFonts w:cs="Calibri"/>
        </w:rPr>
        <w:t>People’s</w:t>
      </w:r>
      <w:r w:rsidRPr="00CA2CC1">
        <w:rPr>
          <w:rFonts w:cs="Calibri"/>
          <w:spacing w:val="-4"/>
        </w:rPr>
        <w:t xml:space="preserve"> </w:t>
      </w:r>
      <w:r w:rsidRPr="00CA2CC1">
        <w:rPr>
          <w:rFonts w:cs="Calibri"/>
        </w:rPr>
        <w:t>home</w:t>
      </w:r>
      <w:r w:rsidRPr="00CA2CC1">
        <w:rPr>
          <w:rFonts w:cs="Calibri"/>
          <w:spacing w:val="-4"/>
        </w:rPr>
        <w:t xml:space="preserve"> </w:t>
      </w:r>
      <w:r w:rsidRPr="00CA2CC1">
        <w:rPr>
          <w:rFonts w:cs="Calibri"/>
        </w:rPr>
        <w:t>choices,</w:t>
      </w:r>
      <w:r w:rsidRPr="00CA2CC1">
        <w:rPr>
          <w:rFonts w:cs="Calibri"/>
          <w:spacing w:val="-4"/>
        </w:rPr>
        <w:t xml:space="preserve"> </w:t>
      </w:r>
      <w:r w:rsidRPr="00CA2CC1">
        <w:rPr>
          <w:rFonts w:cs="Calibri"/>
        </w:rPr>
        <w:t>and</w:t>
      </w:r>
      <w:r w:rsidRPr="00CA2CC1">
        <w:rPr>
          <w:rFonts w:cs="Calibri"/>
          <w:spacing w:val="-4"/>
        </w:rPr>
        <w:t xml:space="preserve"> </w:t>
      </w:r>
      <w:r w:rsidRPr="00CA2CC1">
        <w:rPr>
          <w:rFonts w:cs="Calibri"/>
        </w:rPr>
        <w:t>the</w:t>
      </w:r>
      <w:r w:rsidRPr="00CA2CC1">
        <w:rPr>
          <w:rFonts w:cs="Calibri"/>
          <w:spacing w:val="-4"/>
        </w:rPr>
        <w:t xml:space="preserve"> </w:t>
      </w:r>
      <w:r w:rsidRPr="00CA2CC1">
        <w:rPr>
          <w:rFonts w:cs="Calibri"/>
        </w:rPr>
        <w:t>location</w:t>
      </w:r>
      <w:r w:rsidRPr="00CA2CC1">
        <w:rPr>
          <w:rFonts w:cs="Calibri"/>
          <w:spacing w:val="-4"/>
        </w:rPr>
        <w:t xml:space="preserve"> </w:t>
      </w:r>
      <w:r w:rsidRPr="00CA2CC1">
        <w:rPr>
          <w:rFonts w:cs="Calibri"/>
        </w:rPr>
        <w:t>of</w:t>
      </w:r>
      <w:r w:rsidRPr="00CA2CC1">
        <w:rPr>
          <w:rFonts w:cs="Calibri"/>
          <w:spacing w:val="-4"/>
        </w:rPr>
        <w:t xml:space="preserve"> </w:t>
      </w:r>
      <w:r w:rsidRPr="00CA2CC1">
        <w:rPr>
          <w:rFonts w:cs="Calibri"/>
        </w:rPr>
        <w:t>new</w:t>
      </w:r>
      <w:r w:rsidRPr="00CA2CC1">
        <w:rPr>
          <w:rFonts w:cs="Calibri"/>
          <w:spacing w:val="-4"/>
        </w:rPr>
        <w:t xml:space="preserve"> </w:t>
      </w:r>
      <w:r w:rsidRPr="00CA2CC1">
        <w:rPr>
          <w:rFonts w:cs="Calibri"/>
        </w:rPr>
        <w:t>home</w:t>
      </w:r>
      <w:r w:rsidRPr="00CA2CC1">
        <w:rPr>
          <w:rFonts w:cs="Calibri"/>
          <w:spacing w:val="-4"/>
        </w:rPr>
        <w:t xml:space="preserve"> </w:t>
      </w:r>
      <w:r w:rsidRPr="00CA2CC1">
        <w:rPr>
          <w:rFonts w:cs="Calibri"/>
        </w:rPr>
        <w:t>building, affects the amount and location of infrastructure needed to support them. This report includes evidence to support the selection</w:t>
      </w:r>
      <w:r w:rsidRPr="00CA2CC1">
        <w:rPr>
          <w:rFonts w:cs="Calibri"/>
          <w:spacing w:val="-4"/>
        </w:rPr>
        <w:t xml:space="preserve"> </w:t>
      </w:r>
      <w:r w:rsidRPr="00CA2CC1">
        <w:rPr>
          <w:rFonts w:cs="Calibri"/>
        </w:rPr>
        <w:t>of</w:t>
      </w:r>
      <w:r w:rsidRPr="00CA2CC1">
        <w:rPr>
          <w:rFonts w:cs="Calibri"/>
          <w:spacing w:val="-4"/>
        </w:rPr>
        <w:t xml:space="preserve"> </w:t>
      </w:r>
      <w:r w:rsidRPr="00CA2CC1">
        <w:rPr>
          <w:rFonts w:cs="Calibri"/>
        </w:rPr>
        <w:t>the</w:t>
      </w:r>
      <w:r w:rsidRPr="00CA2CC1">
        <w:rPr>
          <w:rFonts w:cs="Calibri"/>
          <w:spacing w:val="-4"/>
        </w:rPr>
        <w:t xml:space="preserve"> </w:t>
      </w:r>
      <w:r w:rsidRPr="00CA2CC1">
        <w:rPr>
          <w:rFonts w:cs="Calibri"/>
        </w:rPr>
        <w:t>10</w:t>
      </w:r>
      <w:r w:rsidRPr="00CA2CC1">
        <w:rPr>
          <w:rFonts w:cs="Calibri"/>
          <w:spacing w:val="-4"/>
        </w:rPr>
        <w:t xml:space="preserve"> </w:t>
      </w:r>
      <w:r w:rsidRPr="00CA2CC1">
        <w:rPr>
          <w:rFonts w:cs="Calibri"/>
        </w:rPr>
        <w:t>policy</w:t>
      </w:r>
      <w:r w:rsidRPr="00CA2CC1">
        <w:rPr>
          <w:rFonts w:cs="Calibri"/>
          <w:spacing w:val="-4"/>
        </w:rPr>
        <w:t xml:space="preserve"> </w:t>
      </w:r>
      <w:r w:rsidRPr="00CA2CC1">
        <w:rPr>
          <w:rFonts w:cs="Calibri"/>
        </w:rPr>
        <w:t>options</w:t>
      </w:r>
      <w:r w:rsidRPr="00CA2CC1">
        <w:rPr>
          <w:rFonts w:cs="Calibri"/>
          <w:spacing w:val="-4"/>
        </w:rPr>
        <w:t xml:space="preserve"> </w:t>
      </w:r>
      <w:r w:rsidRPr="00CA2CC1">
        <w:rPr>
          <w:rFonts w:cs="Calibri"/>
        </w:rPr>
        <w:t>that</w:t>
      </w:r>
      <w:r w:rsidRPr="00CA2CC1">
        <w:rPr>
          <w:rFonts w:cs="Calibri"/>
          <w:spacing w:val="-4"/>
        </w:rPr>
        <w:t xml:space="preserve"> </w:t>
      </w:r>
      <w:r w:rsidRPr="00CA2CC1">
        <w:rPr>
          <w:rFonts w:cs="Calibri"/>
        </w:rPr>
        <w:t>the</w:t>
      </w:r>
      <w:r w:rsidRPr="00CA2CC1">
        <w:rPr>
          <w:rFonts w:cs="Calibri"/>
          <w:spacing w:val="-4"/>
        </w:rPr>
        <w:t xml:space="preserve"> </w:t>
      </w:r>
      <w:r w:rsidRPr="00CA2CC1">
        <w:rPr>
          <w:rFonts w:cs="Calibri"/>
        </w:rPr>
        <w:t>Victorian</w:t>
      </w:r>
      <w:r w:rsidRPr="00CA2CC1">
        <w:rPr>
          <w:rFonts w:cs="Calibri"/>
          <w:spacing w:val="-4"/>
        </w:rPr>
        <w:t xml:space="preserve"> </w:t>
      </w:r>
      <w:r w:rsidRPr="00CA2CC1">
        <w:rPr>
          <w:rFonts w:cs="Calibri"/>
        </w:rPr>
        <w:t>Government can apply if it wants to encourage more housing diversity in established suburbs of Melbourne, Geelong and Ballarat.</w:t>
      </w:r>
    </w:p>
    <w:p w14:paraId="18D47924" w14:textId="0E3203EC" w:rsidR="00FA4226" w:rsidRPr="00CA2CC1" w:rsidRDefault="00000000" w:rsidP="0043303B">
      <w:pPr>
        <w:pStyle w:val="BodyText"/>
        <w:rPr>
          <w:rFonts w:cs="Calibri"/>
        </w:rPr>
      </w:pPr>
      <w:r w:rsidRPr="00CA2CC1">
        <w:rPr>
          <w:rFonts w:cs="Calibri"/>
        </w:rPr>
        <w:t>In</w:t>
      </w:r>
      <w:r w:rsidRPr="00CA2CC1">
        <w:rPr>
          <w:rFonts w:cs="Calibri"/>
          <w:spacing w:val="-5"/>
        </w:rPr>
        <w:t xml:space="preserve"> </w:t>
      </w:r>
      <w:r w:rsidRPr="00CA2CC1">
        <w:rPr>
          <w:rFonts w:cs="Calibri"/>
          <w:i/>
        </w:rPr>
        <w:t>Our</w:t>
      </w:r>
      <w:r w:rsidRPr="00CA2CC1">
        <w:rPr>
          <w:rFonts w:cs="Calibri"/>
          <w:i/>
          <w:spacing w:val="-5"/>
        </w:rPr>
        <w:t xml:space="preserve"> </w:t>
      </w:r>
      <w:r w:rsidRPr="00CA2CC1">
        <w:rPr>
          <w:rFonts w:cs="Calibri"/>
          <w:i/>
        </w:rPr>
        <w:t>home</w:t>
      </w:r>
      <w:r w:rsidRPr="00CA2CC1">
        <w:rPr>
          <w:rFonts w:cs="Calibri"/>
          <w:i/>
          <w:spacing w:val="-5"/>
        </w:rPr>
        <w:t xml:space="preserve"> </w:t>
      </w:r>
      <w:r w:rsidRPr="00CA2CC1">
        <w:rPr>
          <w:rFonts w:cs="Calibri"/>
          <w:i/>
        </w:rPr>
        <w:t>choices:</w:t>
      </w:r>
      <w:r w:rsidRPr="00CA2CC1">
        <w:rPr>
          <w:rFonts w:cs="Calibri"/>
          <w:i/>
          <w:spacing w:val="-5"/>
        </w:rPr>
        <w:t xml:space="preserve"> </w:t>
      </w:r>
      <w:r w:rsidRPr="00CA2CC1">
        <w:rPr>
          <w:rFonts w:cs="Calibri"/>
          <w:i/>
        </w:rPr>
        <w:t>policy</w:t>
      </w:r>
      <w:r w:rsidRPr="00CA2CC1">
        <w:rPr>
          <w:rFonts w:cs="Calibri"/>
          <w:i/>
          <w:spacing w:val="-5"/>
        </w:rPr>
        <w:t xml:space="preserve"> </w:t>
      </w:r>
      <w:r w:rsidRPr="00CA2CC1">
        <w:rPr>
          <w:rFonts w:cs="Calibri"/>
          <w:i/>
        </w:rPr>
        <w:t>evidence</w:t>
      </w:r>
      <w:r w:rsidRPr="00CA2CC1">
        <w:rPr>
          <w:rFonts w:cs="Calibri"/>
        </w:rPr>
        <w:t>,</w:t>
      </w:r>
      <w:r w:rsidRPr="00CA2CC1">
        <w:rPr>
          <w:rFonts w:cs="Calibri"/>
          <w:spacing w:val="-5"/>
        </w:rPr>
        <w:t xml:space="preserve"> </w:t>
      </w:r>
      <w:r w:rsidRPr="00CA2CC1">
        <w:rPr>
          <w:rFonts w:cs="Calibri"/>
        </w:rPr>
        <w:t>we</w:t>
      </w:r>
      <w:r w:rsidRPr="00CA2CC1">
        <w:rPr>
          <w:rFonts w:cs="Calibri"/>
          <w:spacing w:val="-5"/>
        </w:rPr>
        <w:t xml:space="preserve"> </w:t>
      </w:r>
      <w:r w:rsidRPr="00CA2CC1">
        <w:rPr>
          <w:rFonts w:cs="Calibri"/>
        </w:rPr>
        <w:t>present</w:t>
      </w:r>
      <w:r w:rsidRPr="00CA2CC1">
        <w:rPr>
          <w:rFonts w:cs="Calibri"/>
          <w:spacing w:val="-5"/>
        </w:rPr>
        <w:t xml:space="preserve"> </w:t>
      </w:r>
      <w:r w:rsidRPr="00CA2CC1">
        <w:rPr>
          <w:rFonts w:cs="Calibri"/>
        </w:rPr>
        <w:t>3</w:t>
      </w:r>
      <w:r w:rsidRPr="00CA2CC1">
        <w:rPr>
          <w:rFonts w:cs="Calibri"/>
          <w:spacing w:val="-5"/>
        </w:rPr>
        <w:t xml:space="preserve"> </w:t>
      </w:r>
      <w:r w:rsidRPr="00CA2CC1">
        <w:rPr>
          <w:rFonts w:cs="Calibri"/>
        </w:rPr>
        <w:t>groups of</w:t>
      </w:r>
      <w:r w:rsidRPr="00CA2CC1">
        <w:rPr>
          <w:rFonts w:cs="Calibri"/>
          <w:spacing w:val="-1"/>
        </w:rPr>
        <w:t xml:space="preserve"> </w:t>
      </w:r>
      <w:r w:rsidRPr="00CA2CC1">
        <w:rPr>
          <w:rFonts w:cs="Calibri"/>
        </w:rPr>
        <w:t>policy options</w:t>
      </w:r>
      <w:r w:rsidRPr="00CA2CC1">
        <w:rPr>
          <w:rFonts w:cs="Calibri"/>
          <w:spacing w:val="-1"/>
        </w:rPr>
        <w:t xml:space="preserve"> </w:t>
      </w:r>
      <w:r w:rsidRPr="00CA2CC1">
        <w:rPr>
          <w:rFonts w:cs="Calibri"/>
        </w:rPr>
        <w:t>for established</w:t>
      </w:r>
      <w:r w:rsidRPr="00CA2CC1">
        <w:rPr>
          <w:rFonts w:cs="Calibri"/>
          <w:spacing w:val="-1"/>
        </w:rPr>
        <w:t xml:space="preserve"> </w:t>
      </w:r>
      <w:r w:rsidRPr="00CA2CC1">
        <w:rPr>
          <w:rFonts w:cs="Calibri"/>
        </w:rPr>
        <w:t>suburbs. The</w:t>
      </w:r>
      <w:r w:rsidRPr="00CA2CC1">
        <w:rPr>
          <w:rFonts w:cs="Calibri"/>
          <w:spacing w:val="-1"/>
        </w:rPr>
        <w:t xml:space="preserve"> </w:t>
      </w:r>
      <w:r w:rsidRPr="00CA2CC1">
        <w:rPr>
          <w:rFonts w:cs="Calibri"/>
        </w:rPr>
        <w:t xml:space="preserve">first group </w:t>
      </w:r>
      <w:r w:rsidRPr="00CA2CC1">
        <w:rPr>
          <w:rFonts w:cs="Calibri"/>
          <w:spacing w:val="-5"/>
        </w:rPr>
        <w:t>of</w:t>
      </w:r>
      <w:r w:rsidR="005164F0" w:rsidRPr="00CA2CC1">
        <w:rPr>
          <w:rFonts w:cs="Calibri"/>
          <w:spacing w:val="-5"/>
        </w:rPr>
        <w:t xml:space="preserve"> </w:t>
      </w:r>
      <w:r w:rsidRPr="00CA2CC1">
        <w:rPr>
          <w:rFonts w:cs="Calibri"/>
        </w:rPr>
        <w:t>options</w:t>
      </w:r>
      <w:r w:rsidRPr="00CA2CC1">
        <w:rPr>
          <w:rFonts w:cs="Calibri"/>
          <w:spacing w:val="-4"/>
        </w:rPr>
        <w:t xml:space="preserve"> </w:t>
      </w:r>
      <w:r w:rsidRPr="00CA2CC1">
        <w:rPr>
          <w:rFonts w:cs="Calibri"/>
        </w:rPr>
        <w:t>aims</w:t>
      </w:r>
      <w:r w:rsidRPr="00CA2CC1">
        <w:rPr>
          <w:rFonts w:cs="Calibri"/>
          <w:spacing w:val="-4"/>
        </w:rPr>
        <w:t xml:space="preserve"> </w:t>
      </w:r>
      <w:r w:rsidRPr="00CA2CC1">
        <w:rPr>
          <w:rFonts w:cs="Calibri"/>
        </w:rPr>
        <w:t>to</w:t>
      </w:r>
      <w:r w:rsidRPr="00CA2CC1">
        <w:rPr>
          <w:rFonts w:cs="Calibri"/>
          <w:spacing w:val="-4"/>
        </w:rPr>
        <w:t xml:space="preserve"> </w:t>
      </w:r>
      <w:r w:rsidRPr="00CA2CC1">
        <w:rPr>
          <w:rFonts w:cs="Calibri"/>
        </w:rPr>
        <w:t>help</w:t>
      </w:r>
      <w:r w:rsidRPr="00CA2CC1">
        <w:rPr>
          <w:rFonts w:cs="Calibri"/>
          <w:spacing w:val="-4"/>
        </w:rPr>
        <w:t xml:space="preserve"> </w:t>
      </w:r>
      <w:r w:rsidRPr="00CA2CC1">
        <w:rPr>
          <w:rFonts w:cs="Calibri"/>
        </w:rPr>
        <w:t>build</w:t>
      </w:r>
      <w:r w:rsidRPr="00CA2CC1">
        <w:rPr>
          <w:rFonts w:cs="Calibri"/>
          <w:spacing w:val="-4"/>
        </w:rPr>
        <w:t xml:space="preserve"> </w:t>
      </w:r>
      <w:r w:rsidRPr="00CA2CC1">
        <w:rPr>
          <w:rFonts w:cs="Calibri"/>
        </w:rPr>
        <w:t>more</w:t>
      </w:r>
      <w:r w:rsidRPr="00CA2CC1">
        <w:rPr>
          <w:rFonts w:cs="Calibri"/>
          <w:spacing w:val="-4"/>
        </w:rPr>
        <w:t xml:space="preserve"> </w:t>
      </w:r>
      <w:r w:rsidRPr="00CA2CC1">
        <w:rPr>
          <w:rFonts w:cs="Calibri"/>
        </w:rPr>
        <w:t>homes</w:t>
      </w:r>
      <w:r w:rsidRPr="00CA2CC1">
        <w:rPr>
          <w:rFonts w:cs="Calibri"/>
          <w:spacing w:val="-4"/>
        </w:rPr>
        <w:t xml:space="preserve"> </w:t>
      </w:r>
      <w:r w:rsidRPr="00CA2CC1">
        <w:rPr>
          <w:rFonts w:cs="Calibri"/>
        </w:rPr>
        <w:t>in</w:t>
      </w:r>
      <w:r w:rsidRPr="00CA2CC1">
        <w:rPr>
          <w:rFonts w:cs="Calibri"/>
          <w:spacing w:val="-4"/>
        </w:rPr>
        <w:t xml:space="preserve"> </w:t>
      </w:r>
      <w:r w:rsidRPr="00CA2CC1">
        <w:rPr>
          <w:rFonts w:cs="Calibri"/>
        </w:rPr>
        <w:t>established</w:t>
      </w:r>
      <w:r w:rsidRPr="00CA2CC1">
        <w:rPr>
          <w:rFonts w:cs="Calibri"/>
          <w:spacing w:val="-4"/>
        </w:rPr>
        <w:t xml:space="preserve"> </w:t>
      </w:r>
      <w:r w:rsidRPr="00CA2CC1">
        <w:rPr>
          <w:rFonts w:cs="Calibri"/>
        </w:rPr>
        <w:t>suburbs for people to choose from. The second group focuses on reducing price disincentives to buying homes in established suburbs. The third group of policy options are opportunities</w:t>
      </w:r>
      <w:r w:rsidR="00711F16" w:rsidRPr="00CA2CC1">
        <w:rPr>
          <w:rFonts w:cs="Calibri"/>
        </w:rPr>
        <w:t xml:space="preserve"> </w:t>
      </w:r>
      <w:r w:rsidRPr="00CA2CC1">
        <w:rPr>
          <w:rFonts w:cs="Calibri"/>
        </w:rPr>
        <w:t>to</w:t>
      </w:r>
      <w:r w:rsidRPr="00CA2CC1">
        <w:rPr>
          <w:rFonts w:cs="Calibri"/>
          <w:spacing w:val="-2"/>
        </w:rPr>
        <w:t xml:space="preserve"> </w:t>
      </w:r>
      <w:r w:rsidRPr="00CA2CC1">
        <w:rPr>
          <w:rFonts w:cs="Calibri"/>
        </w:rPr>
        <w:t>create</w:t>
      </w:r>
      <w:r w:rsidRPr="00CA2CC1">
        <w:rPr>
          <w:rFonts w:cs="Calibri"/>
          <w:spacing w:val="-1"/>
        </w:rPr>
        <w:t xml:space="preserve"> </w:t>
      </w:r>
      <w:r w:rsidRPr="00CA2CC1">
        <w:rPr>
          <w:rFonts w:cs="Calibri"/>
        </w:rPr>
        <w:t>more</w:t>
      </w:r>
      <w:r w:rsidRPr="00CA2CC1">
        <w:rPr>
          <w:rFonts w:cs="Calibri"/>
          <w:spacing w:val="-1"/>
        </w:rPr>
        <w:t xml:space="preserve"> </w:t>
      </w:r>
      <w:r w:rsidRPr="00CA2CC1">
        <w:rPr>
          <w:rFonts w:cs="Calibri"/>
        </w:rPr>
        <w:t>diverse</w:t>
      </w:r>
      <w:r w:rsidRPr="00CA2CC1">
        <w:rPr>
          <w:rFonts w:cs="Calibri"/>
          <w:spacing w:val="-1"/>
        </w:rPr>
        <w:t xml:space="preserve"> </w:t>
      </w:r>
      <w:r w:rsidRPr="00CA2CC1">
        <w:rPr>
          <w:rFonts w:cs="Calibri"/>
        </w:rPr>
        <w:t>and</w:t>
      </w:r>
      <w:r w:rsidRPr="00CA2CC1">
        <w:rPr>
          <w:rFonts w:cs="Calibri"/>
          <w:spacing w:val="-1"/>
        </w:rPr>
        <w:t xml:space="preserve"> </w:t>
      </w:r>
      <w:r w:rsidRPr="00CA2CC1">
        <w:rPr>
          <w:rFonts w:cs="Calibri"/>
        </w:rPr>
        <w:t>better</w:t>
      </w:r>
      <w:r w:rsidRPr="00CA2CC1">
        <w:rPr>
          <w:rFonts w:cs="Calibri"/>
          <w:spacing w:val="-1"/>
        </w:rPr>
        <w:t xml:space="preserve"> </w:t>
      </w:r>
      <w:r w:rsidRPr="00CA2CC1">
        <w:rPr>
          <w:rFonts w:cs="Calibri"/>
        </w:rPr>
        <w:t>quality</w:t>
      </w:r>
      <w:r w:rsidRPr="00CA2CC1">
        <w:rPr>
          <w:rFonts w:cs="Calibri"/>
          <w:spacing w:val="-1"/>
        </w:rPr>
        <w:t xml:space="preserve"> </w:t>
      </w:r>
      <w:r w:rsidRPr="00CA2CC1">
        <w:rPr>
          <w:rFonts w:cs="Calibri"/>
          <w:spacing w:val="-2"/>
        </w:rPr>
        <w:t>housing.</w:t>
      </w:r>
    </w:p>
    <w:p w14:paraId="47216795" w14:textId="1D3C9A93" w:rsidR="00FA4226" w:rsidRPr="00CA2CC1" w:rsidRDefault="00000000" w:rsidP="00FA2CF0">
      <w:pPr>
        <w:pStyle w:val="BodyText"/>
        <w:rPr>
          <w:rFonts w:cs="Calibri"/>
        </w:rPr>
      </w:pPr>
      <w:r w:rsidRPr="00CA2CC1">
        <w:rPr>
          <w:rFonts w:cs="Calibri"/>
        </w:rPr>
        <w:t xml:space="preserve">The report includes a summary of the issues influencing the supply of new housing in established suburbs. </w:t>
      </w:r>
      <w:r w:rsidRPr="00CA2CC1">
        <w:rPr>
          <w:rFonts w:cs="Calibri"/>
        </w:rPr>
        <w:lastRenderedPageBreak/>
        <w:t>It details our findings</w:t>
      </w:r>
      <w:r w:rsidRPr="00CA2CC1">
        <w:rPr>
          <w:rFonts w:cs="Calibri"/>
          <w:spacing w:val="-7"/>
        </w:rPr>
        <w:t xml:space="preserve"> </w:t>
      </w:r>
      <w:r w:rsidRPr="00CA2CC1">
        <w:rPr>
          <w:rFonts w:cs="Calibri"/>
        </w:rPr>
        <w:t>from</w:t>
      </w:r>
      <w:r w:rsidRPr="00CA2CC1">
        <w:rPr>
          <w:rFonts w:cs="Calibri"/>
          <w:spacing w:val="-7"/>
        </w:rPr>
        <w:t xml:space="preserve"> </w:t>
      </w:r>
      <w:r w:rsidRPr="00CA2CC1">
        <w:rPr>
          <w:rFonts w:cs="Calibri"/>
        </w:rPr>
        <w:t>key</w:t>
      </w:r>
      <w:r w:rsidRPr="00CA2CC1">
        <w:rPr>
          <w:rFonts w:cs="Calibri"/>
          <w:spacing w:val="-7"/>
        </w:rPr>
        <w:t xml:space="preserve"> </w:t>
      </w:r>
      <w:r w:rsidRPr="00CA2CC1">
        <w:rPr>
          <w:rFonts w:cs="Calibri"/>
        </w:rPr>
        <w:t>stakeholder</w:t>
      </w:r>
      <w:r w:rsidRPr="00CA2CC1">
        <w:rPr>
          <w:rFonts w:cs="Calibri"/>
          <w:spacing w:val="-7"/>
        </w:rPr>
        <w:t xml:space="preserve"> </w:t>
      </w:r>
      <w:r w:rsidRPr="00CA2CC1">
        <w:rPr>
          <w:rFonts w:cs="Calibri"/>
        </w:rPr>
        <w:t>interviews</w:t>
      </w:r>
      <w:r w:rsidRPr="00CA2CC1">
        <w:rPr>
          <w:rFonts w:cs="Calibri"/>
          <w:spacing w:val="-7"/>
        </w:rPr>
        <w:t xml:space="preserve"> </w:t>
      </w:r>
      <w:r w:rsidRPr="00CA2CC1">
        <w:rPr>
          <w:rFonts w:cs="Calibri"/>
        </w:rPr>
        <w:t>including</w:t>
      </w:r>
      <w:r w:rsidRPr="00CA2CC1">
        <w:rPr>
          <w:rFonts w:cs="Calibri"/>
          <w:spacing w:val="-7"/>
        </w:rPr>
        <w:t xml:space="preserve"> </w:t>
      </w:r>
      <w:r w:rsidRPr="00CA2CC1">
        <w:rPr>
          <w:rFonts w:cs="Calibri"/>
        </w:rPr>
        <w:t>household location and dwelling attribute preferences and a summary of greenfield housing characteristics.</w:t>
      </w:r>
    </w:p>
    <w:p w14:paraId="678F8748" w14:textId="77777777" w:rsidR="00FA4226" w:rsidRPr="00CA2CC1" w:rsidRDefault="00FA4226" w:rsidP="0043303B">
      <w:pPr>
        <w:pStyle w:val="BodyText"/>
        <w:spacing w:before="4"/>
        <w:rPr>
          <w:rFonts w:cs="Calibri"/>
        </w:rPr>
      </w:pPr>
    </w:p>
    <w:p w14:paraId="0845D24A" w14:textId="1E703D77" w:rsidR="00FA4226" w:rsidRPr="00CA2CC1" w:rsidRDefault="00000000" w:rsidP="00CA2CC1">
      <w:pPr>
        <w:pStyle w:val="Heading3"/>
        <w:rPr>
          <w:u w:val="single"/>
        </w:rPr>
      </w:pPr>
      <w:hyperlink r:id="rId11">
        <w:r w:rsidRPr="00CA2CC1">
          <w:rPr>
            <w:u w:val="single"/>
          </w:rPr>
          <w:t xml:space="preserve">Measuring home price differences: </w:t>
        </w:r>
      </w:hyperlink>
      <w:hyperlink r:id="rId12">
        <w:r w:rsidRPr="00CA2CC1">
          <w:rPr>
            <w:u w:val="single"/>
          </w:rPr>
          <w:t xml:space="preserve">how features, location and </w:t>
        </w:r>
      </w:hyperlink>
      <w:r w:rsidRPr="00CA2CC1">
        <w:rPr>
          <w:u w:val="single"/>
        </w:rPr>
        <w:t xml:space="preserve"> </w:t>
      </w:r>
      <w:hyperlink r:id="rId13">
        <w:r w:rsidRPr="00CA2CC1">
          <w:rPr>
            <w:u w:val="single"/>
          </w:rPr>
          <w:t xml:space="preserve">infrastructure affect Melbourne’s </w:t>
        </w:r>
      </w:hyperlink>
      <w:hyperlink r:id="rId14">
        <w:r w:rsidRPr="00CA2CC1">
          <w:rPr>
            <w:u w:val="single"/>
          </w:rPr>
          <w:t>home prices</w:t>
        </w:r>
      </w:hyperlink>
    </w:p>
    <w:p w14:paraId="79A12165" w14:textId="77777777" w:rsidR="00FA4226" w:rsidRPr="00CA2CC1" w:rsidRDefault="00000000" w:rsidP="0043303B">
      <w:pPr>
        <w:pStyle w:val="BodyText"/>
        <w:spacing w:before="227"/>
        <w:rPr>
          <w:rFonts w:cs="Calibri"/>
          <w:szCs w:val="22"/>
        </w:rPr>
      </w:pPr>
      <w:r w:rsidRPr="00CA2CC1">
        <w:rPr>
          <w:rFonts w:cs="Calibri"/>
          <w:color w:val="414042"/>
          <w:szCs w:val="22"/>
        </w:rPr>
        <w:t>This report describes how Infrastructure Victoria developed new</w:t>
      </w:r>
      <w:r w:rsidRPr="00CA2CC1">
        <w:rPr>
          <w:rFonts w:cs="Calibri"/>
          <w:color w:val="414042"/>
          <w:spacing w:val="-4"/>
          <w:szCs w:val="22"/>
        </w:rPr>
        <w:t xml:space="preserve"> </w:t>
      </w:r>
      <w:r w:rsidRPr="00CA2CC1">
        <w:rPr>
          <w:rFonts w:cs="Calibri"/>
          <w:color w:val="414042"/>
          <w:szCs w:val="22"/>
        </w:rPr>
        <w:t>price</w:t>
      </w:r>
      <w:r w:rsidRPr="00CA2CC1">
        <w:rPr>
          <w:rFonts w:cs="Calibri"/>
          <w:color w:val="414042"/>
          <w:spacing w:val="-4"/>
          <w:szCs w:val="22"/>
        </w:rPr>
        <w:t xml:space="preserve"> </w:t>
      </w:r>
      <w:r w:rsidRPr="00CA2CC1">
        <w:rPr>
          <w:rFonts w:cs="Calibri"/>
          <w:color w:val="414042"/>
          <w:szCs w:val="22"/>
        </w:rPr>
        <w:t>models</w:t>
      </w:r>
      <w:r w:rsidRPr="00CA2CC1">
        <w:rPr>
          <w:rFonts w:cs="Calibri"/>
          <w:color w:val="414042"/>
          <w:spacing w:val="-4"/>
          <w:szCs w:val="22"/>
        </w:rPr>
        <w:t xml:space="preserve"> </w:t>
      </w:r>
      <w:r w:rsidRPr="00CA2CC1">
        <w:rPr>
          <w:rFonts w:cs="Calibri"/>
          <w:color w:val="414042"/>
          <w:szCs w:val="22"/>
        </w:rPr>
        <w:t>to</w:t>
      </w:r>
      <w:r w:rsidRPr="00CA2CC1">
        <w:rPr>
          <w:rFonts w:cs="Calibri"/>
          <w:color w:val="414042"/>
          <w:spacing w:val="-4"/>
          <w:szCs w:val="22"/>
        </w:rPr>
        <w:t xml:space="preserve"> </w:t>
      </w:r>
      <w:r w:rsidRPr="00CA2CC1">
        <w:rPr>
          <w:rFonts w:cs="Calibri"/>
          <w:color w:val="414042"/>
          <w:szCs w:val="22"/>
        </w:rPr>
        <w:t>examine</w:t>
      </w:r>
      <w:r w:rsidRPr="00CA2CC1">
        <w:rPr>
          <w:rFonts w:cs="Calibri"/>
          <w:color w:val="414042"/>
          <w:spacing w:val="-4"/>
          <w:szCs w:val="22"/>
        </w:rPr>
        <w:t xml:space="preserve"> </w:t>
      </w:r>
      <w:r w:rsidRPr="00CA2CC1">
        <w:rPr>
          <w:rFonts w:cs="Calibri"/>
          <w:color w:val="414042"/>
          <w:szCs w:val="22"/>
        </w:rPr>
        <w:t>what</w:t>
      </w:r>
      <w:r w:rsidRPr="00CA2CC1">
        <w:rPr>
          <w:rFonts w:cs="Calibri"/>
          <w:color w:val="414042"/>
          <w:spacing w:val="-4"/>
          <w:szCs w:val="22"/>
        </w:rPr>
        <w:t xml:space="preserve"> </w:t>
      </w:r>
      <w:r w:rsidRPr="00CA2CC1">
        <w:rPr>
          <w:rFonts w:cs="Calibri"/>
          <w:color w:val="414042"/>
          <w:szCs w:val="22"/>
        </w:rPr>
        <w:t>features</w:t>
      </w:r>
      <w:r w:rsidRPr="00CA2CC1">
        <w:rPr>
          <w:rFonts w:cs="Calibri"/>
          <w:color w:val="414042"/>
          <w:spacing w:val="-4"/>
          <w:szCs w:val="22"/>
        </w:rPr>
        <w:t xml:space="preserve"> </w:t>
      </w:r>
      <w:r w:rsidRPr="00CA2CC1">
        <w:rPr>
          <w:rFonts w:cs="Calibri"/>
          <w:color w:val="414042"/>
          <w:szCs w:val="22"/>
        </w:rPr>
        <w:t>people</w:t>
      </w:r>
      <w:r w:rsidRPr="00CA2CC1">
        <w:rPr>
          <w:rFonts w:cs="Calibri"/>
          <w:color w:val="414042"/>
          <w:spacing w:val="-4"/>
          <w:szCs w:val="22"/>
        </w:rPr>
        <w:t xml:space="preserve"> </w:t>
      </w:r>
      <w:r w:rsidRPr="00CA2CC1">
        <w:rPr>
          <w:rFonts w:cs="Calibri"/>
          <w:color w:val="414042"/>
          <w:szCs w:val="22"/>
        </w:rPr>
        <w:t>value</w:t>
      </w:r>
      <w:r w:rsidRPr="00CA2CC1">
        <w:rPr>
          <w:rFonts w:cs="Calibri"/>
          <w:color w:val="414042"/>
          <w:spacing w:val="-4"/>
          <w:szCs w:val="22"/>
        </w:rPr>
        <w:t xml:space="preserve"> </w:t>
      </w:r>
      <w:r w:rsidRPr="00CA2CC1">
        <w:rPr>
          <w:rFonts w:cs="Calibri"/>
          <w:color w:val="414042"/>
          <w:szCs w:val="22"/>
        </w:rPr>
        <w:t>when choosing a home, like bedrooms, car spaces and being close to public transport. It also examined what type of homes are affordable to moderate income households in specific parts</w:t>
      </w:r>
    </w:p>
    <w:p w14:paraId="358B0898" w14:textId="77777777" w:rsidR="00FA4226" w:rsidRPr="00CA2CC1" w:rsidRDefault="00000000" w:rsidP="0043303B">
      <w:pPr>
        <w:pStyle w:val="BodyText"/>
        <w:rPr>
          <w:rFonts w:cs="Calibri"/>
          <w:szCs w:val="22"/>
        </w:rPr>
      </w:pPr>
      <w:r w:rsidRPr="00CA2CC1">
        <w:rPr>
          <w:rFonts w:cs="Calibri"/>
          <w:color w:val="414042"/>
          <w:szCs w:val="22"/>
        </w:rPr>
        <w:t xml:space="preserve">of </w:t>
      </w:r>
      <w:r w:rsidRPr="00CA2CC1">
        <w:rPr>
          <w:rFonts w:cs="Calibri"/>
          <w:color w:val="414042"/>
          <w:spacing w:val="-2"/>
          <w:szCs w:val="22"/>
        </w:rPr>
        <w:t>Melbourne.</w:t>
      </w:r>
    </w:p>
    <w:p w14:paraId="31D56E16" w14:textId="77777777" w:rsidR="00FA4226" w:rsidRPr="00CA2CC1" w:rsidRDefault="00000000" w:rsidP="0043303B">
      <w:pPr>
        <w:pStyle w:val="BodyText"/>
        <w:spacing w:before="118"/>
        <w:rPr>
          <w:rFonts w:cs="Calibri"/>
          <w:szCs w:val="22"/>
        </w:rPr>
      </w:pPr>
      <w:r w:rsidRPr="00CA2CC1">
        <w:rPr>
          <w:rFonts w:cs="Calibri"/>
          <w:color w:val="414042"/>
          <w:szCs w:val="22"/>
        </w:rPr>
        <w:t xml:space="preserve">Our new hedonic price model helps to better understand people’s preferences for dwelling and location features and the type of homes moderate income households can </w:t>
      </w:r>
      <w:r w:rsidRPr="00CA2CC1">
        <w:rPr>
          <w:rFonts w:cs="Calibri"/>
          <w:color w:val="414042"/>
          <w:spacing w:val="-2"/>
          <w:szCs w:val="22"/>
        </w:rPr>
        <w:t>afford.</w:t>
      </w:r>
    </w:p>
    <w:p w14:paraId="63ED04AD" w14:textId="77777777" w:rsidR="00FA4226" w:rsidRPr="00CA2CC1" w:rsidRDefault="00000000" w:rsidP="0043303B">
      <w:pPr>
        <w:pStyle w:val="BodyText"/>
        <w:rPr>
          <w:rFonts w:cs="Calibri"/>
          <w:szCs w:val="22"/>
        </w:rPr>
      </w:pPr>
      <w:r w:rsidRPr="00CA2CC1">
        <w:rPr>
          <w:rFonts w:cs="Calibri"/>
          <w:color w:val="414042"/>
          <w:szCs w:val="22"/>
        </w:rPr>
        <w:t>It gives insights about the drivers of housing demand, housing affordability</w:t>
      </w:r>
      <w:r w:rsidRPr="00CA2CC1">
        <w:rPr>
          <w:rFonts w:cs="Calibri"/>
          <w:color w:val="414042"/>
          <w:spacing w:val="-5"/>
          <w:szCs w:val="22"/>
        </w:rPr>
        <w:t xml:space="preserve"> </w:t>
      </w:r>
      <w:r w:rsidRPr="00CA2CC1">
        <w:rPr>
          <w:rFonts w:cs="Calibri"/>
          <w:color w:val="414042"/>
          <w:szCs w:val="22"/>
        </w:rPr>
        <w:t>and</w:t>
      </w:r>
      <w:r w:rsidRPr="00CA2CC1">
        <w:rPr>
          <w:rFonts w:cs="Calibri"/>
          <w:color w:val="414042"/>
          <w:spacing w:val="-5"/>
          <w:szCs w:val="22"/>
        </w:rPr>
        <w:t xml:space="preserve"> </w:t>
      </w:r>
      <w:r w:rsidRPr="00CA2CC1">
        <w:rPr>
          <w:rFonts w:cs="Calibri"/>
          <w:color w:val="414042"/>
          <w:szCs w:val="22"/>
        </w:rPr>
        <w:t>the</w:t>
      </w:r>
      <w:r w:rsidRPr="00CA2CC1">
        <w:rPr>
          <w:rFonts w:cs="Calibri"/>
          <w:color w:val="414042"/>
          <w:spacing w:val="-5"/>
          <w:szCs w:val="22"/>
        </w:rPr>
        <w:t xml:space="preserve"> </w:t>
      </w:r>
      <w:r w:rsidRPr="00CA2CC1">
        <w:rPr>
          <w:rFonts w:cs="Calibri"/>
          <w:color w:val="414042"/>
          <w:szCs w:val="22"/>
        </w:rPr>
        <w:t>alternative</w:t>
      </w:r>
      <w:r w:rsidRPr="00CA2CC1">
        <w:rPr>
          <w:rFonts w:cs="Calibri"/>
          <w:color w:val="414042"/>
          <w:spacing w:val="-5"/>
          <w:szCs w:val="22"/>
        </w:rPr>
        <w:t xml:space="preserve"> </w:t>
      </w:r>
      <w:r w:rsidRPr="00CA2CC1">
        <w:rPr>
          <w:rFonts w:cs="Calibri"/>
          <w:color w:val="414042"/>
          <w:szCs w:val="22"/>
        </w:rPr>
        <w:t>home</w:t>
      </w:r>
      <w:r w:rsidRPr="00CA2CC1">
        <w:rPr>
          <w:rFonts w:cs="Calibri"/>
          <w:color w:val="414042"/>
          <w:spacing w:val="-5"/>
          <w:szCs w:val="22"/>
        </w:rPr>
        <w:t xml:space="preserve"> </w:t>
      </w:r>
      <w:r w:rsidRPr="00CA2CC1">
        <w:rPr>
          <w:rFonts w:cs="Calibri"/>
          <w:color w:val="414042"/>
          <w:szCs w:val="22"/>
        </w:rPr>
        <w:t>types</w:t>
      </w:r>
      <w:r w:rsidRPr="00CA2CC1">
        <w:rPr>
          <w:rFonts w:cs="Calibri"/>
          <w:color w:val="414042"/>
          <w:spacing w:val="-5"/>
          <w:szCs w:val="22"/>
        </w:rPr>
        <w:t xml:space="preserve"> </w:t>
      </w:r>
      <w:r w:rsidRPr="00CA2CC1">
        <w:rPr>
          <w:rFonts w:cs="Calibri"/>
          <w:color w:val="414042"/>
          <w:szCs w:val="22"/>
        </w:rPr>
        <w:t>that</w:t>
      </w:r>
      <w:r w:rsidRPr="00CA2CC1">
        <w:rPr>
          <w:rFonts w:cs="Calibri"/>
          <w:color w:val="414042"/>
          <w:spacing w:val="-5"/>
          <w:szCs w:val="22"/>
        </w:rPr>
        <w:t xml:space="preserve"> </w:t>
      </w:r>
      <w:r w:rsidRPr="00CA2CC1">
        <w:rPr>
          <w:rFonts w:cs="Calibri"/>
          <w:color w:val="414042"/>
          <w:szCs w:val="22"/>
        </w:rPr>
        <w:t>could</w:t>
      </w:r>
      <w:r w:rsidRPr="00CA2CC1">
        <w:rPr>
          <w:rFonts w:cs="Calibri"/>
          <w:color w:val="414042"/>
          <w:spacing w:val="-5"/>
          <w:szCs w:val="22"/>
        </w:rPr>
        <w:t xml:space="preserve"> </w:t>
      </w:r>
      <w:r w:rsidRPr="00CA2CC1">
        <w:rPr>
          <w:rFonts w:cs="Calibri"/>
          <w:color w:val="414042"/>
          <w:szCs w:val="22"/>
        </w:rPr>
        <w:t>substitute for houses in new suburbs at similar market prices.</w:t>
      </w:r>
    </w:p>
    <w:p w14:paraId="75202E0C" w14:textId="3E650CA8" w:rsidR="003F3150" w:rsidRPr="00CA2CC1" w:rsidRDefault="00000000" w:rsidP="00FA2CF0">
      <w:pPr>
        <w:spacing w:before="113"/>
        <w:rPr>
          <w:rFonts w:cs="Calibri"/>
        </w:rPr>
      </w:pPr>
      <w:r w:rsidRPr="00CA2CC1">
        <w:rPr>
          <w:rFonts w:cs="Calibri"/>
          <w:color w:val="414042"/>
        </w:rPr>
        <w:t>Our</w:t>
      </w:r>
      <w:r w:rsidRPr="00CA2CC1">
        <w:rPr>
          <w:rFonts w:cs="Calibri"/>
          <w:color w:val="414042"/>
          <w:spacing w:val="-4"/>
        </w:rPr>
        <w:t xml:space="preserve"> </w:t>
      </w:r>
      <w:r w:rsidRPr="00CA2CC1">
        <w:rPr>
          <w:rFonts w:cs="Calibri"/>
          <w:color w:val="414042"/>
        </w:rPr>
        <w:t>report,</w:t>
      </w:r>
      <w:r w:rsidRPr="00CA2CC1">
        <w:rPr>
          <w:rFonts w:cs="Calibri"/>
          <w:color w:val="414042"/>
          <w:spacing w:val="-5"/>
        </w:rPr>
        <w:t xml:space="preserve"> </w:t>
      </w:r>
      <w:r w:rsidRPr="00CA2CC1">
        <w:rPr>
          <w:rFonts w:cs="Calibri"/>
          <w:i/>
          <w:color w:val="414042"/>
        </w:rPr>
        <w:t>Measuring</w:t>
      </w:r>
      <w:r w:rsidRPr="00CA2CC1">
        <w:rPr>
          <w:rFonts w:cs="Calibri"/>
          <w:i/>
          <w:color w:val="414042"/>
          <w:spacing w:val="-4"/>
        </w:rPr>
        <w:t xml:space="preserve"> </w:t>
      </w:r>
      <w:r w:rsidRPr="00CA2CC1">
        <w:rPr>
          <w:rFonts w:cs="Calibri"/>
          <w:i/>
          <w:color w:val="414042"/>
        </w:rPr>
        <w:t>price</w:t>
      </w:r>
      <w:r w:rsidRPr="00CA2CC1">
        <w:rPr>
          <w:rFonts w:cs="Calibri"/>
          <w:i/>
          <w:color w:val="414042"/>
          <w:spacing w:val="-4"/>
        </w:rPr>
        <w:t xml:space="preserve"> </w:t>
      </w:r>
      <w:r w:rsidRPr="00CA2CC1">
        <w:rPr>
          <w:rFonts w:cs="Calibri"/>
          <w:i/>
          <w:color w:val="414042"/>
        </w:rPr>
        <w:t>differences:</w:t>
      </w:r>
      <w:r w:rsidRPr="00CA2CC1">
        <w:rPr>
          <w:rFonts w:cs="Calibri"/>
          <w:i/>
          <w:color w:val="414042"/>
          <w:spacing w:val="-4"/>
        </w:rPr>
        <w:t xml:space="preserve"> </w:t>
      </w:r>
      <w:r w:rsidRPr="00CA2CC1">
        <w:rPr>
          <w:rFonts w:cs="Calibri"/>
          <w:i/>
          <w:color w:val="414042"/>
        </w:rPr>
        <w:t>how</w:t>
      </w:r>
      <w:r w:rsidRPr="00CA2CC1">
        <w:rPr>
          <w:rFonts w:cs="Calibri"/>
          <w:i/>
          <w:color w:val="414042"/>
          <w:spacing w:val="-4"/>
        </w:rPr>
        <w:t xml:space="preserve"> </w:t>
      </w:r>
      <w:r w:rsidRPr="00CA2CC1">
        <w:rPr>
          <w:rFonts w:cs="Calibri"/>
          <w:i/>
          <w:color w:val="414042"/>
        </w:rPr>
        <w:t>features,</w:t>
      </w:r>
      <w:r w:rsidRPr="00CA2CC1">
        <w:rPr>
          <w:rFonts w:cs="Calibri"/>
          <w:i/>
          <w:color w:val="414042"/>
          <w:spacing w:val="-4"/>
        </w:rPr>
        <w:t xml:space="preserve"> </w:t>
      </w:r>
      <w:r w:rsidRPr="00CA2CC1">
        <w:rPr>
          <w:rFonts w:cs="Calibri"/>
          <w:i/>
          <w:color w:val="414042"/>
        </w:rPr>
        <w:t>location and</w:t>
      </w:r>
      <w:r w:rsidRPr="00CA2CC1">
        <w:rPr>
          <w:rFonts w:cs="Calibri"/>
          <w:i/>
          <w:color w:val="414042"/>
          <w:spacing w:val="-2"/>
        </w:rPr>
        <w:t xml:space="preserve"> </w:t>
      </w:r>
      <w:r w:rsidRPr="00CA2CC1">
        <w:rPr>
          <w:rFonts w:cs="Calibri"/>
          <w:i/>
          <w:color w:val="414042"/>
        </w:rPr>
        <w:t>infrastructure</w:t>
      </w:r>
      <w:r w:rsidRPr="00CA2CC1">
        <w:rPr>
          <w:rFonts w:cs="Calibri"/>
          <w:i/>
          <w:color w:val="414042"/>
          <w:spacing w:val="-2"/>
        </w:rPr>
        <w:t xml:space="preserve"> </w:t>
      </w:r>
      <w:r w:rsidRPr="00CA2CC1">
        <w:rPr>
          <w:rFonts w:cs="Calibri"/>
          <w:i/>
          <w:color w:val="414042"/>
        </w:rPr>
        <w:t>affect</w:t>
      </w:r>
      <w:r w:rsidRPr="00CA2CC1">
        <w:rPr>
          <w:rFonts w:cs="Calibri"/>
          <w:i/>
          <w:color w:val="414042"/>
          <w:spacing w:val="-2"/>
        </w:rPr>
        <w:t xml:space="preserve"> </w:t>
      </w:r>
      <w:r w:rsidRPr="00CA2CC1">
        <w:rPr>
          <w:rFonts w:cs="Calibri"/>
          <w:i/>
          <w:color w:val="414042"/>
        </w:rPr>
        <w:t>Melbourne’s</w:t>
      </w:r>
      <w:r w:rsidRPr="00CA2CC1">
        <w:rPr>
          <w:rFonts w:cs="Calibri"/>
          <w:i/>
          <w:color w:val="414042"/>
          <w:spacing w:val="-2"/>
        </w:rPr>
        <w:t xml:space="preserve"> </w:t>
      </w:r>
      <w:r w:rsidRPr="00CA2CC1">
        <w:rPr>
          <w:rFonts w:cs="Calibri"/>
          <w:i/>
          <w:color w:val="414042"/>
        </w:rPr>
        <w:t>home</w:t>
      </w:r>
      <w:r w:rsidRPr="00CA2CC1">
        <w:rPr>
          <w:rFonts w:cs="Calibri"/>
          <w:i/>
          <w:color w:val="414042"/>
          <w:spacing w:val="-2"/>
        </w:rPr>
        <w:t xml:space="preserve"> </w:t>
      </w:r>
      <w:r w:rsidRPr="00CA2CC1">
        <w:rPr>
          <w:rFonts w:cs="Calibri"/>
          <w:i/>
          <w:color w:val="414042"/>
        </w:rPr>
        <w:t>prices,</w:t>
      </w:r>
      <w:r w:rsidRPr="00CA2CC1">
        <w:rPr>
          <w:rFonts w:cs="Calibri"/>
          <w:i/>
          <w:color w:val="414042"/>
          <w:spacing w:val="-2"/>
        </w:rPr>
        <w:t xml:space="preserve"> </w:t>
      </w:r>
      <w:r w:rsidRPr="00CA2CC1">
        <w:rPr>
          <w:rFonts w:cs="Calibri"/>
          <w:color w:val="414042"/>
        </w:rPr>
        <w:t>fills</w:t>
      </w:r>
      <w:r w:rsidRPr="00CA2CC1">
        <w:rPr>
          <w:rFonts w:cs="Calibri"/>
          <w:color w:val="414042"/>
          <w:spacing w:val="-2"/>
        </w:rPr>
        <w:t xml:space="preserve"> </w:t>
      </w:r>
      <w:r w:rsidRPr="00CA2CC1">
        <w:rPr>
          <w:rFonts w:cs="Calibri"/>
          <w:color w:val="414042"/>
        </w:rPr>
        <w:t>existing research</w:t>
      </w:r>
      <w:r w:rsidRPr="00CA2CC1">
        <w:rPr>
          <w:rFonts w:cs="Calibri"/>
          <w:color w:val="414042"/>
          <w:spacing w:val="-5"/>
        </w:rPr>
        <w:t xml:space="preserve"> </w:t>
      </w:r>
      <w:r w:rsidRPr="00CA2CC1">
        <w:rPr>
          <w:rFonts w:cs="Calibri"/>
          <w:color w:val="414042"/>
        </w:rPr>
        <w:t>gaps</w:t>
      </w:r>
      <w:r w:rsidRPr="00CA2CC1">
        <w:rPr>
          <w:rFonts w:cs="Calibri"/>
          <w:color w:val="414042"/>
          <w:spacing w:val="-5"/>
        </w:rPr>
        <w:t xml:space="preserve"> </w:t>
      </w:r>
      <w:r w:rsidRPr="00CA2CC1">
        <w:rPr>
          <w:rFonts w:cs="Calibri"/>
          <w:color w:val="414042"/>
        </w:rPr>
        <w:t>about</w:t>
      </w:r>
      <w:r w:rsidRPr="00CA2CC1">
        <w:rPr>
          <w:rFonts w:cs="Calibri"/>
          <w:color w:val="414042"/>
          <w:spacing w:val="-5"/>
        </w:rPr>
        <w:t xml:space="preserve"> </w:t>
      </w:r>
      <w:r w:rsidRPr="00CA2CC1">
        <w:rPr>
          <w:rFonts w:cs="Calibri"/>
          <w:color w:val="414042"/>
        </w:rPr>
        <w:t>the</w:t>
      </w:r>
      <w:r w:rsidRPr="00CA2CC1">
        <w:rPr>
          <w:rFonts w:cs="Calibri"/>
          <w:color w:val="414042"/>
          <w:spacing w:val="-5"/>
        </w:rPr>
        <w:t xml:space="preserve"> </w:t>
      </w:r>
      <w:r w:rsidRPr="00CA2CC1">
        <w:rPr>
          <w:rFonts w:cs="Calibri"/>
          <w:color w:val="414042"/>
        </w:rPr>
        <w:t>home</w:t>
      </w:r>
      <w:r w:rsidRPr="00CA2CC1">
        <w:rPr>
          <w:rFonts w:cs="Calibri"/>
          <w:color w:val="414042"/>
          <w:spacing w:val="-5"/>
        </w:rPr>
        <w:t xml:space="preserve"> </w:t>
      </w:r>
      <w:r w:rsidRPr="00CA2CC1">
        <w:rPr>
          <w:rFonts w:cs="Calibri"/>
          <w:color w:val="414042"/>
        </w:rPr>
        <w:t>types</w:t>
      </w:r>
      <w:r w:rsidRPr="00CA2CC1">
        <w:rPr>
          <w:rFonts w:cs="Calibri"/>
          <w:color w:val="414042"/>
          <w:spacing w:val="-5"/>
        </w:rPr>
        <w:t xml:space="preserve"> </w:t>
      </w:r>
      <w:r w:rsidRPr="00CA2CC1">
        <w:rPr>
          <w:rFonts w:cs="Calibri"/>
          <w:color w:val="414042"/>
        </w:rPr>
        <w:t>and</w:t>
      </w:r>
      <w:r w:rsidRPr="00CA2CC1">
        <w:rPr>
          <w:rFonts w:cs="Calibri"/>
          <w:color w:val="414042"/>
          <w:spacing w:val="-5"/>
        </w:rPr>
        <w:t xml:space="preserve"> </w:t>
      </w:r>
      <w:r w:rsidRPr="00CA2CC1">
        <w:rPr>
          <w:rFonts w:cs="Calibri"/>
          <w:color w:val="414042"/>
        </w:rPr>
        <w:t>spatial</w:t>
      </w:r>
      <w:r w:rsidRPr="00CA2CC1">
        <w:rPr>
          <w:rFonts w:cs="Calibri"/>
          <w:color w:val="414042"/>
          <w:spacing w:val="-5"/>
        </w:rPr>
        <w:t xml:space="preserve"> </w:t>
      </w:r>
      <w:r w:rsidRPr="00CA2CC1">
        <w:rPr>
          <w:rFonts w:cs="Calibri"/>
          <w:color w:val="414042"/>
        </w:rPr>
        <w:t>areas</w:t>
      </w:r>
      <w:r w:rsidRPr="00CA2CC1">
        <w:rPr>
          <w:rFonts w:cs="Calibri"/>
          <w:color w:val="414042"/>
          <w:spacing w:val="-5"/>
        </w:rPr>
        <w:t xml:space="preserve"> </w:t>
      </w:r>
      <w:r w:rsidRPr="00CA2CC1">
        <w:rPr>
          <w:rFonts w:cs="Calibri"/>
          <w:color w:val="414042"/>
        </w:rPr>
        <w:t>that</w:t>
      </w:r>
      <w:r w:rsidRPr="00CA2CC1">
        <w:rPr>
          <w:rFonts w:cs="Calibri"/>
          <w:color w:val="414042"/>
          <w:spacing w:val="-5"/>
        </w:rPr>
        <w:t xml:space="preserve"> </w:t>
      </w:r>
      <w:r w:rsidRPr="00CA2CC1">
        <w:rPr>
          <w:rFonts w:cs="Calibri"/>
          <w:color w:val="414042"/>
        </w:rPr>
        <w:t>are affordable for moderate income households in Melbourne. It also evaluates the economic value of proximity to many types of infrastructure.</w:t>
      </w:r>
    </w:p>
    <w:p w14:paraId="4B6BC4F4" w14:textId="77777777" w:rsidR="003F3150" w:rsidRPr="00CA2CC1" w:rsidRDefault="003F3150" w:rsidP="0043303B">
      <w:pPr>
        <w:pStyle w:val="BodyText"/>
        <w:rPr>
          <w:rFonts w:cs="Calibri"/>
        </w:rPr>
      </w:pPr>
      <w:bookmarkStart w:id="23" w:name="Get_on_board:_making_the__most_of_Melbou"/>
      <w:bookmarkStart w:id="24" w:name="Next_stop:_community_insights__into_Melb"/>
      <w:bookmarkStart w:id="25" w:name="_bookmark11"/>
      <w:bookmarkEnd w:id="23"/>
      <w:bookmarkEnd w:id="24"/>
      <w:bookmarkEnd w:id="25"/>
    </w:p>
    <w:p w14:paraId="53D707BE" w14:textId="48BE666A" w:rsidR="00FA4226" w:rsidRPr="00CA2CC1" w:rsidRDefault="00000000" w:rsidP="00CA2CC1">
      <w:pPr>
        <w:pStyle w:val="Heading3"/>
        <w:rPr>
          <w:u w:val="single"/>
        </w:rPr>
      </w:pPr>
      <w:hyperlink r:id="rId15">
        <w:r w:rsidRPr="00CA2CC1">
          <w:rPr>
            <w:u w:val="single"/>
          </w:rPr>
          <w:t xml:space="preserve">Get on board: making the </w:t>
        </w:r>
      </w:hyperlink>
      <w:hyperlink r:id="rId16">
        <w:r w:rsidRPr="00CA2CC1">
          <w:rPr>
            <w:u w:val="single"/>
          </w:rPr>
          <w:t>most of Melbourne’s buses</w:t>
        </w:r>
      </w:hyperlink>
    </w:p>
    <w:p w14:paraId="7B50E4FA" w14:textId="77777777" w:rsidR="00FA4226" w:rsidRPr="00CA2CC1" w:rsidRDefault="00000000" w:rsidP="0043303B">
      <w:pPr>
        <w:pStyle w:val="BodyText"/>
        <w:rPr>
          <w:rFonts w:cs="Calibri"/>
        </w:rPr>
      </w:pPr>
      <w:r w:rsidRPr="00CA2CC1">
        <w:rPr>
          <w:rFonts w:cs="Calibri"/>
        </w:rPr>
        <w:t>This research suggests that with the right route design, cheaper</w:t>
      </w:r>
      <w:r w:rsidRPr="00CA2CC1">
        <w:rPr>
          <w:rFonts w:cs="Calibri"/>
          <w:spacing w:val="-7"/>
        </w:rPr>
        <w:t xml:space="preserve"> </w:t>
      </w:r>
      <w:r w:rsidRPr="00CA2CC1">
        <w:rPr>
          <w:rFonts w:cs="Calibri"/>
        </w:rPr>
        <w:t>fares</w:t>
      </w:r>
      <w:r w:rsidRPr="00CA2CC1">
        <w:rPr>
          <w:rFonts w:cs="Calibri"/>
          <w:spacing w:val="-7"/>
        </w:rPr>
        <w:t xml:space="preserve"> </w:t>
      </w:r>
      <w:r w:rsidRPr="00CA2CC1">
        <w:rPr>
          <w:rFonts w:cs="Calibri"/>
        </w:rPr>
        <w:t>and</w:t>
      </w:r>
      <w:r w:rsidRPr="00CA2CC1">
        <w:rPr>
          <w:rFonts w:cs="Calibri"/>
          <w:spacing w:val="-7"/>
        </w:rPr>
        <w:t xml:space="preserve"> </w:t>
      </w:r>
      <w:r w:rsidRPr="00CA2CC1">
        <w:rPr>
          <w:rFonts w:cs="Calibri"/>
        </w:rPr>
        <w:t>more</w:t>
      </w:r>
      <w:r w:rsidRPr="00CA2CC1">
        <w:rPr>
          <w:rFonts w:cs="Calibri"/>
          <w:spacing w:val="-7"/>
        </w:rPr>
        <w:t xml:space="preserve"> </w:t>
      </w:r>
      <w:r w:rsidRPr="00CA2CC1">
        <w:rPr>
          <w:rFonts w:cs="Calibri"/>
        </w:rPr>
        <w:t>frequent</w:t>
      </w:r>
      <w:r w:rsidRPr="00CA2CC1">
        <w:rPr>
          <w:rFonts w:cs="Calibri"/>
          <w:spacing w:val="-7"/>
        </w:rPr>
        <w:t xml:space="preserve"> </w:t>
      </w:r>
      <w:r w:rsidRPr="00CA2CC1">
        <w:rPr>
          <w:rFonts w:cs="Calibri"/>
        </w:rPr>
        <w:t>services,</w:t>
      </w:r>
      <w:r w:rsidRPr="00CA2CC1">
        <w:rPr>
          <w:rFonts w:cs="Calibri"/>
          <w:spacing w:val="-7"/>
        </w:rPr>
        <w:t xml:space="preserve"> </w:t>
      </w:r>
      <w:r w:rsidRPr="00CA2CC1">
        <w:rPr>
          <w:rFonts w:cs="Calibri"/>
        </w:rPr>
        <w:t>much</w:t>
      </w:r>
      <w:r w:rsidRPr="00CA2CC1">
        <w:rPr>
          <w:rFonts w:cs="Calibri"/>
          <w:spacing w:val="-7"/>
        </w:rPr>
        <w:t xml:space="preserve"> </w:t>
      </w:r>
      <w:r w:rsidRPr="00CA2CC1">
        <w:rPr>
          <w:rFonts w:cs="Calibri"/>
        </w:rPr>
        <w:t>more</w:t>
      </w:r>
      <w:r w:rsidRPr="00CA2CC1">
        <w:rPr>
          <w:rFonts w:cs="Calibri"/>
          <w:spacing w:val="-7"/>
        </w:rPr>
        <w:t xml:space="preserve"> </w:t>
      </w:r>
      <w:r w:rsidRPr="00CA2CC1">
        <w:rPr>
          <w:rFonts w:cs="Calibri"/>
        </w:rPr>
        <w:t>could be made of Melbourne’s extensive bus network.</w:t>
      </w:r>
    </w:p>
    <w:p w14:paraId="696D4CAB" w14:textId="77777777" w:rsidR="00FA4226" w:rsidRPr="00CA2CC1" w:rsidRDefault="00000000" w:rsidP="0043303B">
      <w:pPr>
        <w:pStyle w:val="BodyText"/>
        <w:rPr>
          <w:rFonts w:cs="Calibri"/>
        </w:rPr>
      </w:pPr>
      <w:r w:rsidRPr="00CA2CC1">
        <w:rPr>
          <w:rFonts w:cs="Calibri"/>
        </w:rPr>
        <w:t>Our</w:t>
      </w:r>
      <w:r w:rsidRPr="00CA2CC1">
        <w:rPr>
          <w:rFonts w:cs="Calibri"/>
          <w:spacing w:val="-4"/>
        </w:rPr>
        <w:t xml:space="preserve"> </w:t>
      </w:r>
      <w:r w:rsidRPr="00CA2CC1">
        <w:rPr>
          <w:rFonts w:cs="Calibri"/>
        </w:rPr>
        <w:t>discussion</w:t>
      </w:r>
      <w:r w:rsidRPr="00CA2CC1">
        <w:rPr>
          <w:rFonts w:cs="Calibri"/>
          <w:spacing w:val="-4"/>
        </w:rPr>
        <w:t xml:space="preserve"> </w:t>
      </w:r>
      <w:r w:rsidRPr="00CA2CC1">
        <w:rPr>
          <w:rFonts w:cs="Calibri"/>
        </w:rPr>
        <w:t>paper,</w:t>
      </w:r>
      <w:r w:rsidRPr="00CA2CC1">
        <w:rPr>
          <w:rFonts w:cs="Calibri"/>
          <w:spacing w:val="-4"/>
        </w:rPr>
        <w:t xml:space="preserve"> </w:t>
      </w:r>
      <w:r w:rsidRPr="00CA2CC1">
        <w:rPr>
          <w:rFonts w:cs="Calibri"/>
          <w:i/>
        </w:rPr>
        <w:t>Get</w:t>
      </w:r>
      <w:r w:rsidRPr="00CA2CC1">
        <w:rPr>
          <w:rFonts w:cs="Calibri"/>
          <w:i/>
          <w:spacing w:val="-4"/>
        </w:rPr>
        <w:t xml:space="preserve"> </w:t>
      </w:r>
      <w:r w:rsidRPr="00CA2CC1">
        <w:rPr>
          <w:rFonts w:cs="Calibri"/>
          <w:i/>
        </w:rPr>
        <w:t>on</w:t>
      </w:r>
      <w:r w:rsidRPr="00CA2CC1">
        <w:rPr>
          <w:rFonts w:cs="Calibri"/>
          <w:i/>
          <w:spacing w:val="-4"/>
        </w:rPr>
        <w:t xml:space="preserve"> </w:t>
      </w:r>
      <w:r w:rsidRPr="00CA2CC1">
        <w:rPr>
          <w:rFonts w:cs="Calibri"/>
          <w:i/>
        </w:rPr>
        <w:t>board:</w:t>
      </w:r>
      <w:r w:rsidRPr="00CA2CC1">
        <w:rPr>
          <w:rFonts w:cs="Calibri"/>
          <w:i/>
          <w:spacing w:val="-4"/>
        </w:rPr>
        <w:t xml:space="preserve"> </w:t>
      </w:r>
      <w:r w:rsidRPr="00CA2CC1">
        <w:rPr>
          <w:rFonts w:cs="Calibri"/>
          <w:i/>
        </w:rPr>
        <w:t>making</w:t>
      </w:r>
      <w:r w:rsidRPr="00CA2CC1">
        <w:rPr>
          <w:rFonts w:cs="Calibri"/>
          <w:i/>
          <w:spacing w:val="-4"/>
        </w:rPr>
        <w:t xml:space="preserve"> </w:t>
      </w:r>
      <w:r w:rsidRPr="00CA2CC1">
        <w:rPr>
          <w:rFonts w:cs="Calibri"/>
          <w:i/>
        </w:rPr>
        <w:t>the</w:t>
      </w:r>
      <w:r w:rsidRPr="00CA2CC1">
        <w:rPr>
          <w:rFonts w:cs="Calibri"/>
          <w:i/>
          <w:spacing w:val="-4"/>
        </w:rPr>
        <w:t xml:space="preserve"> </w:t>
      </w:r>
      <w:r w:rsidRPr="00CA2CC1">
        <w:rPr>
          <w:rFonts w:cs="Calibri"/>
          <w:i/>
        </w:rPr>
        <w:t>most</w:t>
      </w:r>
      <w:r w:rsidRPr="00CA2CC1">
        <w:rPr>
          <w:rFonts w:cs="Calibri"/>
          <w:i/>
          <w:spacing w:val="-4"/>
        </w:rPr>
        <w:t xml:space="preserve"> </w:t>
      </w:r>
      <w:r w:rsidRPr="00CA2CC1">
        <w:rPr>
          <w:rFonts w:cs="Calibri"/>
          <w:i/>
        </w:rPr>
        <w:t>of Melbourne’s</w:t>
      </w:r>
      <w:r w:rsidRPr="00CA2CC1">
        <w:rPr>
          <w:rFonts w:cs="Calibri"/>
          <w:i/>
          <w:spacing w:val="-6"/>
        </w:rPr>
        <w:t xml:space="preserve"> </w:t>
      </w:r>
      <w:r w:rsidRPr="00CA2CC1">
        <w:rPr>
          <w:rFonts w:cs="Calibri"/>
          <w:i/>
        </w:rPr>
        <w:t>buses,</w:t>
      </w:r>
      <w:r w:rsidRPr="00CA2CC1">
        <w:rPr>
          <w:rFonts w:cs="Calibri"/>
          <w:i/>
          <w:spacing w:val="-6"/>
        </w:rPr>
        <w:t xml:space="preserve"> </w:t>
      </w:r>
      <w:r w:rsidRPr="00CA2CC1">
        <w:rPr>
          <w:rFonts w:cs="Calibri"/>
        </w:rPr>
        <w:t>looks</w:t>
      </w:r>
      <w:r w:rsidRPr="00CA2CC1">
        <w:rPr>
          <w:rFonts w:cs="Calibri"/>
          <w:spacing w:val="-6"/>
        </w:rPr>
        <w:t xml:space="preserve"> </w:t>
      </w:r>
      <w:r w:rsidRPr="00CA2CC1">
        <w:rPr>
          <w:rFonts w:cs="Calibri"/>
        </w:rPr>
        <w:t>at</w:t>
      </w:r>
      <w:r w:rsidRPr="00CA2CC1">
        <w:rPr>
          <w:rFonts w:cs="Calibri"/>
          <w:spacing w:val="-6"/>
        </w:rPr>
        <w:t xml:space="preserve"> </w:t>
      </w:r>
      <w:r w:rsidRPr="00CA2CC1">
        <w:rPr>
          <w:rFonts w:cs="Calibri"/>
        </w:rPr>
        <w:t>issues</w:t>
      </w:r>
      <w:r w:rsidRPr="00CA2CC1">
        <w:rPr>
          <w:rFonts w:cs="Calibri"/>
          <w:spacing w:val="-6"/>
        </w:rPr>
        <w:t xml:space="preserve"> </w:t>
      </w:r>
      <w:r w:rsidRPr="00CA2CC1">
        <w:rPr>
          <w:rFonts w:cs="Calibri"/>
        </w:rPr>
        <w:t>and</w:t>
      </w:r>
      <w:r w:rsidRPr="00CA2CC1">
        <w:rPr>
          <w:rFonts w:cs="Calibri"/>
          <w:spacing w:val="-6"/>
        </w:rPr>
        <w:t xml:space="preserve"> </w:t>
      </w:r>
      <w:r w:rsidRPr="00CA2CC1">
        <w:rPr>
          <w:rFonts w:cs="Calibri"/>
        </w:rPr>
        <w:t>opportunities</w:t>
      </w:r>
      <w:r w:rsidRPr="00CA2CC1">
        <w:rPr>
          <w:rFonts w:cs="Calibri"/>
          <w:spacing w:val="-6"/>
        </w:rPr>
        <w:t xml:space="preserve"> </w:t>
      </w:r>
      <w:r w:rsidRPr="00CA2CC1">
        <w:rPr>
          <w:rFonts w:cs="Calibri"/>
        </w:rPr>
        <w:t>for further</w:t>
      </w:r>
      <w:r w:rsidRPr="00CA2CC1">
        <w:rPr>
          <w:rFonts w:cs="Calibri"/>
          <w:spacing w:val="-6"/>
        </w:rPr>
        <w:t xml:space="preserve"> </w:t>
      </w:r>
      <w:r w:rsidRPr="00CA2CC1">
        <w:rPr>
          <w:rFonts w:cs="Calibri"/>
        </w:rPr>
        <w:t>bus</w:t>
      </w:r>
      <w:r w:rsidRPr="00CA2CC1">
        <w:rPr>
          <w:rFonts w:cs="Calibri"/>
          <w:spacing w:val="-6"/>
        </w:rPr>
        <w:t xml:space="preserve"> </w:t>
      </w:r>
      <w:r w:rsidRPr="00CA2CC1">
        <w:rPr>
          <w:rFonts w:cs="Calibri"/>
        </w:rPr>
        <w:t>reform.</w:t>
      </w:r>
      <w:r w:rsidRPr="00CA2CC1">
        <w:rPr>
          <w:rFonts w:cs="Calibri"/>
          <w:spacing w:val="-6"/>
        </w:rPr>
        <w:t xml:space="preserve"> </w:t>
      </w:r>
      <w:r w:rsidRPr="00CA2CC1">
        <w:rPr>
          <w:rFonts w:cs="Calibri"/>
        </w:rPr>
        <w:t>The</w:t>
      </w:r>
      <w:r w:rsidRPr="00CA2CC1">
        <w:rPr>
          <w:rFonts w:cs="Calibri"/>
          <w:spacing w:val="-6"/>
        </w:rPr>
        <w:t xml:space="preserve"> </w:t>
      </w:r>
      <w:r w:rsidRPr="00CA2CC1">
        <w:rPr>
          <w:rFonts w:cs="Calibri"/>
        </w:rPr>
        <w:t>paper</w:t>
      </w:r>
      <w:r w:rsidRPr="00CA2CC1">
        <w:rPr>
          <w:rFonts w:cs="Calibri"/>
          <w:spacing w:val="-6"/>
        </w:rPr>
        <w:t xml:space="preserve"> </w:t>
      </w:r>
      <w:r w:rsidRPr="00CA2CC1">
        <w:rPr>
          <w:rFonts w:cs="Calibri"/>
        </w:rPr>
        <w:t>was</w:t>
      </w:r>
      <w:r w:rsidRPr="00CA2CC1">
        <w:rPr>
          <w:rFonts w:cs="Calibri"/>
          <w:spacing w:val="-6"/>
        </w:rPr>
        <w:t xml:space="preserve"> </w:t>
      </w:r>
      <w:r w:rsidRPr="00CA2CC1">
        <w:rPr>
          <w:rFonts w:cs="Calibri"/>
        </w:rPr>
        <w:t>released</w:t>
      </w:r>
      <w:r w:rsidRPr="00CA2CC1">
        <w:rPr>
          <w:rFonts w:cs="Calibri"/>
          <w:spacing w:val="-6"/>
        </w:rPr>
        <w:t xml:space="preserve"> </w:t>
      </w:r>
      <w:r w:rsidRPr="00CA2CC1">
        <w:rPr>
          <w:rFonts w:cs="Calibri"/>
        </w:rPr>
        <w:t>in</w:t>
      </w:r>
      <w:r w:rsidRPr="00CA2CC1">
        <w:rPr>
          <w:rFonts w:cs="Calibri"/>
          <w:spacing w:val="-6"/>
        </w:rPr>
        <w:t xml:space="preserve"> </w:t>
      </w:r>
      <w:r w:rsidRPr="00CA2CC1">
        <w:rPr>
          <w:rFonts w:cs="Calibri"/>
        </w:rPr>
        <w:t>December 2022 and finds:</w:t>
      </w:r>
    </w:p>
    <w:p w14:paraId="21233415" w14:textId="77777777" w:rsidR="00FA4226" w:rsidRPr="00CA2CC1" w:rsidRDefault="00000000" w:rsidP="0043303B">
      <w:pPr>
        <w:pStyle w:val="BodyText"/>
        <w:numPr>
          <w:ilvl w:val="0"/>
          <w:numId w:val="34"/>
        </w:numPr>
        <w:rPr>
          <w:rFonts w:cs="Calibri"/>
        </w:rPr>
      </w:pPr>
      <w:r w:rsidRPr="00CA2CC1">
        <w:rPr>
          <w:rFonts w:cs="Calibri"/>
        </w:rPr>
        <w:t>Buses are rarely a competitive alternative to cars and other transport. Low frequencies, limited operating hours,</w:t>
      </w:r>
      <w:r w:rsidRPr="00CA2CC1">
        <w:rPr>
          <w:rFonts w:cs="Calibri"/>
          <w:spacing w:val="-5"/>
        </w:rPr>
        <w:t xml:space="preserve"> </w:t>
      </w:r>
      <w:r w:rsidRPr="00CA2CC1">
        <w:rPr>
          <w:rFonts w:cs="Calibri"/>
        </w:rPr>
        <w:t>and</w:t>
      </w:r>
      <w:r w:rsidRPr="00CA2CC1">
        <w:rPr>
          <w:rFonts w:cs="Calibri"/>
          <w:spacing w:val="-5"/>
        </w:rPr>
        <w:t xml:space="preserve"> </w:t>
      </w:r>
      <w:r w:rsidRPr="00CA2CC1">
        <w:rPr>
          <w:rFonts w:cs="Calibri"/>
        </w:rPr>
        <w:t>slow</w:t>
      </w:r>
      <w:r w:rsidRPr="00CA2CC1">
        <w:rPr>
          <w:rFonts w:cs="Calibri"/>
          <w:spacing w:val="-5"/>
        </w:rPr>
        <w:t xml:space="preserve"> </w:t>
      </w:r>
      <w:r w:rsidRPr="00CA2CC1">
        <w:rPr>
          <w:rFonts w:cs="Calibri"/>
        </w:rPr>
        <w:t>and</w:t>
      </w:r>
      <w:r w:rsidRPr="00CA2CC1">
        <w:rPr>
          <w:rFonts w:cs="Calibri"/>
          <w:spacing w:val="-5"/>
        </w:rPr>
        <w:t xml:space="preserve"> </w:t>
      </w:r>
      <w:r w:rsidRPr="00CA2CC1">
        <w:rPr>
          <w:rFonts w:cs="Calibri"/>
        </w:rPr>
        <w:t>complex</w:t>
      </w:r>
      <w:r w:rsidRPr="00CA2CC1">
        <w:rPr>
          <w:rFonts w:cs="Calibri"/>
          <w:spacing w:val="-5"/>
        </w:rPr>
        <w:t xml:space="preserve"> </w:t>
      </w:r>
      <w:r w:rsidRPr="00CA2CC1">
        <w:rPr>
          <w:rFonts w:cs="Calibri"/>
        </w:rPr>
        <w:t>routes</w:t>
      </w:r>
      <w:r w:rsidRPr="00CA2CC1">
        <w:rPr>
          <w:rFonts w:cs="Calibri"/>
          <w:spacing w:val="-5"/>
        </w:rPr>
        <w:t xml:space="preserve"> </w:t>
      </w:r>
      <w:r w:rsidRPr="00CA2CC1">
        <w:rPr>
          <w:rFonts w:cs="Calibri"/>
        </w:rPr>
        <w:t>make</w:t>
      </w:r>
      <w:r w:rsidRPr="00CA2CC1">
        <w:rPr>
          <w:rFonts w:cs="Calibri"/>
          <w:spacing w:val="-5"/>
        </w:rPr>
        <w:t xml:space="preserve"> </w:t>
      </w:r>
      <w:r w:rsidRPr="00CA2CC1">
        <w:rPr>
          <w:rFonts w:cs="Calibri"/>
        </w:rPr>
        <w:t>buses</w:t>
      </w:r>
      <w:r w:rsidRPr="00CA2CC1">
        <w:rPr>
          <w:rFonts w:cs="Calibri"/>
          <w:spacing w:val="-5"/>
        </w:rPr>
        <w:t xml:space="preserve"> </w:t>
      </w:r>
      <w:r w:rsidRPr="00CA2CC1">
        <w:rPr>
          <w:rFonts w:cs="Calibri"/>
        </w:rPr>
        <w:t>a</w:t>
      </w:r>
      <w:r w:rsidRPr="00CA2CC1">
        <w:rPr>
          <w:rFonts w:cs="Calibri"/>
          <w:spacing w:val="-5"/>
        </w:rPr>
        <w:t xml:space="preserve"> </w:t>
      </w:r>
      <w:r w:rsidRPr="00CA2CC1">
        <w:rPr>
          <w:rFonts w:cs="Calibri"/>
        </w:rPr>
        <w:t>less appealing alternative.</w:t>
      </w:r>
    </w:p>
    <w:p w14:paraId="5E91DC0C" w14:textId="77777777" w:rsidR="00FA4226" w:rsidRPr="00CA2CC1" w:rsidRDefault="00000000" w:rsidP="0043303B">
      <w:pPr>
        <w:pStyle w:val="BodyText"/>
        <w:numPr>
          <w:ilvl w:val="0"/>
          <w:numId w:val="34"/>
        </w:numPr>
        <w:rPr>
          <w:rFonts w:cs="Calibri"/>
        </w:rPr>
      </w:pPr>
      <w:r w:rsidRPr="00CA2CC1">
        <w:rPr>
          <w:rFonts w:cs="Calibri"/>
        </w:rPr>
        <w:t>Customers find using the bus network difficult and complex.</w:t>
      </w:r>
      <w:r w:rsidRPr="00CA2CC1">
        <w:rPr>
          <w:rFonts w:cs="Calibri"/>
          <w:spacing w:val="-5"/>
        </w:rPr>
        <w:t xml:space="preserve"> </w:t>
      </w:r>
      <w:r w:rsidRPr="00CA2CC1">
        <w:rPr>
          <w:rFonts w:cs="Calibri"/>
        </w:rPr>
        <w:t>People</w:t>
      </w:r>
      <w:r w:rsidRPr="00CA2CC1">
        <w:rPr>
          <w:rFonts w:cs="Calibri"/>
          <w:spacing w:val="-5"/>
        </w:rPr>
        <w:t xml:space="preserve"> </w:t>
      </w:r>
      <w:r w:rsidRPr="00CA2CC1">
        <w:rPr>
          <w:rFonts w:cs="Calibri"/>
        </w:rPr>
        <w:t>who</w:t>
      </w:r>
      <w:r w:rsidRPr="00CA2CC1">
        <w:rPr>
          <w:rFonts w:cs="Calibri"/>
          <w:spacing w:val="-5"/>
        </w:rPr>
        <w:t xml:space="preserve"> </w:t>
      </w:r>
      <w:r w:rsidRPr="00CA2CC1">
        <w:rPr>
          <w:rFonts w:cs="Calibri"/>
        </w:rPr>
        <w:t>do</w:t>
      </w:r>
      <w:r w:rsidRPr="00CA2CC1">
        <w:rPr>
          <w:rFonts w:cs="Calibri"/>
          <w:spacing w:val="-5"/>
        </w:rPr>
        <w:t xml:space="preserve"> </w:t>
      </w:r>
      <w:r w:rsidRPr="00CA2CC1">
        <w:rPr>
          <w:rFonts w:cs="Calibri"/>
        </w:rPr>
        <w:t>take</w:t>
      </w:r>
      <w:r w:rsidRPr="00CA2CC1">
        <w:rPr>
          <w:rFonts w:cs="Calibri"/>
          <w:spacing w:val="-5"/>
        </w:rPr>
        <w:t xml:space="preserve"> </w:t>
      </w:r>
      <w:r w:rsidRPr="00CA2CC1">
        <w:rPr>
          <w:rFonts w:cs="Calibri"/>
        </w:rPr>
        <w:t>the</w:t>
      </w:r>
      <w:r w:rsidRPr="00CA2CC1">
        <w:rPr>
          <w:rFonts w:cs="Calibri"/>
          <w:spacing w:val="-5"/>
        </w:rPr>
        <w:t xml:space="preserve"> </w:t>
      </w:r>
      <w:r w:rsidRPr="00CA2CC1">
        <w:rPr>
          <w:rFonts w:cs="Calibri"/>
        </w:rPr>
        <w:t>bus</w:t>
      </w:r>
      <w:r w:rsidRPr="00CA2CC1">
        <w:rPr>
          <w:rFonts w:cs="Calibri"/>
          <w:spacing w:val="-5"/>
        </w:rPr>
        <w:t xml:space="preserve"> </w:t>
      </w:r>
      <w:r w:rsidRPr="00CA2CC1">
        <w:rPr>
          <w:rFonts w:cs="Calibri"/>
        </w:rPr>
        <w:t>often</w:t>
      </w:r>
      <w:r w:rsidRPr="00CA2CC1">
        <w:rPr>
          <w:rFonts w:cs="Calibri"/>
          <w:spacing w:val="-5"/>
        </w:rPr>
        <w:t xml:space="preserve"> </w:t>
      </w:r>
      <w:r w:rsidRPr="00CA2CC1">
        <w:rPr>
          <w:rFonts w:cs="Calibri"/>
        </w:rPr>
        <w:t>lack</w:t>
      </w:r>
      <w:r w:rsidRPr="00CA2CC1">
        <w:rPr>
          <w:rFonts w:cs="Calibri"/>
          <w:spacing w:val="-5"/>
        </w:rPr>
        <w:t xml:space="preserve"> </w:t>
      </w:r>
      <w:r w:rsidRPr="00CA2CC1">
        <w:rPr>
          <w:rFonts w:cs="Calibri"/>
        </w:rPr>
        <w:t>real- time information, access to quality stop infrastructure and experience unreliable service levels.</w:t>
      </w:r>
    </w:p>
    <w:p w14:paraId="1CB3B112" w14:textId="77777777" w:rsidR="00FA4226" w:rsidRPr="00CA2CC1" w:rsidRDefault="00000000" w:rsidP="0043303B">
      <w:pPr>
        <w:pStyle w:val="BodyText"/>
        <w:numPr>
          <w:ilvl w:val="0"/>
          <w:numId w:val="34"/>
        </w:numPr>
        <w:rPr>
          <w:rFonts w:cs="Calibri"/>
        </w:rPr>
      </w:pPr>
      <w:r w:rsidRPr="00CA2CC1">
        <w:rPr>
          <w:rFonts w:cs="Calibri"/>
        </w:rPr>
        <w:t>The</w:t>
      </w:r>
      <w:r w:rsidRPr="00CA2CC1">
        <w:rPr>
          <w:rFonts w:cs="Calibri"/>
          <w:spacing w:val="-5"/>
        </w:rPr>
        <w:t xml:space="preserve"> </w:t>
      </w:r>
      <w:r w:rsidRPr="00CA2CC1">
        <w:rPr>
          <w:rFonts w:cs="Calibri"/>
        </w:rPr>
        <w:t>existing</w:t>
      </w:r>
      <w:r w:rsidRPr="00CA2CC1">
        <w:rPr>
          <w:rFonts w:cs="Calibri"/>
          <w:spacing w:val="-5"/>
        </w:rPr>
        <w:t xml:space="preserve"> </w:t>
      </w:r>
      <w:r w:rsidRPr="00CA2CC1">
        <w:rPr>
          <w:rFonts w:cs="Calibri"/>
        </w:rPr>
        <w:t>bus</w:t>
      </w:r>
      <w:r w:rsidRPr="00CA2CC1">
        <w:rPr>
          <w:rFonts w:cs="Calibri"/>
          <w:spacing w:val="-5"/>
        </w:rPr>
        <w:t xml:space="preserve"> </w:t>
      </w:r>
      <w:r w:rsidRPr="00CA2CC1">
        <w:rPr>
          <w:rFonts w:cs="Calibri"/>
        </w:rPr>
        <w:t>network</w:t>
      </w:r>
      <w:r w:rsidRPr="00CA2CC1">
        <w:rPr>
          <w:rFonts w:cs="Calibri"/>
          <w:spacing w:val="-5"/>
        </w:rPr>
        <w:t xml:space="preserve"> </w:t>
      </w:r>
      <w:r w:rsidRPr="00CA2CC1">
        <w:rPr>
          <w:rFonts w:cs="Calibri"/>
        </w:rPr>
        <w:t>is</w:t>
      </w:r>
      <w:r w:rsidRPr="00CA2CC1">
        <w:rPr>
          <w:rFonts w:cs="Calibri"/>
          <w:spacing w:val="-5"/>
        </w:rPr>
        <w:t xml:space="preserve"> </w:t>
      </w:r>
      <w:r w:rsidRPr="00CA2CC1">
        <w:rPr>
          <w:rFonts w:cs="Calibri"/>
        </w:rPr>
        <w:t>inequitable.</w:t>
      </w:r>
      <w:r w:rsidRPr="00CA2CC1">
        <w:rPr>
          <w:rFonts w:cs="Calibri"/>
          <w:spacing w:val="-5"/>
        </w:rPr>
        <w:t xml:space="preserve"> </w:t>
      </w:r>
      <w:r w:rsidRPr="00CA2CC1">
        <w:rPr>
          <w:rFonts w:cs="Calibri"/>
        </w:rPr>
        <w:t>Access</w:t>
      </w:r>
      <w:r w:rsidRPr="00CA2CC1">
        <w:rPr>
          <w:rFonts w:cs="Calibri"/>
          <w:spacing w:val="-5"/>
        </w:rPr>
        <w:t xml:space="preserve"> </w:t>
      </w:r>
      <w:r w:rsidRPr="00CA2CC1">
        <w:rPr>
          <w:rFonts w:cs="Calibri"/>
        </w:rPr>
        <w:t>to</w:t>
      </w:r>
      <w:r w:rsidRPr="00CA2CC1">
        <w:rPr>
          <w:rFonts w:cs="Calibri"/>
          <w:spacing w:val="-5"/>
        </w:rPr>
        <w:t xml:space="preserve"> </w:t>
      </w:r>
      <w:r w:rsidRPr="00CA2CC1">
        <w:rPr>
          <w:rFonts w:cs="Calibri"/>
        </w:rPr>
        <w:t>safe, reliable and affordable transport, particularly in growth areas, gives more Melburnians the opportunity to participate in work, attend social events and study.</w:t>
      </w:r>
    </w:p>
    <w:p w14:paraId="7E2168DE" w14:textId="59C82CB6" w:rsidR="00FA4226" w:rsidRPr="00CA2CC1" w:rsidRDefault="00000000" w:rsidP="0043303B">
      <w:pPr>
        <w:pStyle w:val="BodyText"/>
        <w:numPr>
          <w:ilvl w:val="0"/>
          <w:numId w:val="34"/>
        </w:numPr>
        <w:rPr>
          <w:rFonts w:cs="Calibri"/>
        </w:rPr>
      </w:pPr>
      <w:r w:rsidRPr="00CA2CC1">
        <w:rPr>
          <w:rFonts w:cs="Calibri"/>
        </w:rPr>
        <w:t>Victorians can get better value from the bus network.</w:t>
      </w:r>
      <w:r w:rsidRPr="00CA2CC1">
        <w:rPr>
          <w:rFonts w:cs="Calibri"/>
          <w:spacing w:val="-7"/>
        </w:rPr>
        <w:t xml:space="preserve"> </w:t>
      </w:r>
      <w:r w:rsidRPr="00CA2CC1">
        <w:rPr>
          <w:rFonts w:cs="Calibri"/>
        </w:rPr>
        <w:t>Government</w:t>
      </w:r>
      <w:r w:rsidRPr="00CA2CC1">
        <w:rPr>
          <w:rFonts w:cs="Calibri"/>
          <w:spacing w:val="-7"/>
        </w:rPr>
        <w:t xml:space="preserve"> </w:t>
      </w:r>
      <w:r w:rsidRPr="00CA2CC1">
        <w:rPr>
          <w:rFonts w:cs="Calibri"/>
        </w:rPr>
        <w:t>spends</w:t>
      </w:r>
      <w:r w:rsidRPr="00CA2CC1">
        <w:rPr>
          <w:rFonts w:cs="Calibri"/>
          <w:spacing w:val="-7"/>
        </w:rPr>
        <w:t xml:space="preserve"> </w:t>
      </w:r>
      <w:r w:rsidRPr="00CA2CC1">
        <w:rPr>
          <w:rFonts w:cs="Calibri"/>
        </w:rPr>
        <w:t>about</w:t>
      </w:r>
      <w:r w:rsidRPr="00CA2CC1">
        <w:rPr>
          <w:rFonts w:cs="Calibri"/>
          <w:spacing w:val="-7"/>
        </w:rPr>
        <w:t xml:space="preserve"> </w:t>
      </w:r>
      <w:r w:rsidRPr="00CA2CC1">
        <w:rPr>
          <w:rFonts w:cs="Calibri"/>
        </w:rPr>
        <w:t>$800</w:t>
      </w:r>
      <w:r w:rsidRPr="00CA2CC1">
        <w:rPr>
          <w:rFonts w:cs="Calibri"/>
          <w:spacing w:val="-7"/>
        </w:rPr>
        <w:t xml:space="preserve"> </w:t>
      </w:r>
      <w:r w:rsidRPr="00CA2CC1">
        <w:rPr>
          <w:rFonts w:cs="Calibri"/>
        </w:rPr>
        <w:t>million</w:t>
      </w:r>
      <w:r w:rsidR="00550D47" w:rsidRPr="00CA2CC1">
        <w:rPr>
          <w:rFonts w:cs="Calibri"/>
        </w:rPr>
        <w:t xml:space="preserve"> </w:t>
      </w:r>
      <w:r w:rsidRPr="00CA2CC1">
        <w:rPr>
          <w:rFonts w:cs="Calibri"/>
        </w:rPr>
        <w:t>every</w:t>
      </w:r>
      <w:r w:rsidRPr="00CA2CC1">
        <w:rPr>
          <w:rFonts w:cs="Calibri"/>
          <w:spacing w:val="-5"/>
        </w:rPr>
        <w:t xml:space="preserve"> </w:t>
      </w:r>
      <w:r w:rsidRPr="00CA2CC1">
        <w:rPr>
          <w:rFonts w:cs="Calibri"/>
        </w:rPr>
        <w:t>year</w:t>
      </w:r>
      <w:r w:rsidRPr="00CA2CC1">
        <w:rPr>
          <w:rFonts w:cs="Calibri"/>
          <w:spacing w:val="-5"/>
        </w:rPr>
        <w:t xml:space="preserve"> </w:t>
      </w:r>
      <w:r w:rsidRPr="00CA2CC1">
        <w:rPr>
          <w:rFonts w:cs="Calibri"/>
        </w:rPr>
        <w:t>on</w:t>
      </w:r>
      <w:r w:rsidRPr="00CA2CC1">
        <w:rPr>
          <w:rFonts w:cs="Calibri"/>
          <w:spacing w:val="-5"/>
        </w:rPr>
        <w:t xml:space="preserve"> </w:t>
      </w:r>
      <w:r w:rsidRPr="00CA2CC1">
        <w:rPr>
          <w:rFonts w:cs="Calibri"/>
        </w:rPr>
        <w:t>the</w:t>
      </w:r>
      <w:r w:rsidRPr="00CA2CC1">
        <w:rPr>
          <w:rFonts w:cs="Calibri"/>
          <w:spacing w:val="-5"/>
        </w:rPr>
        <w:t xml:space="preserve"> </w:t>
      </w:r>
      <w:r w:rsidRPr="00CA2CC1">
        <w:rPr>
          <w:rFonts w:cs="Calibri"/>
        </w:rPr>
        <w:t>metropolitan</w:t>
      </w:r>
      <w:r w:rsidRPr="00CA2CC1">
        <w:rPr>
          <w:rFonts w:cs="Calibri"/>
          <w:spacing w:val="-5"/>
        </w:rPr>
        <w:t xml:space="preserve"> </w:t>
      </w:r>
      <w:r w:rsidRPr="00CA2CC1">
        <w:rPr>
          <w:rFonts w:cs="Calibri"/>
        </w:rPr>
        <w:t>bus</w:t>
      </w:r>
      <w:r w:rsidRPr="00CA2CC1">
        <w:rPr>
          <w:rFonts w:cs="Calibri"/>
          <w:spacing w:val="-5"/>
        </w:rPr>
        <w:t xml:space="preserve"> </w:t>
      </w:r>
      <w:r w:rsidRPr="00CA2CC1">
        <w:rPr>
          <w:rFonts w:cs="Calibri"/>
        </w:rPr>
        <w:t>network,</w:t>
      </w:r>
      <w:r w:rsidRPr="00CA2CC1">
        <w:rPr>
          <w:rFonts w:cs="Calibri"/>
          <w:spacing w:val="-5"/>
        </w:rPr>
        <w:t xml:space="preserve"> </w:t>
      </w:r>
      <w:r w:rsidRPr="00CA2CC1">
        <w:rPr>
          <w:rFonts w:cs="Calibri"/>
        </w:rPr>
        <w:t>but</w:t>
      </w:r>
      <w:r w:rsidRPr="00CA2CC1">
        <w:rPr>
          <w:rFonts w:cs="Calibri"/>
          <w:spacing w:val="-5"/>
        </w:rPr>
        <w:t xml:space="preserve"> </w:t>
      </w:r>
      <w:r w:rsidRPr="00CA2CC1">
        <w:rPr>
          <w:rFonts w:cs="Calibri"/>
        </w:rPr>
        <w:t>some communities see limited benefit.</w:t>
      </w:r>
    </w:p>
    <w:p w14:paraId="62C10222" w14:textId="77777777" w:rsidR="00FA4226" w:rsidRPr="00CA2CC1" w:rsidRDefault="00000000" w:rsidP="0043303B">
      <w:pPr>
        <w:pStyle w:val="BodyText"/>
        <w:rPr>
          <w:rFonts w:cs="Calibri"/>
        </w:rPr>
      </w:pPr>
      <w:r w:rsidRPr="00CA2CC1">
        <w:rPr>
          <w:rFonts w:cs="Calibri"/>
        </w:rPr>
        <w:t>There are many opportunities to reform the existing network</w:t>
      </w:r>
      <w:r w:rsidRPr="00CA2CC1">
        <w:rPr>
          <w:rFonts w:cs="Calibri"/>
          <w:spacing w:val="-6"/>
        </w:rPr>
        <w:t xml:space="preserve"> </w:t>
      </w:r>
      <w:r w:rsidRPr="00CA2CC1">
        <w:rPr>
          <w:rFonts w:cs="Calibri"/>
        </w:rPr>
        <w:t>to</w:t>
      </w:r>
      <w:r w:rsidRPr="00CA2CC1">
        <w:rPr>
          <w:rFonts w:cs="Calibri"/>
          <w:spacing w:val="-6"/>
        </w:rPr>
        <w:t xml:space="preserve"> </w:t>
      </w:r>
      <w:r w:rsidRPr="00CA2CC1">
        <w:rPr>
          <w:rFonts w:cs="Calibri"/>
        </w:rPr>
        <w:t>benefit</w:t>
      </w:r>
      <w:r w:rsidRPr="00CA2CC1">
        <w:rPr>
          <w:rFonts w:cs="Calibri"/>
          <w:spacing w:val="-6"/>
        </w:rPr>
        <w:t xml:space="preserve"> </w:t>
      </w:r>
      <w:r w:rsidRPr="00CA2CC1">
        <w:rPr>
          <w:rFonts w:cs="Calibri"/>
        </w:rPr>
        <w:t>customers,</w:t>
      </w:r>
      <w:r w:rsidRPr="00CA2CC1">
        <w:rPr>
          <w:rFonts w:cs="Calibri"/>
          <w:spacing w:val="-6"/>
        </w:rPr>
        <w:t xml:space="preserve"> </w:t>
      </w:r>
      <w:r w:rsidRPr="00CA2CC1">
        <w:rPr>
          <w:rFonts w:cs="Calibri"/>
        </w:rPr>
        <w:t>ease</w:t>
      </w:r>
      <w:r w:rsidRPr="00CA2CC1">
        <w:rPr>
          <w:rFonts w:cs="Calibri"/>
          <w:spacing w:val="-6"/>
        </w:rPr>
        <w:t xml:space="preserve"> </w:t>
      </w:r>
      <w:r w:rsidRPr="00CA2CC1">
        <w:rPr>
          <w:rFonts w:cs="Calibri"/>
        </w:rPr>
        <w:t>congestion</w:t>
      </w:r>
      <w:r w:rsidRPr="00CA2CC1">
        <w:rPr>
          <w:rFonts w:cs="Calibri"/>
          <w:spacing w:val="-6"/>
        </w:rPr>
        <w:t xml:space="preserve"> </w:t>
      </w:r>
      <w:r w:rsidRPr="00CA2CC1">
        <w:rPr>
          <w:rFonts w:cs="Calibri"/>
        </w:rPr>
        <w:t>and</w:t>
      </w:r>
      <w:r w:rsidRPr="00CA2CC1">
        <w:rPr>
          <w:rFonts w:cs="Calibri"/>
          <w:spacing w:val="-6"/>
        </w:rPr>
        <w:t xml:space="preserve"> </w:t>
      </w:r>
      <w:r w:rsidRPr="00CA2CC1">
        <w:rPr>
          <w:rFonts w:cs="Calibri"/>
        </w:rPr>
        <w:t>reduce greenhouse gas emissions, building on the improvements already underway as part of the Victorian Government’s bus plan.</w:t>
      </w:r>
    </w:p>
    <w:p w14:paraId="02C33739" w14:textId="77777777" w:rsidR="0076069E" w:rsidRPr="00CA2CC1" w:rsidRDefault="00000000" w:rsidP="0043303B">
      <w:pPr>
        <w:pStyle w:val="BodyText"/>
        <w:rPr>
          <w:rFonts w:cs="Calibri"/>
        </w:rPr>
      </w:pPr>
      <w:r w:rsidRPr="00CA2CC1">
        <w:rPr>
          <w:rFonts w:cs="Calibri"/>
        </w:rPr>
        <w:t>Our research takes an independent and interdisciplinary approach</w:t>
      </w:r>
      <w:r w:rsidRPr="00CA2CC1">
        <w:rPr>
          <w:rFonts w:cs="Calibri"/>
          <w:spacing w:val="-5"/>
        </w:rPr>
        <w:t xml:space="preserve"> </w:t>
      </w:r>
      <w:r w:rsidRPr="00CA2CC1">
        <w:rPr>
          <w:rFonts w:cs="Calibri"/>
        </w:rPr>
        <w:t>to</w:t>
      </w:r>
      <w:r w:rsidRPr="00CA2CC1">
        <w:rPr>
          <w:rFonts w:cs="Calibri"/>
          <w:spacing w:val="-5"/>
        </w:rPr>
        <w:t xml:space="preserve"> </w:t>
      </w:r>
      <w:r w:rsidRPr="00CA2CC1">
        <w:rPr>
          <w:rFonts w:cs="Calibri"/>
        </w:rPr>
        <w:t>help</w:t>
      </w:r>
      <w:r w:rsidRPr="00CA2CC1">
        <w:rPr>
          <w:rFonts w:cs="Calibri"/>
          <w:spacing w:val="-5"/>
        </w:rPr>
        <w:t xml:space="preserve"> </w:t>
      </w:r>
      <w:r w:rsidRPr="00CA2CC1">
        <w:rPr>
          <w:rFonts w:cs="Calibri"/>
        </w:rPr>
        <w:t>the</w:t>
      </w:r>
      <w:r w:rsidRPr="00CA2CC1">
        <w:rPr>
          <w:rFonts w:cs="Calibri"/>
          <w:spacing w:val="-5"/>
        </w:rPr>
        <w:t xml:space="preserve"> </w:t>
      </w:r>
      <w:r w:rsidRPr="00CA2CC1">
        <w:rPr>
          <w:rFonts w:cs="Calibri"/>
        </w:rPr>
        <w:t>Victorian</w:t>
      </w:r>
      <w:r w:rsidRPr="00CA2CC1">
        <w:rPr>
          <w:rFonts w:cs="Calibri"/>
          <w:spacing w:val="-5"/>
        </w:rPr>
        <w:t xml:space="preserve"> </w:t>
      </w:r>
      <w:r w:rsidRPr="00CA2CC1">
        <w:rPr>
          <w:rFonts w:cs="Calibri"/>
        </w:rPr>
        <w:t>Government</w:t>
      </w:r>
      <w:r w:rsidR="00137A3C" w:rsidRPr="00CA2CC1">
        <w:rPr>
          <w:rFonts w:cs="Calibri"/>
          <w:spacing w:val="-5"/>
        </w:rPr>
        <w:t xml:space="preserve"> </w:t>
      </w:r>
      <w:r w:rsidRPr="00CA2CC1">
        <w:rPr>
          <w:rFonts w:cs="Calibri"/>
        </w:rPr>
        <w:t>prioritise</w:t>
      </w:r>
      <w:r w:rsidRPr="00CA2CC1">
        <w:rPr>
          <w:rFonts w:cs="Calibri"/>
          <w:spacing w:val="-5"/>
        </w:rPr>
        <w:t xml:space="preserve"> </w:t>
      </w:r>
      <w:r w:rsidRPr="00CA2CC1">
        <w:rPr>
          <w:rFonts w:cs="Calibri"/>
        </w:rPr>
        <w:t>actions and investment. A final report will be published in coming months</w:t>
      </w:r>
      <w:r w:rsidRPr="00CA2CC1">
        <w:rPr>
          <w:rFonts w:cs="Calibri"/>
          <w:spacing w:val="-2"/>
        </w:rPr>
        <w:t xml:space="preserve"> </w:t>
      </w:r>
      <w:r w:rsidRPr="00CA2CC1">
        <w:rPr>
          <w:rFonts w:cs="Calibri"/>
        </w:rPr>
        <w:t>with</w:t>
      </w:r>
      <w:r w:rsidRPr="00CA2CC1">
        <w:rPr>
          <w:rFonts w:cs="Calibri"/>
          <w:spacing w:val="-2"/>
        </w:rPr>
        <w:t xml:space="preserve"> </w:t>
      </w:r>
      <w:r w:rsidRPr="00CA2CC1">
        <w:rPr>
          <w:rFonts w:cs="Calibri"/>
        </w:rPr>
        <w:t>recommendations</w:t>
      </w:r>
      <w:r w:rsidRPr="00CA2CC1">
        <w:rPr>
          <w:rFonts w:cs="Calibri"/>
          <w:spacing w:val="-2"/>
        </w:rPr>
        <w:t xml:space="preserve"> </w:t>
      </w:r>
      <w:r w:rsidRPr="00CA2CC1">
        <w:rPr>
          <w:rFonts w:cs="Calibri"/>
        </w:rPr>
        <w:t>informed</w:t>
      </w:r>
      <w:r w:rsidRPr="00CA2CC1">
        <w:rPr>
          <w:rFonts w:cs="Calibri"/>
          <w:spacing w:val="-2"/>
        </w:rPr>
        <w:t xml:space="preserve"> </w:t>
      </w:r>
      <w:r w:rsidRPr="00CA2CC1">
        <w:rPr>
          <w:rFonts w:cs="Calibri"/>
        </w:rPr>
        <w:t>by</w:t>
      </w:r>
      <w:r w:rsidRPr="00CA2CC1">
        <w:rPr>
          <w:rFonts w:cs="Calibri"/>
          <w:spacing w:val="-2"/>
        </w:rPr>
        <w:t xml:space="preserve"> </w:t>
      </w:r>
      <w:r w:rsidRPr="00CA2CC1">
        <w:rPr>
          <w:rFonts w:cs="Calibri"/>
        </w:rPr>
        <w:t>community</w:t>
      </w:r>
      <w:r w:rsidRPr="00CA2CC1">
        <w:rPr>
          <w:rFonts w:cs="Calibri"/>
          <w:spacing w:val="-2"/>
        </w:rPr>
        <w:t xml:space="preserve"> </w:t>
      </w:r>
      <w:r w:rsidRPr="00CA2CC1">
        <w:rPr>
          <w:rFonts w:cs="Calibri"/>
        </w:rPr>
        <w:t>and stakeholder engagement, modelling and other evidence- based inputs.</w:t>
      </w:r>
    </w:p>
    <w:p w14:paraId="6C90155E" w14:textId="63107BAD" w:rsidR="0076069E" w:rsidRPr="00CA2CC1" w:rsidRDefault="00CE67CE" w:rsidP="00FA2CF0">
      <w:pPr>
        <w:rPr>
          <w:rFonts w:cs="Calibri"/>
          <w:color w:val="000000" w:themeColor="text1"/>
          <w:sz w:val="16"/>
          <w:szCs w:val="18"/>
        </w:rPr>
      </w:pPr>
      <w:r w:rsidRPr="00CA2CC1">
        <w:rPr>
          <w:rFonts w:cs="Calibri"/>
          <w:sz w:val="16"/>
        </w:rPr>
        <w:br w:type="page"/>
      </w:r>
    </w:p>
    <w:p w14:paraId="25356FAD" w14:textId="6E90A7D7" w:rsidR="00FA4226" w:rsidRPr="00CA2CC1" w:rsidRDefault="00000000" w:rsidP="00CA2CC1">
      <w:pPr>
        <w:pStyle w:val="Heading3"/>
        <w:rPr>
          <w:u w:val="single"/>
        </w:rPr>
      </w:pPr>
      <w:hyperlink r:id="rId17">
        <w:r w:rsidRPr="00CA2CC1">
          <w:rPr>
            <w:u w:val="single"/>
          </w:rPr>
          <w:t>Next</w:t>
        </w:r>
        <w:r w:rsidRPr="00CA2CC1">
          <w:rPr>
            <w:spacing w:val="-9"/>
            <w:u w:val="single"/>
          </w:rPr>
          <w:t xml:space="preserve"> </w:t>
        </w:r>
        <w:r w:rsidRPr="00CA2CC1">
          <w:rPr>
            <w:u w:val="single"/>
          </w:rPr>
          <w:t>stop:</w:t>
        </w:r>
        <w:r w:rsidRPr="00CA2CC1">
          <w:rPr>
            <w:spacing w:val="-9"/>
            <w:u w:val="single"/>
          </w:rPr>
          <w:t xml:space="preserve"> </w:t>
        </w:r>
        <w:r w:rsidRPr="00CA2CC1">
          <w:rPr>
            <w:u w:val="single"/>
          </w:rPr>
          <w:t>community</w:t>
        </w:r>
        <w:r w:rsidRPr="00CA2CC1">
          <w:rPr>
            <w:spacing w:val="-9"/>
            <w:u w:val="single"/>
          </w:rPr>
          <w:t xml:space="preserve"> </w:t>
        </w:r>
        <w:r w:rsidRPr="00CA2CC1">
          <w:rPr>
            <w:u w:val="single"/>
          </w:rPr>
          <w:t>insights</w:t>
        </w:r>
        <w:r w:rsidRPr="00CA2CC1">
          <w:rPr>
            <w:spacing w:val="-10"/>
            <w:u w:val="single"/>
          </w:rPr>
          <w:t xml:space="preserve"> </w:t>
        </w:r>
      </w:hyperlink>
      <w:hyperlink r:id="rId18">
        <w:r w:rsidRPr="00CA2CC1">
          <w:rPr>
            <w:u w:val="single"/>
          </w:rPr>
          <w:t>into Melbourne’s buses</w:t>
        </w:r>
      </w:hyperlink>
    </w:p>
    <w:p w14:paraId="0E09FEDE" w14:textId="77777777" w:rsidR="00FA4226" w:rsidRPr="00CA2CC1" w:rsidRDefault="00000000" w:rsidP="0043303B">
      <w:pPr>
        <w:pStyle w:val="BodyText"/>
        <w:spacing w:before="223"/>
        <w:rPr>
          <w:rFonts w:cs="Calibri"/>
        </w:rPr>
      </w:pPr>
      <w:r w:rsidRPr="00CA2CC1">
        <w:rPr>
          <w:rFonts w:cs="Calibri"/>
          <w:color w:val="414042"/>
        </w:rPr>
        <w:t>Infrastructure Victoria conducted one of the largest ever studies of current community perspectives on Melbourne’s bus</w:t>
      </w:r>
      <w:r w:rsidRPr="00CA2CC1">
        <w:rPr>
          <w:rFonts w:cs="Calibri"/>
          <w:color w:val="414042"/>
          <w:spacing w:val="-5"/>
        </w:rPr>
        <w:t xml:space="preserve"> </w:t>
      </w:r>
      <w:r w:rsidRPr="00CA2CC1">
        <w:rPr>
          <w:rFonts w:cs="Calibri"/>
          <w:color w:val="414042"/>
        </w:rPr>
        <w:t>network.</w:t>
      </w:r>
      <w:r w:rsidRPr="00CA2CC1">
        <w:rPr>
          <w:rFonts w:cs="Calibri"/>
          <w:color w:val="414042"/>
          <w:spacing w:val="-5"/>
        </w:rPr>
        <w:t xml:space="preserve"> </w:t>
      </w:r>
      <w:r w:rsidRPr="00CA2CC1">
        <w:rPr>
          <w:rFonts w:cs="Calibri"/>
          <w:color w:val="414042"/>
        </w:rPr>
        <w:t>The</w:t>
      </w:r>
      <w:r w:rsidRPr="00CA2CC1">
        <w:rPr>
          <w:rFonts w:cs="Calibri"/>
          <w:color w:val="414042"/>
          <w:spacing w:val="-5"/>
        </w:rPr>
        <w:t xml:space="preserve"> </w:t>
      </w:r>
      <w:r w:rsidRPr="00CA2CC1">
        <w:rPr>
          <w:rFonts w:cs="Calibri"/>
          <w:color w:val="414042"/>
        </w:rPr>
        <w:t>community</w:t>
      </w:r>
      <w:r w:rsidRPr="00CA2CC1">
        <w:rPr>
          <w:rFonts w:cs="Calibri"/>
          <w:color w:val="414042"/>
          <w:spacing w:val="-5"/>
        </w:rPr>
        <w:t xml:space="preserve"> </w:t>
      </w:r>
      <w:r w:rsidRPr="00CA2CC1">
        <w:rPr>
          <w:rFonts w:cs="Calibri"/>
          <w:color w:val="414042"/>
        </w:rPr>
        <w:t>findings</w:t>
      </w:r>
      <w:r w:rsidRPr="00CA2CC1">
        <w:rPr>
          <w:rFonts w:cs="Calibri"/>
          <w:color w:val="414042"/>
          <w:spacing w:val="-5"/>
        </w:rPr>
        <w:t xml:space="preserve"> </w:t>
      </w:r>
      <w:r w:rsidRPr="00CA2CC1">
        <w:rPr>
          <w:rFonts w:cs="Calibri"/>
          <w:color w:val="414042"/>
        </w:rPr>
        <w:t>will</w:t>
      </w:r>
      <w:r w:rsidRPr="00CA2CC1">
        <w:rPr>
          <w:rFonts w:cs="Calibri"/>
          <w:color w:val="414042"/>
          <w:spacing w:val="-5"/>
        </w:rPr>
        <w:t xml:space="preserve"> </w:t>
      </w:r>
      <w:r w:rsidRPr="00CA2CC1">
        <w:rPr>
          <w:rFonts w:cs="Calibri"/>
          <w:color w:val="414042"/>
        </w:rPr>
        <w:t>inform</w:t>
      </w:r>
      <w:r w:rsidRPr="00CA2CC1">
        <w:rPr>
          <w:rFonts w:cs="Calibri"/>
          <w:color w:val="414042"/>
          <w:spacing w:val="-5"/>
        </w:rPr>
        <w:t xml:space="preserve"> </w:t>
      </w:r>
      <w:r w:rsidRPr="00CA2CC1">
        <w:rPr>
          <w:rFonts w:cs="Calibri"/>
          <w:color w:val="414042"/>
        </w:rPr>
        <w:t>our</w:t>
      </w:r>
      <w:r w:rsidRPr="00CA2CC1">
        <w:rPr>
          <w:rFonts w:cs="Calibri"/>
          <w:color w:val="414042"/>
          <w:spacing w:val="-5"/>
        </w:rPr>
        <w:t xml:space="preserve"> </w:t>
      </w:r>
      <w:r w:rsidRPr="00CA2CC1">
        <w:rPr>
          <w:rFonts w:cs="Calibri"/>
          <w:color w:val="414042"/>
        </w:rPr>
        <w:t>broader research project on network reform options.</w:t>
      </w:r>
    </w:p>
    <w:p w14:paraId="308334E9" w14:textId="77777777" w:rsidR="00FA4226" w:rsidRPr="00CA2CC1" w:rsidRDefault="00000000" w:rsidP="0043303B">
      <w:pPr>
        <w:pStyle w:val="BodyText"/>
        <w:spacing w:before="116"/>
        <w:rPr>
          <w:rFonts w:cs="Calibri"/>
        </w:rPr>
      </w:pPr>
      <w:r w:rsidRPr="00CA2CC1">
        <w:rPr>
          <w:rFonts w:cs="Calibri"/>
          <w:color w:val="414042"/>
        </w:rPr>
        <w:t>In</w:t>
      </w:r>
      <w:r w:rsidRPr="00CA2CC1">
        <w:rPr>
          <w:rFonts w:cs="Calibri"/>
          <w:color w:val="414042"/>
          <w:spacing w:val="-5"/>
        </w:rPr>
        <w:t xml:space="preserve"> </w:t>
      </w:r>
      <w:r w:rsidRPr="00CA2CC1">
        <w:rPr>
          <w:rFonts w:cs="Calibri"/>
          <w:color w:val="414042"/>
        </w:rPr>
        <w:t>May</w:t>
      </w:r>
      <w:r w:rsidRPr="00CA2CC1">
        <w:rPr>
          <w:rFonts w:cs="Calibri"/>
          <w:color w:val="414042"/>
          <w:spacing w:val="-5"/>
        </w:rPr>
        <w:t xml:space="preserve"> </w:t>
      </w:r>
      <w:r w:rsidRPr="00CA2CC1">
        <w:rPr>
          <w:rFonts w:cs="Calibri"/>
          <w:color w:val="414042"/>
        </w:rPr>
        <w:t>2023,</w:t>
      </w:r>
      <w:r w:rsidRPr="00CA2CC1">
        <w:rPr>
          <w:rFonts w:cs="Calibri"/>
          <w:color w:val="414042"/>
          <w:spacing w:val="-5"/>
        </w:rPr>
        <w:t xml:space="preserve"> </w:t>
      </w:r>
      <w:r w:rsidRPr="00CA2CC1">
        <w:rPr>
          <w:rFonts w:cs="Calibri"/>
          <w:color w:val="414042"/>
        </w:rPr>
        <w:t>we</w:t>
      </w:r>
      <w:r w:rsidRPr="00CA2CC1">
        <w:rPr>
          <w:rFonts w:cs="Calibri"/>
          <w:color w:val="414042"/>
          <w:spacing w:val="-5"/>
        </w:rPr>
        <w:t xml:space="preserve"> </w:t>
      </w:r>
      <w:r w:rsidRPr="00CA2CC1">
        <w:rPr>
          <w:rFonts w:cs="Calibri"/>
          <w:color w:val="414042"/>
        </w:rPr>
        <w:t>commissioned</w:t>
      </w:r>
      <w:r w:rsidRPr="00CA2CC1">
        <w:rPr>
          <w:rFonts w:cs="Calibri"/>
          <w:color w:val="414042"/>
          <w:spacing w:val="-5"/>
        </w:rPr>
        <w:t xml:space="preserve"> </w:t>
      </w:r>
      <w:r w:rsidRPr="00CA2CC1">
        <w:rPr>
          <w:rFonts w:cs="Calibri"/>
          <w:color w:val="414042"/>
        </w:rPr>
        <w:t>Quantum</w:t>
      </w:r>
      <w:r w:rsidRPr="00CA2CC1">
        <w:rPr>
          <w:rFonts w:cs="Calibri"/>
          <w:color w:val="414042"/>
          <w:spacing w:val="-5"/>
        </w:rPr>
        <w:t xml:space="preserve"> </w:t>
      </w:r>
      <w:r w:rsidRPr="00CA2CC1">
        <w:rPr>
          <w:rFonts w:cs="Calibri"/>
          <w:color w:val="414042"/>
        </w:rPr>
        <w:t>Market</w:t>
      </w:r>
      <w:r w:rsidRPr="00CA2CC1">
        <w:rPr>
          <w:rFonts w:cs="Calibri"/>
          <w:color w:val="414042"/>
          <w:spacing w:val="-5"/>
        </w:rPr>
        <w:t xml:space="preserve"> </w:t>
      </w:r>
      <w:r w:rsidRPr="00CA2CC1">
        <w:rPr>
          <w:rFonts w:cs="Calibri"/>
          <w:color w:val="414042"/>
        </w:rPr>
        <w:t>Research to</w:t>
      </w:r>
      <w:r w:rsidRPr="00CA2CC1">
        <w:rPr>
          <w:rFonts w:cs="Calibri"/>
          <w:color w:val="414042"/>
          <w:spacing w:val="-4"/>
        </w:rPr>
        <w:t xml:space="preserve"> </w:t>
      </w:r>
      <w:r w:rsidRPr="00CA2CC1">
        <w:rPr>
          <w:rFonts w:cs="Calibri"/>
          <w:color w:val="414042"/>
        </w:rPr>
        <w:t>find</w:t>
      </w:r>
      <w:r w:rsidRPr="00CA2CC1">
        <w:rPr>
          <w:rFonts w:cs="Calibri"/>
          <w:color w:val="414042"/>
          <w:spacing w:val="-4"/>
        </w:rPr>
        <w:t xml:space="preserve"> </w:t>
      </w:r>
      <w:r w:rsidRPr="00CA2CC1">
        <w:rPr>
          <w:rFonts w:cs="Calibri"/>
          <w:color w:val="414042"/>
        </w:rPr>
        <w:t>out</w:t>
      </w:r>
      <w:r w:rsidRPr="00CA2CC1">
        <w:rPr>
          <w:rFonts w:cs="Calibri"/>
          <w:color w:val="414042"/>
          <w:spacing w:val="-4"/>
        </w:rPr>
        <w:t xml:space="preserve"> </w:t>
      </w:r>
      <w:r w:rsidRPr="00CA2CC1">
        <w:rPr>
          <w:rFonts w:cs="Calibri"/>
          <w:color w:val="414042"/>
        </w:rPr>
        <w:t>how</w:t>
      </w:r>
      <w:r w:rsidRPr="00CA2CC1">
        <w:rPr>
          <w:rFonts w:cs="Calibri"/>
          <w:color w:val="414042"/>
          <w:spacing w:val="-4"/>
        </w:rPr>
        <w:t xml:space="preserve"> </w:t>
      </w:r>
      <w:r w:rsidRPr="00CA2CC1">
        <w:rPr>
          <w:rFonts w:cs="Calibri"/>
          <w:color w:val="414042"/>
        </w:rPr>
        <w:t>Melburnians</w:t>
      </w:r>
      <w:r w:rsidRPr="00CA2CC1">
        <w:rPr>
          <w:rFonts w:cs="Calibri"/>
          <w:color w:val="414042"/>
          <w:spacing w:val="-4"/>
        </w:rPr>
        <w:t xml:space="preserve"> </w:t>
      </w:r>
      <w:r w:rsidRPr="00CA2CC1">
        <w:rPr>
          <w:rFonts w:cs="Calibri"/>
          <w:color w:val="414042"/>
        </w:rPr>
        <w:t>feel</w:t>
      </w:r>
      <w:r w:rsidRPr="00CA2CC1">
        <w:rPr>
          <w:rFonts w:cs="Calibri"/>
          <w:color w:val="414042"/>
          <w:spacing w:val="-4"/>
        </w:rPr>
        <w:t xml:space="preserve"> </w:t>
      </w:r>
      <w:r w:rsidRPr="00CA2CC1">
        <w:rPr>
          <w:rFonts w:cs="Calibri"/>
          <w:color w:val="414042"/>
        </w:rPr>
        <w:t>about</w:t>
      </w:r>
      <w:r w:rsidRPr="00CA2CC1">
        <w:rPr>
          <w:rFonts w:cs="Calibri"/>
          <w:color w:val="414042"/>
          <w:spacing w:val="-4"/>
        </w:rPr>
        <w:t xml:space="preserve"> </w:t>
      </w:r>
      <w:r w:rsidRPr="00CA2CC1">
        <w:rPr>
          <w:rFonts w:cs="Calibri"/>
          <w:color w:val="414042"/>
        </w:rPr>
        <w:t>using</w:t>
      </w:r>
      <w:r w:rsidRPr="00CA2CC1">
        <w:rPr>
          <w:rFonts w:cs="Calibri"/>
          <w:color w:val="414042"/>
          <w:spacing w:val="-4"/>
        </w:rPr>
        <w:t xml:space="preserve"> </w:t>
      </w:r>
      <w:r w:rsidRPr="00CA2CC1">
        <w:rPr>
          <w:rFonts w:cs="Calibri"/>
          <w:color w:val="414042"/>
        </w:rPr>
        <w:t>buses.</w:t>
      </w:r>
      <w:r w:rsidRPr="00CA2CC1">
        <w:rPr>
          <w:rFonts w:cs="Calibri"/>
          <w:color w:val="414042"/>
          <w:spacing w:val="-4"/>
        </w:rPr>
        <w:t xml:space="preserve"> </w:t>
      </w:r>
      <w:r w:rsidRPr="00CA2CC1">
        <w:rPr>
          <w:rFonts w:cs="Calibri"/>
          <w:color w:val="414042"/>
        </w:rPr>
        <w:t>helping us to understand the challenges and identify opportunities to improve the bus network.</w:t>
      </w:r>
    </w:p>
    <w:p w14:paraId="34919334" w14:textId="77777777" w:rsidR="00FA4226" w:rsidRPr="00CA2CC1" w:rsidRDefault="00000000" w:rsidP="0043303B">
      <w:pPr>
        <w:pStyle w:val="BodyText"/>
        <w:spacing w:before="115"/>
        <w:rPr>
          <w:rFonts w:cs="Calibri"/>
        </w:rPr>
      </w:pPr>
      <w:r w:rsidRPr="00CA2CC1">
        <w:rPr>
          <w:rFonts w:cs="Calibri"/>
          <w:color w:val="414042"/>
        </w:rPr>
        <w:t>We</w:t>
      </w:r>
      <w:r w:rsidRPr="00CA2CC1">
        <w:rPr>
          <w:rFonts w:cs="Calibri"/>
          <w:color w:val="414042"/>
          <w:spacing w:val="-4"/>
        </w:rPr>
        <w:t xml:space="preserve"> </w:t>
      </w:r>
      <w:r w:rsidRPr="00CA2CC1">
        <w:rPr>
          <w:rFonts w:cs="Calibri"/>
          <w:color w:val="414042"/>
        </w:rPr>
        <w:t>used</w:t>
      </w:r>
      <w:r w:rsidRPr="00CA2CC1">
        <w:rPr>
          <w:rFonts w:cs="Calibri"/>
          <w:color w:val="414042"/>
          <w:spacing w:val="-4"/>
        </w:rPr>
        <w:t xml:space="preserve"> </w:t>
      </w:r>
      <w:r w:rsidRPr="00CA2CC1">
        <w:rPr>
          <w:rFonts w:cs="Calibri"/>
          <w:color w:val="414042"/>
        </w:rPr>
        <w:t>a</w:t>
      </w:r>
      <w:r w:rsidRPr="00CA2CC1">
        <w:rPr>
          <w:rFonts w:cs="Calibri"/>
          <w:color w:val="414042"/>
          <w:spacing w:val="-4"/>
        </w:rPr>
        <w:t xml:space="preserve"> </w:t>
      </w:r>
      <w:r w:rsidRPr="00CA2CC1">
        <w:rPr>
          <w:rFonts w:cs="Calibri"/>
          <w:color w:val="414042"/>
        </w:rPr>
        <w:t>choice</w:t>
      </w:r>
      <w:r w:rsidRPr="00CA2CC1">
        <w:rPr>
          <w:rFonts w:cs="Calibri"/>
          <w:color w:val="414042"/>
          <w:spacing w:val="-4"/>
        </w:rPr>
        <w:t xml:space="preserve"> </w:t>
      </w:r>
      <w:r w:rsidRPr="00CA2CC1">
        <w:rPr>
          <w:rFonts w:cs="Calibri"/>
          <w:color w:val="414042"/>
        </w:rPr>
        <w:t>model</w:t>
      </w:r>
      <w:r w:rsidRPr="00CA2CC1">
        <w:rPr>
          <w:rFonts w:cs="Calibri"/>
          <w:color w:val="414042"/>
          <w:spacing w:val="-4"/>
        </w:rPr>
        <w:t xml:space="preserve"> </w:t>
      </w:r>
      <w:r w:rsidRPr="00CA2CC1">
        <w:rPr>
          <w:rFonts w:cs="Calibri"/>
          <w:color w:val="414042"/>
        </w:rPr>
        <w:t>to</w:t>
      </w:r>
      <w:r w:rsidRPr="00CA2CC1">
        <w:rPr>
          <w:rFonts w:cs="Calibri"/>
          <w:color w:val="414042"/>
          <w:spacing w:val="-4"/>
        </w:rPr>
        <w:t xml:space="preserve"> </w:t>
      </w:r>
      <w:r w:rsidRPr="00CA2CC1">
        <w:rPr>
          <w:rFonts w:cs="Calibri"/>
          <w:color w:val="414042"/>
        </w:rPr>
        <w:t>obtain</w:t>
      </w:r>
      <w:r w:rsidRPr="00CA2CC1">
        <w:rPr>
          <w:rFonts w:cs="Calibri"/>
          <w:color w:val="414042"/>
          <w:spacing w:val="-4"/>
        </w:rPr>
        <w:t xml:space="preserve"> </w:t>
      </w:r>
      <w:r w:rsidRPr="00CA2CC1">
        <w:rPr>
          <w:rFonts w:cs="Calibri"/>
          <w:color w:val="414042"/>
        </w:rPr>
        <w:t>insights</w:t>
      </w:r>
      <w:r w:rsidRPr="00CA2CC1">
        <w:rPr>
          <w:rFonts w:cs="Calibri"/>
          <w:color w:val="414042"/>
          <w:spacing w:val="-4"/>
        </w:rPr>
        <w:t xml:space="preserve"> </w:t>
      </w:r>
      <w:r w:rsidRPr="00CA2CC1">
        <w:rPr>
          <w:rFonts w:cs="Calibri"/>
          <w:color w:val="414042"/>
        </w:rPr>
        <w:t>into</w:t>
      </w:r>
      <w:r w:rsidRPr="00CA2CC1">
        <w:rPr>
          <w:rFonts w:cs="Calibri"/>
          <w:color w:val="414042"/>
          <w:spacing w:val="-4"/>
        </w:rPr>
        <w:t xml:space="preserve"> </w:t>
      </w:r>
      <w:r w:rsidRPr="00CA2CC1">
        <w:rPr>
          <w:rFonts w:cs="Calibri"/>
          <w:color w:val="414042"/>
        </w:rPr>
        <w:t>how</w:t>
      </w:r>
      <w:r w:rsidRPr="00CA2CC1">
        <w:rPr>
          <w:rFonts w:cs="Calibri"/>
          <w:color w:val="414042"/>
          <w:spacing w:val="-4"/>
        </w:rPr>
        <w:t xml:space="preserve"> </w:t>
      </w:r>
      <w:r w:rsidRPr="00CA2CC1">
        <w:rPr>
          <w:rFonts w:cs="Calibri"/>
          <w:color w:val="414042"/>
        </w:rPr>
        <w:t>people value the various features of a bus service, like frequency and journey times, and what features they would prefer</w:t>
      </w:r>
    </w:p>
    <w:p w14:paraId="4FC91372" w14:textId="77777777" w:rsidR="00FA4226" w:rsidRPr="00CA2CC1" w:rsidRDefault="00000000" w:rsidP="0043303B">
      <w:pPr>
        <w:pStyle w:val="BodyText"/>
        <w:rPr>
          <w:rFonts w:cs="Calibri"/>
        </w:rPr>
      </w:pPr>
      <w:r w:rsidRPr="00CA2CC1">
        <w:rPr>
          <w:rFonts w:cs="Calibri"/>
          <w:color w:val="414042"/>
        </w:rPr>
        <w:t>to</w:t>
      </w:r>
      <w:r w:rsidRPr="00CA2CC1">
        <w:rPr>
          <w:rFonts w:cs="Calibri"/>
          <w:color w:val="414042"/>
          <w:spacing w:val="-1"/>
        </w:rPr>
        <w:t xml:space="preserve"> </w:t>
      </w:r>
      <w:r w:rsidRPr="00CA2CC1">
        <w:rPr>
          <w:rFonts w:cs="Calibri"/>
          <w:color w:val="414042"/>
        </w:rPr>
        <w:t>trade-off for</w:t>
      </w:r>
      <w:r w:rsidRPr="00CA2CC1">
        <w:rPr>
          <w:rFonts w:cs="Calibri"/>
          <w:color w:val="414042"/>
          <w:spacing w:val="-1"/>
        </w:rPr>
        <w:t xml:space="preserve"> </w:t>
      </w:r>
      <w:r w:rsidRPr="00CA2CC1">
        <w:rPr>
          <w:rFonts w:cs="Calibri"/>
          <w:color w:val="414042"/>
        </w:rPr>
        <w:t>a bus service</w:t>
      </w:r>
      <w:r w:rsidRPr="00CA2CC1">
        <w:rPr>
          <w:rFonts w:cs="Calibri"/>
          <w:color w:val="414042"/>
          <w:spacing w:val="-1"/>
        </w:rPr>
        <w:t xml:space="preserve"> </w:t>
      </w:r>
      <w:r w:rsidRPr="00CA2CC1">
        <w:rPr>
          <w:rFonts w:cs="Calibri"/>
          <w:color w:val="414042"/>
        </w:rPr>
        <w:t>that better</w:t>
      </w:r>
      <w:r w:rsidRPr="00CA2CC1">
        <w:rPr>
          <w:rFonts w:cs="Calibri"/>
          <w:color w:val="414042"/>
          <w:spacing w:val="-1"/>
        </w:rPr>
        <w:t xml:space="preserve"> </w:t>
      </w:r>
      <w:r w:rsidRPr="00CA2CC1">
        <w:rPr>
          <w:rFonts w:cs="Calibri"/>
          <w:color w:val="414042"/>
        </w:rPr>
        <w:t xml:space="preserve">meets their </w:t>
      </w:r>
      <w:r w:rsidRPr="00CA2CC1">
        <w:rPr>
          <w:rFonts w:cs="Calibri"/>
          <w:color w:val="414042"/>
          <w:spacing w:val="-2"/>
        </w:rPr>
        <w:t>needs.</w:t>
      </w:r>
    </w:p>
    <w:p w14:paraId="6FFBE948" w14:textId="77777777" w:rsidR="00FA4226" w:rsidRPr="00CA2CC1" w:rsidRDefault="00000000" w:rsidP="0043303B">
      <w:pPr>
        <w:pStyle w:val="BodyText"/>
        <w:spacing w:before="118"/>
        <w:rPr>
          <w:rFonts w:cs="Calibri"/>
        </w:rPr>
      </w:pPr>
      <w:r w:rsidRPr="00CA2CC1">
        <w:rPr>
          <w:rFonts w:cs="Calibri"/>
          <w:color w:val="414042"/>
        </w:rPr>
        <w:t>Around</w:t>
      </w:r>
      <w:r w:rsidRPr="00CA2CC1">
        <w:rPr>
          <w:rFonts w:cs="Calibri"/>
          <w:color w:val="414042"/>
          <w:spacing w:val="-5"/>
        </w:rPr>
        <w:t xml:space="preserve"> </w:t>
      </w:r>
      <w:r w:rsidRPr="00CA2CC1">
        <w:rPr>
          <w:rFonts w:cs="Calibri"/>
          <w:color w:val="414042"/>
        </w:rPr>
        <w:t>82%</w:t>
      </w:r>
      <w:r w:rsidRPr="00CA2CC1">
        <w:rPr>
          <w:rFonts w:cs="Calibri"/>
          <w:color w:val="414042"/>
          <w:spacing w:val="-5"/>
        </w:rPr>
        <w:t xml:space="preserve"> </w:t>
      </w:r>
      <w:r w:rsidRPr="00CA2CC1">
        <w:rPr>
          <w:rFonts w:cs="Calibri"/>
          <w:color w:val="414042"/>
        </w:rPr>
        <w:t>of</w:t>
      </w:r>
      <w:r w:rsidRPr="00CA2CC1">
        <w:rPr>
          <w:rFonts w:cs="Calibri"/>
          <w:color w:val="414042"/>
          <w:spacing w:val="-5"/>
        </w:rPr>
        <w:t xml:space="preserve"> </w:t>
      </w:r>
      <w:r w:rsidRPr="00CA2CC1">
        <w:rPr>
          <w:rFonts w:cs="Calibri"/>
          <w:color w:val="414042"/>
        </w:rPr>
        <w:t>Melburnians</w:t>
      </w:r>
      <w:r w:rsidRPr="00CA2CC1">
        <w:rPr>
          <w:rFonts w:cs="Calibri"/>
          <w:color w:val="414042"/>
          <w:spacing w:val="-5"/>
        </w:rPr>
        <w:t xml:space="preserve"> </w:t>
      </w:r>
      <w:r w:rsidRPr="00CA2CC1">
        <w:rPr>
          <w:rFonts w:cs="Calibri"/>
          <w:color w:val="414042"/>
        </w:rPr>
        <w:t>live</w:t>
      </w:r>
      <w:r w:rsidRPr="00CA2CC1">
        <w:rPr>
          <w:rFonts w:cs="Calibri"/>
          <w:color w:val="414042"/>
          <w:spacing w:val="-5"/>
        </w:rPr>
        <w:t xml:space="preserve"> </w:t>
      </w:r>
      <w:r w:rsidRPr="00CA2CC1">
        <w:rPr>
          <w:rFonts w:cs="Calibri"/>
          <w:color w:val="414042"/>
        </w:rPr>
        <w:t>within</w:t>
      </w:r>
      <w:r w:rsidRPr="00CA2CC1">
        <w:rPr>
          <w:rFonts w:cs="Calibri"/>
          <w:color w:val="414042"/>
          <w:spacing w:val="-5"/>
        </w:rPr>
        <w:t xml:space="preserve"> </w:t>
      </w:r>
      <w:r w:rsidRPr="00CA2CC1">
        <w:rPr>
          <w:rFonts w:cs="Calibri"/>
          <w:color w:val="414042"/>
        </w:rPr>
        <w:t>a</w:t>
      </w:r>
      <w:r w:rsidRPr="00CA2CC1">
        <w:rPr>
          <w:rFonts w:cs="Calibri"/>
          <w:color w:val="414042"/>
          <w:spacing w:val="-5"/>
        </w:rPr>
        <w:t xml:space="preserve"> </w:t>
      </w:r>
      <w:r w:rsidRPr="00CA2CC1">
        <w:rPr>
          <w:rFonts w:cs="Calibri"/>
          <w:color w:val="414042"/>
        </w:rPr>
        <w:t>5-minute</w:t>
      </w:r>
      <w:r w:rsidRPr="00CA2CC1">
        <w:rPr>
          <w:rFonts w:cs="Calibri"/>
          <w:color w:val="414042"/>
          <w:spacing w:val="-5"/>
        </w:rPr>
        <w:t xml:space="preserve"> </w:t>
      </w:r>
      <w:r w:rsidRPr="00CA2CC1">
        <w:rPr>
          <w:rFonts w:cs="Calibri"/>
          <w:color w:val="414042"/>
        </w:rPr>
        <w:t>walk of a bus stop, yet only 1 in 3 consider occasionally travelling by bus.</w:t>
      </w:r>
    </w:p>
    <w:p w14:paraId="2E316C70" w14:textId="77777777" w:rsidR="00FA4226" w:rsidRPr="00CA2CC1" w:rsidRDefault="00000000" w:rsidP="0043303B">
      <w:pPr>
        <w:pStyle w:val="BodyText"/>
        <w:spacing w:before="116"/>
        <w:rPr>
          <w:rFonts w:cs="Calibri"/>
        </w:rPr>
      </w:pPr>
      <w:r w:rsidRPr="00CA2CC1">
        <w:rPr>
          <w:rFonts w:cs="Calibri"/>
          <w:color w:val="414042"/>
        </w:rPr>
        <w:t>Those more likely to consider travelling by bus are much less</w:t>
      </w:r>
      <w:r w:rsidRPr="00CA2CC1">
        <w:rPr>
          <w:rFonts w:cs="Calibri"/>
          <w:color w:val="414042"/>
          <w:spacing w:val="-6"/>
        </w:rPr>
        <w:t xml:space="preserve"> </w:t>
      </w:r>
      <w:r w:rsidRPr="00CA2CC1">
        <w:rPr>
          <w:rFonts w:cs="Calibri"/>
          <w:color w:val="414042"/>
        </w:rPr>
        <w:t>likely</w:t>
      </w:r>
      <w:r w:rsidRPr="00CA2CC1">
        <w:rPr>
          <w:rFonts w:cs="Calibri"/>
          <w:color w:val="414042"/>
          <w:spacing w:val="-6"/>
        </w:rPr>
        <w:t xml:space="preserve"> </w:t>
      </w:r>
      <w:r w:rsidRPr="00CA2CC1">
        <w:rPr>
          <w:rFonts w:cs="Calibri"/>
          <w:color w:val="414042"/>
        </w:rPr>
        <w:t>to</w:t>
      </w:r>
      <w:r w:rsidRPr="00CA2CC1">
        <w:rPr>
          <w:rFonts w:cs="Calibri"/>
          <w:color w:val="414042"/>
          <w:spacing w:val="-6"/>
        </w:rPr>
        <w:t xml:space="preserve"> </w:t>
      </w:r>
      <w:r w:rsidRPr="00CA2CC1">
        <w:rPr>
          <w:rFonts w:cs="Calibri"/>
          <w:color w:val="414042"/>
        </w:rPr>
        <w:t>own</w:t>
      </w:r>
      <w:r w:rsidRPr="00CA2CC1">
        <w:rPr>
          <w:rFonts w:cs="Calibri"/>
          <w:color w:val="414042"/>
          <w:spacing w:val="-6"/>
        </w:rPr>
        <w:t xml:space="preserve"> </w:t>
      </w:r>
      <w:r w:rsidRPr="00CA2CC1">
        <w:rPr>
          <w:rFonts w:cs="Calibri"/>
          <w:color w:val="414042"/>
        </w:rPr>
        <w:t>their</w:t>
      </w:r>
      <w:r w:rsidRPr="00CA2CC1">
        <w:rPr>
          <w:rFonts w:cs="Calibri"/>
          <w:color w:val="414042"/>
          <w:spacing w:val="-6"/>
        </w:rPr>
        <w:t xml:space="preserve"> </w:t>
      </w:r>
      <w:r w:rsidRPr="00CA2CC1">
        <w:rPr>
          <w:rFonts w:cs="Calibri"/>
          <w:color w:val="414042"/>
        </w:rPr>
        <w:t>own</w:t>
      </w:r>
      <w:r w:rsidRPr="00CA2CC1">
        <w:rPr>
          <w:rFonts w:cs="Calibri"/>
          <w:color w:val="414042"/>
          <w:spacing w:val="-6"/>
        </w:rPr>
        <w:t xml:space="preserve"> </w:t>
      </w:r>
      <w:r w:rsidRPr="00CA2CC1">
        <w:rPr>
          <w:rFonts w:cs="Calibri"/>
          <w:color w:val="414042"/>
        </w:rPr>
        <w:t>car,</w:t>
      </w:r>
      <w:r w:rsidRPr="00CA2CC1">
        <w:rPr>
          <w:rFonts w:cs="Calibri"/>
          <w:color w:val="414042"/>
          <w:spacing w:val="-6"/>
        </w:rPr>
        <w:t xml:space="preserve"> </w:t>
      </w:r>
      <w:r w:rsidRPr="00CA2CC1">
        <w:rPr>
          <w:rFonts w:cs="Calibri"/>
          <w:color w:val="414042"/>
        </w:rPr>
        <w:t>are</w:t>
      </w:r>
      <w:r w:rsidRPr="00CA2CC1">
        <w:rPr>
          <w:rFonts w:cs="Calibri"/>
          <w:color w:val="414042"/>
          <w:spacing w:val="-6"/>
        </w:rPr>
        <w:t xml:space="preserve"> </w:t>
      </w:r>
      <w:r w:rsidRPr="00CA2CC1">
        <w:rPr>
          <w:rFonts w:cs="Calibri"/>
          <w:color w:val="414042"/>
        </w:rPr>
        <w:t>more</w:t>
      </w:r>
      <w:r w:rsidRPr="00CA2CC1">
        <w:rPr>
          <w:rFonts w:cs="Calibri"/>
          <w:color w:val="414042"/>
          <w:spacing w:val="-6"/>
        </w:rPr>
        <w:t xml:space="preserve"> </w:t>
      </w:r>
      <w:r w:rsidRPr="00CA2CC1">
        <w:rPr>
          <w:rFonts w:cs="Calibri"/>
          <w:color w:val="414042"/>
        </w:rPr>
        <w:t>likely</w:t>
      </w:r>
      <w:r w:rsidRPr="00CA2CC1">
        <w:rPr>
          <w:rFonts w:cs="Calibri"/>
          <w:color w:val="414042"/>
          <w:spacing w:val="-6"/>
        </w:rPr>
        <w:t xml:space="preserve"> </w:t>
      </w:r>
      <w:r w:rsidRPr="00CA2CC1">
        <w:rPr>
          <w:rFonts w:cs="Calibri"/>
          <w:color w:val="414042"/>
        </w:rPr>
        <w:t>to</w:t>
      </w:r>
      <w:r w:rsidRPr="00CA2CC1">
        <w:rPr>
          <w:rFonts w:cs="Calibri"/>
          <w:color w:val="414042"/>
          <w:spacing w:val="-6"/>
        </w:rPr>
        <w:t xml:space="preserve"> </w:t>
      </w:r>
      <w:r w:rsidRPr="00CA2CC1">
        <w:rPr>
          <w:rFonts w:cs="Calibri"/>
          <w:color w:val="414042"/>
        </w:rPr>
        <w:t>be</w:t>
      </w:r>
      <w:r w:rsidRPr="00CA2CC1">
        <w:rPr>
          <w:rFonts w:cs="Calibri"/>
          <w:color w:val="414042"/>
          <w:spacing w:val="-6"/>
        </w:rPr>
        <w:t xml:space="preserve"> </w:t>
      </w:r>
      <w:r w:rsidRPr="00CA2CC1">
        <w:rPr>
          <w:rFonts w:cs="Calibri"/>
          <w:color w:val="414042"/>
        </w:rPr>
        <w:t>from a lower income household and are more likely to come from a culturally and linguistically diverse background.</w:t>
      </w:r>
    </w:p>
    <w:p w14:paraId="3919D323" w14:textId="77777777" w:rsidR="00FA4226" w:rsidRPr="00CA2CC1" w:rsidRDefault="00FA4226" w:rsidP="0043303B">
      <w:pPr>
        <w:rPr>
          <w:rFonts w:cs="Calibri"/>
        </w:rPr>
        <w:sectPr w:rsidR="00FA4226" w:rsidRPr="00CA2CC1" w:rsidSect="00E941A5">
          <w:type w:val="continuous"/>
          <w:pgSz w:w="11910" w:h="16840"/>
          <w:pgMar w:top="1134" w:right="1278" w:bottom="1134" w:left="1134" w:header="720" w:footer="720" w:gutter="0"/>
          <w:cols w:space="720"/>
        </w:sectPr>
      </w:pPr>
    </w:p>
    <w:p w14:paraId="5EA460EA" w14:textId="727B06C4" w:rsidR="00FA4226" w:rsidRPr="00CA2CC1" w:rsidRDefault="00C04F67" w:rsidP="0043303B">
      <w:pPr>
        <w:pStyle w:val="BodyText"/>
        <w:spacing w:before="6"/>
        <w:rPr>
          <w:rFonts w:cs="Calibri"/>
        </w:rPr>
      </w:pPr>
      <w:r w:rsidRPr="00CA2CC1">
        <w:rPr>
          <w:rFonts w:cs="Calibri"/>
          <w:noProof/>
        </w:rPr>
        <w:drawing>
          <wp:inline distT="0" distB="0" distL="0" distR="0" wp14:anchorId="74BF8E9A" wp14:editId="43FFBD7A">
            <wp:extent cx="6031230" cy="1783715"/>
            <wp:effectExtent l="0" t="0" r="1270" b="0"/>
            <wp:docPr id="613921434" name="Picture 1" descr="A graphic of buildings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921434" name="Picture 1" descr="A graphic of buildings and tree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31230" cy="1783715"/>
                    </a:xfrm>
                    <a:prstGeom prst="rect">
                      <a:avLst/>
                    </a:prstGeom>
                  </pic:spPr>
                </pic:pic>
              </a:graphicData>
            </a:graphic>
          </wp:inline>
        </w:drawing>
      </w:r>
    </w:p>
    <w:p w14:paraId="09E2030E" w14:textId="5A5B4A2D" w:rsidR="00FA4226" w:rsidRPr="00CA2CC1" w:rsidRDefault="00000000" w:rsidP="0043303B">
      <w:pPr>
        <w:pStyle w:val="BodyText"/>
        <w:spacing w:before="70"/>
        <w:rPr>
          <w:rFonts w:cs="Calibri"/>
        </w:rPr>
      </w:pPr>
      <w:r w:rsidRPr="00CA2CC1">
        <w:rPr>
          <w:rFonts w:cs="Calibri"/>
          <w:color w:val="414042"/>
        </w:rPr>
        <w:t>Commuters</w:t>
      </w:r>
      <w:r w:rsidRPr="00CA2CC1">
        <w:rPr>
          <w:rFonts w:cs="Calibri"/>
          <w:color w:val="414042"/>
          <w:spacing w:val="-5"/>
        </w:rPr>
        <w:t xml:space="preserve"> </w:t>
      </w:r>
      <w:r w:rsidRPr="00CA2CC1">
        <w:rPr>
          <w:rFonts w:cs="Calibri"/>
          <w:color w:val="414042"/>
        </w:rPr>
        <w:t>are</w:t>
      </w:r>
      <w:r w:rsidRPr="00CA2CC1">
        <w:rPr>
          <w:rFonts w:cs="Calibri"/>
          <w:color w:val="414042"/>
          <w:spacing w:val="-5"/>
        </w:rPr>
        <w:t xml:space="preserve"> </w:t>
      </w:r>
      <w:r w:rsidRPr="00CA2CC1">
        <w:rPr>
          <w:rFonts w:cs="Calibri"/>
          <w:color w:val="414042"/>
        </w:rPr>
        <w:t>willing</w:t>
      </w:r>
      <w:r w:rsidRPr="00CA2CC1">
        <w:rPr>
          <w:rFonts w:cs="Calibri"/>
          <w:color w:val="414042"/>
          <w:spacing w:val="-5"/>
        </w:rPr>
        <w:t xml:space="preserve"> </w:t>
      </w:r>
      <w:r w:rsidRPr="00CA2CC1">
        <w:rPr>
          <w:rFonts w:cs="Calibri"/>
          <w:color w:val="414042"/>
        </w:rPr>
        <w:t>to</w:t>
      </w:r>
      <w:r w:rsidRPr="00CA2CC1">
        <w:rPr>
          <w:rFonts w:cs="Calibri"/>
          <w:color w:val="414042"/>
          <w:spacing w:val="-5"/>
        </w:rPr>
        <w:t xml:space="preserve"> </w:t>
      </w:r>
      <w:r w:rsidRPr="00CA2CC1">
        <w:rPr>
          <w:rFonts w:cs="Calibri"/>
          <w:color w:val="414042"/>
        </w:rPr>
        <w:t>make</w:t>
      </w:r>
      <w:r w:rsidRPr="00CA2CC1">
        <w:rPr>
          <w:rFonts w:cs="Calibri"/>
          <w:color w:val="414042"/>
          <w:spacing w:val="-5"/>
        </w:rPr>
        <w:t xml:space="preserve"> </w:t>
      </w:r>
      <w:r w:rsidRPr="00CA2CC1">
        <w:rPr>
          <w:rFonts w:cs="Calibri"/>
          <w:color w:val="414042"/>
        </w:rPr>
        <w:t>trade-offs</w:t>
      </w:r>
      <w:r w:rsidRPr="00CA2CC1">
        <w:rPr>
          <w:rFonts w:cs="Calibri"/>
          <w:color w:val="414042"/>
          <w:spacing w:val="-5"/>
        </w:rPr>
        <w:t xml:space="preserve"> </w:t>
      </w:r>
      <w:r w:rsidRPr="00CA2CC1">
        <w:rPr>
          <w:rFonts w:cs="Calibri"/>
          <w:color w:val="414042"/>
        </w:rPr>
        <w:t>in</w:t>
      </w:r>
      <w:r w:rsidRPr="00CA2CC1">
        <w:rPr>
          <w:rFonts w:cs="Calibri"/>
          <w:color w:val="414042"/>
          <w:spacing w:val="-5"/>
        </w:rPr>
        <w:t xml:space="preserve"> </w:t>
      </w:r>
      <w:r w:rsidRPr="00CA2CC1">
        <w:rPr>
          <w:rFonts w:cs="Calibri"/>
          <w:color w:val="414042"/>
        </w:rPr>
        <w:t>exchange</w:t>
      </w:r>
      <w:r w:rsidRPr="00CA2CC1">
        <w:rPr>
          <w:rFonts w:cs="Calibri"/>
          <w:color w:val="414042"/>
          <w:spacing w:val="-5"/>
        </w:rPr>
        <w:t xml:space="preserve"> </w:t>
      </w:r>
      <w:r w:rsidRPr="00CA2CC1">
        <w:rPr>
          <w:rFonts w:cs="Calibri"/>
          <w:color w:val="414042"/>
        </w:rPr>
        <w:t>for</w:t>
      </w:r>
      <w:r w:rsidRPr="00CA2CC1">
        <w:rPr>
          <w:rFonts w:cs="Calibri"/>
          <w:color w:val="414042"/>
          <w:spacing w:val="-5"/>
        </w:rPr>
        <w:t xml:space="preserve"> </w:t>
      </w:r>
      <w:r w:rsidRPr="00CA2CC1">
        <w:rPr>
          <w:rFonts w:cs="Calibri"/>
          <w:color w:val="414042"/>
        </w:rPr>
        <w:t>a better bus service. For example, people are willing to walk 10 minutes instead of 5 minutes to a bus stop if their trip is around 10% faster, or if the bus comes every 20 minutes instead of every 30.</w:t>
      </w:r>
    </w:p>
    <w:p w14:paraId="3D99E979" w14:textId="77777777" w:rsidR="00FA4226" w:rsidRPr="00CA2CC1" w:rsidRDefault="00FA4226" w:rsidP="0043303B">
      <w:pPr>
        <w:rPr>
          <w:rFonts w:cs="Calibri"/>
        </w:rPr>
      </w:pPr>
    </w:p>
    <w:p w14:paraId="3E9BEDD4" w14:textId="72896C70" w:rsidR="00C04F67" w:rsidRPr="00CA2CC1" w:rsidRDefault="00C04F67" w:rsidP="0043303B">
      <w:pPr>
        <w:rPr>
          <w:rFonts w:cs="Calibri"/>
        </w:rPr>
        <w:sectPr w:rsidR="00C04F67" w:rsidRPr="00CA2CC1" w:rsidSect="00E941A5">
          <w:type w:val="continuous"/>
          <w:pgSz w:w="11910" w:h="16840"/>
          <w:pgMar w:top="1134" w:right="1278" w:bottom="1134" w:left="1134" w:header="720" w:footer="720" w:gutter="0"/>
          <w:cols w:space="720"/>
        </w:sectPr>
      </w:pPr>
      <w:r w:rsidRPr="00CA2CC1">
        <w:rPr>
          <w:rFonts w:cs="Calibri"/>
          <w:noProof/>
        </w:rPr>
        <w:drawing>
          <wp:inline distT="0" distB="0" distL="0" distR="0" wp14:anchorId="1D1204BE" wp14:editId="0101FAD0">
            <wp:extent cx="6031230" cy="1518920"/>
            <wp:effectExtent l="0" t="0" r="1270" b="5080"/>
            <wp:docPr id="119215263" name="Picture 2" descr="A white background with pink text and a b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15263" name="Picture 2" descr="A white background with pink text and a bus&#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31230" cy="1518920"/>
                    </a:xfrm>
                    <a:prstGeom prst="rect">
                      <a:avLst/>
                    </a:prstGeom>
                  </pic:spPr>
                </pic:pic>
              </a:graphicData>
            </a:graphic>
          </wp:inline>
        </w:drawing>
      </w:r>
    </w:p>
    <w:p w14:paraId="7EFFAB43" w14:textId="77777777" w:rsidR="00FA4226" w:rsidRPr="00CA2CC1" w:rsidRDefault="00000000" w:rsidP="0043303B">
      <w:pPr>
        <w:pStyle w:val="BodyText"/>
        <w:spacing w:before="71"/>
        <w:rPr>
          <w:rFonts w:cs="Calibri"/>
        </w:rPr>
      </w:pPr>
      <w:r w:rsidRPr="00CA2CC1">
        <w:rPr>
          <w:rFonts w:cs="Calibri"/>
          <w:color w:val="414042"/>
        </w:rPr>
        <w:lastRenderedPageBreak/>
        <w:t>Our choice model confirmed an increased challenge for older</w:t>
      </w:r>
      <w:r w:rsidRPr="00CA2CC1">
        <w:rPr>
          <w:rFonts w:cs="Calibri"/>
          <w:color w:val="414042"/>
          <w:spacing w:val="-6"/>
        </w:rPr>
        <w:t xml:space="preserve"> </w:t>
      </w:r>
      <w:r w:rsidRPr="00CA2CC1">
        <w:rPr>
          <w:rFonts w:cs="Calibri"/>
          <w:color w:val="414042"/>
        </w:rPr>
        <w:t>Melburnians</w:t>
      </w:r>
      <w:r w:rsidRPr="00CA2CC1">
        <w:rPr>
          <w:rFonts w:cs="Calibri"/>
          <w:color w:val="414042"/>
          <w:spacing w:val="-6"/>
        </w:rPr>
        <w:t xml:space="preserve"> </w:t>
      </w:r>
      <w:r w:rsidRPr="00CA2CC1">
        <w:rPr>
          <w:rFonts w:cs="Calibri"/>
          <w:color w:val="414042"/>
        </w:rPr>
        <w:t>and</w:t>
      </w:r>
      <w:r w:rsidRPr="00CA2CC1">
        <w:rPr>
          <w:rFonts w:cs="Calibri"/>
          <w:color w:val="414042"/>
          <w:spacing w:val="-6"/>
        </w:rPr>
        <w:t xml:space="preserve"> </w:t>
      </w:r>
      <w:r w:rsidRPr="00CA2CC1">
        <w:rPr>
          <w:rFonts w:cs="Calibri"/>
          <w:color w:val="414042"/>
        </w:rPr>
        <w:t>those</w:t>
      </w:r>
      <w:r w:rsidRPr="00CA2CC1">
        <w:rPr>
          <w:rFonts w:cs="Calibri"/>
          <w:color w:val="414042"/>
          <w:spacing w:val="-6"/>
        </w:rPr>
        <w:t xml:space="preserve"> </w:t>
      </w:r>
      <w:r w:rsidRPr="00CA2CC1">
        <w:rPr>
          <w:rFonts w:cs="Calibri"/>
          <w:color w:val="414042"/>
        </w:rPr>
        <w:t>with</w:t>
      </w:r>
      <w:r w:rsidRPr="00CA2CC1">
        <w:rPr>
          <w:rFonts w:cs="Calibri"/>
          <w:color w:val="414042"/>
          <w:spacing w:val="-6"/>
        </w:rPr>
        <w:t xml:space="preserve"> </w:t>
      </w:r>
      <w:r w:rsidRPr="00CA2CC1">
        <w:rPr>
          <w:rFonts w:cs="Calibri"/>
          <w:color w:val="414042"/>
        </w:rPr>
        <w:t>mobility</w:t>
      </w:r>
      <w:r w:rsidRPr="00CA2CC1">
        <w:rPr>
          <w:rFonts w:cs="Calibri"/>
          <w:color w:val="414042"/>
          <w:spacing w:val="-6"/>
        </w:rPr>
        <w:t xml:space="preserve"> </w:t>
      </w:r>
      <w:r w:rsidRPr="00CA2CC1">
        <w:rPr>
          <w:rFonts w:cs="Calibri"/>
          <w:color w:val="414042"/>
        </w:rPr>
        <w:t>challenges</w:t>
      </w:r>
      <w:r w:rsidRPr="00CA2CC1">
        <w:rPr>
          <w:rFonts w:cs="Calibri"/>
          <w:color w:val="414042"/>
          <w:spacing w:val="-6"/>
        </w:rPr>
        <w:t xml:space="preserve"> </w:t>
      </w:r>
      <w:r w:rsidRPr="00CA2CC1">
        <w:rPr>
          <w:rFonts w:cs="Calibri"/>
          <w:color w:val="414042"/>
        </w:rPr>
        <w:t>when it came to increasing walking distances – an important factor to consider as part of bus reform.</w:t>
      </w:r>
    </w:p>
    <w:p w14:paraId="315A33F5" w14:textId="77777777" w:rsidR="00FA4226" w:rsidRPr="00CA2CC1" w:rsidRDefault="00000000" w:rsidP="0043303B">
      <w:pPr>
        <w:pStyle w:val="BodyText"/>
        <w:spacing w:before="115"/>
        <w:rPr>
          <w:rFonts w:cs="Calibri"/>
        </w:rPr>
      </w:pPr>
      <w:r w:rsidRPr="00CA2CC1">
        <w:rPr>
          <w:rFonts w:cs="Calibri"/>
          <w:color w:val="414042"/>
        </w:rPr>
        <w:t>Combined</w:t>
      </w:r>
      <w:r w:rsidRPr="00CA2CC1">
        <w:rPr>
          <w:rFonts w:cs="Calibri"/>
          <w:color w:val="414042"/>
          <w:spacing w:val="-7"/>
        </w:rPr>
        <w:t xml:space="preserve"> </w:t>
      </w:r>
      <w:r w:rsidRPr="00CA2CC1">
        <w:rPr>
          <w:rFonts w:cs="Calibri"/>
          <w:color w:val="414042"/>
        </w:rPr>
        <w:t>with</w:t>
      </w:r>
      <w:r w:rsidRPr="00CA2CC1">
        <w:rPr>
          <w:rFonts w:cs="Calibri"/>
          <w:color w:val="414042"/>
          <w:spacing w:val="-7"/>
        </w:rPr>
        <w:t xml:space="preserve"> </w:t>
      </w:r>
      <w:r w:rsidRPr="00CA2CC1">
        <w:rPr>
          <w:rFonts w:cs="Calibri"/>
          <w:color w:val="414042"/>
        </w:rPr>
        <w:t>improved</w:t>
      </w:r>
      <w:r w:rsidRPr="00CA2CC1">
        <w:rPr>
          <w:rFonts w:cs="Calibri"/>
          <w:color w:val="414042"/>
          <w:spacing w:val="-7"/>
        </w:rPr>
        <w:t xml:space="preserve"> </w:t>
      </w:r>
      <w:r w:rsidRPr="00CA2CC1">
        <w:rPr>
          <w:rFonts w:cs="Calibri"/>
          <w:color w:val="414042"/>
        </w:rPr>
        <w:t>services,</w:t>
      </w:r>
      <w:r w:rsidRPr="00CA2CC1">
        <w:rPr>
          <w:rFonts w:cs="Calibri"/>
          <w:color w:val="414042"/>
          <w:spacing w:val="-7"/>
        </w:rPr>
        <w:t xml:space="preserve"> </w:t>
      </w:r>
      <w:r w:rsidRPr="00CA2CC1">
        <w:rPr>
          <w:rFonts w:cs="Calibri"/>
          <w:color w:val="414042"/>
        </w:rPr>
        <w:t>cheaper</w:t>
      </w:r>
      <w:r w:rsidRPr="00CA2CC1">
        <w:rPr>
          <w:rFonts w:cs="Calibri"/>
          <w:color w:val="414042"/>
          <w:spacing w:val="-7"/>
        </w:rPr>
        <w:t xml:space="preserve"> </w:t>
      </w:r>
      <w:r w:rsidRPr="00CA2CC1">
        <w:rPr>
          <w:rFonts w:cs="Calibri"/>
          <w:color w:val="414042"/>
        </w:rPr>
        <w:t>bus</w:t>
      </w:r>
      <w:r w:rsidRPr="00CA2CC1">
        <w:rPr>
          <w:rFonts w:cs="Calibri"/>
          <w:color w:val="414042"/>
          <w:spacing w:val="-7"/>
        </w:rPr>
        <w:t xml:space="preserve"> </w:t>
      </w:r>
      <w:r w:rsidRPr="00CA2CC1">
        <w:rPr>
          <w:rFonts w:cs="Calibri"/>
          <w:color w:val="414042"/>
        </w:rPr>
        <w:t>fares</w:t>
      </w:r>
      <w:r w:rsidRPr="00CA2CC1">
        <w:rPr>
          <w:rFonts w:cs="Calibri"/>
          <w:color w:val="414042"/>
          <w:spacing w:val="-7"/>
        </w:rPr>
        <w:t xml:space="preserve"> </w:t>
      </w:r>
      <w:r w:rsidRPr="00CA2CC1">
        <w:rPr>
          <w:rFonts w:cs="Calibri"/>
          <w:color w:val="414042"/>
        </w:rPr>
        <w:t>can be</w:t>
      </w:r>
      <w:r w:rsidRPr="00CA2CC1">
        <w:rPr>
          <w:rFonts w:cs="Calibri"/>
          <w:color w:val="414042"/>
          <w:spacing w:val="-3"/>
        </w:rPr>
        <w:t xml:space="preserve"> </w:t>
      </w:r>
      <w:r w:rsidRPr="00CA2CC1">
        <w:rPr>
          <w:rFonts w:cs="Calibri"/>
          <w:color w:val="414042"/>
        </w:rPr>
        <w:t>a</w:t>
      </w:r>
      <w:r w:rsidRPr="00CA2CC1">
        <w:rPr>
          <w:rFonts w:cs="Calibri"/>
          <w:color w:val="414042"/>
          <w:spacing w:val="-3"/>
        </w:rPr>
        <w:t xml:space="preserve"> </w:t>
      </w:r>
      <w:r w:rsidRPr="00CA2CC1">
        <w:rPr>
          <w:rFonts w:cs="Calibri"/>
          <w:color w:val="414042"/>
        </w:rPr>
        <w:t>powerful</w:t>
      </w:r>
      <w:r w:rsidRPr="00CA2CC1">
        <w:rPr>
          <w:rFonts w:cs="Calibri"/>
          <w:color w:val="414042"/>
          <w:spacing w:val="-3"/>
        </w:rPr>
        <w:t xml:space="preserve"> </w:t>
      </w:r>
      <w:r w:rsidRPr="00CA2CC1">
        <w:rPr>
          <w:rFonts w:cs="Calibri"/>
          <w:color w:val="414042"/>
        </w:rPr>
        <w:t>tool</w:t>
      </w:r>
      <w:r w:rsidRPr="00CA2CC1">
        <w:rPr>
          <w:rFonts w:cs="Calibri"/>
          <w:color w:val="414042"/>
          <w:spacing w:val="-3"/>
        </w:rPr>
        <w:t xml:space="preserve"> </w:t>
      </w:r>
      <w:r w:rsidRPr="00CA2CC1">
        <w:rPr>
          <w:rFonts w:cs="Calibri"/>
          <w:color w:val="414042"/>
        </w:rPr>
        <w:t>to</w:t>
      </w:r>
      <w:r w:rsidRPr="00CA2CC1">
        <w:rPr>
          <w:rFonts w:cs="Calibri"/>
          <w:color w:val="414042"/>
          <w:spacing w:val="-3"/>
        </w:rPr>
        <w:t xml:space="preserve"> </w:t>
      </w:r>
      <w:r w:rsidRPr="00CA2CC1">
        <w:rPr>
          <w:rFonts w:cs="Calibri"/>
          <w:color w:val="414042"/>
        </w:rPr>
        <w:t>incentivise</w:t>
      </w:r>
      <w:r w:rsidRPr="00CA2CC1">
        <w:rPr>
          <w:rFonts w:cs="Calibri"/>
          <w:color w:val="414042"/>
          <w:spacing w:val="-3"/>
        </w:rPr>
        <w:t xml:space="preserve"> </w:t>
      </w:r>
      <w:r w:rsidRPr="00CA2CC1">
        <w:rPr>
          <w:rFonts w:cs="Calibri"/>
          <w:color w:val="414042"/>
        </w:rPr>
        <w:t>bus</w:t>
      </w:r>
      <w:r w:rsidRPr="00CA2CC1">
        <w:rPr>
          <w:rFonts w:cs="Calibri"/>
          <w:color w:val="414042"/>
          <w:spacing w:val="-3"/>
        </w:rPr>
        <w:t xml:space="preserve"> </w:t>
      </w:r>
      <w:r w:rsidRPr="00CA2CC1">
        <w:rPr>
          <w:rFonts w:cs="Calibri"/>
          <w:color w:val="414042"/>
        </w:rPr>
        <w:t>travel.</w:t>
      </w:r>
      <w:r w:rsidRPr="00CA2CC1">
        <w:rPr>
          <w:rFonts w:cs="Calibri"/>
          <w:color w:val="414042"/>
          <w:spacing w:val="-3"/>
        </w:rPr>
        <w:t xml:space="preserve"> </w:t>
      </w:r>
      <w:r w:rsidRPr="00CA2CC1">
        <w:rPr>
          <w:rFonts w:cs="Calibri"/>
          <w:color w:val="414042"/>
        </w:rPr>
        <w:t>We</w:t>
      </w:r>
      <w:r w:rsidRPr="00CA2CC1">
        <w:rPr>
          <w:rFonts w:cs="Calibri"/>
          <w:color w:val="414042"/>
          <w:spacing w:val="-3"/>
        </w:rPr>
        <w:t xml:space="preserve"> </w:t>
      </w:r>
      <w:r w:rsidRPr="00CA2CC1">
        <w:rPr>
          <w:rFonts w:cs="Calibri"/>
          <w:color w:val="414042"/>
        </w:rPr>
        <w:t>found</w:t>
      </w:r>
      <w:r w:rsidRPr="00CA2CC1">
        <w:rPr>
          <w:rFonts w:cs="Calibri"/>
          <w:color w:val="414042"/>
          <w:spacing w:val="-3"/>
        </w:rPr>
        <w:t xml:space="preserve"> </w:t>
      </w:r>
      <w:r w:rsidRPr="00CA2CC1">
        <w:rPr>
          <w:rFonts w:cs="Calibri"/>
          <w:color w:val="414042"/>
        </w:rPr>
        <w:t>that every $1 in reduction in fares could increase patronage</w:t>
      </w:r>
      <w:r w:rsidRPr="00CA2CC1">
        <w:rPr>
          <w:rFonts w:cs="Calibri"/>
          <w:color w:val="414042"/>
          <w:spacing w:val="40"/>
        </w:rPr>
        <w:t xml:space="preserve"> </w:t>
      </w:r>
      <w:r w:rsidRPr="00CA2CC1">
        <w:rPr>
          <w:rFonts w:cs="Calibri"/>
          <w:color w:val="414042"/>
        </w:rPr>
        <w:t>by up to 19%.</w:t>
      </w:r>
    </w:p>
    <w:p w14:paraId="6C881930" w14:textId="7D659597" w:rsidR="00FA4226" w:rsidRPr="00CA2CC1" w:rsidRDefault="00000000" w:rsidP="0043303B">
      <w:pPr>
        <w:pStyle w:val="BodyText"/>
        <w:spacing w:before="71"/>
        <w:rPr>
          <w:rFonts w:cs="Calibri"/>
        </w:rPr>
      </w:pPr>
      <w:r w:rsidRPr="00CA2CC1">
        <w:rPr>
          <w:rFonts w:cs="Calibri"/>
          <w:color w:val="414042"/>
        </w:rPr>
        <w:t>Simplifying bus networks, providing better network information, and real-time bus tracking could make</w:t>
      </w:r>
      <w:r w:rsidRPr="00CA2CC1">
        <w:rPr>
          <w:rFonts w:cs="Calibri"/>
          <w:color w:val="414042"/>
          <w:spacing w:val="40"/>
        </w:rPr>
        <w:t xml:space="preserve"> </w:t>
      </w:r>
      <w:r w:rsidRPr="00CA2CC1">
        <w:rPr>
          <w:rFonts w:cs="Calibri"/>
          <w:color w:val="414042"/>
        </w:rPr>
        <w:t>buses easier and more convenient. More direct services routes</w:t>
      </w:r>
      <w:r w:rsidRPr="00CA2CC1">
        <w:rPr>
          <w:rFonts w:cs="Calibri"/>
          <w:color w:val="414042"/>
          <w:spacing w:val="-5"/>
        </w:rPr>
        <w:t xml:space="preserve"> </w:t>
      </w:r>
      <w:r w:rsidRPr="00CA2CC1">
        <w:rPr>
          <w:rFonts w:cs="Calibri"/>
          <w:color w:val="414042"/>
        </w:rPr>
        <w:t>that</w:t>
      </w:r>
      <w:r w:rsidRPr="00CA2CC1">
        <w:rPr>
          <w:rFonts w:cs="Calibri"/>
          <w:color w:val="414042"/>
          <w:spacing w:val="-5"/>
        </w:rPr>
        <w:t xml:space="preserve"> </w:t>
      </w:r>
      <w:r w:rsidRPr="00CA2CC1">
        <w:rPr>
          <w:rFonts w:cs="Calibri"/>
          <w:color w:val="414042"/>
        </w:rPr>
        <w:t>are</w:t>
      </w:r>
      <w:r w:rsidRPr="00CA2CC1">
        <w:rPr>
          <w:rFonts w:cs="Calibri"/>
          <w:color w:val="414042"/>
          <w:spacing w:val="-5"/>
        </w:rPr>
        <w:t xml:space="preserve"> </w:t>
      </w:r>
      <w:r w:rsidRPr="00CA2CC1">
        <w:rPr>
          <w:rFonts w:cs="Calibri"/>
          <w:color w:val="414042"/>
        </w:rPr>
        <w:t>part</w:t>
      </w:r>
      <w:r w:rsidRPr="00CA2CC1">
        <w:rPr>
          <w:rFonts w:cs="Calibri"/>
          <w:color w:val="414042"/>
          <w:spacing w:val="-5"/>
        </w:rPr>
        <w:t xml:space="preserve"> </w:t>
      </w:r>
      <w:r w:rsidRPr="00CA2CC1">
        <w:rPr>
          <w:rFonts w:cs="Calibri"/>
          <w:color w:val="414042"/>
        </w:rPr>
        <w:t>of</w:t>
      </w:r>
      <w:r w:rsidRPr="00CA2CC1">
        <w:rPr>
          <w:rFonts w:cs="Calibri"/>
          <w:color w:val="414042"/>
          <w:spacing w:val="-5"/>
        </w:rPr>
        <w:t xml:space="preserve"> </w:t>
      </w:r>
      <w:r w:rsidRPr="00CA2CC1">
        <w:rPr>
          <w:rFonts w:cs="Calibri"/>
          <w:color w:val="414042"/>
        </w:rPr>
        <w:t>a</w:t>
      </w:r>
      <w:r w:rsidRPr="00CA2CC1">
        <w:rPr>
          <w:rFonts w:cs="Calibri"/>
          <w:color w:val="414042"/>
          <w:spacing w:val="-5"/>
        </w:rPr>
        <w:t xml:space="preserve"> </w:t>
      </w:r>
      <w:r w:rsidRPr="00CA2CC1">
        <w:rPr>
          <w:rFonts w:cs="Calibri"/>
          <w:color w:val="414042"/>
        </w:rPr>
        <w:t>wider,</w:t>
      </w:r>
      <w:r w:rsidRPr="00CA2CC1">
        <w:rPr>
          <w:rFonts w:cs="Calibri"/>
          <w:color w:val="414042"/>
          <w:spacing w:val="-5"/>
        </w:rPr>
        <w:t xml:space="preserve"> </w:t>
      </w:r>
      <w:r w:rsidRPr="00CA2CC1">
        <w:rPr>
          <w:rFonts w:cs="Calibri"/>
          <w:color w:val="414042"/>
        </w:rPr>
        <w:t>integrated</w:t>
      </w:r>
      <w:r w:rsidRPr="00CA2CC1">
        <w:rPr>
          <w:rFonts w:cs="Calibri"/>
          <w:color w:val="414042"/>
          <w:spacing w:val="-5"/>
        </w:rPr>
        <w:t xml:space="preserve"> </w:t>
      </w:r>
      <w:r w:rsidRPr="00CA2CC1">
        <w:rPr>
          <w:rFonts w:cs="Calibri"/>
          <w:color w:val="414042"/>
        </w:rPr>
        <w:t>public</w:t>
      </w:r>
      <w:r w:rsidRPr="00CA2CC1">
        <w:rPr>
          <w:rFonts w:cs="Calibri"/>
          <w:color w:val="414042"/>
          <w:spacing w:val="-5"/>
        </w:rPr>
        <w:t xml:space="preserve"> </w:t>
      </w:r>
      <w:r w:rsidRPr="00CA2CC1">
        <w:rPr>
          <w:rFonts w:cs="Calibri"/>
          <w:color w:val="414042"/>
        </w:rPr>
        <w:t>transport network</w:t>
      </w:r>
      <w:r w:rsidRPr="00CA2CC1">
        <w:rPr>
          <w:rFonts w:cs="Calibri"/>
          <w:color w:val="414042"/>
          <w:spacing w:val="-5"/>
        </w:rPr>
        <w:t xml:space="preserve"> </w:t>
      </w:r>
      <w:r w:rsidRPr="00CA2CC1">
        <w:rPr>
          <w:rFonts w:cs="Calibri"/>
          <w:color w:val="414042"/>
        </w:rPr>
        <w:t>will</w:t>
      </w:r>
      <w:r w:rsidRPr="00CA2CC1">
        <w:rPr>
          <w:rFonts w:cs="Calibri"/>
          <w:color w:val="414042"/>
          <w:spacing w:val="-5"/>
        </w:rPr>
        <w:t xml:space="preserve"> </w:t>
      </w:r>
      <w:r w:rsidRPr="00CA2CC1">
        <w:rPr>
          <w:rFonts w:cs="Calibri"/>
          <w:color w:val="414042"/>
        </w:rPr>
        <w:t>enable</w:t>
      </w:r>
      <w:r w:rsidRPr="00CA2CC1">
        <w:rPr>
          <w:rFonts w:cs="Calibri"/>
          <w:color w:val="414042"/>
          <w:spacing w:val="-5"/>
        </w:rPr>
        <w:t xml:space="preserve"> </w:t>
      </w:r>
      <w:r w:rsidRPr="00CA2CC1">
        <w:rPr>
          <w:rFonts w:cs="Calibri"/>
          <w:color w:val="414042"/>
        </w:rPr>
        <w:t>connectivity</w:t>
      </w:r>
      <w:r w:rsidRPr="00CA2CC1">
        <w:rPr>
          <w:rFonts w:cs="Calibri"/>
          <w:color w:val="414042"/>
          <w:spacing w:val="-5"/>
        </w:rPr>
        <w:t xml:space="preserve"> </w:t>
      </w:r>
      <w:r w:rsidRPr="00CA2CC1">
        <w:rPr>
          <w:rFonts w:cs="Calibri"/>
          <w:color w:val="414042"/>
        </w:rPr>
        <w:t>between</w:t>
      </w:r>
      <w:r w:rsidRPr="00CA2CC1">
        <w:rPr>
          <w:rFonts w:cs="Calibri"/>
          <w:color w:val="414042"/>
          <w:spacing w:val="-5"/>
        </w:rPr>
        <w:t xml:space="preserve"> </w:t>
      </w:r>
      <w:r w:rsidRPr="00CA2CC1">
        <w:rPr>
          <w:rFonts w:cs="Calibri"/>
          <w:color w:val="414042"/>
        </w:rPr>
        <w:t>a</w:t>
      </w:r>
      <w:r w:rsidRPr="00CA2CC1">
        <w:rPr>
          <w:rFonts w:cs="Calibri"/>
          <w:color w:val="414042"/>
          <w:spacing w:val="-5"/>
        </w:rPr>
        <w:t xml:space="preserve"> </w:t>
      </w:r>
      <w:r w:rsidRPr="00CA2CC1">
        <w:rPr>
          <w:rFonts w:cs="Calibri"/>
          <w:color w:val="414042"/>
        </w:rPr>
        <w:t>larger</w:t>
      </w:r>
      <w:r w:rsidRPr="00CA2CC1">
        <w:rPr>
          <w:rFonts w:cs="Calibri"/>
          <w:color w:val="414042"/>
          <w:spacing w:val="-5"/>
        </w:rPr>
        <w:t xml:space="preserve"> </w:t>
      </w:r>
      <w:r w:rsidRPr="00CA2CC1">
        <w:rPr>
          <w:rFonts w:cs="Calibri"/>
          <w:color w:val="414042"/>
        </w:rPr>
        <w:t>number of destinations.</w:t>
      </w:r>
    </w:p>
    <w:p w14:paraId="49FBE5CE" w14:textId="77777777" w:rsidR="00FA4226" w:rsidRPr="00CA2CC1" w:rsidRDefault="00FA4226" w:rsidP="0043303B">
      <w:pPr>
        <w:rPr>
          <w:rFonts w:cs="Calibri"/>
        </w:rPr>
      </w:pPr>
    </w:p>
    <w:p w14:paraId="02C59112" w14:textId="77777777" w:rsidR="00C375BF" w:rsidRPr="00CA2CC1" w:rsidRDefault="00C04F67" w:rsidP="00C375BF">
      <w:pPr>
        <w:rPr>
          <w:rFonts w:cs="Calibri"/>
        </w:rPr>
      </w:pPr>
      <w:r w:rsidRPr="00CA2CC1">
        <w:rPr>
          <w:rFonts w:cs="Calibri"/>
          <w:noProof/>
        </w:rPr>
        <w:drawing>
          <wp:inline distT="0" distB="0" distL="0" distR="0" wp14:anchorId="1C53A3F1" wp14:editId="5914760F">
            <wp:extent cx="6031230" cy="1783715"/>
            <wp:effectExtent l="0" t="0" r="1270" b="0"/>
            <wp:docPr id="1319032584"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032584" name="Picture 3" descr="A screenshot of a cell phon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31230" cy="1783715"/>
                    </a:xfrm>
                    <a:prstGeom prst="rect">
                      <a:avLst/>
                    </a:prstGeom>
                  </pic:spPr>
                </pic:pic>
              </a:graphicData>
            </a:graphic>
          </wp:inline>
        </w:drawing>
      </w:r>
      <w:bookmarkStart w:id="26" w:name="Towards_2050:_gas_infrastructure__in_a_z"/>
      <w:bookmarkStart w:id="27" w:name="_bookmark12"/>
      <w:bookmarkEnd w:id="26"/>
      <w:bookmarkEnd w:id="27"/>
    </w:p>
    <w:p w14:paraId="72A75E99" w14:textId="77777777" w:rsidR="00C375BF" w:rsidRPr="00CA2CC1" w:rsidRDefault="00C375BF" w:rsidP="00C375BF">
      <w:pPr>
        <w:rPr>
          <w:rFonts w:cs="Calibri"/>
        </w:rPr>
      </w:pPr>
    </w:p>
    <w:p w14:paraId="23E99E57" w14:textId="77777777" w:rsidR="00973133" w:rsidRPr="00CA2CC1" w:rsidRDefault="00973133" w:rsidP="00C375BF">
      <w:pPr>
        <w:pStyle w:val="Heading3"/>
        <w:rPr>
          <w:rFonts w:cs="Calibri"/>
        </w:rPr>
      </w:pPr>
    </w:p>
    <w:p w14:paraId="5E9683C1" w14:textId="546C27E0" w:rsidR="00FA4226" w:rsidRPr="00CA2CC1" w:rsidRDefault="00000000" w:rsidP="00CA2CC1">
      <w:pPr>
        <w:pStyle w:val="Heading3"/>
        <w:rPr>
          <w:u w:val="single"/>
        </w:rPr>
      </w:pPr>
      <w:hyperlink r:id="rId22">
        <w:r w:rsidRPr="00CA2CC1">
          <w:rPr>
            <w:u w:val="single"/>
          </w:rPr>
          <w:t>Towards 2050: gas infrastructure</w:t>
        </w:r>
      </w:hyperlink>
      <w:r w:rsidR="00732255" w:rsidRPr="00CA2CC1">
        <w:rPr>
          <w:u w:val="single"/>
        </w:rPr>
        <w:t xml:space="preserve"> </w:t>
      </w:r>
      <w:hyperlink r:id="rId23">
        <w:r w:rsidRPr="00CA2CC1">
          <w:rPr>
            <w:u w:val="single"/>
          </w:rPr>
          <w:t>in a zero emissions economy</w:t>
        </w:r>
      </w:hyperlink>
    </w:p>
    <w:p w14:paraId="4F497CB9" w14:textId="77777777" w:rsidR="00FA4226" w:rsidRPr="00CA2CC1" w:rsidRDefault="00FA4226" w:rsidP="0043303B">
      <w:pPr>
        <w:pStyle w:val="BodyText"/>
        <w:rPr>
          <w:rFonts w:cs="Calibri"/>
          <w:sz w:val="11"/>
        </w:rPr>
      </w:pPr>
    </w:p>
    <w:p w14:paraId="5142977A" w14:textId="77777777" w:rsidR="00FA4226" w:rsidRPr="00CA2CC1" w:rsidRDefault="00FA4226" w:rsidP="0043303B">
      <w:pPr>
        <w:rPr>
          <w:rFonts w:cs="Calibri"/>
          <w:sz w:val="11"/>
        </w:rPr>
        <w:sectPr w:rsidR="00FA4226" w:rsidRPr="00CA2CC1" w:rsidSect="00E941A5">
          <w:pgSz w:w="11910" w:h="16840"/>
          <w:pgMar w:top="1134" w:right="1278" w:bottom="1134" w:left="1134" w:header="720" w:footer="720" w:gutter="0"/>
          <w:cols w:space="720"/>
        </w:sectPr>
      </w:pPr>
    </w:p>
    <w:p w14:paraId="02BA0E19" w14:textId="77777777" w:rsidR="00FA4226" w:rsidRPr="00CA2CC1" w:rsidRDefault="00000000" w:rsidP="0043303B">
      <w:pPr>
        <w:pStyle w:val="BodyText"/>
        <w:rPr>
          <w:rFonts w:cs="Calibri"/>
          <w:szCs w:val="22"/>
        </w:rPr>
      </w:pPr>
      <w:r w:rsidRPr="00CA2CC1">
        <w:rPr>
          <w:rFonts w:cs="Calibri"/>
          <w:szCs w:val="22"/>
        </w:rPr>
        <w:t>In 2021, the Victorian Government asked Infrastructure Victoria to provide advice relating to the state’s gas transmission</w:t>
      </w:r>
      <w:r w:rsidRPr="00CA2CC1">
        <w:rPr>
          <w:rFonts w:cs="Calibri"/>
          <w:spacing w:val="-6"/>
          <w:szCs w:val="22"/>
        </w:rPr>
        <w:t xml:space="preserve"> </w:t>
      </w:r>
      <w:r w:rsidRPr="00CA2CC1">
        <w:rPr>
          <w:rFonts w:cs="Calibri"/>
          <w:szCs w:val="22"/>
        </w:rPr>
        <w:t>and</w:t>
      </w:r>
      <w:r w:rsidRPr="00CA2CC1">
        <w:rPr>
          <w:rFonts w:cs="Calibri"/>
          <w:spacing w:val="-6"/>
          <w:szCs w:val="22"/>
        </w:rPr>
        <w:t xml:space="preserve"> </w:t>
      </w:r>
      <w:r w:rsidRPr="00CA2CC1">
        <w:rPr>
          <w:rFonts w:cs="Calibri"/>
          <w:szCs w:val="22"/>
        </w:rPr>
        <w:t>distribution</w:t>
      </w:r>
      <w:r w:rsidRPr="00CA2CC1">
        <w:rPr>
          <w:rFonts w:cs="Calibri"/>
          <w:spacing w:val="-6"/>
          <w:szCs w:val="22"/>
        </w:rPr>
        <w:t xml:space="preserve"> </w:t>
      </w:r>
      <w:r w:rsidRPr="00CA2CC1">
        <w:rPr>
          <w:rFonts w:cs="Calibri"/>
          <w:szCs w:val="22"/>
        </w:rPr>
        <w:t>networks</w:t>
      </w:r>
      <w:r w:rsidRPr="00CA2CC1">
        <w:rPr>
          <w:rFonts w:cs="Calibri"/>
          <w:spacing w:val="-6"/>
          <w:szCs w:val="22"/>
        </w:rPr>
        <w:t xml:space="preserve"> </w:t>
      </w:r>
      <w:r w:rsidRPr="00CA2CC1">
        <w:rPr>
          <w:rFonts w:cs="Calibri"/>
          <w:szCs w:val="22"/>
        </w:rPr>
        <w:t>under</w:t>
      </w:r>
      <w:r w:rsidRPr="00CA2CC1">
        <w:rPr>
          <w:rFonts w:cs="Calibri"/>
          <w:spacing w:val="-6"/>
          <w:szCs w:val="22"/>
        </w:rPr>
        <w:t xml:space="preserve"> </w:t>
      </w:r>
      <w:r w:rsidRPr="00CA2CC1">
        <w:rPr>
          <w:rFonts w:cs="Calibri"/>
          <w:szCs w:val="22"/>
        </w:rPr>
        <w:t>a</w:t>
      </w:r>
      <w:r w:rsidRPr="00CA2CC1">
        <w:rPr>
          <w:rFonts w:cs="Calibri"/>
          <w:spacing w:val="-6"/>
          <w:szCs w:val="22"/>
        </w:rPr>
        <w:t xml:space="preserve"> </w:t>
      </w:r>
      <w:r w:rsidRPr="00CA2CC1">
        <w:rPr>
          <w:rFonts w:cs="Calibri"/>
          <w:szCs w:val="22"/>
        </w:rPr>
        <w:t>range</w:t>
      </w:r>
      <w:r w:rsidRPr="00CA2CC1">
        <w:rPr>
          <w:rFonts w:cs="Calibri"/>
          <w:spacing w:val="-6"/>
          <w:szCs w:val="22"/>
        </w:rPr>
        <w:t xml:space="preserve"> </w:t>
      </w:r>
      <w:r w:rsidRPr="00CA2CC1">
        <w:rPr>
          <w:rFonts w:cs="Calibri"/>
          <w:szCs w:val="22"/>
        </w:rPr>
        <w:t>of 2050 energy scenarios.</w:t>
      </w:r>
    </w:p>
    <w:p w14:paraId="36BB8257" w14:textId="77777777" w:rsidR="00FA4226" w:rsidRPr="00CA2CC1" w:rsidRDefault="00000000" w:rsidP="0043303B">
      <w:pPr>
        <w:pStyle w:val="BodyText"/>
        <w:rPr>
          <w:rFonts w:cs="Calibri"/>
          <w:szCs w:val="22"/>
        </w:rPr>
      </w:pPr>
      <w:hyperlink r:id="rId24">
        <w:r w:rsidRPr="00CA2CC1">
          <w:rPr>
            <w:rFonts w:cs="Calibri"/>
            <w:i/>
            <w:szCs w:val="22"/>
          </w:rPr>
          <w:t>Towards</w:t>
        </w:r>
        <w:r w:rsidRPr="00CA2CC1">
          <w:rPr>
            <w:rFonts w:cs="Calibri"/>
            <w:i/>
            <w:spacing w:val="-1"/>
            <w:szCs w:val="22"/>
          </w:rPr>
          <w:t xml:space="preserve"> </w:t>
        </w:r>
        <w:r w:rsidRPr="00CA2CC1">
          <w:rPr>
            <w:rFonts w:cs="Calibri"/>
            <w:i/>
            <w:szCs w:val="22"/>
          </w:rPr>
          <w:t>2050:</w:t>
        </w:r>
        <w:r w:rsidRPr="00CA2CC1">
          <w:rPr>
            <w:rFonts w:cs="Calibri"/>
            <w:i/>
            <w:spacing w:val="-1"/>
            <w:szCs w:val="22"/>
          </w:rPr>
          <w:t xml:space="preserve"> </w:t>
        </w:r>
        <w:r w:rsidRPr="00CA2CC1">
          <w:rPr>
            <w:rFonts w:cs="Calibri"/>
            <w:i/>
            <w:szCs w:val="22"/>
          </w:rPr>
          <w:t>Gas</w:t>
        </w:r>
        <w:r w:rsidRPr="00CA2CC1">
          <w:rPr>
            <w:rFonts w:cs="Calibri"/>
            <w:i/>
            <w:spacing w:val="-1"/>
            <w:szCs w:val="22"/>
          </w:rPr>
          <w:t xml:space="preserve"> </w:t>
        </w:r>
        <w:r w:rsidRPr="00CA2CC1">
          <w:rPr>
            <w:rFonts w:cs="Calibri"/>
            <w:i/>
            <w:szCs w:val="22"/>
          </w:rPr>
          <w:t>infrastructure</w:t>
        </w:r>
        <w:r w:rsidRPr="00CA2CC1">
          <w:rPr>
            <w:rFonts w:cs="Calibri"/>
            <w:i/>
            <w:spacing w:val="-1"/>
            <w:szCs w:val="22"/>
          </w:rPr>
          <w:t xml:space="preserve"> </w:t>
        </w:r>
        <w:r w:rsidRPr="00CA2CC1">
          <w:rPr>
            <w:rFonts w:cs="Calibri"/>
            <w:i/>
            <w:szCs w:val="22"/>
          </w:rPr>
          <w:t>in</w:t>
        </w:r>
        <w:r w:rsidRPr="00CA2CC1">
          <w:rPr>
            <w:rFonts w:cs="Calibri"/>
            <w:i/>
            <w:spacing w:val="-1"/>
            <w:szCs w:val="22"/>
          </w:rPr>
          <w:t xml:space="preserve"> </w:t>
        </w:r>
        <w:r w:rsidRPr="00CA2CC1">
          <w:rPr>
            <w:rFonts w:cs="Calibri"/>
            <w:i/>
            <w:szCs w:val="22"/>
          </w:rPr>
          <w:t>a</w:t>
        </w:r>
        <w:r w:rsidRPr="00CA2CC1">
          <w:rPr>
            <w:rFonts w:cs="Calibri"/>
            <w:i/>
            <w:spacing w:val="-1"/>
            <w:szCs w:val="22"/>
          </w:rPr>
          <w:t xml:space="preserve"> </w:t>
        </w:r>
        <w:r w:rsidRPr="00CA2CC1">
          <w:rPr>
            <w:rFonts w:cs="Calibri"/>
            <w:i/>
            <w:szCs w:val="22"/>
          </w:rPr>
          <w:t>net</w:t>
        </w:r>
        <w:r w:rsidRPr="00CA2CC1">
          <w:rPr>
            <w:rFonts w:cs="Calibri"/>
            <w:i/>
            <w:spacing w:val="-1"/>
            <w:szCs w:val="22"/>
          </w:rPr>
          <w:t xml:space="preserve"> </w:t>
        </w:r>
        <w:r w:rsidRPr="00CA2CC1">
          <w:rPr>
            <w:rFonts w:cs="Calibri"/>
            <w:i/>
            <w:szCs w:val="22"/>
          </w:rPr>
          <w:t>zero</w:t>
        </w:r>
        <w:r w:rsidRPr="00CA2CC1">
          <w:rPr>
            <w:rFonts w:cs="Calibri"/>
            <w:i/>
            <w:spacing w:val="-1"/>
            <w:szCs w:val="22"/>
          </w:rPr>
          <w:t xml:space="preserve"> </w:t>
        </w:r>
        <w:r w:rsidRPr="00CA2CC1">
          <w:rPr>
            <w:rFonts w:cs="Calibri"/>
            <w:i/>
            <w:szCs w:val="22"/>
          </w:rPr>
          <w:t>emissions</w:t>
        </w:r>
      </w:hyperlink>
      <w:r w:rsidRPr="00CA2CC1">
        <w:rPr>
          <w:rFonts w:cs="Calibri"/>
          <w:i/>
          <w:szCs w:val="22"/>
        </w:rPr>
        <w:t xml:space="preserve"> </w:t>
      </w:r>
      <w:hyperlink r:id="rId25">
        <w:r w:rsidRPr="00CA2CC1">
          <w:rPr>
            <w:rFonts w:cs="Calibri"/>
            <w:i/>
            <w:szCs w:val="22"/>
          </w:rPr>
          <w:t>economy</w:t>
        </w:r>
        <w:r w:rsidRPr="00CA2CC1">
          <w:rPr>
            <w:rFonts w:cs="Calibri"/>
            <w:i/>
            <w:spacing w:val="-5"/>
            <w:szCs w:val="22"/>
          </w:rPr>
          <w:t xml:space="preserve"> </w:t>
        </w:r>
        <w:r w:rsidRPr="00CA2CC1">
          <w:rPr>
            <w:rFonts w:cs="Calibri"/>
            <w:i/>
            <w:szCs w:val="22"/>
          </w:rPr>
          <w:t>–</w:t>
        </w:r>
        <w:r w:rsidRPr="00CA2CC1">
          <w:rPr>
            <w:rFonts w:cs="Calibri"/>
            <w:i/>
            <w:spacing w:val="-5"/>
            <w:szCs w:val="22"/>
          </w:rPr>
          <w:t xml:space="preserve"> </w:t>
        </w:r>
        <w:r w:rsidRPr="00CA2CC1">
          <w:rPr>
            <w:rFonts w:cs="Calibri"/>
            <w:i/>
            <w:szCs w:val="22"/>
          </w:rPr>
          <w:t>final</w:t>
        </w:r>
        <w:r w:rsidRPr="00CA2CC1">
          <w:rPr>
            <w:rFonts w:cs="Calibri"/>
            <w:i/>
            <w:spacing w:val="-5"/>
            <w:szCs w:val="22"/>
          </w:rPr>
          <w:t xml:space="preserve"> </w:t>
        </w:r>
        <w:r w:rsidRPr="00CA2CC1">
          <w:rPr>
            <w:rFonts w:cs="Calibri"/>
            <w:i/>
            <w:szCs w:val="22"/>
          </w:rPr>
          <w:t>report</w:t>
        </w:r>
      </w:hyperlink>
      <w:r w:rsidRPr="00CA2CC1">
        <w:rPr>
          <w:rFonts w:cs="Calibri"/>
          <w:i/>
          <w:spacing w:val="-6"/>
          <w:szCs w:val="22"/>
        </w:rPr>
        <w:t xml:space="preserve"> </w:t>
      </w:r>
      <w:r w:rsidRPr="00CA2CC1">
        <w:rPr>
          <w:rFonts w:cs="Calibri"/>
          <w:szCs w:val="22"/>
        </w:rPr>
        <w:t>is</w:t>
      </w:r>
      <w:r w:rsidRPr="00CA2CC1">
        <w:rPr>
          <w:rFonts w:cs="Calibri"/>
          <w:spacing w:val="-5"/>
          <w:szCs w:val="22"/>
        </w:rPr>
        <w:t xml:space="preserve"> </w:t>
      </w:r>
      <w:r w:rsidRPr="00CA2CC1">
        <w:rPr>
          <w:rFonts w:cs="Calibri"/>
          <w:szCs w:val="22"/>
        </w:rPr>
        <w:t>the</w:t>
      </w:r>
      <w:r w:rsidRPr="00CA2CC1">
        <w:rPr>
          <w:rFonts w:cs="Calibri"/>
          <w:spacing w:val="-5"/>
          <w:szCs w:val="22"/>
        </w:rPr>
        <w:t xml:space="preserve"> </w:t>
      </w:r>
      <w:r w:rsidRPr="00CA2CC1">
        <w:rPr>
          <w:rFonts w:cs="Calibri"/>
          <w:szCs w:val="22"/>
        </w:rPr>
        <w:t>first</w:t>
      </w:r>
      <w:r w:rsidRPr="00CA2CC1">
        <w:rPr>
          <w:rFonts w:cs="Calibri"/>
          <w:spacing w:val="-5"/>
          <w:szCs w:val="22"/>
        </w:rPr>
        <w:t xml:space="preserve"> </w:t>
      </w:r>
      <w:r w:rsidRPr="00CA2CC1">
        <w:rPr>
          <w:rFonts w:cs="Calibri"/>
          <w:szCs w:val="22"/>
        </w:rPr>
        <w:t>independent,</w:t>
      </w:r>
      <w:r w:rsidRPr="00CA2CC1">
        <w:rPr>
          <w:rFonts w:cs="Calibri"/>
          <w:spacing w:val="-5"/>
          <w:szCs w:val="22"/>
        </w:rPr>
        <w:t xml:space="preserve"> </w:t>
      </w:r>
      <w:r w:rsidRPr="00CA2CC1">
        <w:rPr>
          <w:rFonts w:cs="Calibri"/>
          <w:szCs w:val="22"/>
        </w:rPr>
        <w:t>state-wide analysis of the implications of the energy transition for Victoria’s extensive gas infrastructure assets.</w:t>
      </w:r>
    </w:p>
    <w:p w14:paraId="5284125B" w14:textId="77777777" w:rsidR="00FA4226" w:rsidRPr="00CA2CC1" w:rsidRDefault="00000000" w:rsidP="0043303B">
      <w:pPr>
        <w:pStyle w:val="BodyText"/>
        <w:rPr>
          <w:rFonts w:cs="Calibri"/>
          <w:szCs w:val="22"/>
        </w:rPr>
      </w:pPr>
      <w:r w:rsidRPr="00CA2CC1">
        <w:rPr>
          <w:rFonts w:cs="Calibri"/>
          <w:szCs w:val="22"/>
        </w:rPr>
        <w:t>We</w:t>
      </w:r>
      <w:r w:rsidRPr="00CA2CC1">
        <w:rPr>
          <w:rFonts w:cs="Calibri"/>
          <w:spacing w:val="-6"/>
          <w:szCs w:val="22"/>
        </w:rPr>
        <w:t xml:space="preserve"> </w:t>
      </w:r>
      <w:r w:rsidRPr="00CA2CC1">
        <w:rPr>
          <w:rFonts w:cs="Calibri"/>
          <w:szCs w:val="22"/>
        </w:rPr>
        <w:t>looked</w:t>
      </w:r>
      <w:r w:rsidRPr="00CA2CC1">
        <w:rPr>
          <w:rFonts w:cs="Calibri"/>
          <w:spacing w:val="-6"/>
          <w:szCs w:val="22"/>
        </w:rPr>
        <w:t xml:space="preserve"> </w:t>
      </w:r>
      <w:r w:rsidRPr="00CA2CC1">
        <w:rPr>
          <w:rFonts w:cs="Calibri"/>
          <w:szCs w:val="22"/>
        </w:rPr>
        <w:t>at</w:t>
      </w:r>
      <w:r w:rsidRPr="00CA2CC1">
        <w:rPr>
          <w:rFonts w:cs="Calibri"/>
          <w:spacing w:val="-6"/>
          <w:szCs w:val="22"/>
        </w:rPr>
        <w:t xml:space="preserve"> </w:t>
      </w:r>
      <w:r w:rsidRPr="00CA2CC1">
        <w:rPr>
          <w:rFonts w:cs="Calibri"/>
          <w:szCs w:val="22"/>
        </w:rPr>
        <w:t>the</w:t>
      </w:r>
      <w:r w:rsidRPr="00CA2CC1">
        <w:rPr>
          <w:rFonts w:cs="Calibri"/>
          <w:spacing w:val="-6"/>
          <w:szCs w:val="22"/>
        </w:rPr>
        <w:t xml:space="preserve"> </w:t>
      </w:r>
      <w:r w:rsidRPr="00CA2CC1">
        <w:rPr>
          <w:rFonts w:cs="Calibri"/>
          <w:szCs w:val="22"/>
        </w:rPr>
        <w:t>economic,</w:t>
      </w:r>
      <w:r w:rsidRPr="00CA2CC1">
        <w:rPr>
          <w:rFonts w:cs="Calibri"/>
          <w:spacing w:val="-6"/>
          <w:szCs w:val="22"/>
        </w:rPr>
        <w:t xml:space="preserve"> </w:t>
      </w:r>
      <w:r w:rsidRPr="00CA2CC1">
        <w:rPr>
          <w:rFonts w:cs="Calibri"/>
          <w:szCs w:val="22"/>
        </w:rPr>
        <w:t>social</w:t>
      </w:r>
      <w:r w:rsidRPr="00CA2CC1">
        <w:rPr>
          <w:rFonts w:cs="Calibri"/>
          <w:spacing w:val="-6"/>
          <w:szCs w:val="22"/>
        </w:rPr>
        <w:t xml:space="preserve"> </w:t>
      </w:r>
      <w:r w:rsidRPr="00CA2CC1">
        <w:rPr>
          <w:rFonts w:cs="Calibri"/>
          <w:szCs w:val="22"/>
        </w:rPr>
        <w:t>and</w:t>
      </w:r>
      <w:r w:rsidRPr="00CA2CC1">
        <w:rPr>
          <w:rFonts w:cs="Calibri"/>
          <w:spacing w:val="-6"/>
          <w:szCs w:val="22"/>
        </w:rPr>
        <w:t xml:space="preserve"> </w:t>
      </w:r>
      <w:r w:rsidRPr="00CA2CC1">
        <w:rPr>
          <w:rFonts w:cs="Calibri"/>
          <w:szCs w:val="22"/>
        </w:rPr>
        <w:t>environmental impacts of each scenario and identified infrastructure decisions</w:t>
      </w:r>
      <w:r w:rsidRPr="00CA2CC1">
        <w:rPr>
          <w:rFonts w:cs="Calibri"/>
          <w:spacing w:val="-5"/>
          <w:szCs w:val="22"/>
        </w:rPr>
        <w:t xml:space="preserve"> </w:t>
      </w:r>
      <w:r w:rsidRPr="00CA2CC1">
        <w:rPr>
          <w:rFonts w:cs="Calibri"/>
          <w:szCs w:val="22"/>
        </w:rPr>
        <w:t>that</w:t>
      </w:r>
      <w:r w:rsidRPr="00CA2CC1">
        <w:rPr>
          <w:rFonts w:cs="Calibri"/>
          <w:spacing w:val="-5"/>
          <w:szCs w:val="22"/>
        </w:rPr>
        <w:t xml:space="preserve"> </w:t>
      </w:r>
      <w:r w:rsidRPr="00CA2CC1">
        <w:rPr>
          <w:rFonts w:cs="Calibri"/>
          <w:szCs w:val="22"/>
        </w:rPr>
        <w:t>need</w:t>
      </w:r>
      <w:r w:rsidRPr="00CA2CC1">
        <w:rPr>
          <w:rFonts w:cs="Calibri"/>
          <w:spacing w:val="-5"/>
          <w:szCs w:val="22"/>
        </w:rPr>
        <w:t xml:space="preserve"> </w:t>
      </w:r>
      <w:r w:rsidRPr="00CA2CC1">
        <w:rPr>
          <w:rFonts w:cs="Calibri"/>
          <w:szCs w:val="22"/>
        </w:rPr>
        <w:t>to</w:t>
      </w:r>
      <w:r w:rsidRPr="00CA2CC1">
        <w:rPr>
          <w:rFonts w:cs="Calibri"/>
          <w:spacing w:val="-5"/>
          <w:szCs w:val="22"/>
        </w:rPr>
        <w:t xml:space="preserve"> </w:t>
      </w:r>
      <w:r w:rsidRPr="00CA2CC1">
        <w:rPr>
          <w:rFonts w:cs="Calibri"/>
          <w:szCs w:val="22"/>
        </w:rPr>
        <w:t>be</w:t>
      </w:r>
      <w:r w:rsidRPr="00CA2CC1">
        <w:rPr>
          <w:rFonts w:cs="Calibri"/>
          <w:spacing w:val="-5"/>
          <w:szCs w:val="22"/>
        </w:rPr>
        <w:t xml:space="preserve"> </w:t>
      </w:r>
      <w:r w:rsidRPr="00CA2CC1">
        <w:rPr>
          <w:rFonts w:cs="Calibri"/>
          <w:szCs w:val="22"/>
        </w:rPr>
        <w:t>made,</w:t>
      </w:r>
      <w:r w:rsidRPr="00CA2CC1">
        <w:rPr>
          <w:rFonts w:cs="Calibri"/>
          <w:spacing w:val="-5"/>
          <w:szCs w:val="22"/>
        </w:rPr>
        <w:t xml:space="preserve"> </w:t>
      </w:r>
      <w:r w:rsidRPr="00CA2CC1">
        <w:rPr>
          <w:rFonts w:cs="Calibri"/>
          <w:szCs w:val="22"/>
        </w:rPr>
        <w:t>and</w:t>
      </w:r>
      <w:r w:rsidRPr="00CA2CC1">
        <w:rPr>
          <w:rFonts w:cs="Calibri"/>
          <w:spacing w:val="-5"/>
          <w:szCs w:val="22"/>
        </w:rPr>
        <w:t xml:space="preserve"> </w:t>
      </w:r>
      <w:r w:rsidRPr="00CA2CC1">
        <w:rPr>
          <w:rFonts w:cs="Calibri"/>
          <w:szCs w:val="22"/>
        </w:rPr>
        <w:t>when,</w:t>
      </w:r>
      <w:r w:rsidRPr="00CA2CC1">
        <w:rPr>
          <w:rFonts w:cs="Calibri"/>
          <w:spacing w:val="-5"/>
          <w:szCs w:val="22"/>
        </w:rPr>
        <w:t xml:space="preserve"> </w:t>
      </w:r>
      <w:r w:rsidRPr="00CA2CC1">
        <w:rPr>
          <w:rFonts w:cs="Calibri"/>
          <w:szCs w:val="22"/>
        </w:rPr>
        <w:t>to</w:t>
      </w:r>
      <w:r w:rsidRPr="00CA2CC1">
        <w:rPr>
          <w:rFonts w:cs="Calibri"/>
          <w:spacing w:val="-5"/>
          <w:szCs w:val="22"/>
        </w:rPr>
        <w:t xml:space="preserve"> </w:t>
      </w:r>
      <w:r w:rsidRPr="00CA2CC1">
        <w:rPr>
          <w:rFonts w:cs="Calibri"/>
          <w:szCs w:val="22"/>
        </w:rPr>
        <w:t>ensure opportunities for gas infrastructure can be optimised.</w:t>
      </w:r>
    </w:p>
    <w:p w14:paraId="2FC11A3B" w14:textId="77777777" w:rsidR="00FA4226" w:rsidRPr="00CA2CC1" w:rsidRDefault="00000000" w:rsidP="0043303B">
      <w:pPr>
        <w:pStyle w:val="BodyText"/>
        <w:rPr>
          <w:rFonts w:cs="Calibri"/>
          <w:szCs w:val="22"/>
        </w:rPr>
      </w:pPr>
      <w:r w:rsidRPr="00CA2CC1">
        <w:rPr>
          <w:rFonts w:cs="Calibri"/>
          <w:szCs w:val="22"/>
        </w:rPr>
        <w:t>Victoria is the most gas reliant state or territory in Australia, with</w:t>
      </w:r>
      <w:r w:rsidRPr="00CA2CC1">
        <w:rPr>
          <w:rFonts w:cs="Calibri"/>
          <w:spacing w:val="-8"/>
          <w:szCs w:val="22"/>
        </w:rPr>
        <w:t xml:space="preserve"> </w:t>
      </w:r>
      <w:r w:rsidRPr="00CA2CC1">
        <w:rPr>
          <w:rFonts w:cs="Calibri"/>
          <w:szCs w:val="22"/>
        </w:rPr>
        <w:t>gas</w:t>
      </w:r>
      <w:r w:rsidRPr="00CA2CC1">
        <w:rPr>
          <w:rFonts w:cs="Calibri"/>
          <w:spacing w:val="-8"/>
          <w:szCs w:val="22"/>
        </w:rPr>
        <w:t xml:space="preserve"> </w:t>
      </w:r>
      <w:r w:rsidRPr="00CA2CC1">
        <w:rPr>
          <w:rFonts w:cs="Calibri"/>
          <w:szCs w:val="22"/>
        </w:rPr>
        <w:t>use</w:t>
      </w:r>
      <w:r w:rsidRPr="00CA2CC1">
        <w:rPr>
          <w:rFonts w:cs="Calibri"/>
          <w:spacing w:val="-8"/>
          <w:szCs w:val="22"/>
        </w:rPr>
        <w:t xml:space="preserve"> </w:t>
      </w:r>
      <w:r w:rsidRPr="00CA2CC1">
        <w:rPr>
          <w:rFonts w:cs="Calibri"/>
          <w:szCs w:val="22"/>
        </w:rPr>
        <w:t>representing</w:t>
      </w:r>
      <w:r w:rsidRPr="00CA2CC1">
        <w:rPr>
          <w:rFonts w:cs="Calibri"/>
          <w:spacing w:val="-8"/>
          <w:szCs w:val="22"/>
        </w:rPr>
        <w:t xml:space="preserve"> </w:t>
      </w:r>
      <w:r w:rsidRPr="00CA2CC1">
        <w:rPr>
          <w:rFonts w:cs="Calibri"/>
          <w:szCs w:val="22"/>
        </w:rPr>
        <w:t>about</w:t>
      </w:r>
      <w:r w:rsidRPr="00CA2CC1">
        <w:rPr>
          <w:rFonts w:cs="Calibri"/>
          <w:spacing w:val="-8"/>
          <w:szCs w:val="22"/>
        </w:rPr>
        <w:t xml:space="preserve"> </w:t>
      </w:r>
      <w:r w:rsidRPr="00CA2CC1">
        <w:rPr>
          <w:rFonts w:cs="Calibri"/>
          <w:szCs w:val="22"/>
        </w:rPr>
        <w:t>one-fifth</w:t>
      </w:r>
      <w:r w:rsidRPr="00CA2CC1">
        <w:rPr>
          <w:rFonts w:cs="Calibri"/>
          <w:spacing w:val="-8"/>
          <w:szCs w:val="22"/>
        </w:rPr>
        <w:t xml:space="preserve"> </w:t>
      </w:r>
      <w:r w:rsidRPr="00CA2CC1">
        <w:rPr>
          <w:rFonts w:cs="Calibri"/>
          <w:szCs w:val="22"/>
        </w:rPr>
        <w:t>of</w:t>
      </w:r>
      <w:r w:rsidRPr="00CA2CC1">
        <w:rPr>
          <w:rFonts w:cs="Calibri"/>
          <w:spacing w:val="-8"/>
          <w:szCs w:val="22"/>
        </w:rPr>
        <w:t xml:space="preserve"> </w:t>
      </w:r>
      <w:r w:rsidRPr="00CA2CC1">
        <w:rPr>
          <w:rFonts w:cs="Calibri"/>
          <w:szCs w:val="22"/>
        </w:rPr>
        <w:t>the</w:t>
      </w:r>
      <w:r w:rsidRPr="00CA2CC1">
        <w:rPr>
          <w:rFonts w:cs="Calibri"/>
          <w:spacing w:val="-8"/>
          <w:szCs w:val="22"/>
        </w:rPr>
        <w:t xml:space="preserve"> </w:t>
      </w:r>
      <w:r w:rsidRPr="00CA2CC1">
        <w:rPr>
          <w:rFonts w:cs="Calibri"/>
          <w:szCs w:val="22"/>
        </w:rPr>
        <w:t>state’s</w:t>
      </w:r>
      <w:r w:rsidRPr="00CA2CC1">
        <w:rPr>
          <w:rFonts w:cs="Calibri"/>
          <w:spacing w:val="-8"/>
          <w:szCs w:val="22"/>
        </w:rPr>
        <w:t xml:space="preserve"> </w:t>
      </w:r>
      <w:r w:rsidRPr="00CA2CC1">
        <w:rPr>
          <w:rFonts w:cs="Calibri"/>
          <w:szCs w:val="22"/>
        </w:rPr>
        <w:t>total net greenhouse gas emissions. Natural gas is used across the</w:t>
      </w:r>
      <w:r w:rsidRPr="00CA2CC1">
        <w:rPr>
          <w:rFonts w:cs="Calibri"/>
          <w:spacing w:val="-6"/>
          <w:szCs w:val="22"/>
        </w:rPr>
        <w:t xml:space="preserve"> </w:t>
      </w:r>
      <w:r w:rsidRPr="00CA2CC1">
        <w:rPr>
          <w:rFonts w:cs="Calibri"/>
          <w:szCs w:val="22"/>
        </w:rPr>
        <w:t>economy,</w:t>
      </w:r>
      <w:r w:rsidRPr="00CA2CC1">
        <w:rPr>
          <w:rFonts w:cs="Calibri"/>
          <w:spacing w:val="-6"/>
          <w:szCs w:val="22"/>
        </w:rPr>
        <w:t xml:space="preserve"> </w:t>
      </w:r>
      <w:r w:rsidRPr="00CA2CC1">
        <w:rPr>
          <w:rFonts w:cs="Calibri"/>
          <w:szCs w:val="22"/>
        </w:rPr>
        <w:t>but</w:t>
      </w:r>
      <w:r w:rsidRPr="00CA2CC1">
        <w:rPr>
          <w:rFonts w:cs="Calibri"/>
          <w:spacing w:val="-6"/>
          <w:szCs w:val="22"/>
        </w:rPr>
        <w:t xml:space="preserve"> </w:t>
      </w:r>
      <w:r w:rsidRPr="00CA2CC1">
        <w:rPr>
          <w:rFonts w:cs="Calibri"/>
          <w:szCs w:val="22"/>
        </w:rPr>
        <w:t>especially</w:t>
      </w:r>
      <w:r w:rsidRPr="00CA2CC1">
        <w:rPr>
          <w:rFonts w:cs="Calibri"/>
          <w:spacing w:val="-6"/>
          <w:szCs w:val="22"/>
        </w:rPr>
        <w:t xml:space="preserve"> </w:t>
      </w:r>
      <w:r w:rsidRPr="00CA2CC1">
        <w:rPr>
          <w:rFonts w:cs="Calibri"/>
          <w:szCs w:val="22"/>
        </w:rPr>
        <w:t>to</w:t>
      </w:r>
      <w:r w:rsidRPr="00CA2CC1">
        <w:rPr>
          <w:rFonts w:cs="Calibri"/>
          <w:spacing w:val="-6"/>
          <w:szCs w:val="22"/>
        </w:rPr>
        <w:t xml:space="preserve"> </w:t>
      </w:r>
      <w:r w:rsidRPr="00CA2CC1">
        <w:rPr>
          <w:rFonts w:cs="Calibri"/>
          <w:szCs w:val="22"/>
        </w:rPr>
        <w:t>heat</w:t>
      </w:r>
      <w:r w:rsidRPr="00CA2CC1">
        <w:rPr>
          <w:rFonts w:cs="Calibri"/>
          <w:spacing w:val="-6"/>
          <w:szCs w:val="22"/>
        </w:rPr>
        <w:t xml:space="preserve"> </w:t>
      </w:r>
      <w:r w:rsidRPr="00CA2CC1">
        <w:rPr>
          <w:rFonts w:cs="Calibri"/>
          <w:szCs w:val="22"/>
        </w:rPr>
        <w:t>homes</w:t>
      </w:r>
      <w:r w:rsidRPr="00CA2CC1">
        <w:rPr>
          <w:rFonts w:cs="Calibri"/>
          <w:spacing w:val="-6"/>
          <w:szCs w:val="22"/>
        </w:rPr>
        <w:t xml:space="preserve"> </w:t>
      </w:r>
      <w:r w:rsidRPr="00CA2CC1">
        <w:rPr>
          <w:rFonts w:cs="Calibri"/>
          <w:szCs w:val="22"/>
        </w:rPr>
        <w:t>and</w:t>
      </w:r>
      <w:r w:rsidRPr="00CA2CC1">
        <w:rPr>
          <w:rFonts w:cs="Calibri"/>
          <w:spacing w:val="-6"/>
          <w:szCs w:val="22"/>
        </w:rPr>
        <w:t xml:space="preserve"> </w:t>
      </w:r>
      <w:r w:rsidRPr="00CA2CC1">
        <w:rPr>
          <w:rFonts w:cs="Calibri"/>
          <w:szCs w:val="22"/>
        </w:rPr>
        <w:t>businesses during cold Victorian winters.</w:t>
      </w:r>
    </w:p>
    <w:p w14:paraId="1E1815DD" w14:textId="77777777" w:rsidR="00FA4226" w:rsidRPr="00CA2CC1" w:rsidRDefault="00000000" w:rsidP="0043303B">
      <w:pPr>
        <w:pStyle w:val="BodyText"/>
        <w:rPr>
          <w:rFonts w:cs="Calibri"/>
          <w:szCs w:val="22"/>
        </w:rPr>
      </w:pPr>
      <w:r w:rsidRPr="00CA2CC1">
        <w:rPr>
          <w:rFonts w:cs="Calibri"/>
          <w:szCs w:val="22"/>
        </w:rPr>
        <w:t>While Victoria’s gas assets are privately owned, our advice showed the Victorian Government can play a leading role in supporting decarbonisation of the sector. It found the gas sector Victoria has today will need to look very different in the</w:t>
      </w:r>
      <w:r w:rsidRPr="00CA2CC1">
        <w:rPr>
          <w:rFonts w:cs="Calibri"/>
          <w:spacing w:val="-7"/>
          <w:szCs w:val="22"/>
        </w:rPr>
        <w:t xml:space="preserve"> </w:t>
      </w:r>
      <w:r w:rsidRPr="00CA2CC1">
        <w:rPr>
          <w:rFonts w:cs="Calibri"/>
          <w:szCs w:val="22"/>
        </w:rPr>
        <w:t>next</w:t>
      </w:r>
      <w:r w:rsidRPr="00CA2CC1">
        <w:rPr>
          <w:rFonts w:cs="Calibri"/>
          <w:spacing w:val="-7"/>
          <w:szCs w:val="22"/>
        </w:rPr>
        <w:t xml:space="preserve"> </w:t>
      </w:r>
      <w:r w:rsidRPr="00CA2CC1">
        <w:rPr>
          <w:rFonts w:cs="Calibri"/>
          <w:szCs w:val="22"/>
        </w:rPr>
        <w:t>decade,</w:t>
      </w:r>
      <w:r w:rsidRPr="00CA2CC1">
        <w:rPr>
          <w:rFonts w:cs="Calibri"/>
          <w:spacing w:val="-7"/>
          <w:szCs w:val="22"/>
        </w:rPr>
        <w:t xml:space="preserve"> </w:t>
      </w:r>
      <w:r w:rsidRPr="00CA2CC1">
        <w:rPr>
          <w:rFonts w:cs="Calibri"/>
          <w:szCs w:val="22"/>
        </w:rPr>
        <w:t>if</w:t>
      </w:r>
      <w:r w:rsidRPr="00CA2CC1">
        <w:rPr>
          <w:rFonts w:cs="Calibri"/>
          <w:spacing w:val="-7"/>
          <w:szCs w:val="22"/>
        </w:rPr>
        <w:t xml:space="preserve"> </w:t>
      </w:r>
      <w:r w:rsidRPr="00CA2CC1">
        <w:rPr>
          <w:rFonts w:cs="Calibri"/>
          <w:szCs w:val="22"/>
        </w:rPr>
        <w:t>the</w:t>
      </w:r>
      <w:r w:rsidRPr="00CA2CC1">
        <w:rPr>
          <w:rFonts w:cs="Calibri"/>
          <w:spacing w:val="-7"/>
          <w:szCs w:val="22"/>
        </w:rPr>
        <w:t xml:space="preserve"> </w:t>
      </w:r>
      <w:r w:rsidRPr="00CA2CC1">
        <w:rPr>
          <w:rFonts w:cs="Calibri"/>
          <w:szCs w:val="22"/>
        </w:rPr>
        <w:t>state’s</w:t>
      </w:r>
      <w:r w:rsidRPr="00CA2CC1">
        <w:rPr>
          <w:rFonts w:cs="Calibri"/>
          <w:spacing w:val="-7"/>
          <w:szCs w:val="22"/>
        </w:rPr>
        <w:t xml:space="preserve"> </w:t>
      </w:r>
      <w:r w:rsidRPr="00CA2CC1">
        <w:rPr>
          <w:rFonts w:cs="Calibri"/>
          <w:szCs w:val="22"/>
        </w:rPr>
        <w:t>net</w:t>
      </w:r>
      <w:r w:rsidRPr="00CA2CC1">
        <w:rPr>
          <w:rFonts w:cs="Calibri"/>
          <w:spacing w:val="-7"/>
          <w:szCs w:val="22"/>
        </w:rPr>
        <w:t xml:space="preserve"> </w:t>
      </w:r>
      <w:r w:rsidRPr="00CA2CC1">
        <w:rPr>
          <w:rFonts w:cs="Calibri"/>
          <w:szCs w:val="22"/>
        </w:rPr>
        <w:t>zero</w:t>
      </w:r>
      <w:r w:rsidRPr="00CA2CC1">
        <w:rPr>
          <w:rFonts w:cs="Calibri"/>
          <w:spacing w:val="-7"/>
          <w:szCs w:val="22"/>
        </w:rPr>
        <w:t xml:space="preserve"> </w:t>
      </w:r>
      <w:r w:rsidRPr="00CA2CC1">
        <w:rPr>
          <w:rFonts w:cs="Calibri"/>
          <w:szCs w:val="22"/>
        </w:rPr>
        <w:t>emissions</w:t>
      </w:r>
      <w:r w:rsidRPr="00CA2CC1">
        <w:rPr>
          <w:rFonts w:cs="Calibri"/>
          <w:spacing w:val="-7"/>
          <w:szCs w:val="22"/>
        </w:rPr>
        <w:t xml:space="preserve"> </w:t>
      </w:r>
      <w:r w:rsidRPr="00CA2CC1">
        <w:rPr>
          <w:rFonts w:cs="Calibri"/>
          <w:szCs w:val="22"/>
        </w:rPr>
        <w:t>targets</w:t>
      </w:r>
      <w:r w:rsidRPr="00CA2CC1">
        <w:rPr>
          <w:rFonts w:cs="Calibri"/>
          <w:spacing w:val="-7"/>
          <w:szCs w:val="22"/>
        </w:rPr>
        <w:t xml:space="preserve"> </w:t>
      </w:r>
      <w:r w:rsidRPr="00CA2CC1">
        <w:rPr>
          <w:rFonts w:cs="Calibri"/>
          <w:szCs w:val="22"/>
        </w:rPr>
        <w:t>are to be met.</w:t>
      </w:r>
    </w:p>
    <w:p w14:paraId="1D0B7D41" w14:textId="77777777" w:rsidR="00FA4226" w:rsidRPr="00CA2CC1" w:rsidRDefault="00000000" w:rsidP="0043303B">
      <w:pPr>
        <w:pStyle w:val="BodyText"/>
        <w:rPr>
          <w:rFonts w:cs="Calibri"/>
          <w:szCs w:val="22"/>
        </w:rPr>
      </w:pPr>
      <w:r w:rsidRPr="00CA2CC1">
        <w:rPr>
          <w:rFonts w:cs="Calibri"/>
          <w:szCs w:val="22"/>
        </w:rPr>
        <w:t>The scale of decarbonising Victoria’s economy, including the gas sector, means immediate and sustained action is needed through to 2050 and beyond. Our report informed the</w:t>
      </w:r>
      <w:r w:rsidRPr="00CA2CC1">
        <w:rPr>
          <w:rFonts w:cs="Calibri"/>
          <w:spacing w:val="-9"/>
          <w:szCs w:val="22"/>
        </w:rPr>
        <w:t xml:space="preserve"> </w:t>
      </w:r>
      <w:r w:rsidRPr="00CA2CC1">
        <w:rPr>
          <w:rFonts w:cs="Calibri"/>
          <w:szCs w:val="22"/>
        </w:rPr>
        <w:t>Victorian</w:t>
      </w:r>
      <w:r w:rsidRPr="00CA2CC1">
        <w:rPr>
          <w:rFonts w:cs="Calibri"/>
          <w:spacing w:val="-9"/>
          <w:szCs w:val="22"/>
        </w:rPr>
        <w:t xml:space="preserve"> </w:t>
      </w:r>
      <w:r w:rsidRPr="00CA2CC1">
        <w:rPr>
          <w:rFonts w:cs="Calibri"/>
          <w:szCs w:val="22"/>
        </w:rPr>
        <w:t>Government’s</w:t>
      </w:r>
      <w:r w:rsidRPr="00CA2CC1">
        <w:rPr>
          <w:rFonts w:cs="Calibri"/>
          <w:spacing w:val="-9"/>
          <w:szCs w:val="22"/>
        </w:rPr>
        <w:t xml:space="preserve"> </w:t>
      </w:r>
      <w:hyperlink r:id="rId26">
        <w:r w:rsidRPr="00CA2CC1">
          <w:rPr>
            <w:rFonts w:cs="Calibri"/>
            <w:i/>
            <w:szCs w:val="22"/>
          </w:rPr>
          <w:t>Gas</w:t>
        </w:r>
        <w:r w:rsidRPr="00CA2CC1">
          <w:rPr>
            <w:rFonts w:cs="Calibri"/>
            <w:i/>
            <w:spacing w:val="-9"/>
            <w:szCs w:val="22"/>
          </w:rPr>
          <w:t xml:space="preserve"> </w:t>
        </w:r>
        <w:r w:rsidRPr="00CA2CC1">
          <w:rPr>
            <w:rFonts w:cs="Calibri"/>
            <w:i/>
            <w:szCs w:val="22"/>
          </w:rPr>
          <w:t>substitution</w:t>
        </w:r>
        <w:r w:rsidRPr="00CA2CC1">
          <w:rPr>
            <w:rFonts w:cs="Calibri"/>
            <w:i/>
            <w:spacing w:val="-9"/>
            <w:szCs w:val="22"/>
          </w:rPr>
          <w:t xml:space="preserve"> </w:t>
        </w:r>
        <w:r w:rsidRPr="00CA2CC1">
          <w:rPr>
            <w:rFonts w:cs="Calibri"/>
            <w:i/>
            <w:szCs w:val="22"/>
          </w:rPr>
          <w:t>roadmap</w:t>
        </w:r>
      </w:hyperlink>
      <w:r w:rsidRPr="00CA2CC1">
        <w:rPr>
          <w:rFonts w:cs="Calibri"/>
          <w:szCs w:val="22"/>
        </w:rPr>
        <w:t>,</w:t>
      </w:r>
      <w:r w:rsidRPr="00CA2CC1">
        <w:rPr>
          <w:rFonts w:cs="Calibri"/>
          <w:spacing w:val="-9"/>
          <w:szCs w:val="22"/>
        </w:rPr>
        <w:t xml:space="preserve"> </w:t>
      </w:r>
      <w:r w:rsidRPr="00CA2CC1">
        <w:rPr>
          <w:rFonts w:cs="Calibri"/>
          <w:szCs w:val="22"/>
        </w:rPr>
        <w:t xml:space="preserve">also released in July 2022, and can guide broader government policy and investment decisions to achieve net zero </w:t>
      </w:r>
      <w:r w:rsidRPr="00CA2CC1">
        <w:rPr>
          <w:rFonts w:cs="Calibri"/>
          <w:spacing w:val="-2"/>
          <w:szCs w:val="22"/>
        </w:rPr>
        <w:t>emissions.</w:t>
      </w:r>
    </w:p>
    <w:p w14:paraId="5CD0E268" w14:textId="77777777" w:rsidR="00FA4226" w:rsidRPr="00CA2CC1" w:rsidRDefault="00000000" w:rsidP="0043303B">
      <w:pPr>
        <w:pStyle w:val="BodyText"/>
        <w:rPr>
          <w:rFonts w:cs="Calibri"/>
          <w:szCs w:val="22"/>
        </w:rPr>
      </w:pPr>
      <w:r w:rsidRPr="00CA2CC1">
        <w:rPr>
          <w:rFonts w:cs="Calibri"/>
          <w:szCs w:val="22"/>
        </w:rPr>
        <w:t>Infrastructure</w:t>
      </w:r>
      <w:r w:rsidRPr="00CA2CC1">
        <w:rPr>
          <w:rFonts w:cs="Calibri"/>
          <w:spacing w:val="-13"/>
          <w:szCs w:val="22"/>
        </w:rPr>
        <w:t xml:space="preserve"> </w:t>
      </w:r>
      <w:r w:rsidRPr="00CA2CC1">
        <w:rPr>
          <w:rFonts w:cs="Calibri"/>
          <w:szCs w:val="22"/>
        </w:rPr>
        <w:t>Victoria’s</w:t>
      </w:r>
      <w:r w:rsidRPr="00CA2CC1">
        <w:rPr>
          <w:rFonts w:cs="Calibri"/>
          <w:spacing w:val="-12"/>
          <w:szCs w:val="22"/>
        </w:rPr>
        <w:t xml:space="preserve"> </w:t>
      </w:r>
      <w:r w:rsidRPr="00CA2CC1">
        <w:rPr>
          <w:rFonts w:cs="Calibri"/>
          <w:szCs w:val="22"/>
        </w:rPr>
        <w:t>advice</w:t>
      </w:r>
      <w:r w:rsidRPr="00CA2CC1">
        <w:rPr>
          <w:rFonts w:cs="Calibri"/>
          <w:spacing w:val="-13"/>
          <w:szCs w:val="22"/>
        </w:rPr>
        <w:t xml:space="preserve"> </w:t>
      </w:r>
      <w:r w:rsidRPr="00CA2CC1">
        <w:rPr>
          <w:rFonts w:cs="Calibri"/>
          <w:szCs w:val="22"/>
        </w:rPr>
        <w:t>made</w:t>
      </w:r>
      <w:r w:rsidRPr="00CA2CC1">
        <w:rPr>
          <w:rFonts w:cs="Calibri"/>
          <w:spacing w:val="-12"/>
          <w:szCs w:val="22"/>
        </w:rPr>
        <w:t xml:space="preserve"> </w:t>
      </w:r>
      <w:r w:rsidRPr="00CA2CC1">
        <w:rPr>
          <w:rFonts w:cs="Calibri"/>
          <w:szCs w:val="22"/>
        </w:rPr>
        <w:t>11</w:t>
      </w:r>
      <w:r w:rsidRPr="00CA2CC1">
        <w:rPr>
          <w:rFonts w:cs="Calibri"/>
          <w:spacing w:val="-13"/>
          <w:szCs w:val="22"/>
        </w:rPr>
        <w:t xml:space="preserve"> </w:t>
      </w:r>
      <w:r w:rsidRPr="00CA2CC1">
        <w:rPr>
          <w:rFonts w:cs="Calibri"/>
          <w:szCs w:val="22"/>
        </w:rPr>
        <w:t>recommendations to the Victorian Government, underpinned by extensive research, modelling and stakeholder input.</w:t>
      </w:r>
    </w:p>
    <w:p w14:paraId="548A87AC" w14:textId="77777777" w:rsidR="00FA4226" w:rsidRPr="00CA2CC1" w:rsidRDefault="00000000" w:rsidP="0043303B">
      <w:pPr>
        <w:pStyle w:val="BodyText"/>
        <w:rPr>
          <w:rFonts w:cs="Calibri"/>
          <w:szCs w:val="22"/>
        </w:rPr>
      </w:pPr>
      <w:r w:rsidRPr="00CA2CC1">
        <w:rPr>
          <w:rFonts w:cs="Calibri"/>
          <w:szCs w:val="22"/>
        </w:rPr>
        <w:t xml:space="preserve">Our findings </w:t>
      </w:r>
      <w:r w:rsidRPr="00CA2CC1">
        <w:rPr>
          <w:rFonts w:cs="Calibri"/>
          <w:spacing w:val="-2"/>
          <w:szCs w:val="22"/>
        </w:rPr>
        <w:t>concluded:</w:t>
      </w:r>
    </w:p>
    <w:p w14:paraId="6183ADCB" w14:textId="77777777" w:rsidR="00FA4226" w:rsidRPr="00CA2CC1" w:rsidRDefault="00000000" w:rsidP="0043303B">
      <w:pPr>
        <w:pStyle w:val="BodyText"/>
        <w:numPr>
          <w:ilvl w:val="0"/>
          <w:numId w:val="35"/>
        </w:numPr>
        <w:ind w:left="360"/>
        <w:rPr>
          <w:rFonts w:cs="Calibri"/>
        </w:rPr>
      </w:pPr>
      <w:r w:rsidRPr="00CA2CC1">
        <w:rPr>
          <w:rFonts w:cs="Calibri"/>
        </w:rPr>
        <w:t>Immediate and sustained action by the Victorian Government to support proven, low carbon solutions including energy efficiency, targeted electrification, hydrogen</w:t>
      </w:r>
      <w:r w:rsidRPr="00CA2CC1">
        <w:rPr>
          <w:rFonts w:cs="Calibri"/>
          <w:spacing w:val="-7"/>
        </w:rPr>
        <w:t xml:space="preserve"> </w:t>
      </w:r>
      <w:r w:rsidRPr="00CA2CC1">
        <w:rPr>
          <w:rFonts w:cs="Calibri"/>
        </w:rPr>
        <w:t>and</w:t>
      </w:r>
      <w:r w:rsidRPr="00CA2CC1">
        <w:rPr>
          <w:rFonts w:cs="Calibri"/>
          <w:spacing w:val="-7"/>
        </w:rPr>
        <w:t xml:space="preserve"> </w:t>
      </w:r>
      <w:r w:rsidRPr="00CA2CC1">
        <w:rPr>
          <w:rFonts w:cs="Calibri"/>
        </w:rPr>
        <w:t>biogas</w:t>
      </w:r>
      <w:r w:rsidRPr="00CA2CC1">
        <w:rPr>
          <w:rFonts w:cs="Calibri"/>
          <w:spacing w:val="-7"/>
        </w:rPr>
        <w:t xml:space="preserve"> </w:t>
      </w:r>
      <w:r w:rsidRPr="00CA2CC1">
        <w:rPr>
          <w:rFonts w:cs="Calibri"/>
        </w:rPr>
        <w:t>is</w:t>
      </w:r>
      <w:r w:rsidRPr="00CA2CC1">
        <w:rPr>
          <w:rFonts w:cs="Calibri"/>
          <w:spacing w:val="-7"/>
        </w:rPr>
        <w:t xml:space="preserve"> </w:t>
      </w:r>
      <w:r w:rsidRPr="00CA2CC1">
        <w:rPr>
          <w:rFonts w:cs="Calibri"/>
        </w:rPr>
        <w:t>needed</w:t>
      </w:r>
      <w:r w:rsidRPr="00CA2CC1">
        <w:rPr>
          <w:rFonts w:cs="Calibri"/>
          <w:spacing w:val="-7"/>
        </w:rPr>
        <w:t xml:space="preserve"> </w:t>
      </w:r>
      <w:r w:rsidRPr="00CA2CC1">
        <w:rPr>
          <w:rFonts w:cs="Calibri"/>
        </w:rPr>
        <w:t>if</w:t>
      </w:r>
      <w:r w:rsidRPr="00CA2CC1">
        <w:rPr>
          <w:rFonts w:cs="Calibri"/>
          <w:spacing w:val="-7"/>
        </w:rPr>
        <w:t xml:space="preserve"> </w:t>
      </w:r>
      <w:r w:rsidRPr="00CA2CC1">
        <w:rPr>
          <w:rFonts w:cs="Calibri"/>
        </w:rPr>
        <w:t>Victoria’s</w:t>
      </w:r>
      <w:r w:rsidRPr="00CA2CC1">
        <w:rPr>
          <w:rFonts w:cs="Calibri"/>
          <w:spacing w:val="-7"/>
        </w:rPr>
        <w:t xml:space="preserve"> </w:t>
      </w:r>
      <w:r w:rsidRPr="00CA2CC1">
        <w:rPr>
          <w:rFonts w:cs="Calibri"/>
        </w:rPr>
        <w:t>gas</w:t>
      </w:r>
      <w:r w:rsidRPr="00CA2CC1">
        <w:rPr>
          <w:rFonts w:cs="Calibri"/>
          <w:spacing w:val="-7"/>
        </w:rPr>
        <w:t xml:space="preserve"> </w:t>
      </w:r>
      <w:r w:rsidRPr="00CA2CC1">
        <w:rPr>
          <w:rFonts w:cs="Calibri"/>
        </w:rPr>
        <w:t>sector</w:t>
      </w:r>
      <w:r w:rsidRPr="00CA2CC1">
        <w:rPr>
          <w:rFonts w:cs="Calibri"/>
          <w:spacing w:val="-7"/>
        </w:rPr>
        <w:t xml:space="preserve"> </w:t>
      </w:r>
      <w:r w:rsidRPr="00CA2CC1">
        <w:rPr>
          <w:rFonts w:cs="Calibri"/>
        </w:rPr>
        <w:t>is to reach net zero emissions by 2050.</w:t>
      </w:r>
    </w:p>
    <w:p w14:paraId="06C5D11D" w14:textId="2B33DC2C" w:rsidR="00FA4226" w:rsidRPr="00CA2CC1" w:rsidRDefault="00000000" w:rsidP="0043303B">
      <w:pPr>
        <w:pStyle w:val="BodyText"/>
        <w:numPr>
          <w:ilvl w:val="0"/>
          <w:numId w:val="35"/>
        </w:numPr>
        <w:ind w:left="360"/>
        <w:rPr>
          <w:rFonts w:cs="Calibri"/>
        </w:rPr>
      </w:pPr>
      <w:r w:rsidRPr="00CA2CC1">
        <w:rPr>
          <w:rFonts w:cs="Calibri"/>
        </w:rPr>
        <w:lastRenderedPageBreak/>
        <w:t>Taking</w:t>
      </w:r>
      <w:r w:rsidRPr="00CA2CC1">
        <w:rPr>
          <w:rFonts w:cs="Calibri"/>
          <w:spacing w:val="-1"/>
        </w:rPr>
        <w:t xml:space="preserve"> </w:t>
      </w:r>
      <w:r w:rsidRPr="00CA2CC1">
        <w:rPr>
          <w:rFonts w:cs="Calibri"/>
        </w:rPr>
        <w:t>action</w:t>
      </w:r>
      <w:r w:rsidRPr="00CA2CC1">
        <w:rPr>
          <w:rFonts w:cs="Calibri"/>
          <w:spacing w:val="-1"/>
        </w:rPr>
        <w:t xml:space="preserve"> </w:t>
      </w:r>
      <w:r w:rsidRPr="00CA2CC1">
        <w:rPr>
          <w:rFonts w:cs="Calibri"/>
        </w:rPr>
        <w:t>this</w:t>
      </w:r>
      <w:r w:rsidRPr="00CA2CC1">
        <w:rPr>
          <w:rFonts w:cs="Calibri"/>
          <w:spacing w:val="-1"/>
        </w:rPr>
        <w:t xml:space="preserve"> </w:t>
      </w:r>
      <w:r w:rsidRPr="00CA2CC1">
        <w:rPr>
          <w:rFonts w:cs="Calibri"/>
        </w:rPr>
        <w:t>decade</w:t>
      </w:r>
      <w:r w:rsidRPr="00CA2CC1">
        <w:rPr>
          <w:rFonts w:cs="Calibri"/>
          <w:spacing w:val="-1"/>
        </w:rPr>
        <w:t xml:space="preserve"> </w:t>
      </w:r>
      <w:r w:rsidRPr="00CA2CC1">
        <w:rPr>
          <w:rFonts w:cs="Calibri"/>
        </w:rPr>
        <w:t>to</w:t>
      </w:r>
      <w:r w:rsidRPr="00CA2CC1">
        <w:rPr>
          <w:rFonts w:cs="Calibri"/>
          <w:spacing w:val="-1"/>
        </w:rPr>
        <w:t xml:space="preserve"> </w:t>
      </w:r>
      <w:r w:rsidRPr="00CA2CC1">
        <w:rPr>
          <w:rFonts w:cs="Calibri"/>
        </w:rPr>
        <w:t>transform</w:t>
      </w:r>
      <w:r w:rsidRPr="00CA2CC1">
        <w:rPr>
          <w:rFonts w:cs="Calibri"/>
          <w:spacing w:val="-1"/>
        </w:rPr>
        <w:t xml:space="preserve"> </w:t>
      </w:r>
      <w:r w:rsidRPr="00CA2CC1">
        <w:rPr>
          <w:rFonts w:cs="Calibri"/>
        </w:rPr>
        <w:t>the</w:t>
      </w:r>
      <w:r w:rsidRPr="00CA2CC1">
        <w:rPr>
          <w:rFonts w:cs="Calibri"/>
          <w:spacing w:val="-1"/>
        </w:rPr>
        <w:t xml:space="preserve"> </w:t>
      </w:r>
      <w:r w:rsidRPr="00CA2CC1">
        <w:rPr>
          <w:rFonts w:cs="Calibri"/>
        </w:rPr>
        <w:t>gas</w:t>
      </w:r>
      <w:r w:rsidRPr="00CA2CC1">
        <w:rPr>
          <w:rFonts w:cs="Calibri"/>
          <w:spacing w:val="-1"/>
        </w:rPr>
        <w:t xml:space="preserve"> </w:t>
      </w:r>
      <w:r w:rsidRPr="00CA2CC1">
        <w:rPr>
          <w:rFonts w:cs="Calibri"/>
        </w:rPr>
        <w:t>sector</w:t>
      </w:r>
      <w:r w:rsidRPr="00CA2CC1">
        <w:rPr>
          <w:rFonts w:cs="Calibri"/>
          <w:spacing w:val="-1"/>
        </w:rPr>
        <w:t xml:space="preserve"> </w:t>
      </w:r>
      <w:r w:rsidRPr="00CA2CC1">
        <w:rPr>
          <w:rFonts w:cs="Calibri"/>
        </w:rPr>
        <w:t>is necessary</w:t>
      </w:r>
      <w:r w:rsidRPr="00CA2CC1">
        <w:rPr>
          <w:rFonts w:cs="Calibri"/>
          <w:spacing w:val="-5"/>
        </w:rPr>
        <w:t xml:space="preserve"> </w:t>
      </w:r>
      <w:r w:rsidRPr="00CA2CC1">
        <w:rPr>
          <w:rFonts w:cs="Calibri"/>
        </w:rPr>
        <w:t>if</w:t>
      </w:r>
      <w:r w:rsidRPr="00CA2CC1">
        <w:rPr>
          <w:rFonts w:cs="Calibri"/>
          <w:spacing w:val="-5"/>
        </w:rPr>
        <w:t xml:space="preserve"> </w:t>
      </w:r>
      <w:r w:rsidRPr="00CA2CC1">
        <w:rPr>
          <w:rFonts w:cs="Calibri"/>
        </w:rPr>
        <w:t>we</w:t>
      </w:r>
      <w:r w:rsidRPr="00CA2CC1">
        <w:rPr>
          <w:rFonts w:cs="Calibri"/>
          <w:spacing w:val="-5"/>
        </w:rPr>
        <w:t xml:space="preserve"> </w:t>
      </w:r>
      <w:r w:rsidRPr="00CA2CC1">
        <w:rPr>
          <w:rFonts w:cs="Calibri"/>
        </w:rPr>
        <w:t>are</w:t>
      </w:r>
      <w:r w:rsidRPr="00CA2CC1">
        <w:rPr>
          <w:rFonts w:cs="Calibri"/>
          <w:spacing w:val="-5"/>
        </w:rPr>
        <w:t xml:space="preserve"> </w:t>
      </w:r>
      <w:r w:rsidRPr="00CA2CC1">
        <w:rPr>
          <w:rFonts w:cs="Calibri"/>
        </w:rPr>
        <w:t>to</w:t>
      </w:r>
      <w:r w:rsidRPr="00CA2CC1">
        <w:rPr>
          <w:rFonts w:cs="Calibri"/>
          <w:spacing w:val="-5"/>
        </w:rPr>
        <w:t xml:space="preserve"> </w:t>
      </w:r>
      <w:r w:rsidRPr="00CA2CC1">
        <w:rPr>
          <w:rFonts w:cs="Calibri"/>
        </w:rPr>
        <w:t>reduce</w:t>
      </w:r>
      <w:r w:rsidRPr="00CA2CC1">
        <w:rPr>
          <w:rFonts w:cs="Calibri"/>
          <w:spacing w:val="-5"/>
        </w:rPr>
        <w:t xml:space="preserve"> </w:t>
      </w:r>
      <w:r w:rsidRPr="00CA2CC1">
        <w:rPr>
          <w:rFonts w:cs="Calibri"/>
        </w:rPr>
        <w:t>the</w:t>
      </w:r>
      <w:r w:rsidRPr="00CA2CC1">
        <w:rPr>
          <w:rFonts w:cs="Calibri"/>
          <w:spacing w:val="-5"/>
        </w:rPr>
        <w:t xml:space="preserve"> </w:t>
      </w:r>
      <w:r w:rsidRPr="00CA2CC1">
        <w:rPr>
          <w:rFonts w:cs="Calibri"/>
        </w:rPr>
        <w:t>risks</w:t>
      </w:r>
      <w:r w:rsidRPr="00CA2CC1">
        <w:rPr>
          <w:rFonts w:cs="Calibri"/>
          <w:spacing w:val="-5"/>
        </w:rPr>
        <w:t xml:space="preserve"> </w:t>
      </w:r>
      <w:r w:rsidRPr="00CA2CC1">
        <w:rPr>
          <w:rFonts w:cs="Calibri"/>
        </w:rPr>
        <w:t>posed</w:t>
      </w:r>
      <w:r w:rsidRPr="00CA2CC1">
        <w:rPr>
          <w:rFonts w:cs="Calibri"/>
          <w:spacing w:val="-5"/>
        </w:rPr>
        <w:t xml:space="preserve"> </w:t>
      </w:r>
      <w:r w:rsidRPr="00CA2CC1">
        <w:rPr>
          <w:rFonts w:cs="Calibri"/>
        </w:rPr>
        <w:t>by</w:t>
      </w:r>
      <w:r w:rsidRPr="00CA2CC1">
        <w:rPr>
          <w:rFonts w:cs="Calibri"/>
          <w:spacing w:val="-5"/>
        </w:rPr>
        <w:t xml:space="preserve"> </w:t>
      </w:r>
      <w:r w:rsidRPr="00CA2CC1">
        <w:rPr>
          <w:rFonts w:cs="Calibri"/>
        </w:rPr>
        <w:t>climate change</w:t>
      </w:r>
      <w:r w:rsidRPr="00CA2CC1">
        <w:rPr>
          <w:rFonts w:cs="Calibri"/>
          <w:spacing w:val="-4"/>
        </w:rPr>
        <w:t xml:space="preserve"> </w:t>
      </w:r>
      <w:r w:rsidRPr="00CA2CC1">
        <w:rPr>
          <w:rFonts w:cs="Calibri"/>
        </w:rPr>
        <w:t>and</w:t>
      </w:r>
      <w:r w:rsidRPr="00CA2CC1">
        <w:rPr>
          <w:rFonts w:cs="Calibri"/>
          <w:spacing w:val="-4"/>
        </w:rPr>
        <w:t xml:space="preserve"> </w:t>
      </w:r>
      <w:r w:rsidRPr="00CA2CC1">
        <w:rPr>
          <w:rFonts w:cs="Calibri"/>
        </w:rPr>
        <w:t>seize</w:t>
      </w:r>
      <w:r w:rsidRPr="00CA2CC1">
        <w:rPr>
          <w:rFonts w:cs="Calibri"/>
          <w:spacing w:val="-4"/>
        </w:rPr>
        <w:t xml:space="preserve"> </w:t>
      </w:r>
      <w:r w:rsidRPr="00CA2CC1">
        <w:rPr>
          <w:rFonts w:cs="Calibri"/>
        </w:rPr>
        <w:t>the</w:t>
      </w:r>
      <w:r w:rsidRPr="00CA2CC1">
        <w:rPr>
          <w:rFonts w:cs="Calibri"/>
          <w:spacing w:val="-4"/>
        </w:rPr>
        <w:t xml:space="preserve"> </w:t>
      </w:r>
      <w:r w:rsidRPr="00CA2CC1">
        <w:rPr>
          <w:rFonts w:cs="Calibri"/>
        </w:rPr>
        <w:t>opportunities</w:t>
      </w:r>
      <w:r w:rsidRPr="00CA2CC1">
        <w:rPr>
          <w:rFonts w:cs="Calibri"/>
          <w:spacing w:val="-4"/>
        </w:rPr>
        <w:t xml:space="preserve"> </w:t>
      </w:r>
      <w:r w:rsidRPr="00CA2CC1">
        <w:rPr>
          <w:rFonts w:cs="Calibri"/>
        </w:rPr>
        <w:t>of</w:t>
      </w:r>
      <w:r w:rsidRPr="00CA2CC1">
        <w:rPr>
          <w:rFonts w:cs="Calibri"/>
          <w:spacing w:val="-4"/>
        </w:rPr>
        <w:t xml:space="preserve"> </w:t>
      </w:r>
      <w:r w:rsidRPr="00CA2CC1">
        <w:rPr>
          <w:rFonts w:cs="Calibri"/>
        </w:rPr>
        <w:t>a</w:t>
      </w:r>
      <w:r w:rsidRPr="00CA2CC1">
        <w:rPr>
          <w:rFonts w:cs="Calibri"/>
          <w:spacing w:val="-4"/>
        </w:rPr>
        <w:t xml:space="preserve"> </w:t>
      </w:r>
      <w:r w:rsidRPr="00CA2CC1">
        <w:rPr>
          <w:rFonts w:cs="Calibri"/>
        </w:rPr>
        <w:t>clean</w:t>
      </w:r>
      <w:r w:rsidRPr="00CA2CC1">
        <w:rPr>
          <w:rFonts w:cs="Calibri"/>
          <w:spacing w:val="-4"/>
        </w:rPr>
        <w:t xml:space="preserve"> </w:t>
      </w:r>
      <w:r w:rsidRPr="00CA2CC1">
        <w:rPr>
          <w:rFonts w:cs="Calibri"/>
        </w:rPr>
        <w:t>economy.</w:t>
      </w:r>
    </w:p>
    <w:p w14:paraId="461D1D4F" w14:textId="0ABD83B5" w:rsidR="00FA4226" w:rsidRPr="00CA2CC1" w:rsidRDefault="00000000" w:rsidP="0043303B">
      <w:pPr>
        <w:pStyle w:val="BodyText"/>
        <w:numPr>
          <w:ilvl w:val="0"/>
          <w:numId w:val="35"/>
        </w:numPr>
        <w:ind w:left="360"/>
        <w:rPr>
          <w:rFonts w:cs="Calibri"/>
        </w:rPr>
      </w:pPr>
      <w:r w:rsidRPr="00CA2CC1">
        <w:rPr>
          <w:rFonts w:cs="Calibri"/>
        </w:rPr>
        <w:t>The</w:t>
      </w:r>
      <w:r w:rsidRPr="00CA2CC1">
        <w:rPr>
          <w:rFonts w:cs="Calibri"/>
          <w:spacing w:val="-5"/>
        </w:rPr>
        <w:t xml:space="preserve"> </w:t>
      </w:r>
      <w:r w:rsidRPr="00CA2CC1">
        <w:rPr>
          <w:rFonts w:cs="Calibri"/>
        </w:rPr>
        <w:t>challenge</w:t>
      </w:r>
      <w:r w:rsidRPr="00CA2CC1">
        <w:rPr>
          <w:rFonts w:cs="Calibri"/>
          <w:spacing w:val="-5"/>
        </w:rPr>
        <w:t xml:space="preserve"> </w:t>
      </w:r>
      <w:r w:rsidRPr="00CA2CC1">
        <w:rPr>
          <w:rFonts w:cs="Calibri"/>
        </w:rPr>
        <w:t>from</w:t>
      </w:r>
      <w:r w:rsidRPr="00CA2CC1">
        <w:rPr>
          <w:rFonts w:cs="Calibri"/>
          <w:spacing w:val="-5"/>
        </w:rPr>
        <w:t xml:space="preserve"> </w:t>
      </w:r>
      <w:r w:rsidRPr="00CA2CC1">
        <w:rPr>
          <w:rFonts w:cs="Calibri"/>
        </w:rPr>
        <w:t>now</w:t>
      </w:r>
      <w:r w:rsidRPr="00CA2CC1">
        <w:rPr>
          <w:rFonts w:cs="Calibri"/>
          <w:spacing w:val="-5"/>
        </w:rPr>
        <w:t xml:space="preserve"> </w:t>
      </w:r>
      <w:r w:rsidRPr="00CA2CC1">
        <w:rPr>
          <w:rFonts w:cs="Calibri"/>
        </w:rPr>
        <w:t>to</w:t>
      </w:r>
      <w:r w:rsidRPr="00CA2CC1">
        <w:rPr>
          <w:rFonts w:cs="Calibri"/>
          <w:spacing w:val="-5"/>
        </w:rPr>
        <w:t xml:space="preserve"> </w:t>
      </w:r>
      <w:r w:rsidRPr="00CA2CC1">
        <w:rPr>
          <w:rFonts w:cs="Calibri"/>
        </w:rPr>
        <w:t>2030</w:t>
      </w:r>
      <w:r w:rsidRPr="00CA2CC1">
        <w:rPr>
          <w:rFonts w:cs="Calibri"/>
          <w:spacing w:val="-5"/>
        </w:rPr>
        <w:t xml:space="preserve"> </w:t>
      </w:r>
      <w:r w:rsidRPr="00CA2CC1">
        <w:rPr>
          <w:rFonts w:cs="Calibri"/>
        </w:rPr>
        <w:t>is</w:t>
      </w:r>
      <w:r w:rsidRPr="00CA2CC1">
        <w:rPr>
          <w:rFonts w:cs="Calibri"/>
          <w:spacing w:val="-5"/>
        </w:rPr>
        <w:t xml:space="preserve"> </w:t>
      </w:r>
      <w:r w:rsidRPr="00CA2CC1">
        <w:rPr>
          <w:rFonts w:cs="Calibri"/>
        </w:rPr>
        <w:t>to</w:t>
      </w:r>
      <w:r w:rsidRPr="00CA2CC1">
        <w:rPr>
          <w:rFonts w:cs="Calibri"/>
          <w:spacing w:val="-5"/>
        </w:rPr>
        <w:t xml:space="preserve"> </w:t>
      </w:r>
      <w:r w:rsidRPr="00CA2CC1">
        <w:rPr>
          <w:rFonts w:cs="Calibri"/>
        </w:rPr>
        <w:t>reduce</w:t>
      </w:r>
      <w:r w:rsidRPr="00CA2CC1">
        <w:rPr>
          <w:rFonts w:cs="Calibri"/>
          <w:spacing w:val="-5"/>
        </w:rPr>
        <w:t xml:space="preserve"> </w:t>
      </w:r>
      <w:r w:rsidRPr="00CA2CC1">
        <w:rPr>
          <w:rFonts w:cs="Calibri"/>
        </w:rPr>
        <w:t>emissions as much as possible with proven methods such as energy efficiency and bioenergy, while also laying the foundations for accelerated emissions reduction in</w:t>
      </w:r>
      <w:r w:rsidR="00E55D96" w:rsidRPr="00CA2CC1">
        <w:rPr>
          <w:rFonts w:cs="Calibri"/>
        </w:rPr>
        <w:t xml:space="preserve"> </w:t>
      </w:r>
      <w:r w:rsidRPr="00CA2CC1">
        <w:rPr>
          <w:rFonts w:cs="Calibri"/>
        </w:rPr>
        <w:t>the 2030s, once we have determined whether new technologies</w:t>
      </w:r>
      <w:r w:rsidRPr="00CA2CC1">
        <w:rPr>
          <w:rFonts w:cs="Calibri"/>
          <w:spacing w:val="-6"/>
        </w:rPr>
        <w:t xml:space="preserve"> </w:t>
      </w:r>
      <w:r w:rsidRPr="00CA2CC1">
        <w:rPr>
          <w:rFonts w:cs="Calibri"/>
        </w:rPr>
        <w:t>such</w:t>
      </w:r>
      <w:r w:rsidRPr="00CA2CC1">
        <w:rPr>
          <w:rFonts w:cs="Calibri"/>
          <w:spacing w:val="-6"/>
        </w:rPr>
        <w:t xml:space="preserve"> </w:t>
      </w:r>
      <w:r w:rsidRPr="00CA2CC1">
        <w:rPr>
          <w:rFonts w:cs="Calibri"/>
        </w:rPr>
        <w:t>as</w:t>
      </w:r>
      <w:r w:rsidRPr="00CA2CC1">
        <w:rPr>
          <w:rFonts w:cs="Calibri"/>
          <w:spacing w:val="-6"/>
        </w:rPr>
        <w:t xml:space="preserve"> </w:t>
      </w:r>
      <w:r w:rsidRPr="00CA2CC1">
        <w:rPr>
          <w:rFonts w:cs="Calibri"/>
        </w:rPr>
        <w:t>hydrogen</w:t>
      </w:r>
      <w:r w:rsidRPr="00CA2CC1">
        <w:rPr>
          <w:rFonts w:cs="Calibri"/>
          <w:spacing w:val="-6"/>
        </w:rPr>
        <w:t xml:space="preserve"> </w:t>
      </w:r>
      <w:r w:rsidRPr="00CA2CC1">
        <w:rPr>
          <w:rFonts w:cs="Calibri"/>
        </w:rPr>
        <w:t>and</w:t>
      </w:r>
      <w:r w:rsidRPr="00CA2CC1">
        <w:rPr>
          <w:rFonts w:cs="Calibri"/>
          <w:spacing w:val="-6"/>
        </w:rPr>
        <w:t xml:space="preserve"> </w:t>
      </w:r>
      <w:r w:rsidRPr="00CA2CC1">
        <w:rPr>
          <w:rFonts w:cs="Calibri"/>
        </w:rPr>
        <w:t>carbon</w:t>
      </w:r>
      <w:r w:rsidRPr="00CA2CC1">
        <w:rPr>
          <w:rFonts w:cs="Calibri"/>
          <w:spacing w:val="-6"/>
        </w:rPr>
        <w:t xml:space="preserve"> </w:t>
      </w:r>
      <w:r w:rsidRPr="00CA2CC1">
        <w:rPr>
          <w:rFonts w:cs="Calibri"/>
        </w:rPr>
        <w:t>capture</w:t>
      </w:r>
      <w:r w:rsidRPr="00CA2CC1">
        <w:rPr>
          <w:rFonts w:cs="Calibri"/>
          <w:spacing w:val="-6"/>
        </w:rPr>
        <w:t xml:space="preserve"> </w:t>
      </w:r>
      <w:r w:rsidRPr="00CA2CC1">
        <w:rPr>
          <w:rFonts w:cs="Calibri"/>
        </w:rPr>
        <w:t>and storage are proven at scale and the electricity market has further decarbonised.</w:t>
      </w:r>
    </w:p>
    <w:p w14:paraId="65FA472C" w14:textId="77777777" w:rsidR="00FA4226" w:rsidRPr="00CA2CC1" w:rsidRDefault="00000000" w:rsidP="0043303B">
      <w:pPr>
        <w:pStyle w:val="BodyText"/>
        <w:numPr>
          <w:ilvl w:val="0"/>
          <w:numId w:val="35"/>
        </w:numPr>
        <w:ind w:left="360"/>
        <w:rPr>
          <w:rFonts w:cs="Calibri"/>
        </w:rPr>
      </w:pPr>
      <w:r w:rsidRPr="00CA2CC1">
        <w:rPr>
          <w:rFonts w:cs="Calibri"/>
        </w:rPr>
        <w:t>Substantial</w:t>
      </w:r>
      <w:r w:rsidRPr="00CA2CC1">
        <w:rPr>
          <w:rFonts w:cs="Calibri"/>
          <w:spacing w:val="-6"/>
        </w:rPr>
        <w:t xml:space="preserve"> </w:t>
      </w:r>
      <w:r w:rsidRPr="00CA2CC1">
        <w:rPr>
          <w:rFonts w:cs="Calibri"/>
        </w:rPr>
        <w:t>and</w:t>
      </w:r>
      <w:r w:rsidRPr="00CA2CC1">
        <w:rPr>
          <w:rFonts w:cs="Calibri"/>
          <w:spacing w:val="-6"/>
        </w:rPr>
        <w:t xml:space="preserve"> </w:t>
      </w:r>
      <w:r w:rsidRPr="00CA2CC1">
        <w:rPr>
          <w:rFonts w:cs="Calibri"/>
        </w:rPr>
        <w:t>ongoing</w:t>
      </w:r>
      <w:r w:rsidRPr="00CA2CC1">
        <w:rPr>
          <w:rFonts w:cs="Calibri"/>
          <w:spacing w:val="-6"/>
        </w:rPr>
        <w:t xml:space="preserve"> </w:t>
      </w:r>
      <w:r w:rsidRPr="00CA2CC1">
        <w:rPr>
          <w:rFonts w:cs="Calibri"/>
        </w:rPr>
        <w:t>investment</w:t>
      </w:r>
      <w:r w:rsidRPr="00CA2CC1">
        <w:rPr>
          <w:rFonts w:cs="Calibri"/>
          <w:spacing w:val="-6"/>
        </w:rPr>
        <w:t xml:space="preserve"> </w:t>
      </w:r>
      <w:r w:rsidRPr="00CA2CC1">
        <w:rPr>
          <w:rFonts w:cs="Calibri"/>
        </w:rPr>
        <w:t>in</w:t>
      </w:r>
      <w:r w:rsidRPr="00CA2CC1">
        <w:rPr>
          <w:rFonts w:cs="Calibri"/>
          <w:spacing w:val="-6"/>
        </w:rPr>
        <w:t xml:space="preserve"> </w:t>
      </w:r>
      <w:r w:rsidRPr="00CA2CC1">
        <w:rPr>
          <w:rFonts w:cs="Calibri"/>
        </w:rPr>
        <w:t>energy</w:t>
      </w:r>
      <w:r w:rsidRPr="00CA2CC1">
        <w:rPr>
          <w:rFonts w:cs="Calibri"/>
          <w:spacing w:val="-6"/>
        </w:rPr>
        <w:t xml:space="preserve"> </w:t>
      </w:r>
      <w:r w:rsidRPr="00CA2CC1">
        <w:rPr>
          <w:rFonts w:cs="Calibri"/>
        </w:rPr>
        <w:t>efficiency measures</w:t>
      </w:r>
      <w:r w:rsidRPr="00CA2CC1">
        <w:rPr>
          <w:rFonts w:cs="Calibri"/>
          <w:spacing w:val="-8"/>
        </w:rPr>
        <w:t xml:space="preserve"> </w:t>
      </w:r>
      <w:r w:rsidRPr="00CA2CC1">
        <w:rPr>
          <w:rFonts w:cs="Calibri"/>
        </w:rPr>
        <w:t>is</w:t>
      </w:r>
      <w:r w:rsidRPr="00CA2CC1">
        <w:rPr>
          <w:rFonts w:cs="Calibri"/>
          <w:spacing w:val="-8"/>
        </w:rPr>
        <w:t xml:space="preserve"> </w:t>
      </w:r>
      <w:r w:rsidRPr="00CA2CC1">
        <w:rPr>
          <w:rFonts w:cs="Calibri"/>
        </w:rPr>
        <w:t>needed</w:t>
      </w:r>
      <w:r w:rsidRPr="00CA2CC1">
        <w:rPr>
          <w:rFonts w:cs="Calibri"/>
          <w:spacing w:val="-8"/>
        </w:rPr>
        <w:t xml:space="preserve"> </w:t>
      </w:r>
      <w:r w:rsidRPr="00CA2CC1">
        <w:rPr>
          <w:rFonts w:cs="Calibri"/>
        </w:rPr>
        <w:t>across</w:t>
      </w:r>
      <w:r w:rsidRPr="00CA2CC1">
        <w:rPr>
          <w:rFonts w:cs="Calibri"/>
          <w:spacing w:val="-8"/>
        </w:rPr>
        <w:t xml:space="preserve"> </w:t>
      </w:r>
      <w:r w:rsidRPr="00CA2CC1">
        <w:rPr>
          <w:rFonts w:cs="Calibri"/>
        </w:rPr>
        <w:t>residential,</w:t>
      </w:r>
      <w:r w:rsidRPr="00CA2CC1">
        <w:rPr>
          <w:rFonts w:cs="Calibri"/>
          <w:spacing w:val="-8"/>
        </w:rPr>
        <w:t xml:space="preserve"> </w:t>
      </w:r>
      <w:r w:rsidRPr="00CA2CC1">
        <w:rPr>
          <w:rFonts w:cs="Calibri"/>
        </w:rPr>
        <w:t>commercial</w:t>
      </w:r>
      <w:r w:rsidRPr="00CA2CC1">
        <w:rPr>
          <w:rFonts w:cs="Calibri"/>
          <w:spacing w:val="-8"/>
        </w:rPr>
        <w:t xml:space="preserve"> </w:t>
      </w:r>
      <w:r w:rsidRPr="00CA2CC1">
        <w:rPr>
          <w:rFonts w:cs="Calibri"/>
        </w:rPr>
        <w:t>and industrial sectors, at least until 2040. This will reduce Victoria’s overall natural gas demand and maintain supplies for critical purposes, such as manufacturing and gas-fired electricity generation support.</w:t>
      </w:r>
    </w:p>
    <w:p w14:paraId="4D895D44" w14:textId="77777777" w:rsidR="00FA4226" w:rsidRPr="00CA2CC1" w:rsidRDefault="00000000" w:rsidP="0043303B">
      <w:pPr>
        <w:pStyle w:val="BodyText"/>
        <w:numPr>
          <w:ilvl w:val="0"/>
          <w:numId w:val="35"/>
        </w:numPr>
        <w:ind w:left="360"/>
        <w:rPr>
          <w:rFonts w:cs="Calibri"/>
        </w:rPr>
      </w:pPr>
      <w:r w:rsidRPr="00CA2CC1">
        <w:rPr>
          <w:rFonts w:cs="Calibri"/>
        </w:rPr>
        <w:t>Many of Victoria’s gas assets can be repurposed to accommodate low emissions technologies, but not without further assessment and resolving logistical challenges. Detailed planning and investment support now</w:t>
      </w:r>
      <w:r w:rsidRPr="00CA2CC1">
        <w:rPr>
          <w:rFonts w:cs="Calibri"/>
          <w:spacing w:val="-4"/>
        </w:rPr>
        <w:t xml:space="preserve"> </w:t>
      </w:r>
      <w:r w:rsidRPr="00CA2CC1">
        <w:rPr>
          <w:rFonts w:cs="Calibri"/>
        </w:rPr>
        <w:t>will</w:t>
      </w:r>
      <w:r w:rsidRPr="00CA2CC1">
        <w:rPr>
          <w:rFonts w:cs="Calibri"/>
          <w:spacing w:val="-4"/>
        </w:rPr>
        <w:t xml:space="preserve"> </w:t>
      </w:r>
      <w:r w:rsidRPr="00CA2CC1">
        <w:rPr>
          <w:rFonts w:cs="Calibri"/>
        </w:rPr>
        <w:t>position</w:t>
      </w:r>
      <w:r w:rsidRPr="00CA2CC1">
        <w:rPr>
          <w:rFonts w:cs="Calibri"/>
          <w:spacing w:val="-4"/>
        </w:rPr>
        <w:t xml:space="preserve"> </w:t>
      </w:r>
      <w:r w:rsidRPr="00CA2CC1">
        <w:rPr>
          <w:rFonts w:cs="Calibri"/>
        </w:rPr>
        <w:t>Victoria</w:t>
      </w:r>
      <w:r w:rsidRPr="00CA2CC1">
        <w:rPr>
          <w:rFonts w:cs="Calibri"/>
          <w:spacing w:val="-4"/>
        </w:rPr>
        <w:t xml:space="preserve"> </w:t>
      </w:r>
      <w:r w:rsidRPr="00CA2CC1">
        <w:rPr>
          <w:rFonts w:cs="Calibri"/>
        </w:rPr>
        <w:t>to</w:t>
      </w:r>
      <w:r w:rsidRPr="00CA2CC1">
        <w:rPr>
          <w:rFonts w:cs="Calibri"/>
          <w:spacing w:val="-4"/>
        </w:rPr>
        <w:t xml:space="preserve"> </w:t>
      </w:r>
      <w:r w:rsidRPr="00CA2CC1">
        <w:rPr>
          <w:rFonts w:cs="Calibri"/>
        </w:rPr>
        <w:t>maximise</w:t>
      </w:r>
      <w:r w:rsidRPr="00CA2CC1">
        <w:rPr>
          <w:rFonts w:cs="Calibri"/>
          <w:spacing w:val="-4"/>
        </w:rPr>
        <w:t xml:space="preserve"> </w:t>
      </w:r>
      <w:r w:rsidRPr="00CA2CC1">
        <w:rPr>
          <w:rFonts w:cs="Calibri"/>
        </w:rPr>
        <w:t>the</w:t>
      </w:r>
      <w:r w:rsidRPr="00CA2CC1">
        <w:rPr>
          <w:rFonts w:cs="Calibri"/>
          <w:spacing w:val="-4"/>
        </w:rPr>
        <w:t xml:space="preserve"> </w:t>
      </w:r>
      <w:r w:rsidRPr="00CA2CC1">
        <w:rPr>
          <w:rFonts w:cs="Calibri"/>
        </w:rPr>
        <w:t>job</w:t>
      </w:r>
      <w:r w:rsidRPr="00CA2CC1">
        <w:rPr>
          <w:rFonts w:cs="Calibri"/>
          <w:spacing w:val="-4"/>
        </w:rPr>
        <w:t xml:space="preserve"> </w:t>
      </w:r>
      <w:r w:rsidRPr="00CA2CC1">
        <w:rPr>
          <w:rFonts w:cs="Calibri"/>
        </w:rPr>
        <w:t>and</w:t>
      </w:r>
      <w:r w:rsidRPr="00CA2CC1">
        <w:rPr>
          <w:rFonts w:cs="Calibri"/>
          <w:spacing w:val="-4"/>
        </w:rPr>
        <w:t xml:space="preserve"> </w:t>
      </w:r>
      <w:r w:rsidRPr="00CA2CC1">
        <w:rPr>
          <w:rFonts w:cs="Calibri"/>
        </w:rPr>
        <w:t>export opportunities of decarbonisation.</w:t>
      </w:r>
    </w:p>
    <w:p w14:paraId="0E033034" w14:textId="182CFFB3" w:rsidR="00FA4226" w:rsidRPr="00CA2CC1" w:rsidRDefault="00000000" w:rsidP="0043303B">
      <w:pPr>
        <w:pStyle w:val="BodyText"/>
        <w:numPr>
          <w:ilvl w:val="0"/>
          <w:numId w:val="35"/>
        </w:numPr>
        <w:ind w:left="360"/>
        <w:rPr>
          <w:rFonts w:cs="Calibri"/>
        </w:rPr>
        <w:sectPr w:rsidR="00FA4226" w:rsidRPr="00CA2CC1" w:rsidSect="00E941A5">
          <w:type w:val="continuous"/>
          <w:pgSz w:w="11910" w:h="16840"/>
          <w:pgMar w:top="1134" w:right="1278" w:bottom="1134" w:left="1134" w:header="720" w:footer="720" w:gutter="0"/>
          <w:cols w:space="720"/>
        </w:sectPr>
      </w:pPr>
      <w:r w:rsidRPr="00CA2CC1">
        <w:rPr>
          <w:rFonts w:cs="Calibri"/>
        </w:rPr>
        <w:t>By</w:t>
      </w:r>
      <w:r w:rsidRPr="00CA2CC1">
        <w:rPr>
          <w:rFonts w:cs="Calibri"/>
          <w:spacing w:val="-5"/>
        </w:rPr>
        <w:t xml:space="preserve"> </w:t>
      </w:r>
      <w:r w:rsidRPr="00CA2CC1">
        <w:rPr>
          <w:rFonts w:cs="Calibri"/>
        </w:rPr>
        <w:t>2050,</w:t>
      </w:r>
      <w:r w:rsidRPr="00CA2CC1">
        <w:rPr>
          <w:rFonts w:cs="Calibri"/>
          <w:spacing w:val="-5"/>
        </w:rPr>
        <w:t xml:space="preserve"> </w:t>
      </w:r>
      <w:r w:rsidRPr="00CA2CC1">
        <w:rPr>
          <w:rFonts w:cs="Calibri"/>
        </w:rPr>
        <w:t>some</w:t>
      </w:r>
      <w:r w:rsidRPr="00CA2CC1">
        <w:rPr>
          <w:rFonts w:cs="Calibri"/>
          <w:spacing w:val="-5"/>
        </w:rPr>
        <w:t xml:space="preserve"> </w:t>
      </w:r>
      <w:r w:rsidRPr="00CA2CC1">
        <w:rPr>
          <w:rFonts w:cs="Calibri"/>
        </w:rPr>
        <w:t>of</w:t>
      </w:r>
      <w:r w:rsidRPr="00CA2CC1">
        <w:rPr>
          <w:rFonts w:cs="Calibri"/>
          <w:spacing w:val="-5"/>
        </w:rPr>
        <w:t xml:space="preserve"> </w:t>
      </w:r>
      <w:r w:rsidRPr="00CA2CC1">
        <w:rPr>
          <w:rFonts w:cs="Calibri"/>
        </w:rPr>
        <w:t>our</w:t>
      </w:r>
      <w:r w:rsidRPr="00CA2CC1">
        <w:rPr>
          <w:rFonts w:cs="Calibri"/>
          <w:spacing w:val="-5"/>
        </w:rPr>
        <w:t xml:space="preserve"> </w:t>
      </w:r>
      <w:r w:rsidRPr="00CA2CC1">
        <w:rPr>
          <w:rFonts w:cs="Calibri"/>
        </w:rPr>
        <w:t>existing</w:t>
      </w:r>
      <w:r w:rsidRPr="00CA2CC1">
        <w:rPr>
          <w:rFonts w:cs="Calibri"/>
          <w:spacing w:val="-5"/>
        </w:rPr>
        <w:t xml:space="preserve"> </w:t>
      </w:r>
      <w:r w:rsidRPr="00CA2CC1">
        <w:rPr>
          <w:rFonts w:cs="Calibri"/>
        </w:rPr>
        <w:t>gas</w:t>
      </w:r>
      <w:r w:rsidRPr="00CA2CC1">
        <w:rPr>
          <w:rFonts w:cs="Calibri"/>
          <w:spacing w:val="-5"/>
        </w:rPr>
        <w:t xml:space="preserve"> </w:t>
      </w:r>
      <w:r w:rsidRPr="00CA2CC1">
        <w:rPr>
          <w:rFonts w:cs="Calibri"/>
        </w:rPr>
        <w:t>infrastructure</w:t>
      </w:r>
      <w:r w:rsidRPr="00CA2CC1">
        <w:rPr>
          <w:rFonts w:cs="Calibri"/>
          <w:spacing w:val="-5"/>
        </w:rPr>
        <w:t xml:space="preserve"> </w:t>
      </w:r>
      <w:r w:rsidRPr="00CA2CC1">
        <w:rPr>
          <w:rFonts w:cs="Calibri"/>
        </w:rPr>
        <w:t>may</w:t>
      </w:r>
      <w:r w:rsidRPr="00CA2CC1">
        <w:rPr>
          <w:rFonts w:cs="Calibri"/>
          <w:spacing w:val="-5"/>
        </w:rPr>
        <w:t xml:space="preserve"> </w:t>
      </w:r>
      <w:r w:rsidRPr="00CA2CC1">
        <w:rPr>
          <w:rFonts w:cs="Calibri"/>
        </w:rPr>
        <w:t>be decommissioned while other parts of the network could be reconfigured to accommodate hydrogen, bioenergy and carbon capture and storage.</w:t>
      </w:r>
    </w:p>
    <w:p w14:paraId="5849E9B6" w14:textId="77777777" w:rsidR="00FA4226" w:rsidRPr="00CA2CC1" w:rsidRDefault="00000000" w:rsidP="0043303B">
      <w:pPr>
        <w:pStyle w:val="BodyText"/>
        <w:spacing w:before="64"/>
        <w:rPr>
          <w:rFonts w:cs="Calibri"/>
          <w:b/>
          <w:bCs/>
        </w:rPr>
      </w:pPr>
      <w:r w:rsidRPr="00CA2CC1">
        <w:rPr>
          <w:rFonts w:cs="Calibri"/>
          <w:b/>
          <w:bCs/>
          <w:color w:val="414042"/>
        </w:rPr>
        <w:lastRenderedPageBreak/>
        <w:t>Most gas in Victorian households is used for</w:t>
      </w:r>
      <w:r w:rsidRPr="00CA2CC1">
        <w:rPr>
          <w:rFonts w:cs="Calibri"/>
          <w:b/>
          <w:bCs/>
          <w:color w:val="414042"/>
          <w:spacing w:val="1"/>
        </w:rPr>
        <w:t xml:space="preserve"> </w:t>
      </w:r>
      <w:r w:rsidRPr="00CA2CC1">
        <w:rPr>
          <w:rFonts w:cs="Calibri"/>
          <w:b/>
          <w:bCs/>
          <w:color w:val="414042"/>
          <w:spacing w:val="-2"/>
        </w:rPr>
        <w:t>heating.</w:t>
      </w:r>
    </w:p>
    <w:p w14:paraId="2697DD89" w14:textId="77777777" w:rsidR="00FA4226" w:rsidRPr="00CA2CC1" w:rsidRDefault="00000000" w:rsidP="0043303B">
      <w:pPr>
        <w:pStyle w:val="BodyText"/>
        <w:spacing w:before="110"/>
        <w:rPr>
          <w:rFonts w:cs="Calibri"/>
        </w:rPr>
      </w:pPr>
      <w:r w:rsidRPr="00CA2CC1">
        <w:rPr>
          <w:rFonts w:cs="Calibri"/>
          <w:color w:val="414042"/>
        </w:rPr>
        <w:t>Estimated</w:t>
      </w:r>
      <w:r w:rsidRPr="00CA2CC1">
        <w:rPr>
          <w:rFonts w:cs="Calibri"/>
          <w:color w:val="414042"/>
          <w:spacing w:val="-6"/>
        </w:rPr>
        <w:t xml:space="preserve"> </w:t>
      </w:r>
      <w:r w:rsidRPr="00CA2CC1">
        <w:rPr>
          <w:rFonts w:cs="Calibri"/>
          <w:color w:val="414042"/>
        </w:rPr>
        <w:t>share</w:t>
      </w:r>
      <w:r w:rsidRPr="00CA2CC1">
        <w:rPr>
          <w:rFonts w:cs="Calibri"/>
          <w:color w:val="414042"/>
          <w:spacing w:val="-6"/>
        </w:rPr>
        <w:t xml:space="preserve"> </w:t>
      </w:r>
      <w:r w:rsidRPr="00CA2CC1">
        <w:rPr>
          <w:rFonts w:cs="Calibri"/>
          <w:color w:val="414042"/>
        </w:rPr>
        <w:t>of</w:t>
      </w:r>
      <w:r w:rsidRPr="00CA2CC1">
        <w:rPr>
          <w:rFonts w:cs="Calibri"/>
          <w:color w:val="414042"/>
          <w:spacing w:val="-6"/>
        </w:rPr>
        <w:t xml:space="preserve"> </w:t>
      </w:r>
      <w:r w:rsidRPr="00CA2CC1">
        <w:rPr>
          <w:rFonts w:cs="Calibri"/>
          <w:color w:val="414042"/>
        </w:rPr>
        <w:t>natural</w:t>
      </w:r>
      <w:r w:rsidRPr="00CA2CC1">
        <w:rPr>
          <w:rFonts w:cs="Calibri"/>
          <w:color w:val="414042"/>
          <w:spacing w:val="-6"/>
        </w:rPr>
        <w:t xml:space="preserve"> </w:t>
      </w:r>
      <w:r w:rsidRPr="00CA2CC1">
        <w:rPr>
          <w:rFonts w:cs="Calibri"/>
          <w:color w:val="414042"/>
        </w:rPr>
        <w:t>gas</w:t>
      </w:r>
      <w:r w:rsidRPr="00CA2CC1">
        <w:rPr>
          <w:rFonts w:cs="Calibri"/>
          <w:color w:val="414042"/>
          <w:spacing w:val="-6"/>
        </w:rPr>
        <w:t xml:space="preserve"> </w:t>
      </w:r>
      <w:r w:rsidRPr="00CA2CC1">
        <w:rPr>
          <w:rFonts w:cs="Calibri"/>
          <w:color w:val="414042"/>
        </w:rPr>
        <w:t>consumption</w:t>
      </w:r>
      <w:r w:rsidRPr="00CA2CC1">
        <w:rPr>
          <w:rFonts w:cs="Calibri"/>
          <w:color w:val="414042"/>
          <w:spacing w:val="-6"/>
        </w:rPr>
        <w:t xml:space="preserve"> </w:t>
      </w:r>
      <w:r w:rsidRPr="00CA2CC1">
        <w:rPr>
          <w:rFonts w:cs="Calibri"/>
          <w:color w:val="414042"/>
        </w:rPr>
        <w:t>by</w:t>
      </w:r>
      <w:r w:rsidRPr="00CA2CC1">
        <w:rPr>
          <w:rFonts w:cs="Calibri"/>
          <w:color w:val="414042"/>
          <w:spacing w:val="-6"/>
        </w:rPr>
        <w:t xml:space="preserve"> </w:t>
      </w:r>
      <w:r w:rsidRPr="00CA2CC1">
        <w:rPr>
          <w:rFonts w:cs="Calibri"/>
          <w:color w:val="414042"/>
        </w:rPr>
        <w:t>use, Victoria households – 2020</w:t>
      </w:r>
    </w:p>
    <w:p w14:paraId="2A68147A" w14:textId="6D3CD29D" w:rsidR="00364667" w:rsidRPr="00CA2CC1" w:rsidRDefault="00364667" w:rsidP="0043303B">
      <w:pPr>
        <w:pStyle w:val="BodyText"/>
        <w:rPr>
          <w:rFonts w:cs="Calibri"/>
        </w:rPr>
      </w:pPr>
      <w:r w:rsidRPr="00CA2CC1">
        <w:rPr>
          <w:rFonts w:cs="Calibri"/>
          <w:noProof/>
        </w:rPr>
        <w:drawing>
          <wp:inline distT="0" distB="0" distL="0" distR="0" wp14:anchorId="5168B0CB" wp14:editId="76725C7C">
            <wp:extent cx="2971800" cy="2552700"/>
            <wp:effectExtent l="0" t="0" r="0" b="0"/>
            <wp:docPr id="79597765" name="Picture 4" descr="Space heating 60%&#10;Water heating 36%&#10;Cook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97765" name="Picture 4" descr="Space heating 60%&#10;Water heating 36%&#10;Cooking 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71800" cy="2552700"/>
                    </a:xfrm>
                    <a:prstGeom prst="rect">
                      <a:avLst/>
                    </a:prstGeom>
                  </pic:spPr>
                </pic:pic>
              </a:graphicData>
            </a:graphic>
          </wp:inline>
        </w:drawing>
      </w:r>
    </w:p>
    <w:p w14:paraId="1F3D0584" w14:textId="77777777" w:rsidR="00364667" w:rsidRPr="00CA2CC1" w:rsidRDefault="00364667" w:rsidP="0043303B">
      <w:pPr>
        <w:pStyle w:val="BodyText"/>
        <w:rPr>
          <w:rFonts w:cs="Calibri"/>
          <w:color w:val="414042"/>
          <w:sz w:val="18"/>
        </w:rPr>
      </w:pPr>
    </w:p>
    <w:p w14:paraId="406F431F" w14:textId="798CCE99" w:rsidR="00FA4226" w:rsidRPr="00CA2CC1" w:rsidRDefault="00000000" w:rsidP="0043303B">
      <w:pPr>
        <w:pStyle w:val="BodyText"/>
        <w:rPr>
          <w:rFonts w:cs="Calibri"/>
          <w:i/>
          <w:sz w:val="18"/>
        </w:rPr>
      </w:pPr>
      <w:r w:rsidRPr="00CA2CC1">
        <w:rPr>
          <w:rFonts w:cs="Calibri"/>
          <w:color w:val="414042"/>
          <w:sz w:val="18"/>
        </w:rPr>
        <w:t>Sources:</w:t>
      </w:r>
      <w:r w:rsidRPr="00CA2CC1">
        <w:rPr>
          <w:rFonts w:cs="Calibri"/>
          <w:color w:val="414042"/>
          <w:spacing w:val="-6"/>
          <w:sz w:val="18"/>
        </w:rPr>
        <w:t xml:space="preserve"> </w:t>
      </w:r>
      <w:r w:rsidRPr="00CA2CC1">
        <w:rPr>
          <w:rFonts w:cs="Calibri"/>
          <w:color w:val="414042"/>
          <w:sz w:val="18"/>
        </w:rPr>
        <w:t>Northmore</w:t>
      </w:r>
      <w:r w:rsidRPr="00CA2CC1">
        <w:rPr>
          <w:rFonts w:cs="Calibri"/>
          <w:color w:val="414042"/>
          <w:spacing w:val="-6"/>
          <w:sz w:val="18"/>
        </w:rPr>
        <w:t xml:space="preserve"> </w:t>
      </w:r>
      <w:r w:rsidRPr="00CA2CC1">
        <w:rPr>
          <w:rFonts w:cs="Calibri"/>
          <w:color w:val="414042"/>
          <w:sz w:val="18"/>
        </w:rPr>
        <w:t>Gordon</w:t>
      </w:r>
      <w:r w:rsidRPr="00CA2CC1">
        <w:rPr>
          <w:rFonts w:cs="Calibri"/>
          <w:color w:val="414042"/>
          <w:spacing w:val="-6"/>
          <w:sz w:val="18"/>
        </w:rPr>
        <w:t xml:space="preserve"> </w:t>
      </w:r>
      <w:r w:rsidRPr="00CA2CC1">
        <w:rPr>
          <w:rFonts w:cs="Calibri"/>
          <w:color w:val="414042"/>
          <w:sz w:val="18"/>
        </w:rPr>
        <w:t>and</w:t>
      </w:r>
      <w:r w:rsidRPr="00CA2CC1">
        <w:rPr>
          <w:rFonts w:cs="Calibri"/>
          <w:color w:val="414042"/>
          <w:spacing w:val="-6"/>
          <w:sz w:val="18"/>
        </w:rPr>
        <w:t xml:space="preserve"> </w:t>
      </w:r>
      <w:r w:rsidRPr="00CA2CC1">
        <w:rPr>
          <w:rFonts w:cs="Calibri"/>
          <w:color w:val="414042"/>
          <w:sz w:val="18"/>
        </w:rPr>
        <w:t>Energia</w:t>
      </w:r>
      <w:r w:rsidRPr="00CA2CC1">
        <w:rPr>
          <w:rFonts w:cs="Calibri"/>
          <w:color w:val="414042"/>
          <w:spacing w:val="-6"/>
          <w:sz w:val="18"/>
        </w:rPr>
        <w:t xml:space="preserve"> </w:t>
      </w:r>
      <w:r w:rsidRPr="00CA2CC1">
        <w:rPr>
          <w:rFonts w:cs="Calibri"/>
          <w:color w:val="414042"/>
          <w:sz w:val="18"/>
        </w:rPr>
        <w:t>(2021)</w:t>
      </w:r>
      <w:r w:rsidRPr="00CA2CC1">
        <w:rPr>
          <w:rFonts w:cs="Calibri"/>
          <w:color w:val="414042"/>
          <w:spacing w:val="-7"/>
          <w:sz w:val="18"/>
        </w:rPr>
        <w:t xml:space="preserve"> </w:t>
      </w:r>
      <w:r w:rsidRPr="00CA2CC1">
        <w:rPr>
          <w:rFonts w:cs="Calibri"/>
          <w:i/>
          <w:color w:val="414042"/>
          <w:sz w:val="18"/>
        </w:rPr>
        <w:t>Cost</w:t>
      </w:r>
      <w:r w:rsidRPr="00CA2CC1">
        <w:rPr>
          <w:rFonts w:cs="Calibri"/>
          <w:i/>
          <w:color w:val="414042"/>
          <w:spacing w:val="-6"/>
          <w:sz w:val="18"/>
        </w:rPr>
        <w:t xml:space="preserve"> </w:t>
      </w:r>
      <w:r w:rsidRPr="00CA2CC1">
        <w:rPr>
          <w:rFonts w:cs="Calibri"/>
          <w:i/>
          <w:color w:val="414042"/>
          <w:sz w:val="18"/>
        </w:rPr>
        <w:t>benefit analysis of energy efficiency activities in the gas sector</w:t>
      </w:r>
    </w:p>
    <w:p w14:paraId="076EE338" w14:textId="77777777" w:rsidR="00FA4226" w:rsidRPr="00CA2CC1" w:rsidRDefault="00FA4226" w:rsidP="0043303B">
      <w:pPr>
        <w:pStyle w:val="BodyText"/>
        <w:spacing w:before="4"/>
        <w:rPr>
          <w:rFonts w:cs="Calibri"/>
          <w:i/>
          <w:sz w:val="19"/>
        </w:rPr>
      </w:pPr>
    </w:p>
    <w:p w14:paraId="5EB6EE0C" w14:textId="77777777" w:rsidR="00FA2CF0" w:rsidRPr="00CA2CC1" w:rsidRDefault="00FA2CF0" w:rsidP="0043303B">
      <w:pPr>
        <w:pStyle w:val="BodyText"/>
        <w:spacing w:before="65"/>
        <w:rPr>
          <w:rFonts w:cs="Calibri"/>
          <w:b/>
          <w:bCs/>
          <w:color w:val="414042"/>
        </w:rPr>
      </w:pPr>
    </w:p>
    <w:p w14:paraId="440F7E7C" w14:textId="29DEAD9B" w:rsidR="00FA4226" w:rsidRPr="00CA2CC1" w:rsidRDefault="00000000" w:rsidP="0043303B">
      <w:pPr>
        <w:pStyle w:val="BodyText"/>
        <w:spacing w:before="65"/>
        <w:rPr>
          <w:rFonts w:cs="Calibri"/>
          <w:b/>
          <w:bCs/>
        </w:rPr>
      </w:pPr>
      <w:r w:rsidRPr="00CA2CC1">
        <w:rPr>
          <w:rFonts w:cs="Calibri"/>
          <w:b/>
          <w:bCs/>
          <w:color w:val="414042"/>
        </w:rPr>
        <w:t>Victoria has an extensive network of gas</w:t>
      </w:r>
      <w:r w:rsidRPr="00CA2CC1">
        <w:rPr>
          <w:rFonts w:cs="Calibri"/>
          <w:b/>
          <w:bCs/>
          <w:color w:val="414042"/>
          <w:spacing w:val="1"/>
        </w:rPr>
        <w:t xml:space="preserve"> </w:t>
      </w:r>
      <w:r w:rsidRPr="00CA2CC1">
        <w:rPr>
          <w:rFonts w:cs="Calibri"/>
          <w:b/>
          <w:bCs/>
          <w:color w:val="414042"/>
          <w:spacing w:val="-2"/>
        </w:rPr>
        <w:t>infrastructure.</w:t>
      </w:r>
    </w:p>
    <w:p w14:paraId="21743C28" w14:textId="77777777" w:rsidR="00FA4226" w:rsidRPr="00CA2CC1" w:rsidRDefault="00000000" w:rsidP="0043303B">
      <w:pPr>
        <w:pStyle w:val="BodyText"/>
        <w:spacing w:before="87"/>
        <w:rPr>
          <w:rFonts w:cs="Calibri"/>
        </w:rPr>
      </w:pPr>
      <w:r w:rsidRPr="00CA2CC1">
        <w:rPr>
          <w:rFonts w:cs="Calibri"/>
          <w:color w:val="414042"/>
        </w:rPr>
        <w:t>Map</w:t>
      </w:r>
      <w:r w:rsidRPr="00CA2CC1">
        <w:rPr>
          <w:rFonts w:cs="Calibri"/>
          <w:color w:val="414042"/>
          <w:spacing w:val="-4"/>
        </w:rPr>
        <w:t xml:space="preserve"> </w:t>
      </w:r>
      <w:r w:rsidRPr="00CA2CC1">
        <w:rPr>
          <w:rFonts w:cs="Calibri"/>
          <w:color w:val="414042"/>
        </w:rPr>
        <w:t>of</w:t>
      </w:r>
      <w:r w:rsidRPr="00CA2CC1">
        <w:rPr>
          <w:rFonts w:cs="Calibri"/>
          <w:color w:val="414042"/>
          <w:spacing w:val="-3"/>
        </w:rPr>
        <w:t xml:space="preserve"> </w:t>
      </w:r>
      <w:r w:rsidRPr="00CA2CC1">
        <w:rPr>
          <w:rFonts w:cs="Calibri"/>
          <w:color w:val="414042"/>
        </w:rPr>
        <w:t>Victoria’s</w:t>
      </w:r>
      <w:r w:rsidRPr="00CA2CC1">
        <w:rPr>
          <w:rFonts w:cs="Calibri"/>
          <w:color w:val="414042"/>
          <w:spacing w:val="-3"/>
        </w:rPr>
        <w:t xml:space="preserve"> </w:t>
      </w:r>
      <w:r w:rsidRPr="00CA2CC1">
        <w:rPr>
          <w:rFonts w:cs="Calibri"/>
          <w:color w:val="414042"/>
        </w:rPr>
        <w:t>gas</w:t>
      </w:r>
      <w:r w:rsidRPr="00CA2CC1">
        <w:rPr>
          <w:rFonts w:cs="Calibri"/>
          <w:color w:val="414042"/>
          <w:spacing w:val="-3"/>
        </w:rPr>
        <w:t xml:space="preserve"> </w:t>
      </w:r>
      <w:r w:rsidRPr="00CA2CC1">
        <w:rPr>
          <w:rFonts w:cs="Calibri"/>
          <w:color w:val="414042"/>
          <w:spacing w:val="-2"/>
        </w:rPr>
        <w:t>infrastructure</w:t>
      </w:r>
    </w:p>
    <w:p w14:paraId="03348D99" w14:textId="7801EFB9" w:rsidR="00FA4226" w:rsidRPr="00CA2CC1" w:rsidRDefault="0004224D" w:rsidP="0043303B">
      <w:pPr>
        <w:pStyle w:val="BodyText"/>
        <w:spacing w:before="4"/>
        <w:rPr>
          <w:rFonts w:cs="Calibri"/>
          <w:sz w:val="14"/>
        </w:rPr>
      </w:pPr>
      <w:r w:rsidRPr="00CA2CC1">
        <w:rPr>
          <w:rFonts w:cs="Calibri"/>
          <w:noProof/>
        </w:rPr>
        <w:drawing>
          <wp:inline distT="0" distB="0" distL="0" distR="0" wp14:anchorId="16551748" wp14:editId="68ED4C41">
            <wp:extent cx="5241600" cy="3704400"/>
            <wp:effectExtent l="0" t="0" r="3810" b="4445"/>
            <wp:docPr id="519" name="Image 519" descr="Map of Victoria’s gas infrastructure&#10;7 Gas processing plants &#10;8 Gas power stations&#10;1 Import terminal&#10;Major gas pipe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9" name="Image 519" descr="Map of Victoria’s gas infrastructure&#10;7 Gas processing plants &#10;8 Gas power stations&#10;1 Import terminal&#10;Major gas pipelin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41600" cy="3704400"/>
                    </a:xfrm>
                    <a:prstGeom prst="rect">
                      <a:avLst/>
                    </a:prstGeom>
                  </pic:spPr>
                </pic:pic>
              </a:graphicData>
            </a:graphic>
          </wp:inline>
        </w:drawing>
      </w:r>
    </w:p>
    <w:p w14:paraId="4059880C" w14:textId="77777777" w:rsidR="00FA4226" w:rsidRPr="00CA2CC1" w:rsidRDefault="00FA4226" w:rsidP="0043303B">
      <w:pPr>
        <w:jc w:val="right"/>
        <w:rPr>
          <w:rFonts w:cs="Calibri"/>
          <w:sz w:val="16"/>
        </w:rPr>
        <w:sectPr w:rsidR="00FA4226" w:rsidRPr="00CA2CC1" w:rsidSect="00E941A5">
          <w:pgSz w:w="11910" w:h="16840"/>
          <w:pgMar w:top="1134" w:right="1278" w:bottom="1134" w:left="1134" w:header="720" w:footer="720" w:gutter="0"/>
          <w:cols w:space="720"/>
        </w:sectPr>
      </w:pPr>
    </w:p>
    <w:bookmarkStart w:id="28" w:name="Advice_on_opportunities_to_reduce_greenh"/>
    <w:bookmarkStart w:id="29" w:name="_bookmark13"/>
    <w:bookmarkEnd w:id="28"/>
    <w:bookmarkEnd w:id="29"/>
    <w:p w14:paraId="0A5DF251" w14:textId="5BAF96C5" w:rsidR="00FA4226" w:rsidRPr="00A82B74" w:rsidRDefault="00000000" w:rsidP="00A82B74">
      <w:pPr>
        <w:pStyle w:val="Heading3"/>
        <w:rPr>
          <w:u w:val="single"/>
        </w:rPr>
      </w:pPr>
      <w:r w:rsidRPr="00A82B74">
        <w:rPr>
          <w:u w:val="single"/>
        </w:rPr>
        <w:lastRenderedPageBreak/>
        <w:fldChar w:fldCharType="begin"/>
      </w:r>
      <w:r w:rsidRPr="00A82B74">
        <w:rPr>
          <w:u w:val="single"/>
        </w:rPr>
        <w:instrText>HYPERLINK "https://www.infrastructurevictoria.com.au/project/advice-on-opportunities-to-reduce-greenhouse-gas-emissions-of-victorian-government-infrastructure/" \h</w:instrText>
      </w:r>
      <w:r w:rsidRPr="00A82B74">
        <w:rPr>
          <w:u w:val="single"/>
        </w:rPr>
      </w:r>
      <w:r w:rsidRPr="00A82B74">
        <w:rPr>
          <w:u w:val="single"/>
        </w:rPr>
        <w:fldChar w:fldCharType="separate"/>
      </w:r>
      <w:r w:rsidRPr="00A82B74">
        <w:rPr>
          <w:u w:val="single"/>
        </w:rPr>
        <w:t xml:space="preserve">Advice on opportunities </w:t>
      </w:r>
      <w:r w:rsidRPr="00A82B74">
        <w:rPr>
          <w:u w:val="single"/>
        </w:rPr>
        <w:fldChar w:fldCharType="end"/>
      </w:r>
      <w:hyperlink r:id="rId29">
        <w:r w:rsidRPr="00A82B74">
          <w:rPr>
            <w:u w:val="single"/>
          </w:rPr>
          <w:t xml:space="preserve">to reduce greenhouse </w:t>
        </w:r>
      </w:hyperlink>
      <w:hyperlink r:id="rId30">
        <w:r w:rsidRPr="00A82B74">
          <w:rPr>
            <w:u w:val="single"/>
          </w:rPr>
          <w:t xml:space="preserve">gas emissions of Victorian </w:t>
        </w:r>
      </w:hyperlink>
      <w:hyperlink r:id="rId31">
        <w:r w:rsidRPr="00A82B74">
          <w:rPr>
            <w:u w:val="single"/>
          </w:rPr>
          <w:t>Government infrastructure</w:t>
        </w:r>
      </w:hyperlink>
    </w:p>
    <w:p w14:paraId="5125CB3E" w14:textId="77777777" w:rsidR="00FA4226" w:rsidRPr="00CA2CC1" w:rsidRDefault="00000000" w:rsidP="0043303B">
      <w:pPr>
        <w:pStyle w:val="BodyText"/>
        <w:rPr>
          <w:rFonts w:cs="Calibri"/>
        </w:rPr>
      </w:pPr>
      <w:r w:rsidRPr="00CA2CC1">
        <w:rPr>
          <w:rFonts w:cs="Calibri"/>
        </w:rPr>
        <w:t>In March 2023, the Victorian Government asked Infrastructure Victoria’s advice on opportunities to reduce greenhouse gas emissions of future public infrastructure investments the government will plan, own, or manage.</w:t>
      </w:r>
    </w:p>
    <w:p w14:paraId="31F2DDBE" w14:textId="77777777" w:rsidR="00FA4226" w:rsidRPr="00CA2CC1" w:rsidRDefault="00000000" w:rsidP="0043303B">
      <w:pPr>
        <w:pStyle w:val="BodyText"/>
        <w:rPr>
          <w:rFonts w:cs="Calibri"/>
        </w:rPr>
      </w:pPr>
      <w:r w:rsidRPr="00CA2CC1">
        <w:rPr>
          <w:rFonts w:cs="Calibri"/>
        </w:rPr>
        <w:t>The government asked us to consider how policies and guidelines can better account for greenhouse gas</w:t>
      </w:r>
    </w:p>
    <w:p w14:paraId="4D31A228" w14:textId="77777777" w:rsidR="00FA4226" w:rsidRPr="00CA2CC1" w:rsidRDefault="00000000" w:rsidP="0043303B">
      <w:pPr>
        <w:pStyle w:val="BodyText"/>
        <w:rPr>
          <w:rFonts w:cs="Calibri"/>
        </w:rPr>
      </w:pPr>
      <w:r w:rsidRPr="00CA2CC1">
        <w:rPr>
          <w:rFonts w:cs="Calibri"/>
        </w:rPr>
        <w:t>emissions produced in the design, investment, construction, maintenance and decommissioning of public infrastructure.</w:t>
      </w:r>
    </w:p>
    <w:p w14:paraId="0426B419" w14:textId="77777777" w:rsidR="00FA4226" w:rsidRPr="00CA2CC1" w:rsidRDefault="00000000" w:rsidP="0043303B">
      <w:pPr>
        <w:pStyle w:val="BodyText"/>
        <w:rPr>
          <w:rFonts w:cs="Calibri"/>
        </w:rPr>
      </w:pPr>
      <w:r w:rsidRPr="00CA2CC1">
        <w:rPr>
          <w:rFonts w:cs="Calibri"/>
        </w:rPr>
        <w:t>Specifically, the government sought advice on:</w:t>
      </w:r>
    </w:p>
    <w:p w14:paraId="5BD7D535" w14:textId="77777777" w:rsidR="00FA4226" w:rsidRPr="00CA2CC1" w:rsidRDefault="00000000" w:rsidP="0043303B">
      <w:pPr>
        <w:pStyle w:val="BodyText"/>
        <w:numPr>
          <w:ilvl w:val="0"/>
          <w:numId w:val="36"/>
        </w:numPr>
        <w:rPr>
          <w:rFonts w:cs="Calibri"/>
        </w:rPr>
      </w:pPr>
      <w:r w:rsidRPr="00CA2CC1">
        <w:rPr>
          <w:rFonts w:cs="Calibri"/>
        </w:rPr>
        <w:t>opportunities</w:t>
      </w:r>
      <w:r w:rsidRPr="00CA2CC1">
        <w:rPr>
          <w:rFonts w:cs="Calibri"/>
          <w:spacing w:val="-13"/>
        </w:rPr>
        <w:t xml:space="preserve"> </w:t>
      </w:r>
      <w:r w:rsidRPr="00CA2CC1">
        <w:rPr>
          <w:rFonts w:cs="Calibri"/>
        </w:rPr>
        <w:t>to</w:t>
      </w:r>
      <w:r w:rsidRPr="00CA2CC1">
        <w:rPr>
          <w:rFonts w:cs="Calibri"/>
          <w:spacing w:val="-13"/>
        </w:rPr>
        <w:t xml:space="preserve"> </w:t>
      </w:r>
      <w:r w:rsidRPr="00CA2CC1">
        <w:rPr>
          <w:rFonts w:cs="Calibri"/>
        </w:rPr>
        <w:t>identify,</w:t>
      </w:r>
      <w:r w:rsidRPr="00CA2CC1">
        <w:rPr>
          <w:rFonts w:cs="Calibri"/>
          <w:spacing w:val="-12"/>
        </w:rPr>
        <w:t xml:space="preserve"> </w:t>
      </w:r>
      <w:r w:rsidRPr="00CA2CC1">
        <w:rPr>
          <w:rFonts w:cs="Calibri"/>
        </w:rPr>
        <w:t>prioritise,</w:t>
      </w:r>
      <w:r w:rsidRPr="00CA2CC1">
        <w:rPr>
          <w:rFonts w:cs="Calibri"/>
          <w:spacing w:val="-13"/>
        </w:rPr>
        <w:t xml:space="preserve"> </w:t>
      </w:r>
      <w:r w:rsidRPr="00CA2CC1">
        <w:rPr>
          <w:rFonts w:cs="Calibri"/>
        </w:rPr>
        <w:t>quantify,</w:t>
      </w:r>
      <w:r w:rsidRPr="00CA2CC1">
        <w:rPr>
          <w:rFonts w:cs="Calibri"/>
          <w:spacing w:val="-12"/>
        </w:rPr>
        <w:t xml:space="preserve"> </w:t>
      </w:r>
      <w:r w:rsidRPr="00CA2CC1">
        <w:rPr>
          <w:rFonts w:cs="Calibri"/>
        </w:rPr>
        <w:t>incentivise, and track reductions in embodied, operational, and enabled infrastructure emissions at early strategic planning and investment decision making stages, including business case assessment</w:t>
      </w:r>
    </w:p>
    <w:p w14:paraId="021B3FF4" w14:textId="77777777" w:rsidR="00FA4226" w:rsidRPr="00CA2CC1" w:rsidRDefault="00000000" w:rsidP="0043303B">
      <w:pPr>
        <w:pStyle w:val="BodyText"/>
        <w:numPr>
          <w:ilvl w:val="0"/>
          <w:numId w:val="36"/>
        </w:numPr>
        <w:rPr>
          <w:rFonts w:cs="Calibri"/>
        </w:rPr>
      </w:pPr>
      <w:r w:rsidRPr="00CA2CC1">
        <w:rPr>
          <w:rFonts w:cs="Calibri"/>
        </w:rPr>
        <w:t>options to update the Victorian Government’s existing investment</w:t>
      </w:r>
      <w:r w:rsidRPr="00CA2CC1">
        <w:rPr>
          <w:rFonts w:cs="Calibri"/>
          <w:spacing w:val="-12"/>
        </w:rPr>
        <w:t xml:space="preserve"> </w:t>
      </w:r>
      <w:r w:rsidRPr="00CA2CC1">
        <w:rPr>
          <w:rFonts w:cs="Calibri"/>
        </w:rPr>
        <w:t>guidelines,</w:t>
      </w:r>
      <w:r w:rsidRPr="00CA2CC1">
        <w:rPr>
          <w:rFonts w:cs="Calibri"/>
          <w:spacing w:val="-12"/>
        </w:rPr>
        <w:t xml:space="preserve"> </w:t>
      </w:r>
      <w:r w:rsidRPr="00CA2CC1">
        <w:rPr>
          <w:rFonts w:cs="Calibri"/>
        </w:rPr>
        <w:t>procurement</w:t>
      </w:r>
      <w:r w:rsidRPr="00CA2CC1">
        <w:rPr>
          <w:rFonts w:cs="Calibri"/>
          <w:spacing w:val="-12"/>
        </w:rPr>
        <w:t xml:space="preserve"> </w:t>
      </w:r>
      <w:r w:rsidRPr="00CA2CC1">
        <w:rPr>
          <w:rFonts w:cs="Calibri"/>
        </w:rPr>
        <w:t>policies,</w:t>
      </w:r>
      <w:r w:rsidRPr="00CA2CC1">
        <w:rPr>
          <w:rFonts w:cs="Calibri"/>
          <w:spacing w:val="-12"/>
        </w:rPr>
        <w:t xml:space="preserve"> </w:t>
      </w:r>
      <w:r w:rsidRPr="00CA2CC1">
        <w:rPr>
          <w:rFonts w:cs="Calibri"/>
        </w:rPr>
        <w:t>regulatory tools, standards, frameworks and/or guidelines to reduce emissions</w:t>
      </w:r>
    </w:p>
    <w:p w14:paraId="6A71241E" w14:textId="77777777" w:rsidR="00FA4226" w:rsidRPr="00CA2CC1" w:rsidRDefault="00000000" w:rsidP="0043303B">
      <w:pPr>
        <w:pStyle w:val="BodyText"/>
        <w:numPr>
          <w:ilvl w:val="0"/>
          <w:numId w:val="36"/>
        </w:numPr>
        <w:rPr>
          <w:rFonts w:cs="Calibri"/>
        </w:rPr>
      </w:pPr>
      <w:r w:rsidRPr="00CA2CC1">
        <w:rPr>
          <w:rFonts w:cs="Calibri"/>
        </w:rPr>
        <w:t>innovative approaches that the Victorian Government can use to incentivise private industry to increase production</w:t>
      </w:r>
      <w:r w:rsidRPr="00CA2CC1">
        <w:rPr>
          <w:rFonts w:cs="Calibri"/>
          <w:spacing w:val="-7"/>
        </w:rPr>
        <w:t xml:space="preserve"> </w:t>
      </w:r>
      <w:r w:rsidRPr="00CA2CC1">
        <w:rPr>
          <w:rFonts w:cs="Calibri"/>
        </w:rPr>
        <w:t>and</w:t>
      </w:r>
      <w:r w:rsidRPr="00CA2CC1">
        <w:rPr>
          <w:rFonts w:cs="Calibri"/>
          <w:spacing w:val="-7"/>
        </w:rPr>
        <w:t xml:space="preserve"> </w:t>
      </w:r>
      <w:r w:rsidRPr="00CA2CC1">
        <w:rPr>
          <w:rFonts w:cs="Calibri"/>
        </w:rPr>
        <w:t>adoption</w:t>
      </w:r>
      <w:r w:rsidRPr="00CA2CC1">
        <w:rPr>
          <w:rFonts w:cs="Calibri"/>
          <w:spacing w:val="-7"/>
        </w:rPr>
        <w:t xml:space="preserve"> </w:t>
      </w:r>
      <w:r w:rsidRPr="00CA2CC1">
        <w:rPr>
          <w:rFonts w:cs="Calibri"/>
        </w:rPr>
        <w:t>of</w:t>
      </w:r>
      <w:r w:rsidRPr="00CA2CC1">
        <w:rPr>
          <w:rFonts w:cs="Calibri"/>
          <w:spacing w:val="-7"/>
        </w:rPr>
        <w:t xml:space="preserve"> </w:t>
      </w:r>
      <w:r w:rsidRPr="00CA2CC1">
        <w:rPr>
          <w:rFonts w:cs="Calibri"/>
        </w:rPr>
        <w:t>low-carbon</w:t>
      </w:r>
      <w:r w:rsidRPr="00CA2CC1">
        <w:rPr>
          <w:rFonts w:cs="Calibri"/>
          <w:spacing w:val="-7"/>
        </w:rPr>
        <w:t xml:space="preserve"> </w:t>
      </w:r>
      <w:r w:rsidRPr="00CA2CC1">
        <w:rPr>
          <w:rFonts w:cs="Calibri"/>
        </w:rPr>
        <w:t>materials</w:t>
      </w:r>
      <w:r w:rsidRPr="00CA2CC1">
        <w:rPr>
          <w:rFonts w:cs="Calibri"/>
          <w:spacing w:val="-7"/>
        </w:rPr>
        <w:t xml:space="preserve"> </w:t>
      </w:r>
      <w:r w:rsidRPr="00CA2CC1">
        <w:rPr>
          <w:rFonts w:cs="Calibri"/>
        </w:rPr>
        <w:t>and/or methods in procurement</w:t>
      </w:r>
    </w:p>
    <w:p w14:paraId="118380C0" w14:textId="77777777" w:rsidR="00FA4226" w:rsidRPr="00CA2CC1" w:rsidRDefault="00000000" w:rsidP="0043303B">
      <w:pPr>
        <w:pStyle w:val="BodyText"/>
        <w:numPr>
          <w:ilvl w:val="0"/>
          <w:numId w:val="36"/>
        </w:numPr>
        <w:rPr>
          <w:rFonts w:cs="Calibri"/>
        </w:rPr>
      </w:pPr>
      <w:r w:rsidRPr="00CA2CC1">
        <w:rPr>
          <w:rFonts w:cs="Calibri"/>
        </w:rPr>
        <w:t>enablers and barriers to implementation of any recommendations and their ramifications for reducing the emissions of infrastructure delivery, increasing productivity,</w:t>
      </w:r>
      <w:r w:rsidRPr="00CA2CC1">
        <w:rPr>
          <w:rFonts w:cs="Calibri"/>
          <w:spacing w:val="-5"/>
        </w:rPr>
        <w:t xml:space="preserve"> </w:t>
      </w:r>
      <w:r w:rsidRPr="00CA2CC1">
        <w:rPr>
          <w:rFonts w:cs="Calibri"/>
        </w:rPr>
        <w:t>and</w:t>
      </w:r>
      <w:r w:rsidRPr="00CA2CC1">
        <w:rPr>
          <w:rFonts w:cs="Calibri"/>
          <w:spacing w:val="-5"/>
        </w:rPr>
        <w:t xml:space="preserve"> </w:t>
      </w:r>
      <w:r w:rsidRPr="00CA2CC1">
        <w:rPr>
          <w:rFonts w:cs="Calibri"/>
        </w:rPr>
        <w:t>reducing</w:t>
      </w:r>
      <w:r w:rsidRPr="00CA2CC1">
        <w:rPr>
          <w:rFonts w:cs="Calibri"/>
          <w:spacing w:val="-5"/>
        </w:rPr>
        <w:t xml:space="preserve"> </w:t>
      </w:r>
      <w:r w:rsidRPr="00CA2CC1">
        <w:rPr>
          <w:rFonts w:cs="Calibri"/>
        </w:rPr>
        <w:t>costs.</w:t>
      </w:r>
      <w:r w:rsidRPr="00CA2CC1">
        <w:rPr>
          <w:rFonts w:cs="Calibri"/>
          <w:spacing w:val="-5"/>
        </w:rPr>
        <w:t xml:space="preserve"> </w:t>
      </w:r>
      <w:r w:rsidRPr="00CA2CC1">
        <w:rPr>
          <w:rFonts w:cs="Calibri"/>
        </w:rPr>
        <w:t>This</w:t>
      </w:r>
      <w:r w:rsidRPr="00CA2CC1">
        <w:rPr>
          <w:rFonts w:cs="Calibri"/>
          <w:spacing w:val="-5"/>
        </w:rPr>
        <w:t xml:space="preserve"> </w:t>
      </w:r>
      <w:r w:rsidRPr="00CA2CC1">
        <w:rPr>
          <w:rFonts w:cs="Calibri"/>
        </w:rPr>
        <w:t>could</w:t>
      </w:r>
      <w:r w:rsidRPr="00CA2CC1">
        <w:rPr>
          <w:rFonts w:cs="Calibri"/>
          <w:spacing w:val="-5"/>
        </w:rPr>
        <w:t xml:space="preserve"> </w:t>
      </w:r>
      <w:r w:rsidRPr="00CA2CC1">
        <w:rPr>
          <w:rFonts w:cs="Calibri"/>
        </w:rPr>
        <w:t>include</w:t>
      </w:r>
      <w:r w:rsidRPr="00CA2CC1">
        <w:rPr>
          <w:rFonts w:cs="Calibri"/>
          <w:spacing w:val="-5"/>
        </w:rPr>
        <w:t xml:space="preserve"> </w:t>
      </w:r>
      <w:r w:rsidRPr="00CA2CC1">
        <w:rPr>
          <w:rFonts w:cs="Calibri"/>
        </w:rPr>
        <w:t>any impacts</w:t>
      </w:r>
      <w:r w:rsidRPr="00CA2CC1">
        <w:rPr>
          <w:rFonts w:cs="Calibri"/>
          <w:spacing w:val="-5"/>
        </w:rPr>
        <w:t xml:space="preserve"> </w:t>
      </w:r>
      <w:r w:rsidRPr="00CA2CC1">
        <w:rPr>
          <w:rFonts w:cs="Calibri"/>
        </w:rPr>
        <w:t>on</w:t>
      </w:r>
      <w:r w:rsidRPr="00CA2CC1">
        <w:rPr>
          <w:rFonts w:cs="Calibri"/>
          <w:spacing w:val="-5"/>
        </w:rPr>
        <w:t xml:space="preserve"> </w:t>
      </w:r>
      <w:r w:rsidRPr="00CA2CC1">
        <w:rPr>
          <w:rFonts w:cs="Calibri"/>
        </w:rPr>
        <w:t>costs</w:t>
      </w:r>
      <w:r w:rsidRPr="00CA2CC1">
        <w:rPr>
          <w:rFonts w:cs="Calibri"/>
          <w:spacing w:val="-5"/>
        </w:rPr>
        <w:t xml:space="preserve"> </w:t>
      </w:r>
      <w:r w:rsidRPr="00CA2CC1">
        <w:rPr>
          <w:rFonts w:cs="Calibri"/>
        </w:rPr>
        <w:t>and</w:t>
      </w:r>
      <w:r w:rsidRPr="00CA2CC1">
        <w:rPr>
          <w:rFonts w:cs="Calibri"/>
          <w:spacing w:val="-5"/>
        </w:rPr>
        <w:t xml:space="preserve"> </w:t>
      </w:r>
      <w:r w:rsidRPr="00CA2CC1">
        <w:rPr>
          <w:rFonts w:cs="Calibri"/>
        </w:rPr>
        <w:t>benefits,</w:t>
      </w:r>
      <w:r w:rsidRPr="00CA2CC1">
        <w:rPr>
          <w:rFonts w:cs="Calibri"/>
          <w:spacing w:val="-5"/>
        </w:rPr>
        <w:t xml:space="preserve"> </w:t>
      </w:r>
      <w:r w:rsidRPr="00CA2CC1">
        <w:rPr>
          <w:rFonts w:cs="Calibri"/>
        </w:rPr>
        <w:t>and</w:t>
      </w:r>
      <w:r w:rsidRPr="00CA2CC1">
        <w:rPr>
          <w:rFonts w:cs="Calibri"/>
          <w:spacing w:val="-5"/>
        </w:rPr>
        <w:t xml:space="preserve"> </w:t>
      </w:r>
      <w:r w:rsidRPr="00CA2CC1">
        <w:rPr>
          <w:rFonts w:cs="Calibri"/>
        </w:rPr>
        <w:t>how</w:t>
      </w:r>
      <w:r w:rsidRPr="00CA2CC1">
        <w:rPr>
          <w:rFonts w:cs="Calibri"/>
          <w:spacing w:val="-5"/>
        </w:rPr>
        <w:t xml:space="preserve"> </w:t>
      </w:r>
      <w:r w:rsidRPr="00CA2CC1">
        <w:rPr>
          <w:rFonts w:cs="Calibri"/>
        </w:rPr>
        <w:t>these</w:t>
      </w:r>
      <w:r w:rsidRPr="00CA2CC1">
        <w:rPr>
          <w:rFonts w:cs="Calibri"/>
          <w:spacing w:val="-5"/>
        </w:rPr>
        <w:t xml:space="preserve"> </w:t>
      </w:r>
      <w:r w:rsidRPr="00CA2CC1">
        <w:rPr>
          <w:rFonts w:cs="Calibri"/>
        </w:rPr>
        <w:t>could</w:t>
      </w:r>
      <w:r w:rsidRPr="00CA2CC1">
        <w:rPr>
          <w:rFonts w:cs="Calibri"/>
          <w:spacing w:val="-5"/>
        </w:rPr>
        <w:t xml:space="preserve"> </w:t>
      </w:r>
      <w:r w:rsidRPr="00CA2CC1">
        <w:rPr>
          <w:rFonts w:cs="Calibri"/>
        </w:rPr>
        <w:t>be equitably distributed across stakeholders and over the life of infrastructure</w:t>
      </w:r>
    </w:p>
    <w:p w14:paraId="7CEEF4CD" w14:textId="77777777" w:rsidR="00FA4226" w:rsidRPr="00CA2CC1" w:rsidRDefault="00000000" w:rsidP="0043303B">
      <w:pPr>
        <w:pStyle w:val="BodyText"/>
        <w:numPr>
          <w:ilvl w:val="0"/>
          <w:numId w:val="36"/>
        </w:numPr>
        <w:rPr>
          <w:rFonts w:cs="Calibri"/>
        </w:rPr>
      </w:pPr>
      <w:r w:rsidRPr="00CA2CC1">
        <w:rPr>
          <w:rFonts w:cs="Calibri"/>
        </w:rPr>
        <w:t>timing and stages to implement options for the best long-term</w:t>
      </w:r>
      <w:r w:rsidRPr="00CA2CC1">
        <w:rPr>
          <w:rFonts w:cs="Calibri"/>
          <w:spacing w:val="-8"/>
        </w:rPr>
        <w:t xml:space="preserve"> </w:t>
      </w:r>
      <w:r w:rsidRPr="00CA2CC1">
        <w:rPr>
          <w:rFonts w:cs="Calibri"/>
        </w:rPr>
        <w:t>outcomes</w:t>
      </w:r>
      <w:r w:rsidRPr="00CA2CC1">
        <w:rPr>
          <w:rFonts w:cs="Calibri"/>
          <w:spacing w:val="-8"/>
        </w:rPr>
        <w:t xml:space="preserve"> </w:t>
      </w:r>
      <w:r w:rsidRPr="00CA2CC1">
        <w:rPr>
          <w:rFonts w:cs="Calibri"/>
        </w:rPr>
        <w:t>which</w:t>
      </w:r>
      <w:r w:rsidRPr="00CA2CC1">
        <w:rPr>
          <w:rFonts w:cs="Calibri"/>
          <w:spacing w:val="-8"/>
        </w:rPr>
        <w:t xml:space="preserve"> </w:t>
      </w:r>
      <w:r w:rsidRPr="00CA2CC1">
        <w:rPr>
          <w:rFonts w:cs="Calibri"/>
        </w:rPr>
        <w:t>minimise</w:t>
      </w:r>
      <w:r w:rsidRPr="00CA2CC1">
        <w:rPr>
          <w:rFonts w:cs="Calibri"/>
          <w:spacing w:val="-8"/>
        </w:rPr>
        <w:t xml:space="preserve"> </w:t>
      </w:r>
      <w:r w:rsidRPr="00CA2CC1">
        <w:rPr>
          <w:rFonts w:cs="Calibri"/>
        </w:rPr>
        <w:t>transitional</w:t>
      </w:r>
      <w:r w:rsidRPr="00CA2CC1">
        <w:rPr>
          <w:rFonts w:cs="Calibri"/>
          <w:spacing w:val="-8"/>
        </w:rPr>
        <w:t xml:space="preserve"> </w:t>
      </w:r>
      <w:r w:rsidRPr="00CA2CC1">
        <w:rPr>
          <w:rFonts w:cs="Calibri"/>
        </w:rPr>
        <w:t>costs for the government, the industry and the community.</w:t>
      </w:r>
    </w:p>
    <w:p w14:paraId="76325F5F" w14:textId="528B1A8B" w:rsidR="00FA4226" w:rsidRPr="00CA2CC1" w:rsidRDefault="00000000" w:rsidP="0043303B">
      <w:pPr>
        <w:pStyle w:val="BodyText"/>
        <w:rPr>
          <w:rFonts w:cs="Calibri"/>
        </w:rPr>
      </w:pPr>
      <w:r w:rsidRPr="00CA2CC1">
        <w:rPr>
          <w:rFonts w:cs="Calibri"/>
        </w:rPr>
        <w:t>Infrastructure Victoria engaged with industry, regulators, government</w:t>
      </w:r>
      <w:r w:rsidRPr="00CA2CC1">
        <w:rPr>
          <w:rFonts w:cs="Calibri"/>
          <w:spacing w:val="-8"/>
        </w:rPr>
        <w:t xml:space="preserve"> </w:t>
      </w:r>
      <w:r w:rsidRPr="00CA2CC1">
        <w:rPr>
          <w:rFonts w:cs="Calibri"/>
        </w:rPr>
        <w:t>agencies,</w:t>
      </w:r>
      <w:r w:rsidRPr="00CA2CC1">
        <w:rPr>
          <w:rFonts w:cs="Calibri"/>
          <w:spacing w:val="-8"/>
        </w:rPr>
        <w:t xml:space="preserve"> </w:t>
      </w:r>
      <w:r w:rsidRPr="00CA2CC1">
        <w:rPr>
          <w:rFonts w:cs="Calibri"/>
        </w:rPr>
        <w:t>peak</w:t>
      </w:r>
      <w:r w:rsidRPr="00CA2CC1">
        <w:rPr>
          <w:rFonts w:cs="Calibri"/>
          <w:spacing w:val="-8"/>
        </w:rPr>
        <w:t xml:space="preserve"> </w:t>
      </w:r>
      <w:r w:rsidRPr="00CA2CC1">
        <w:rPr>
          <w:rFonts w:cs="Calibri"/>
        </w:rPr>
        <w:t>bodies,</w:t>
      </w:r>
      <w:r w:rsidRPr="00CA2CC1">
        <w:rPr>
          <w:rFonts w:cs="Calibri"/>
          <w:spacing w:val="-8"/>
        </w:rPr>
        <w:t xml:space="preserve"> </w:t>
      </w:r>
      <w:r w:rsidRPr="00CA2CC1">
        <w:rPr>
          <w:rFonts w:cs="Calibri"/>
        </w:rPr>
        <w:t>research</w:t>
      </w:r>
      <w:r w:rsidRPr="00CA2CC1">
        <w:rPr>
          <w:rFonts w:cs="Calibri"/>
          <w:spacing w:val="-8"/>
        </w:rPr>
        <w:t xml:space="preserve"> </w:t>
      </w:r>
      <w:r w:rsidRPr="00CA2CC1">
        <w:rPr>
          <w:rFonts w:cs="Calibri"/>
        </w:rPr>
        <w:t>communities and other stakeholders in developing our advice.</w:t>
      </w:r>
    </w:p>
    <w:p w14:paraId="0581A5F1" w14:textId="77777777" w:rsidR="00FA4226" w:rsidRPr="00CA2CC1" w:rsidRDefault="00000000" w:rsidP="0043303B">
      <w:pPr>
        <w:pStyle w:val="BodyText"/>
        <w:rPr>
          <w:rFonts w:cs="Calibri"/>
        </w:rPr>
      </w:pPr>
      <w:r w:rsidRPr="00CA2CC1">
        <w:rPr>
          <w:rFonts w:cs="Calibri"/>
        </w:rPr>
        <w:t>We called for submissions on opportunities to reduce the greenhouse gas emissions of future public infrastructure investments. We received 14 submissions from peak bodies and industry groups in fields such as construction and transport, private companies involved in infrastructure development,</w:t>
      </w:r>
      <w:r w:rsidRPr="00CA2CC1">
        <w:rPr>
          <w:rFonts w:cs="Calibri"/>
          <w:spacing w:val="-9"/>
        </w:rPr>
        <w:t xml:space="preserve"> </w:t>
      </w:r>
      <w:r w:rsidRPr="00CA2CC1">
        <w:rPr>
          <w:rFonts w:cs="Calibri"/>
        </w:rPr>
        <w:t>government</w:t>
      </w:r>
      <w:r w:rsidRPr="00CA2CC1">
        <w:rPr>
          <w:rFonts w:cs="Calibri"/>
          <w:spacing w:val="-9"/>
        </w:rPr>
        <w:t xml:space="preserve"> </w:t>
      </w:r>
      <w:r w:rsidRPr="00CA2CC1">
        <w:rPr>
          <w:rFonts w:cs="Calibri"/>
        </w:rPr>
        <w:t>organisations,</w:t>
      </w:r>
      <w:r w:rsidRPr="00CA2CC1">
        <w:rPr>
          <w:rFonts w:cs="Calibri"/>
          <w:spacing w:val="-9"/>
        </w:rPr>
        <w:t xml:space="preserve"> </w:t>
      </w:r>
      <w:r w:rsidRPr="00CA2CC1">
        <w:rPr>
          <w:rFonts w:cs="Calibri"/>
        </w:rPr>
        <w:t>advocacy</w:t>
      </w:r>
      <w:r w:rsidRPr="00CA2CC1">
        <w:rPr>
          <w:rFonts w:cs="Calibri"/>
          <w:spacing w:val="-9"/>
        </w:rPr>
        <w:t xml:space="preserve"> </w:t>
      </w:r>
      <w:r w:rsidRPr="00CA2CC1">
        <w:rPr>
          <w:rFonts w:cs="Calibri"/>
        </w:rPr>
        <w:t>groups, and private individuals.</w:t>
      </w:r>
    </w:p>
    <w:p w14:paraId="744D8EDB" w14:textId="77777777" w:rsidR="00FA4226" w:rsidRPr="00CA2CC1" w:rsidRDefault="00000000" w:rsidP="000E086A">
      <w:pPr>
        <w:pStyle w:val="BodyText"/>
        <w:rPr>
          <w:rFonts w:cs="Calibri"/>
        </w:rPr>
      </w:pPr>
      <w:r w:rsidRPr="00CA2CC1">
        <w:rPr>
          <w:rFonts w:cs="Calibri"/>
        </w:rPr>
        <w:t>Infrastructure Victoria’s final advice to the Victorian Government</w:t>
      </w:r>
      <w:r w:rsidRPr="00CA2CC1">
        <w:rPr>
          <w:rFonts w:cs="Calibri"/>
          <w:spacing w:val="-5"/>
        </w:rPr>
        <w:t xml:space="preserve"> </w:t>
      </w:r>
      <w:r w:rsidRPr="00CA2CC1">
        <w:rPr>
          <w:rFonts w:cs="Calibri"/>
        </w:rPr>
        <w:t>was</w:t>
      </w:r>
      <w:r w:rsidRPr="00CA2CC1">
        <w:rPr>
          <w:rFonts w:cs="Calibri"/>
          <w:spacing w:val="-5"/>
        </w:rPr>
        <w:t xml:space="preserve"> </w:t>
      </w:r>
      <w:r w:rsidRPr="00CA2CC1">
        <w:rPr>
          <w:rFonts w:cs="Calibri"/>
        </w:rPr>
        <w:t>due</w:t>
      </w:r>
      <w:r w:rsidRPr="00CA2CC1">
        <w:rPr>
          <w:rFonts w:cs="Calibri"/>
          <w:spacing w:val="-5"/>
        </w:rPr>
        <w:t xml:space="preserve"> </w:t>
      </w:r>
      <w:r w:rsidRPr="00CA2CC1">
        <w:rPr>
          <w:rFonts w:cs="Calibri"/>
        </w:rPr>
        <w:t>and</w:t>
      </w:r>
      <w:r w:rsidRPr="00CA2CC1">
        <w:rPr>
          <w:rFonts w:cs="Calibri"/>
          <w:spacing w:val="-5"/>
        </w:rPr>
        <w:t xml:space="preserve"> </w:t>
      </w:r>
      <w:r w:rsidRPr="00CA2CC1">
        <w:rPr>
          <w:rFonts w:cs="Calibri"/>
        </w:rPr>
        <w:t>delivered</w:t>
      </w:r>
      <w:r w:rsidRPr="00CA2CC1">
        <w:rPr>
          <w:rFonts w:cs="Calibri"/>
          <w:spacing w:val="-5"/>
        </w:rPr>
        <w:t xml:space="preserve"> </w:t>
      </w:r>
      <w:r w:rsidRPr="00CA2CC1">
        <w:rPr>
          <w:rFonts w:cs="Calibri"/>
        </w:rPr>
        <w:t>in</w:t>
      </w:r>
      <w:r w:rsidRPr="00CA2CC1">
        <w:rPr>
          <w:rFonts w:cs="Calibri"/>
          <w:spacing w:val="-5"/>
        </w:rPr>
        <w:t xml:space="preserve"> </w:t>
      </w:r>
      <w:r w:rsidRPr="00CA2CC1">
        <w:rPr>
          <w:rFonts w:cs="Calibri"/>
        </w:rPr>
        <w:t>September</w:t>
      </w:r>
      <w:r w:rsidRPr="00CA2CC1">
        <w:rPr>
          <w:rFonts w:cs="Calibri"/>
          <w:spacing w:val="-5"/>
        </w:rPr>
        <w:t xml:space="preserve"> </w:t>
      </w:r>
      <w:r w:rsidRPr="00CA2CC1">
        <w:rPr>
          <w:rFonts w:cs="Calibri"/>
        </w:rPr>
        <w:t>2023.</w:t>
      </w:r>
    </w:p>
    <w:p w14:paraId="255391B6" w14:textId="4802641F" w:rsidR="000E086A" w:rsidRPr="00CA2CC1" w:rsidRDefault="000E086A" w:rsidP="000E086A">
      <w:pPr>
        <w:pStyle w:val="BodyText"/>
        <w:rPr>
          <w:rFonts w:cs="Calibri"/>
        </w:rPr>
        <w:sectPr w:rsidR="000E086A" w:rsidRPr="00CA2CC1" w:rsidSect="00E941A5">
          <w:pgSz w:w="11910" w:h="16840"/>
          <w:pgMar w:top="1134" w:right="1278" w:bottom="1134" w:left="1134" w:header="720" w:footer="720" w:gutter="0"/>
          <w:cols w:space="720"/>
        </w:sectPr>
      </w:pPr>
    </w:p>
    <w:p w14:paraId="1209C697" w14:textId="77777777" w:rsidR="00FA4226" w:rsidRPr="00A82B74" w:rsidRDefault="00000000" w:rsidP="00A82B74">
      <w:pPr>
        <w:pStyle w:val="Heading3"/>
      </w:pPr>
      <w:bookmarkStart w:id="30" w:name="How_our_work_informs_and_engages"/>
      <w:bookmarkStart w:id="31" w:name="_bookmark14"/>
      <w:bookmarkEnd w:id="30"/>
      <w:bookmarkEnd w:id="31"/>
      <w:r w:rsidRPr="00A82B74">
        <w:lastRenderedPageBreak/>
        <w:t>How our work informs and engages</w:t>
      </w:r>
    </w:p>
    <w:p w14:paraId="1C144FAC" w14:textId="77777777" w:rsidR="00FA4226" w:rsidRPr="00CA2CC1" w:rsidRDefault="00000000" w:rsidP="0043303B">
      <w:pPr>
        <w:pStyle w:val="BodyText"/>
        <w:spacing w:before="103"/>
        <w:rPr>
          <w:rFonts w:cs="Calibri"/>
        </w:rPr>
      </w:pPr>
      <w:r w:rsidRPr="00CA2CC1">
        <w:rPr>
          <w:rFonts w:cs="Calibri"/>
          <w:color w:val="414042"/>
        </w:rPr>
        <w:t>Infrastructure Victoria promotes rigorous and transparent policy</w:t>
      </w:r>
      <w:r w:rsidRPr="00CA2CC1">
        <w:rPr>
          <w:rFonts w:cs="Calibri"/>
          <w:color w:val="414042"/>
          <w:spacing w:val="-6"/>
        </w:rPr>
        <w:t xml:space="preserve"> </w:t>
      </w:r>
      <w:r w:rsidRPr="00CA2CC1">
        <w:rPr>
          <w:rFonts w:cs="Calibri"/>
          <w:color w:val="414042"/>
        </w:rPr>
        <w:t>development</w:t>
      </w:r>
      <w:r w:rsidRPr="00CA2CC1">
        <w:rPr>
          <w:rFonts w:cs="Calibri"/>
          <w:color w:val="414042"/>
          <w:spacing w:val="-6"/>
        </w:rPr>
        <w:t xml:space="preserve"> </w:t>
      </w:r>
      <w:r w:rsidRPr="00CA2CC1">
        <w:rPr>
          <w:rFonts w:cs="Calibri"/>
          <w:color w:val="414042"/>
        </w:rPr>
        <w:t>and</w:t>
      </w:r>
      <w:r w:rsidRPr="00CA2CC1">
        <w:rPr>
          <w:rFonts w:cs="Calibri"/>
          <w:color w:val="414042"/>
          <w:spacing w:val="-6"/>
        </w:rPr>
        <w:t xml:space="preserve"> </w:t>
      </w:r>
      <w:r w:rsidRPr="00CA2CC1">
        <w:rPr>
          <w:rFonts w:cs="Calibri"/>
          <w:color w:val="414042"/>
        </w:rPr>
        <w:t>informs</w:t>
      </w:r>
      <w:r w:rsidRPr="00CA2CC1">
        <w:rPr>
          <w:rFonts w:cs="Calibri"/>
          <w:color w:val="414042"/>
          <w:spacing w:val="-6"/>
        </w:rPr>
        <w:t xml:space="preserve"> </w:t>
      </w:r>
      <w:r w:rsidRPr="00CA2CC1">
        <w:rPr>
          <w:rFonts w:cs="Calibri"/>
          <w:color w:val="414042"/>
        </w:rPr>
        <w:t>public</w:t>
      </w:r>
      <w:r w:rsidRPr="00CA2CC1">
        <w:rPr>
          <w:rFonts w:cs="Calibri"/>
          <w:color w:val="414042"/>
          <w:spacing w:val="-6"/>
        </w:rPr>
        <w:t xml:space="preserve"> </w:t>
      </w:r>
      <w:r w:rsidRPr="00CA2CC1">
        <w:rPr>
          <w:rFonts w:cs="Calibri"/>
          <w:color w:val="414042"/>
        </w:rPr>
        <w:t>discussion</w:t>
      </w:r>
      <w:r w:rsidRPr="00CA2CC1">
        <w:rPr>
          <w:rFonts w:cs="Calibri"/>
          <w:color w:val="414042"/>
          <w:spacing w:val="-6"/>
        </w:rPr>
        <w:t xml:space="preserve"> </w:t>
      </w:r>
      <w:r w:rsidRPr="00CA2CC1">
        <w:rPr>
          <w:rFonts w:cs="Calibri"/>
          <w:color w:val="414042"/>
        </w:rPr>
        <w:t>about</w:t>
      </w:r>
      <w:r w:rsidRPr="00CA2CC1">
        <w:rPr>
          <w:rFonts w:cs="Calibri"/>
          <w:color w:val="414042"/>
          <w:spacing w:val="-6"/>
        </w:rPr>
        <w:t xml:space="preserve"> </w:t>
      </w:r>
      <w:r w:rsidRPr="00CA2CC1">
        <w:rPr>
          <w:rFonts w:cs="Calibri"/>
          <w:color w:val="414042"/>
        </w:rPr>
        <w:t>the major infrastructure priorities, challenges and opportunities for Victoria.</w:t>
      </w:r>
    </w:p>
    <w:p w14:paraId="52413188" w14:textId="77777777" w:rsidR="00FA4226" w:rsidRPr="00CA2CC1" w:rsidRDefault="00000000" w:rsidP="0043303B">
      <w:pPr>
        <w:pStyle w:val="BodyText"/>
        <w:spacing w:before="116"/>
        <w:rPr>
          <w:rFonts w:cs="Calibri"/>
        </w:rPr>
      </w:pPr>
      <w:r w:rsidRPr="00CA2CC1">
        <w:rPr>
          <w:rFonts w:cs="Calibri"/>
          <w:color w:val="414042"/>
        </w:rPr>
        <w:t>In addition to our website and social media, mainstream press, radio, television and online coverage helps create widespread</w:t>
      </w:r>
      <w:r w:rsidRPr="00CA2CC1">
        <w:rPr>
          <w:rFonts w:cs="Calibri"/>
          <w:color w:val="414042"/>
          <w:spacing w:val="-7"/>
        </w:rPr>
        <w:t xml:space="preserve"> </w:t>
      </w:r>
      <w:r w:rsidRPr="00CA2CC1">
        <w:rPr>
          <w:rFonts w:cs="Calibri"/>
          <w:color w:val="414042"/>
        </w:rPr>
        <w:t>community</w:t>
      </w:r>
      <w:r w:rsidRPr="00CA2CC1">
        <w:rPr>
          <w:rFonts w:cs="Calibri"/>
          <w:color w:val="414042"/>
          <w:spacing w:val="-7"/>
        </w:rPr>
        <w:t xml:space="preserve"> </w:t>
      </w:r>
      <w:r w:rsidRPr="00CA2CC1">
        <w:rPr>
          <w:rFonts w:cs="Calibri"/>
          <w:color w:val="414042"/>
        </w:rPr>
        <w:t>awareness</w:t>
      </w:r>
      <w:r w:rsidRPr="00CA2CC1">
        <w:rPr>
          <w:rFonts w:cs="Calibri"/>
          <w:color w:val="414042"/>
          <w:spacing w:val="-7"/>
        </w:rPr>
        <w:t xml:space="preserve"> </w:t>
      </w:r>
      <w:r w:rsidRPr="00CA2CC1">
        <w:rPr>
          <w:rFonts w:cs="Calibri"/>
          <w:color w:val="414042"/>
        </w:rPr>
        <w:t>and</w:t>
      </w:r>
      <w:r w:rsidRPr="00CA2CC1">
        <w:rPr>
          <w:rFonts w:cs="Calibri"/>
          <w:color w:val="414042"/>
          <w:spacing w:val="-7"/>
        </w:rPr>
        <w:t xml:space="preserve"> </w:t>
      </w:r>
      <w:r w:rsidRPr="00CA2CC1">
        <w:rPr>
          <w:rFonts w:cs="Calibri"/>
          <w:color w:val="414042"/>
        </w:rPr>
        <w:t>interest</w:t>
      </w:r>
      <w:r w:rsidRPr="00CA2CC1">
        <w:rPr>
          <w:rFonts w:cs="Calibri"/>
          <w:color w:val="414042"/>
          <w:spacing w:val="-7"/>
        </w:rPr>
        <w:t xml:space="preserve"> </w:t>
      </w:r>
      <w:r w:rsidRPr="00CA2CC1">
        <w:rPr>
          <w:rFonts w:cs="Calibri"/>
          <w:color w:val="414042"/>
        </w:rPr>
        <w:t>in</w:t>
      </w:r>
      <w:r w:rsidRPr="00CA2CC1">
        <w:rPr>
          <w:rFonts w:cs="Calibri"/>
          <w:color w:val="414042"/>
          <w:spacing w:val="-7"/>
        </w:rPr>
        <w:t xml:space="preserve"> </w:t>
      </w:r>
      <w:r w:rsidRPr="00CA2CC1">
        <w:rPr>
          <w:rFonts w:cs="Calibri"/>
          <w:color w:val="414042"/>
        </w:rPr>
        <w:t>our</w:t>
      </w:r>
      <w:r w:rsidRPr="00CA2CC1">
        <w:rPr>
          <w:rFonts w:cs="Calibri"/>
          <w:color w:val="414042"/>
          <w:spacing w:val="-7"/>
        </w:rPr>
        <w:t xml:space="preserve"> </w:t>
      </w:r>
      <w:r w:rsidRPr="00CA2CC1">
        <w:rPr>
          <w:rFonts w:cs="Calibri"/>
          <w:color w:val="414042"/>
        </w:rPr>
        <w:t>work and</w:t>
      </w:r>
      <w:r w:rsidRPr="00CA2CC1">
        <w:rPr>
          <w:rFonts w:cs="Calibri"/>
          <w:color w:val="414042"/>
          <w:spacing w:val="-4"/>
        </w:rPr>
        <w:t xml:space="preserve"> </w:t>
      </w:r>
      <w:r w:rsidRPr="00CA2CC1">
        <w:rPr>
          <w:rFonts w:cs="Calibri"/>
          <w:color w:val="414042"/>
        </w:rPr>
        <w:t>policy</w:t>
      </w:r>
      <w:r w:rsidRPr="00CA2CC1">
        <w:rPr>
          <w:rFonts w:cs="Calibri"/>
          <w:color w:val="414042"/>
          <w:spacing w:val="-4"/>
        </w:rPr>
        <w:t xml:space="preserve"> </w:t>
      </w:r>
      <w:r w:rsidRPr="00CA2CC1">
        <w:rPr>
          <w:rFonts w:cs="Calibri"/>
          <w:color w:val="414042"/>
        </w:rPr>
        <w:t>recommendations.</w:t>
      </w:r>
      <w:r w:rsidRPr="00CA2CC1">
        <w:rPr>
          <w:rFonts w:cs="Calibri"/>
          <w:color w:val="414042"/>
          <w:spacing w:val="-4"/>
        </w:rPr>
        <w:t xml:space="preserve"> </w:t>
      </w:r>
      <w:r w:rsidRPr="00CA2CC1">
        <w:rPr>
          <w:rFonts w:cs="Calibri"/>
          <w:color w:val="414042"/>
        </w:rPr>
        <w:t>During</w:t>
      </w:r>
      <w:r w:rsidRPr="00CA2CC1">
        <w:rPr>
          <w:rFonts w:cs="Calibri"/>
          <w:color w:val="414042"/>
          <w:spacing w:val="-4"/>
        </w:rPr>
        <w:t xml:space="preserve"> </w:t>
      </w:r>
      <w:r w:rsidRPr="00CA2CC1">
        <w:rPr>
          <w:rFonts w:cs="Calibri"/>
          <w:color w:val="414042"/>
        </w:rPr>
        <w:t>the</w:t>
      </w:r>
      <w:r w:rsidRPr="00CA2CC1">
        <w:rPr>
          <w:rFonts w:cs="Calibri"/>
          <w:color w:val="414042"/>
          <w:spacing w:val="-4"/>
        </w:rPr>
        <w:t xml:space="preserve"> </w:t>
      </w:r>
      <w:r w:rsidRPr="00CA2CC1">
        <w:rPr>
          <w:rFonts w:cs="Calibri"/>
          <w:color w:val="414042"/>
        </w:rPr>
        <w:t>financial</w:t>
      </w:r>
      <w:r w:rsidRPr="00CA2CC1">
        <w:rPr>
          <w:rFonts w:cs="Calibri"/>
          <w:color w:val="414042"/>
          <w:spacing w:val="-4"/>
        </w:rPr>
        <w:t xml:space="preserve"> </w:t>
      </w:r>
      <w:r w:rsidRPr="00CA2CC1">
        <w:rPr>
          <w:rFonts w:cs="Calibri"/>
          <w:color w:val="414042"/>
        </w:rPr>
        <w:t>year,</w:t>
      </w:r>
      <w:r w:rsidRPr="00CA2CC1">
        <w:rPr>
          <w:rFonts w:cs="Calibri"/>
          <w:color w:val="414042"/>
          <w:spacing w:val="-4"/>
        </w:rPr>
        <w:t xml:space="preserve"> </w:t>
      </w:r>
      <w:r w:rsidRPr="00CA2CC1">
        <w:rPr>
          <w:rFonts w:cs="Calibri"/>
          <w:color w:val="414042"/>
        </w:rPr>
        <w:t>our research, advice and strategy work generated extensive news coverage.</w:t>
      </w:r>
    </w:p>
    <w:p w14:paraId="2A160327" w14:textId="77777777" w:rsidR="00FA4226" w:rsidRPr="00CA2CC1" w:rsidRDefault="00000000" w:rsidP="0043303B">
      <w:pPr>
        <w:pStyle w:val="BodyText"/>
        <w:spacing w:before="113"/>
        <w:rPr>
          <w:rFonts w:cs="Calibri"/>
        </w:rPr>
      </w:pPr>
      <w:r w:rsidRPr="00CA2CC1">
        <w:rPr>
          <w:rFonts w:cs="Calibri"/>
          <w:color w:val="414042"/>
        </w:rPr>
        <w:t>The coverage included opinion pieces and editorials in the state’s</w:t>
      </w:r>
      <w:r w:rsidRPr="00CA2CC1">
        <w:rPr>
          <w:rFonts w:cs="Calibri"/>
          <w:color w:val="414042"/>
          <w:spacing w:val="-3"/>
        </w:rPr>
        <w:t xml:space="preserve"> </w:t>
      </w:r>
      <w:r w:rsidRPr="00CA2CC1">
        <w:rPr>
          <w:rFonts w:cs="Calibri"/>
          <w:color w:val="414042"/>
        </w:rPr>
        <w:t>major</w:t>
      </w:r>
      <w:r w:rsidRPr="00CA2CC1">
        <w:rPr>
          <w:rFonts w:cs="Calibri"/>
          <w:color w:val="414042"/>
          <w:spacing w:val="-3"/>
        </w:rPr>
        <w:t xml:space="preserve"> </w:t>
      </w:r>
      <w:r w:rsidRPr="00CA2CC1">
        <w:rPr>
          <w:rFonts w:cs="Calibri"/>
          <w:color w:val="414042"/>
        </w:rPr>
        <w:t>daily</w:t>
      </w:r>
      <w:r w:rsidRPr="00CA2CC1">
        <w:rPr>
          <w:rFonts w:cs="Calibri"/>
          <w:color w:val="414042"/>
          <w:spacing w:val="-3"/>
        </w:rPr>
        <w:t xml:space="preserve"> </w:t>
      </w:r>
      <w:r w:rsidRPr="00CA2CC1">
        <w:rPr>
          <w:rFonts w:cs="Calibri"/>
          <w:color w:val="414042"/>
        </w:rPr>
        <w:t>newspapers</w:t>
      </w:r>
      <w:r w:rsidRPr="00CA2CC1">
        <w:rPr>
          <w:rFonts w:cs="Calibri"/>
          <w:color w:val="414042"/>
          <w:spacing w:val="-3"/>
        </w:rPr>
        <w:t xml:space="preserve"> </w:t>
      </w:r>
      <w:r w:rsidRPr="00CA2CC1">
        <w:rPr>
          <w:rFonts w:cs="Calibri"/>
          <w:color w:val="414042"/>
        </w:rPr>
        <w:t>recognising</w:t>
      </w:r>
      <w:r w:rsidRPr="00CA2CC1">
        <w:rPr>
          <w:rFonts w:cs="Calibri"/>
          <w:color w:val="414042"/>
          <w:spacing w:val="-3"/>
        </w:rPr>
        <w:t xml:space="preserve"> </w:t>
      </w:r>
      <w:r w:rsidRPr="00CA2CC1">
        <w:rPr>
          <w:rFonts w:cs="Calibri"/>
          <w:color w:val="414042"/>
        </w:rPr>
        <w:t>the</w:t>
      </w:r>
      <w:r w:rsidRPr="00CA2CC1">
        <w:rPr>
          <w:rFonts w:cs="Calibri"/>
          <w:color w:val="414042"/>
          <w:spacing w:val="-3"/>
        </w:rPr>
        <w:t xml:space="preserve"> </w:t>
      </w:r>
      <w:r w:rsidRPr="00CA2CC1">
        <w:rPr>
          <w:rFonts w:cs="Calibri"/>
          <w:color w:val="414042"/>
        </w:rPr>
        <w:t>importance of Infrastructure Victoria’s role in providing independent, evidence-based</w:t>
      </w:r>
      <w:r w:rsidRPr="00CA2CC1">
        <w:rPr>
          <w:rFonts w:cs="Calibri"/>
          <w:color w:val="414042"/>
          <w:spacing w:val="-7"/>
        </w:rPr>
        <w:t xml:space="preserve"> </w:t>
      </w:r>
      <w:r w:rsidRPr="00CA2CC1">
        <w:rPr>
          <w:rFonts w:cs="Calibri"/>
          <w:color w:val="414042"/>
        </w:rPr>
        <w:t>advice</w:t>
      </w:r>
      <w:r w:rsidRPr="00CA2CC1">
        <w:rPr>
          <w:rFonts w:cs="Calibri"/>
          <w:color w:val="414042"/>
          <w:spacing w:val="-7"/>
        </w:rPr>
        <w:t xml:space="preserve"> </w:t>
      </w:r>
      <w:r w:rsidRPr="00CA2CC1">
        <w:rPr>
          <w:rFonts w:cs="Calibri"/>
          <w:color w:val="414042"/>
        </w:rPr>
        <w:t>to</w:t>
      </w:r>
      <w:r w:rsidRPr="00CA2CC1">
        <w:rPr>
          <w:rFonts w:cs="Calibri"/>
          <w:color w:val="414042"/>
          <w:spacing w:val="-7"/>
        </w:rPr>
        <w:t xml:space="preserve"> </w:t>
      </w:r>
      <w:r w:rsidRPr="00CA2CC1">
        <w:rPr>
          <w:rFonts w:cs="Calibri"/>
          <w:color w:val="414042"/>
        </w:rPr>
        <w:t>guide</w:t>
      </w:r>
      <w:r w:rsidRPr="00CA2CC1">
        <w:rPr>
          <w:rFonts w:cs="Calibri"/>
          <w:color w:val="414042"/>
          <w:spacing w:val="-7"/>
        </w:rPr>
        <w:t xml:space="preserve"> </w:t>
      </w:r>
      <w:r w:rsidRPr="00CA2CC1">
        <w:rPr>
          <w:rFonts w:cs="Calibri"/>
          <w:color w:val="414042"/>
        </w:rPr>
        <w:t>infrastructure</w:t>
      </w:r>
      <w:r w:rsidRPr="00CA2CC1">
        <w:rPr>
          <w:rFonts w:cs="Calibri"/>
          <w:color w:val="414042"/>
          <w:spacing w:val="-7"/>
        </w:rPr>
        <w:t xml:space="preserve"> </w:t>
      </w:r>
      <w:r w:rsidRPr="00CA2CC1">
        <w:rPr>
          <w:rFonts w:cs="Calibri"/>
          <w:color w:val="414042"/>
        </w:rPr>
        <w:t>planning</w:t>
      </w:r>
      <w:r w:rsidRPr="00CA2CC1">
        <w:rPr>
          <w:rFonts w:cs="Calibri"/>
          <w:color w:val="414042"/>
          <w:spacing w:val="-7"/>
        </w:rPr>
        <w:t xml:space="preserve"> </w:t>
      </w:r>
      <w:r w:rsidRPr="00CA2CC1">
        <w:rPr>
          <w:rFonts w:cs="Calibri"/>
          <w:color w:val="414042"/>
        </w:rPr>
        <w:t>and investment. There were nearly 500 press, broadcast and online</w:t>
      </w:r>
      <w:r w:rsidRPr="00CA2CC1">
        <w:rPr>
          <w:rFonts w:cs="Calibri"/>
          <w:color w:val="414042"/>
          <w:spacing w:val="-3"/>
        </w:rPr>
        <w:t xml:space="preserve"> </w:t>
      </w:r>
      <w:r w:rsidRPr="00CA2CC1">
        <w:rPr>
          <w:rFonts w:cs="Calibri"/>
          <w:color w:val="414042"/>
        </w:rPr>
        <w:t>media</w:t>
      </w:r>
      <w:r w:rsidRPr="00CA2CC1">
        <w:rPr>
          <w:rFonts w:cs="Calibri"/>
          <w:color w:val="414042"/>
          <w:spacing w:val="-3"/>
        </w:rPr>
        <w:t xml:space="preserve"> </w:t>
      </w:r>
      <w:r w:rsidRPr="00CA2CC1">
        <w:rPr>
          <w:rFonts w:cs="Calibri"/>
          <w:color w:val="414042"/>
        </w:rPr>
        <w:t>mentions</w:t>
      </w:r>
      <w:r w:rsidRPr="00CA2CC1">
        <w:rPr>
          <w:rFonts w:cs="Calibri"/>
          <w:color w:val="414042"/>
          <w:spacing w:val="-3"/>
        </w:rPr>
        <w:t xml:space="preserve"> </w:t>
      </w:r>
      <w:r w:rsidRPr="00CA2CC1">
        <w:rPr>
          <w:rFonts w:cs="Calibri"/>
          <w:color w:val="414042"/>
        </w:rPr>
        <w:t>of</w:t>
      </w:r>
      <w:r w:rsidRPr="00CA2CC1">
        <w:rPr>
          <w:rFonts w:cs="Calibri"/>
          <w:color w:val="414042"/>
          <w:spacing w:val="-3"/>
        </w:rPr>
        <w:t xml:space="preserve"> </w:t>
      </w:r>
      <w:r w:rsidRPr="00CA2CC1">
        <w:rPr>
          <w:rFonts w:cs="Calibri"/>
          <w:color w:val="414042"/>
        </w:rPr>
        <w:t>Infrastructure</w:t>
      </w:r>
      <w:r w:rsidRPr="00CA2CC1">
        <w:rPr>
          <w:rFonts w:cs="Calibri"/>
          <w:color w:val="414042"/>
          <w:spacing w:val="-3"/>
        </w:rPr>
        <w:t xml:space="preserve"> </w:t>
      </w:r>
      <w:r w:rsidRPr="00CA2CC1">
        <w:rPr>
          <w:rFonts w:cs="Calibri"/>
          <w:color w:val="414042"/>
        </w:rPr>
        <w:t>Victoria</w:t>
      </w:r>
      <w:r w:rsidRPr="00CA2CC1">
        <w:rPr>
          <w:rFonts w:cs="Calibri"/>
          <w:color w:val="414042"/>
          <w:spacing w:val="-3"/>
        </w:rPr>
        <w:t xml:space="preserve"> </w:t>
      </w:r>
      <w:r w:rsidRPr="00CA2CC1">
        <w:rPr>
          <w:rFonts w:cs="Calibri"/>
          <w:color w:val="414042"/>
        </w:rPr>
        <w:t>in</w:t>
      </w:r>
      <w:r w:rsidRPr="00CA2CC1">
        <w:rPr>
          <w:rFonts w:cs="Calibri"/>
          <w:color w:val="414042"/>
          <w:spacing w:val="-3"/>
        </w:rPr>
        <w:t xml:space="preserve"> </w:t>
      </w:r>
      <w:r w:rsidRPr="00CA2CC1">
        <w:rPr>
          <w:rFonts w:cs="Calibri"/>
          <w:color w:val="414042"/>
        </w:rPr>
        <w:t>the</w:t>
      </w:r>
      <w:r w:rsidRPr="00CA2CC1">
        <w:rPr>
          <w:rFonts w:cs="Calibri"/>
          <w:color w:val="414042"/>
          <w:spacing w:val="-3"/>
        </w:rPr>
        <w:t xml:space="preserve"> </w:t>
      </w:r>
      <w:r w:rsidRPr="00CA2CC1">
        <w:rPr>
          <w:rFonts w:cs="Calibri"/>
          <w:color w:val="414042"/>
        </w:rPr>
        <w:t>last</w:t>
      </w:r>
      <w:r w:rsidRPr="00CA2CC1">
        <w:rPr>
          <w:rFonts w:cs="Calibri"/>
          <w:color w:val="414042"/>
          <w:spacing w:val="-3"/>
        </w:rPr>
        <w:t xml:space="preserve"> </w:t>
      </w:r>
      <w:r w:rsidRPr="00CA2CC1">
        <w:rPr>
          <w:rFonts w:cs="Calibri"/>
          <w:color w:val="414042"/>
        </w:rPr>
        <w:t>3 months of 2022–23 alone.</w:t>
      </w:r>
    </w:p>
    <w:p w14:paraId="2983B35B" w14:textId="77777777" w:rsidR="00FA4226" w:rsidRPr="00CA2CC1" w:rsidRDefault="00000000" w:rsidP="0043303B">
      <w:pPr>
        <w:pStyle w:val="BodyText"/>
        <w:spacing w:before="112"/>
        <w:rPr>
          <w:rFonts w:cs="Calibri"/>
        </w:rPr>
      </w:pPr>
      <w:r w:rsidRPr="00CA2CC1">
        <w:rPr>
          <w:rFonts w:cs="Calibri"/>
          <w:color w:val="414042"/>
        </w:rPr>
        <w:t>In</w:t>
      </w:r>
      <w:r w:rsidRPr="00CA2CC1">
        <w:rPr>
          <w:rFonts w:cs="Calibri"/>
          <w:color w:val="414042"/>
          <w:spacing w:val="-6"/>
        </w:rPr>
        <w:t xml:space="preserve"> </w:t>
      </w:r>
      <w:r w:rsidRPr="00CA2CC1">
        <w:rPr>
          <w:rFonts w:cs="Calibri"/>
          <w:color w:val="414042"/>
        </w:rPr>
        <w:t>March</w:t>
      </w:r>
      <w:r w:rsidRPr="00CA2CC1">
        <w:rPr>
          <w:rFonts w:cs="Calibri"/>
          <w:color w:val="414042"/>
          <w:spacing w:val="-6"/>
        </w:rPr>
        <w:t xml:space="preserve"> </w:t>
      </w:r>
      <w:r w:rsidRPr="00CA2CC1">
        <w:rPr>
          <w:rFonts w:cs="Calibri"/>
          <w:color w:val="414042"/>
        </w:rPr>
        <w:t>2023,</w:t>
      </w:r>
      <w:r w:rsidRPr="00CA2CC1">
        <w:rPr>
          <w:rFonts w:cs="Calibri"/>
          <w:color w:val="414042"/>
          <w:spacing w:val="-6"/>
        </w:rPr>
        <w:t xml:space="preserve"> </w:t>
      </w:r>
      <w:r w:rsidRPr="00CA2CC1">
        <w:rPr>
          <w:rFonts w:cs="Calibri"/>
          <w:color w:val="414042"/>
        </w:rPr>
        <w:t>the</w:t>
      </w:r>
      <w:r w:rsidRPr="00CA2CC1">
        <w:rPr>
          <w:rFonts w:cs="Calibri"/>
          <w:color w:val="414042"/>
          <w:spacing w:val="-6"/>
        </w:rPr>
        <w:t xml:space="preserve"> </w:t>
      </w:r>
      <w:r w:rsidRPr="00CA2CC1">
        <w:rPr>
          <w:rFonts w:cs="Calibri"/>
          <w:color w:val="414042"/>
        </w:rPr>
        <w:t>release</w:t>
      </w:r>
      <w:r w:rsidRPr="00CA2CC1">
        <w:rPr>
          <w:rFonts w:cs="Calibri"/>
          <w:color w:val="414042"/>
          <w:spacing w:val="-6"/>
        </w:rPr>
        <w:t xml:space="preserve"> </w:t>
      </w:r>
      <w:r w:rsidRPr="00CA2CC1">
        <w:rPr>
          <w:rFonts w:cs="Calibri"/>
          <w:color w:val="414042"/>
        </w:rPr>
        <w:t>of</w:t>
      </w:r>
      <w:r w:rsidRPr="00CA2CC1">
        <w:rPr>
          <w:rFonts w:cs="Calibri"/>
          <w:color w:val="414042"/>
          <w:spacing w:val="-6"/>
        </w:rPr>
        <w:t xml:space="preserve"> </w:t>
      </w:r>
      <w:r w:rsidRPr="00CA2CC1">
        <w:rPr>
          <w:rFonts w:cs="Calibri"/>
          <w:color w:val="414042"/>
        </w:rPr>
        <w:t>our</w:t>
      </w:r>
      <w:r w:rsidRPr="00CA2CC1">
        <w:rPr>
          <w:rFonts w:cs="Calibri"/>
          <w:color w:val="414042"/>
          <w:spacing w:val="-6"/>
        </w:rPr>
        <w:t xml:space="preserve"> </w:t>
      </w:r>
      <w:r w:rsidRPr="00CA2CC1">
        <w:rPr>
          <w:rFonts w:cs="Calibri"/>
          <w:color w:val="414042"/>
        </w:rPr>
        <w:t>research</w:t>
      </w:r>
      <w:r w:rsidRPr="00CA2CC1">
        <w:rPr>
          <w:rFonts w:cs="Calibri"/>
          <w:color w:val="414042"/>
          <w:spacing w:val="-6"/>
        </w:rPr>
        <w:t xml:space="preserve"> </w:t>
      </w:r>
      <w:r w:rsidRPr="00CA2CC1">
        <w:rPr>
          <w:rFonts w:cs="Calibri"/>
          <w:color w:val="414042"/>
        </w:rPr>
        <w:t>on</w:t>
      </w:r>
      <w:r w:rsidRPr="00CA2CC1">
        <w:rPr>
          <w:rFonts w:cs="Calibri"/>
          <w:color w:val="414042"/>
          <w:spacing w:val="-6"/>
        </w:rPr>
        <w:t xml:space="preserve"> </w:t>
      </w:r>
      <w:r w:rsidRPr="00CA2CC1">
        <w:rPr>
          <w:rFonts w:cs="Calibri"/>
          <w:color w:val="414042"/>
        </w:rPr>
        <w:t>home</w:t>
      </w:r>
      <w:r w:rsidRPr="00CA2CC1">
        <w:rPr>
          <w:rFonts w:cs="Calibri"/>
          <w:color w:val="414042"/>
          <w:spacing w:val="-6"/>
        </w:rPr>
        <w:t xml:space="preserve"> </w:t>
      </w:r>
      <w:r w:rsidRPr="00CA2CC1">
        <w:rPr>
          <w:rFonts w:cs="Calibri"/>
          <w:color w:val="414042"/>
        </w:rPr>
        <w:t>choices influenced stakeholder and community discussion about housing affordability, urban planning and the growth of Victoria’s capital and major regional cities. More than 50 major media items referenced our findings. In the months afterwards,</w:t>
      </w:r>
      <w:r w:rsidRPr="00CA2CC1">
        <w:rPr>
          <w:rFonts w:cs="Calibri"/>
          <w:color w:val="414042"/>
          <w:spacing w:val="-6"/>
        </w:rPr>
        <w:t xml:space="preserve"> </w:t>
      </w:r>
      <w:r w:rsidRPr="00CA2CC1">
        <w:rPr>
          <w:rFonts w:cs="Calibri"/>
          <w:color w:val="414042"/>
        </w:rPr>
        <w:t>the</w:t>
      </w:r>
      <w:r w:rsidRPr="00CA2CC1">
        <w:rPr>
          <w:rFonts w:cs="Calibri"/>
          <w:color w:val="414042"/>
          <w:spacing w:val="-6"/>
        </w:rPr>
        <w:t xml:space="preserve"> </w:t>
      </w:r>
      <w:r w:rsidRPr="00CA2CC1">
        <w:rPr>
          <w:rFonts w:cs="Calibri"/>
          <w:color w:val="414042"/>
        </w:rPr>
        <w:t>public</w:t>
      </w:r>
      <w:r w:rsidRPr="00CA2CC1">
        <w:rPr>
          <w:rFonts w:cs="Calibri"/>
          <w:color w:val="414042"/>
          <w:spacing w:val="-6"/>
        </w:rPr>
        <w:t xml:space="preserve"> </w:t>
      </w:r>
      <w:r w:rsidRPr="00CA2CC1">
        <w:rPr>
          <w:rFonts w:cs="Calibri"/>
          <w:color w:val="414042"/>
        </w:rPr>
        <w:t>debate</w:t>
      </w:r>
      <w:r w:rsidRPr="00CA2CC1">
        <w:rPr>
          <w:rFonts w:cs="Calibri"/>
          <w:color w:val="414042"/>
          <w:spacing w:val="-6"/>
        </w:rPr>
        <w:t xml:space="preserve"> </w:t>
      </w:r>
      <w:r w:rsidRPr="00CA2CC1">
        <w:rPr>
          <w:rFonts w:cs="Calibri"/>
          <w:color w:val="414042"/>
        </w:rPr>
        <w:t>on</w:t>
      </w:r>
      <w:r w:rsidRPr="00CA2CC1">
        <w:rPr>
          <w:rFonts w:cs="Calibri"/>
          <w:color w:val="414042"/>
          <w:spacing w:val="-6"/>
        </w:rPr>
        <w:t xml:space="preserve"> </w:t>
      </w:r>
      <w:r w:rsidRPr="00CA2CC1">
        <w:rPr>
          <w:rFonts w:cs="Calibri"/>
          <w:color w:val="414042"/>
        </w:rPr>
        <w:t>housing</w:t>
      </w:r>
      <w:r w:rsidRPr="00CA2CC1">
        <w:rPr>
          <w:rFonts w:cs="Calibri"/>
          <w:color w:val="414042"/>
          <w:spacing w:val="-6"/>
        </w:rPr>
        <w:t xml:space="preserve"> </w:t>
      </w:r>
      <w:r w:rsidRPr="00CA2CC1">
        <w:rPr>
          <w:rFonts w:cs="Calibri"/>
          <w:color w:val="414042"/>
        </w:rPr>
        <w:t>affordability</w:t>
      </w:r>
      <w:r w:rsidRPr="00CA2CC1">
        <w:rPr>
          <w:rFonts w:cs="Calibri"/>
          <w:color w:val="414042"/>
          <w:spacing w:val="-6"/>
        </w:rPr>
        <w:t xml:space="preserve"> </w:t>
      </w:r>
      <w:r w:rsidRPr="00CA2CC1">
        <w:rPr>
          <w:rFonts w:cs="Calibri"/>
          <w:color w:val="414042"/>
        </w:rPr>
        <w:t>shifted towards the need for more home choices in established suburbs, closer to jobs and existing infrastructure.</w:t>
      </w:r>
    </w:p>
    <w:p w14:paraId="3C8468C6" w14:textId="77777777" w:rsidR="00FA4226" w:rsidRPr="00CA2CC1" w:rsidRDefault="00000000" w:rsidP="0043303B">
      <w:pPr>
        <w:pStyle w:val="BodyText"/>
        <w:spacing w:before="111"/>
        <w:rPr>
          <w:rFonts w:cs="Calibri"/>
        </w:rPr>
      </w:pPr>
      <w:r w:rsidRPr="00CA2CC1">
        <w:rPr>
          <w:rFonts w:cs="Calibri"/>
          <w:color w:val="414042"/>
        </w:rPr>
        <w:t>In July 2022, we provided advice to the Victorian Government</w:t>
      </w:r>
      <w:r w:rsidRPr="00CA2CC1">
        <w:rPr>
          <w:rFonts w:cs="Calibri"/>
          <w:color w:val="414042"/>
          <w:spacing w:val="-3"/>
        </w:rPr>
        <w:t xml:space="preserve"> </w:t>
      </w:r>
      <w:r w:rsidRPr="00CA2CC1">
        <w:rPr>
          <w:rFonts w:cs="Calibri"/>
          <w:color w:val="414042"/>
        </w:rPr>
        <w:t>on</w:t>
      </w:r>
      <w:r w:rsidRPr="00CA2CC1">
        <w:rPr>
          <w:rFonts w:cs="Calibri"/>
          <w:color w:val="414042"/>
          <w:spacing w:val="-3"/>
        </w:rPr>
        <w:t xml:space="preserve"> </w:t>
      </w:r>
      <w:r w:rsidRPr="00CA2CC1">
        <w:rPr>
          <w:rFonts w:cs="Calibri"/>
          <w:color w:val="414042"/>
        </w:rPr>
        <w:t>the</w:t>
      </w:r>
      <w:r w:rsidRPr="00CA2CC1">
        <w:rPr>
          <w:rFonts w:cs="Calibri"/>
          <w:color w:val="414042"/>
          <w:spacing w:val="-3"/>
        </w:rPr>
        <w:t xml:space="preserve"> </w:t>
      </w:r>
      <w:r w:rsidRPr="00CA2CC1">
        <w:rPr>
          <w:rFonts w:cs="Calibri"/>
          <w:color w:val="414042"/>
        </w:rPr>
        <w:t>future</w:t>
      </w:r>
      <w:r w:rsidRPr="00CA2CC1">
        <w:rPr>
          <w:rFonts w:cs="Calibri"/>
          <w:color w:val="414042"/>
          <w:spacing w:val="-3"/>
        </w:rPr>
        <w:t xml:space="preserve"> </w:t>
      </w:r>
      <w:r w:rsidRPr="00CA2CC1">
        <w:rPr>
          <w:rFonts w:cs="Calibri"/>
          <w:color w:val="414042"/>
        </w:rPr>
        <w:t>of</w:t>
      </w:r>
      <w:r w:rsidRPr="00CA2CC1">
        <w:rPr>
          <w:rFonts w:cs="Calibri"/>
          <w:color w:val="414042"/>
          <w:spacing w:val="-3"/>
        </w:rPr>
        <w:t xml:space="preserve"> </w:t>
      </w:r>
      <w:r w:rsidRPr="00CA2CC1">
        <w:rPr>
          <w:rFonts w:cs="Calibri"/>
          <w:color w:val="414042"/>
        </w:rPr>
        <w:t>the</w:t>
      </w:r>
      <w:r w:rsidRPr="00CA2CC1">
        <w:rPr>
          <w:rFonts w:cs="Calibri"/>
          <w:color w:val="414042"/>
          <w:spacing w:val="-3"/>
        </w:rPr>
        <w:t xml:space="preserve"> </w:t>
      </w:r>
      <w:r w:rsidRPr="00CA2CC1">
        <w:rPr>
          <w:rFonts w:cs="Calibri"/>
          <w:color w:val="414042"/>
        </w:rPr>
        <w:t>state’s</w:t>
      </w:r>
      <w:r w:rsidRPr="00CA2CC1">
        <w:rPr>
          <w:rFonts w:cs="Calibri"/>
          <w:color w:val="414042"/>
          <w:spacing w:val="-3"/>
        </w:rPr>
        <w:t xml:space="preserve"> </w:t>
      </w:r>
      <w:r w:rsidRPr="00CA2CC1">
        <w:rPr>
          <w:rFonts w:cs="Calibri"/>
          <w:color w:val="414042"/>
        </w:rPr>
        <w:t>gas</w:t>
      </w:r>
      <w:r w:rsidRPr="00CA2CC1">
        <w:rPr>
          <w:rFonts w:cs="Calibri"/>
          <w:color w:val="414042"/>
          <w:spacing w:val="-3"/>
        </w:rPr>
        <w:t xml:space="preserve"> </w:t>
      </w:r>
      <w:r w:rsidRPr="00CA2CC1">
        <w:rPr>
          <w:rFonts w:cs="Calibri"/>
          <w:color w:val="414042"/>
        </w:rPr>
        <w:t>infrastructure assets</w:t>
      </w:r>
      <w:r w:rsidRPr="00CA2CC1">
        <w:rPr>
          <w:rFonts w:cs="Calibri"/>
          <w:color w:val="414042"/>
          <w:spacing w:val="-4"/>
        </w:rPr>
        <w:t xml:space="preserve"> </w:t>
      </w:r>
      <w:r w:rsidRPr="00CA2CC1">
        <w:rPr>
          <w:rFonts w:cs="Calibri"/>
          <w:color w:val="414042"/>
        </w:rPr>
        <w:t>under</w:t>
      </w:r>
      <w:r w:rsidRPr="00CA2CC1">
        <w:rPr>
          <w:rFonts w:cs="Calibri"/>
          <w:color w:val="414042"/>
          <w:spacing w:val="-4"/>
        </w:rPr>
        <w:t xml:space="preserve"> </w:t>
      </w:r>
      <w:r w:rsidRPr="00CA2CC1">
        <w:rPr>
          <w:rFonts w:cs="Calibri"/>
          <w:color w:val="414042"/>
        </w:rPr>
        <w:t>a</w:t>
      </w:r>
      <w:r w:rsidRPr="00CA2CC1">
        <w:rPr>
          <w:rFonts w:cs="Calibri"/>
          <w:color w:val="414042"/>
          <w:spacing w:val="-4"/>
        </w:rPr>
        <w:t xml:space="preserve"> </w:t>
      </w:r>
      <w:r w:rsidRPr="00CA2CC1">
        <w:rPr>
          <w:rFonts w:cs="Calibri"/>
          <w:color w:val="414042"/>
        </w:rPr>
        <w:t>range</w:t>
      </w:r>
      <w:r w:rsidRPr="00CA2CC1">
        <w:rPr>
          <w:rFonts w:cs="Calibri"/>
          <w:color w:val="414042"/>
          <w:spacing w:val="-4"/>
        </w:rPr>
        <w:t xml:space="preserve"> </w:t>
      </w:r>
      <w:r w:rsidRPr="00CA2CC1">
        <w:rPr>
          <w:rFonts w:cs="Calibri"/>
          <w:color w:val="414042"/>
        </w:rPr>
        <w:t>of</w:t>
      </w:r>
      <w:r w:rsidRPr="00CA2CC1">
        <w:rPr>
          <w:rFonts w:cs="Calibri"/>
          <w:color w:val="414042"/>
          <w:spacing w:val="-4"/>
        </w:rPr>
        <w:t xml:space="preserve"> </w:t>
      </w:r>
      <w:r w:rsidRPr="00CA2CC1">
        <w:rPr>
          <w:rFonts w:cs="Calibri"/>
          <w:color w:val="414042"/>
        </w:rPr>
        <w:t>2050</w:t>
      </w:r>
      <w:r w:rsidRPr="00CA2CC1">
        <w:rPr>
          <w:rFonts w:cs="Calibri"/>
          <w:color w:val="414042"/>
          <w:spacing w:val="-4"/>
        </w:rPr>
        <w:t xml:space="preserve"> </w:t>
      </w:r>
      <w:r w:rsidRPr="00CA2CC1">
        <w:rPr>
          <w:rFonts w:cs="Calibri"/>
          <w:color w:val="414042"/>
        </w:rPr>
        <w:t>energy</w:t>
      </w:r>
      <w:r w:rsidRPr="00CA2CC1">
        <w:rPr>
          <w:rFonts w:cs="Calibri"/>
          <w:color w:val="414042"/>
          <w:spacing w:val="-4"/>
        </w:rPr>
        <w:t xml:space="preserve"> </w:t>
      </w:r>
      <w:r w:rsidRPr="00CA2CC1">
        <w:rPr>
          <w:rFonts w:cs="Calibri"/>
          <w:color w:val="414042"/>
        </w:rPr>
        <w:t>scenarios.</w:t>
      </w:r>
      <w:r w:rsidRPr="00CA2CC1">
        <w:rPr>
          <w:rFonts w:cs="Calibri"/>
          <w:color w:val="414042"/>
          <w:spacing w:val="-4"/>
        </w:rPr>
        <w:t xml:space="preserve"> </w:t>
      </w:r>
      <w:r w:rsidRPr="00CA2CC1">
        <w:rPr>
          <w:rFonts w:cs="Calibri"/>
          <w:color w:val="414042"/>
        </w:rPr>
        <w:t>Our</w:t>
      </w:r>
      <w:r w:rsidRPr="00CA2CC1">
        <w:rPr>
          <w:rFonts w:cs="Calibri"/>
          <w:color w:val="414042"/>
          <w:spacing w:val="-4"/>
        </w:rPr>
        <w:t xml:space="preserve"> </w:t>
      </w:r>
      <w:r w:rsidRPr="00CA2CC1">
        <w:rPr>
          <w:rFonts w:cs="Calibri"/>
          <w:color w:val="414042"/>
        </w:rPr>
        <w:t xml:space="preserve">work informed actions in the government’s </w:t>
      </w:r>
      <w:r w:rsidRPr="00CA2CC1">
        <w:rPr>
          <w:rFonts w:cs="Calibri"/>
          <w:i/>
          <w:color w:val="414042"/>
        </w:rPr>
        <w:t xml:space="preserve">Gas substitution </w:t>
      </w:r>
      <w:r w:rsidRPr="00CA2CC1">
        <w:rPr>
          <w:rFonts w:cs="Calibri"/>
          <w:i/>
          <w:color w:val="414042"/>
          <w:spacing w:val="-2"/>
        </w:rPr>
        <w:t>roadmap</w:t>
      </w:r>
      <w:r w:rsidRPr="00CA2CC1">
        <w:rPr>
          <w:rFonts w:cs="Calibri"/>
          <w:color w:val="414042"/>
          <w:spacing w:val="-2"/>
        </w:rPr>
        <w:t>.</w:t>
      </w:r>
    </w:p>
    <w:p w14:paraId="3EB44F0B" w14:textId="77777777" w:rsidR="00FA4226" w:rsidRPr="00CA2CC1" w:rsidRDefault="00000000" w:rsidP="0043303B">
      <w:pPr>
        <w:pStyle w:val="BodyText"/>
        <w:spacing w:before="114"/>
        <w:rPr>
          <w:rFonts w:cs="Calibri"/>
        </w:rPr>
      </w:pPr>
      <w:r w:rsidRPr="00CA2CC1">
        <w:rPr>
          <w:rFonts w:cs="Calibri"/>
          <w:color w:val="414042"/>
        </w:rPr>
        <w:t>Our</w:t>
      </w:r>
      <w:r w:rsidRPr="00CA2CC1">
        <w:rPr>
          <w:rFonts w:cs="Calibri"/>
          <w:color w:val="414042"/>
          <w:spacing w:val="-1"/>
        </w:rPr>
        <w:t xml:space="preserve"> </w:t>
      </w:r>
      <w:r w:rsidRPr="00CA2CC1">
        <w:rPr>
          <w:rFonts w:cs="Calibri"/>
          <w:color w:val="414042"/>
        </w:rPr>
        <w:t>interim</w:t>
      </w:r>
      <w:r w:rsidRPr="00CA2CC1">
        <w:rPr>
          <w:rFonts w:cs="Calibri"/>
          <w:color w:val="414042"/>
          <w:spacing w:val="-1"/>
        </w:rPr>
        <w:t xml:space="preserve"> </w:t>
      </w:r>
      <w:r w:rsidRPr="00CA2CC1">
        <w:rPr>
          <w:rFonts w:cs="Calibri"/>
          <w:color w:val="414042"/>
        </w:rPr>
        <w:t>and</w:t>
      </w:r>
      <w:r w:rsidRPr="00CA2CC1">
        <w:rPr>
          <w:rFonts w:cs="Calibri"/>
          <w:color w:val="414042"/>
          <w:spacing w:val="-1"/>
        </w:rPr>
        <w:t xml:space="preserve"> </w:t>
      </w:r>
      <w:r w:rsidRPr="00CA2CC1">
        <w:rPr>
          <w:rFonts w:cs="Calibri"/>
          <w:color w:val="414042"/>
        </w:rPr>
        <w:t>final</w:t>
      </w:r>
      <w:r w:rsidRPr="00CA2CC1">
        <w:rPr>
          <w:rFonts w:cs="Calibri"/>
          <w:color w:val="414042"/>
          <w:spacing w:val="-1"/>
        </w:rPr>
        <w:t xml:space="preserve"> </w:t>
      </w:r>
      <w:r w:rsidRPr="00CA2CC1">
        <w:rPr>
          <w:rFonts w:cs="Calibri"/>
          <w:color w:val="414042"/>
        </w:rPr>
        <w:t>gas</w:t>
      </w:r>
      <w:r w:rsidRPr="00CA2CC1">
        <w:rPr>
          <w:rFonts w:cs="Calibri"/>
          <w:color w:val="414042"/>
          <w:spacing w:val="-1"/>
        </w:rPr>
        <w:t xml:space="preserve"> </w:t>
      </w:r>
      <w:r w:rsidRPr="00CA2CC1">
        <w:rPr>
          <w:rFonts w:cs="Calibri"/>
          <w:color w:val="414042"/>
        </w:rPr>
        <w:t>infrastructure</w:t>
      </w:r>
      <w:r w:rsidRPr="00CA2CC1">
        <w:rPr>
          <w:rFonts w:cs="Calibri"/>
          <w:color w:val="414042"/>
          <w:spacing w:val="-1"/>
        </w:rPr>
        <w:t xml:space="preserve"> </w:t>
      </w:r>
      <w:r w:rsidRPr="00CA2CC1">
        <w:rPr>
          <w:rFonts w:cs="Calibri"/>
          <w:color w:val="414042"/>
        </w:rPr>
        <w:t>advice</w:t>
      </w:r>
      <w:r w:rsidRPr="00CA2CC1">
        <w:rPr>
          <w:rFonts w:cs="Calibri"/>
          <w:color w:val="414042"/>
          <w:spacing w:val="-1"/>
        </w:rPr>
        <w:t xml:space="preserve"> </w:t>
      </w:r>
      <w:r w:rsidRPr="00CA2CC1">
        <w:rPr>
          <w:rFonts w:cs="Calibri"/>
          <w:color w:val="414042"/>
        </w:rPr>
        <w:t>reports</w:t>
      </w:r>
      <w:r w:rsidRPr="00CA2CC1">
        <w:rPr>
          <w:rFonts w:cs="Calibri"/>
          <w:color w:val="414042"/>
          <w:spacing w:val="-1"/>
        </w:rPr>
        <w:t xml:space="preserve"> </w:t>
      </w:r>
      <w:r w:rsidRPr="00CA2CC1">
        <w:rPr>
          <w:rFonts w:cs="Calibri"/>
          <w:color w:val="414042"/>
        </w:rPr>
        <w:t>also provided</w:t>
      </w:r>
      <w:r w:rsidRPr="00CA2CC1">
        <w:rPr>
          <w:rFonts w:cs="Calibri"/>
          <w:color w:val="414042"/>
          <w:spacing w:val="-7"/>
        </w:rPr>
        <w:t xml:space="preserve"> </w:t>
      </w:r>
      <w:r w:rsidRPr="00CA2CC1">
        <w:rPr>
          <w:rFonts w:cs="Calibri"/>
          <w:color w:val="414042"/>
        </w:rPr>
        <w:t>evidence</w:t>
      </w:r>
      <w:r w:rsidRPr="00CA2CC1">
        <w:rPr>
          <w:rFonts w:cs="Calibri"/>
          <w:color w:val="414042"/>
          <w:spacing w:val="-7"/>
        </w:rPr>
        <w:t xml:space="preserve"> </w:t>
      </w:r>
      <w:r w:rsidRPr="00CA2CC1">
        <w:rPr>
          <w:rFonts w:cs="Calibri"/>
          <w:color w:val="414042"/>
        </w:rPr>
        <w:t>that</w:t>
      </w:r>
      <w:r w:rsidRPr="00CA2CC1">
        <w:rPr>
          <w:rFonts w:cs="Calibri"/>
          <w:color w:val="414042"/>
          <w:spacing w:val="-7"/>
        </w:rPr>
        <w:t xml:space="preserve"> </w:t>
      </w:r>
      <w:r w:rsidRPr="00CA2CC1">
        <w:rPr>
          <w:rFonts w:cs="Calibri"/>
          <w:color w:val="414042"/>
        </w:rPr>
        <w:t>key</w:t>
      </w:r>
      <w:r w:rsidRPr="00CA2CC1">
        <w:rPr>
          <w:rFonts w:cs="Calibri"/>
          <w:color w:val="414042"/>
          <w:spacing w:val="-7"/>
        </w:rPr>
        <w:t xml:space="preserve"> </w:t>
      </w:r>
      <w:r w:rsidRPr="00CA2CC1">
        <w:rPr>
          <w:rFonts w:cs="Calibri"/>
          <w:color w:val="414042"/>
        </w:rPr>
        <w:t>stakeholders,</w:t>
      </w:r>
      <w:r w:rsidRPr="00CA2CC1">
        <w:rPr>
          <w:rFonts w:cs="Calibri"/>
          <w:color w:val="414042"/>
          <w:spacing w:val="-7"/>
        </w:rPr>
        <w:t xml:space="preserve"> </w:t>
      </w:r>
      <w:r w:rsidRPr="00CA2CC1">
        <w:rPr>
          <w:rFonts w:cs="Calibri"/>
          <w:color w:val="414042"/>
        </w:rPr>
        <w:t>including</w:t>
      </w:r>
      <w:r w:rsidRPr="00CA2CC1">
        <w:rPr>
          <w:rFonts w:cs="Calibri"/>
          <w:color w:val="414042"/>
          <w:spacing w:val="-7"/>
        </w:rPr>
        <w:t xml:space="preserve"> </w:t>
      </w:r>
      <w:r w:rsidRPr="00CA2CC1">
        <w:rPr>
          <w:rFonts w:cs="Calibri"/>
          <w:color w:val="414042"/>
        </w:rPr>
        <w:t>several local governments, drew upon to inform their own policy or advocacy positions. Consistent with our advice, the Victorian Government also recently announced a ban on new gas connections starting from 1 January 2024.</w:t>
      </w:r>
    </w:p>
    <w:p w14:paraId="26492E0B" w14:textId="750D0B1D" w:rsidR="00FA4226" w:rsidRPr="00CA2CC1" w:rsidRDefault="00000000" w:rsidP="0043303B">
      <w:pPr>
        <w:pStyle w:val="BodyText"/>
        <w:spacing w:before="114"/>
        <w:rPr>
          <w:rFonts w:cs="Calibri"/>
        </w:rPr>
      </w:pPr>
      <w:r w:rsidRPr="00CA2CC1">
        <w:rPr>
          <w:rFonts w:cs="Calibri"/>
          <w:color w:val="414042"/>
        </w:rPr>
        <w:t>During the past year, we continued our strong reputation</w:t>
      </w:r>
      <w:r w:rsidRPr="00CA2CC1">
        <w:rPr>
          <w:rFonts w:cs="Calibri"/>
          <w:color w:val="414042"/>
          <w:spacing w:val="40"/>
        </w:rPr>
        <w:t xml:space="preserve"> </w:t>
      </w:r>
      <w:r w:rsidRPr="00CA2CC1">
        <w:rPr>
          <w:rFonts w:cs="Calibri"/>
          <w:color w:val="414042"/>
        </w:rPr>
        <w:t>for independent research and advice which influences government</w:t>
      </w:r>
      <w:r w:rsidRPr="00CA2CC1">
        <w:rPr>
          <w:rFonts w:cs="Calibri"/>
          <w:color w:val="414042"/>
          <w:spacing w:val="-6"/>
        </w:rPr>
        <w:t xml:space="preserve"> </w:t>
      </w:r>
      <w:r w:rsidRPr="00CA2CC1">
        <w:rPr>
          <w:rFonts w:cs="Calibri"/>
          <w:color w:val="414042"/>
        </w:rPr>
        <w:t>decision</w:t>
      </w:r>
      <w:r w:rsidRPr="00CA2CC1">
        <w:rPr>
          <w:rFonts w:cs="Calibri"/>
          <w:color w:val="414042"/>
          <w:spacing w:val="-6"/>
        </w:rPr>
        <w:t xml:space="preserve"> </w:t>
      </w:r>
      <w:r w:rsidRPr="00CA2CC1">
        <w:rPr>
          <w:rFonts w:cs="Calibri"/>
          <w:color w:val="414042"/>
        </w:rPr>
        <w:t>making,</w:t>
      </w:r>
      <w:r w:rsidRPr="00CA2CC1">
        <w:rPr>
          <w:rFonts w:cs="Calibri"/>
          <w:color w:val="414042"/>
          <w:spacing w:val="-6"/>
        </w:rPr>
        <w:t xml:space="preserve"> </w:t>
      </w:r>
      <w:r w:rsidRPr="00CA2CC1">
        <w:rPr>
          <w:rFonts w:cs="Calibri"/>
          <w:color w:val="414042"/>
        </w:rPr>
        <w:t>contributes</w:t>
      </w:r>
      <w:r w:rsidRPr="00CA2CC1">
        <w:rPr>
          <w:rFonts w:cs="Calibri"/>
          <w:color w:val="414042"/>
          <w:spacing w:val="-6"/>
        </w:rPr>
        <w:t xml:space="preserve"> </w:t>
      </w:r>
      <w:r w:rsidRPr="00CA2CC1">
        <w:rPr>
          <w:rFonts w:cs="Calibri"/>
          <w:color w:val="414042"/>
        </w:rPr>
        <w:t>to</w:t>
      </w:r>
      <w:r w:rsidRPr="00CA2CC1">
        <w:rPr>
          <w:rFonts w:cs="Calibri"/>
          <w:color w:val="414042"/>
          <w:spacing w:val="-6"/>
        </w:rPr>
        <w:t xml:space="preserve"> </w:t>
      </w:r>
      <w:r w:rsidRPr="00CA2CC1">
        <w:rPr>
          <w:rFonts w:cs="Calibri"/>
          <w:color w:val="414042"/>
        </w:rPr>
        <w:t>complex</w:t>
      </w:r>
      <w:r w:rsidRPr="00CA2CC1">
        <w:rPr>
          <w:rFonts w:cs="Calibri"/>
          <w:color w:val="414042"/>
          <w:spacing w:val="-6"/>
        </w:rPr>
        <w:t xml:space="preserve"> </w:t>
      </w:r>
      <w:r w:rsidRPr="00CA2CC1">
        <w:rPr>
          <w:rFonts w:cs="Calibri"/>
          <w:color w:val="414042"/>
        </w:rPr>
        <w:t>policy reform and is cited in a wide range of academic, industry and policy publications.</w:t>
      </w:r>
    </w:p>
    <w:p w14:paraId="607815B0" w14:textId="77777777" w:rsidR="00FA4226" w:rsidRPr="00CA2CC1" w:rsidRDefault="00000000" w:rsidP="0043303B">
      <w:pPr>
        <w:pStyle w:val="BodyText"/>
        <w:spacing w:before="114"/>
        <w:rPr>
          <w:rFonts w:cs="Calibri"/>
        </w:rPr>
      </w:pPr>
      <w:r w:rsidRPr="00CA2CC1">
        <w:rPr>
          <w:rFonts w:cs="Calibri"/>
          <w:color w:val="414042"/>
        </w:rPr>
        <w:t>Below are highlights of how our research and advice has informed</w:t>
      </w:r>
      <w:r w:rsidRPr="00CA2CC1">
        <w:rPr>
          <w:rFonts w:cs="Calibri"/>
          <w:color w:val="414042"/>
          <w:spacing w:val="-5"/>
        </w:rPr>
        <w:t xml:space="preserve"> </w:t>
      </w:r>
      <w:r w:rsidRPr="00CA2CC1">
        <w:rPr>
          <w:rFonts w:cs="Calibri"/>
          <w:color w:val="414042"/>
        </w:rPr>
        <w:t>government</w:t>
      </w:r>
      <w:r w:rsidRPr="00CA2CC1">
        <w:rPr>
          <w:rFonts w:cs="Calibri"/>
          <w:color w:val="414042"/>
          <w:spacing w:val="-5"/>
        </w:rPr>
        <w:t xml:space="preserve"> </w:t>
      </w:r>
      <w:r w:rsidRPr="00CA2CC1">
        <w:rPr>
          <w:rFonts w:cs="Calibri"/>
          <w:color w:val="414042"/>
        </w:rPr>
        <w:t>policy</w:t>
      </w:r>
      <w:r w:rsidRPr="00CA2CC1">
        <w:rPr>
          <w:rFonts w:cs="Calibri"/>
          <w:color w:val="414042"/>
          <w:spacing w:val="-5"/>
        </w:rPr>
        <w:t xml:space="preserve"> </w:t>
      </w:r>
      <w:r w:rsidRPr="00CA2CC1">
        <w:rPr>
          <w:rFonts w:cs="Calibri"/>
          <w:color w:val="414042"/>
        </w:rPr>
        <w:t>and</w:t>
      </w:r>
      <w:r w:rsidRPr="00CA2CC1">
        <w:rPr>
          <w:rFonts w:cs="Calibri"/>
          <w:color w:val="414042"/>
          <w:spacing w:val="-5"/>
        </w:rPr>
        <w:t xml:space="preserve"> </w:t>
      </w:r>
      <w:r w:rsidRPr="00CA2CC1">
        <w:rPr>
          <w:rFonts w:cs="Calibri"/>
          <w:color w:val="414042"/>
        </w:rPr>
        <w:t>decision</w:t>
      </w:r>
      <w:r w:rsidRPr="00CA2CC1">
        <w:rPr>
          <w:rFonts w:cs="Calibri"/>
          <w:color w:val="414042"/>
          <w:spacing w:val="-5"/>
        </w:rPr>
        <w:t xml:space="preserve"> </w:t>
      </w:r>
      <w:r w:rsidRPr="00CA2CC1">
        <w:rPr>
          <w:rFonts w:cs="Calibri"/>
          <w:color w:val="414042"/>
        </w:rPr>
        <w:t>making</w:t>
      </w:r>
      <w:r w:rsidRPr="00CA2CC1">
        <w:rPr>
          <w:rFonts w:cs="Calibri"/>
          <w:color w:val="414042"/>
          <w:spacing w:val="-5"/>
        </w:rPr>
        <w:t xml:space="preserve"> </w:t>
      </w:r>
      <w:r w:rsidRPr="00CA2CC1">
        <w:rPr>
          <w:rFonts w:cs="Calibri"/>
          <w:color w:val="414042"/>
        </w:rPr>
        <w:t>during</w:t>
      </w:r>
      <w:r w:rsidRPr="00CA2CC1">
        <w:rPr>
          <w:rFonts w:cs="Calibri"/>
          <w:color w:val="414042"/>
          <w:spacing w:val="-5"/>
        </w:rPr>
        <w:t xml:space="preserve"> </w:t>
      </w:r>
      <w:r w:rsidRPr="00CA2CC1">
        <w:rPr>
          <w:rFonts w:cs="Calibri"/>
          <w:color w:val="414042"/>
        </w:rPr>
        <w:t>the financial year:</w:t>
      </w:r>
    </w:p>
    <w:p w14:paraId="60A05CCD" w14:textId="0786C4FF" w:rsidR="00FA4226" w:rsidRPr="00CA2CC1" w:rsidRDefault="00000000" w:rsidP="0043303B">
      <w:pPr>
        <w:pStyle w:val="BodyText"/>
        <w:numPr>
          <w:ilvl w:val="0"/>
          <w:numId w:val="37"/>
        </w:numPr>
        <w:rPr>
          <w:rFonts w:cs="Calibri"/>
          <w:i/>
        </w:rPr>
      </w:pPr>
      <w:r w:rsidRPr="00CA2CC1">
        <w:rPr>
          <w:rFonts w:cs="Calibri"/>
        </w:rPr>
        <w:t>In July 2022, the Victorian Government’s Gas Substitution</w:t>
      </w:r>
      <w:r w:rsidRPr="00CA2CC1">
        <w:rPr>
          <w:rFonts w:cs="Calibri"/>
          <w:spacing w:val="-8"/>
        </w:rPr>
        <w:t xml:space="preserve"> </w:t>
      </w:r>
      <w:r w:rsidRPr="00CA2CC1">
        <w:rPr>
          <w:rFonts w:cs="Calibri"/>
        </w:rPr>
        <w:t>Roadmap</w:t>
      </w:r>
      <w:r w:rsidRPr="00CA2CC1">
        <w:rPr>
          <w:rFonts w:cs="Calibri"/>
          <w:spacing w:val="-8"/>
        </w:rPr>
        <w:t xml:space="preserve"> </w:t>
      </w:r>
      <w:r w:rsidRPr="00CA2CC1">
        <w:rPr>
          <w:rFonts w:cs="Calibri"/>
        </w:rPr>
        <w:t>was</w:t>
      </w:r>
      <w:r w:rsidRPr="00CA2CC1">
        <w:rPr>
          <w:rFonts w:cs="Calibri"/>
          <w:spacing w:val="-8"/>
        </w:rPr>
        <w:t xml:space="preserve"> </w:t>
      </w:r>
      <w:r w:rsidRPr="00CA2CC1">
        <w:rPr>
          <w:rFonts w:cs="Calibri"/>
        </w:rPr>
        <w:t>‘informed</w:t>
      </w:r>
      <w:r w:rsidRPr="00CA2CC1">
        <w:rPr>
          <w:rFonts w:cs="Calibri"/>
          <w:spacing w:val="-8"/>
        </w:rPr>
        <w:t xml:space="preserve"> </w:t>
      </w:r>
      <w:r w:rsidRPr="00CA2CC1">
        <w:rPr>
          <w:rFonts w:cs="Calibri"/>
        </w:rPr>
        <w:t>by</w:t>
      </w:r>
      <w:r w:rsidRPr="00CA2CC1">
        <w:rPr>
          <w:rFonts w:cs="Calibri"/>
          <w:spacing w:val="-8"/>
        </w:rPr>
        <w:t xml:space="preserve"> </w:t>
      </w:r>
      <w:r w:rsidRPr="00CA2CC1">
        <w:rPr>
          <w:rFonts w:cs="Calibri"/>
        </w:rPr>
        <w:t xml:space="preserve">Infrastructure Victoria’s analysis of gas infrastructure needs’, as detailed in our advice report, </w:t>
      </w:r>
      <w:r w:rsidRPr="00CA2CC1">
        <w:rPr>
          <w:rFonts w:cs="Calibri"/>
          <w:i/>
        </w:rPr>
        <w:t>Towards 2050: gas</w:t>
      </w:r>
      <w:r w:rsidR="000B14A6" w:rsidRPr="00CA2CC1">
        <w:rPr>
          <w:rFonts w:cs="Calibri"/>
          <w:i/>
        </w:rPr>
        <w:t xml:space="preserve"> </w:t>
      </w:r>
      <w:r w:rsidRPr="00CA2CC1">
        <w:rPr>
          <w:rFonts w:cs="Calibri"/>
          <w:i/>
        </w:rPr>
        <w:t>infrastructure in a zero emissions economy – final report</w:t>
      </w:r>
      <w:r w:rsidRPr="00CA2CC1">
        <w:rPr>
          <w:rFonts w:cs="Calibri"/>
        </w:rPr>
        <w:t>. The roadmap aligns with several of our recommendations, including the need to drive a sustained uptake of energy efficiency and remove barriers to all electric developments. Consistent with our advice, it also includes actions to manage equity impacts</w:t>
      </w:r>
      <w:r w:rsidRPr="00CA2CC1">
        <w:rPr>
          <w:rFonts w:cs="Calibri"/>
          <w:spacing w:val="-5"/>
        </w:rPr>
        <w:t xml:space="preserve"> </w:t>
      </w:r>
      <w:r w:rsidRPr="00CA2CC1">
        <w:rPr>
          <w:rFonts w:cs="Calibri"/>
        </w:rPr>
        <w:t>of</w:t>
      </w:r>
      <w:r w:rsidRPr="00CA2CC1">
        <w:rPr>
          <w:rFonts w:cs="Calibri"/>
          <w:spacing w:val="-5"/>
        </w:rPr>
        <w:t xml:space="preserve"> </w:t>
      </w:r>
      <w:r w:rsidRPr="00CA2CC1">
        <w:rPr>
          <w:rFonts w:cs="Calibri"/>
        </w:rPr>
        <w:t>the</w:t>
      </w:r>
      <w:r w:rsidRPr="00CA2CC1">
        <w:rPr>
          <w:rFonts w:cs="Calibri"/>
          <w:spacing w:val="-5"/>
        </w:rPr>
        <w:t xml:space="preserve"> </w:t>
      </w:r>
      <w:r w:rsidRPr="00CA2CC1">
        <w:rPr>
          <w:rFonts w:cs="Calibri"/>
        </w:rPr>
        <w:t>energy</w:t>
      </w:r>
      <w:r w:rsidRPr="00CA2CC1">
        <w:rPr>
          <w:rFonts w:cs="Calibri"/>
          <w:spacing w:val="-5"/>
        </w:rPr>
        <w:t xml:space="preserve"> </w:t>
      </w:r>
      <w:r w:rsidRPr="00CA2CC1">
        <w:rPr>
          <w:rFonts w:cs="Calibri"/>
        </w:rPr>
        <w:t>transition,</w:t>
      </w:r>
      <w:r w:rsidRPr="00CA2CC1">
        <w:rPr>
          <w:rFonts w:cs="Calibri"/>
          <w:spacing w:val="-5"/>
        </w:rPr>
        <w:t xml:space="preserve"> </w:t>
      </w:r>
      <w:r w:rsidRPr="00CA2CC1">
        <w:rPr>
          <w:rFonts w:cs="Calibri"/>
        </w:rPr>
        <w:t>a</w:t>
      </w:r>
      <w:r w:rsidRPr="00CA2CC1">
        <w:rPr>
          <w:rFonts w:cs="Calibri"/>
          <w:spacing w:val="-5"/>
        </w:rPr>
        <w:t xml:space="preserve"> </w:t>
      </w:r>
      <w:r w:rsidRPr="00CA2CC1">
        <w:rPr>
          <w:rFonts w:cs="Calibri"/>
        </w:rPr>
        <w:t>review</w:t>
      </w:r>
      <w:r w:rsidRPr="00CA2CC1">
        <w:rPr>
          <w:rFonts w:cs="Calibri"/>
          <w:spacing w:val="-5"/>
        </w:rPr>
        <w:t xml:space="preserve"> </w:t>
      </w:r>
      <w:r w:rsidRPr="00CA2CC1">
        <w:rPr>
          <w:rFonts w:cs="Calibri"/>
        </w:rPr>
        <w:t>of</w:t>
      </w:r>
      <w:r w:rsidRPr="00CA2CC1">
        <w:rPr>
          <w:rFonts w:cs="Calibri"/>
          <w:spacing w:val="-5"/>
        </w:rPr>
        <w:t xml:space="preserve"> </w:t>
      </w:r>
      <w:r w:rsidRPr="00CA2CC1">
        <w:rPr>
          <w:rFonts w:cs="Calibri"/>
        </w:rPr>
        <w:t>natural</w:t>
      </w:r>
      <w:r w:rsidRPr="00CA2CC1">
        <w:rPr>
          <w:rFonts w:cs="Calibri"/>
          <w:spacing w:val="-5"/>
        </w:rPr>
        <w:t xml:space="preserve"> </w:t>
      </w:r>
      <w:r w:rsidRPr="00CA2CC1">
        <w:rPr>
          <w:rFonts w:cs="Calibri"/>
        </w:rPr>
        <w:t>gas use in all Victorian Government operations and more education to encourage consumer behaviour change.</w:t>
      </w:r>
    </w:p>
    <w:p w14:paraId="5A58731C" w14:textId="2E1024B9" w:rsidR="00FA4226" w:rsidRPr="00CA2CC1" w:rsidRDefault="00000000" w:rsidP="0043303B">
      <w:pPr>
        <w:pStyle w:val="BodyText"/>
        <w:numPr>
          <w:ilvl w:val="0"/>
          <w:numId w:val="37"/>
        </w:numPr>
        <w:rPr>
          <w:rFonts w:cs="Calibri"/>
        </w:rPr>
      </w:pPr>
      <w:r w:rsidRPr="00CA2CC1">
        <w:rPr>
          <w:rFonts w:cs="Calibri"/>
        </w:rPr>
        <w:t>In September 2022, the final Central and Gippsland Region Sustainable Water Strategy outlined a long-</w:t>
      </w:r>
      <w:r w:rsidRPr="00CA2CC1">
        <w:rPr>
          <w:rFonts w:cs="Calibri"/>
          <w:spacing w:val="40"/>
        </w:rPr>
        <w:t xml:space="preserve"> </w:t>
      </w:r>
      <w:r w:rsidRPr="00CA2CC1">
        <w:rPr>
          <w:rFonts w:cs="Calibri"/>
        </w:rPr>
        <w:t>term strategic plan to secure Victoria’s future water resources</w:t>
      </w:r>
      <w:r w:rsidRPr="00CA2CC1">
        <w:rPr>
          <w:rFonts w:cs="Calibri"/>
          <w:spacing w:val="-6"/>
        </w:rPr>
        <w:t xml:space="preserve"> </w:t>
      </w:r>
      <w:r w:rsidRPr="00CA2CC1">
        <w:rPr>
          <w:rFonts w:cs="Calibri"/>
        </w:rPr>
        <w:t>over</w:t>
      </w:r>
      <w:r w:rsidRPr="00CA2CC1">
        <w:rPr>
          <w:rFonts w:cs="Calibri"/>
          <w:spacing w:val="-6"/>
        </w:rPr>
        <w:t xml:space="preserve"> </w:t>
      </w:r>
      <w:r w:rsidRPr="00CA2CC1">
        <w:rPr>
          <w:rFonts w:cs="Calibri"/>
        </w:rPr>
        <w:t>the</w:t>
      </w:r>
      <w:r w:rsidRPr="00CA2CC1">
        <w:rPr>
          <w:rFonts w:cs="Calibri"/>
          <w:spacing w:val="-6"/>
        </w:rPr>
        <w:t xml:space="preserve"> </w:t>
      </w:r>
      <w:r w:rsidRPr="00CA2CC1">
        <w:rPr>
          <w:rFonts w:cs="Calibri"/>
        </w:rPr>
        <w:t>next</w:t>
      </w:r>
      <w:r w:rsidRPr="00CA2CC1">
        <w:rPr>
          <w:rFonts w:cs="Calibri"/>
          <w:spacing w:val="-6"/>
        </w:rPr>
        <w:t xml:space="preserve"> </w:t>
      </w:r>
      <w:r w:rsidRPr="00CA2CC1">
        <w:rPr>
          <w:rFonts w:cs="Calibri"/>
        </w:rPr>
        <w:t>50</w:t>
      </w:r>
      <w:r w:rsidRPr="00CA2CC1">
        <w:rPr>
          <w:rFonts w:cs="Calibri"/>
          <w:spacing w:val="-6"/>
        </w:rPr>
        <w:t xml:space="preserve"> </w:t>
      </w:r>
      <w:r w:rsidRPr="00CA2CC1">
        <w:rPr>
          <w:rFonts w:cs="Calibri"/>
        </w:rPr>
        <w:t>years.</w:t>
      </w:r>
      <w:r w:rsidRPr="00CA2CC1">
        <w:rPr>
          <w:rFonts w:cs="Calibri"/>
          <w:spacing w:val="-6"/>
        </w:rPr>
        <w:t xml:space="preserve"> </w:t>
      </w:r>
      <w:r w:rsidRPr="00CA2CC1">
        <w:rPr>
          <w:rFonts w:cs="Calibri"/>
        </w:rPr>
        <w:t>The</w:t>
      </w:r>
      <w:r w:rsidRPr="00CA2CC1">
        <w:rPr>
          <w:rFonts w:cs="Calibri"/>
          <w:spacing w:val="-6"/>
        </w:rPr>
        <w:t xml:space="preserve"> </w:t>
      </w:r>
      <w:r w:rsidRPr="00CA2CC1">
        <w:rPr>
          <w:rFonts w:cs="Calibri"/>
        </w:rPr>
        <w:t>renewed</w:t>
      </w:r>
      <w:r w:rsidRPr="00CA2CC1">
        <w:rPr>
          <w:rFonts w:cs="Calibri"/>
          <w:spacing w:val="-6"/>
        </w:rPr>
        <w:t xml:space="preserve"> </w:t>
      </w:r>
      <w:r w:rsidRPr="00CA2CC1">
        <w:rPr>
          <w:rFonts w:cs="Calibri"/>
        </w:rPr>
        <w:t>strategy is</w:t>
      </w:r>
      <w:r w:rsidRPr="00CA2CC1">
        <w:rPr>
          <w:rFonts w:cs="Calibri"/>
          <w:spacing w:val="-6"/>
        </w:rPr>
        <w:t xml:space="preserve"> </w:t>
      </w:r>
      <w:r w:rsidRPr="00CA2CC1">
        <w:rPr>
          <w:rFonts w:cs="Calibri"/>
        </w:rPr>
        <w:t>consistent</w:t>
      </w:r>
      <w:r w:rsidRPr="00CA2CC1">
        <w:rPr>
          <w:rFonts w:cs="Calibri"/>
          <w:spacing w:val="-6"/>
        </w:rPr>
        <w:t xml:space="preserve"> </w:t>
      </w:r>
      <w:r w:rsidRPr="00CA2CC1">
        <w:rPr>
          <w:rFonts w:cs="Calibri"/>
        </w:rPr>
        <w:t>with</w:t>
      </w:r>
      <w:r w:rsidRPr="00CA2CC1">
        <w:rPr>
          <w:rFonts w:cs="Calibri"/>
          <w:spacing w:val="-6"/>
        </w:rPr>
        <w:t xml:space="preserve"> </w:t>
      </w:r>
      <w:r w:rsidRPr="00CA2CC1">
        <w:rPr>
          <w:rFonts w:cs="Calibri"/>
        </w:rPr>
        <w:t>several</w:t>
      </w:r>
      <w:r w:rsidRPr="00CA2CC1">
        <w:rPr>
          <w:rFonts w:cs="Calibri"/>
          <w:spacing w:val="-6"/>
        </w:rPr>
        <w:t xml:space="preserve"> </w:t>
      </w:r>
      <w:r w:rsidRPr="00CA2CC1">
        <w:rPr>
          <w:rFonts w:cs="Calibri"/>
        </w:rPr>
        <w:t>recommendations</w:t>
      </w:r>
      <w:r w:rsidRPr="00CA2CC1">
        <w:rPr>
          <w:rFonts w:cs="Calibri"/>
          <w:spacing w:val="-6"/>
        </w:rPr>
        <w:t xml:space="preserve"> </w:t>
      </w:r>
      <w:r w:rsidRPr="00CA2CC1">
        <w:rPr>
          <w:rFonts w:cs="Calibri"/>
        </w:rPr>
        <w:t>in</w:t>
      </w:r>
      <w:r w:rsidRPr="00CA2CC1">
        <w:rPr>
          <w:rFonts w:cs="Calibri"/>
          <w:spacing w:val="-7"/>
        </w:rPr>
        <w:t xml:space="preserve"> </w:t>
      </w:r>
      <w:r w:rsidRPr="00CA2CC1">
        <w:rPr>
          <w:rFonts w:cs="Calibri"/>
          <w:i/>
        </w:rPr>
        <w:t>Victoria’s infrastructure strategy 2021–2051</w:t>
      </w:r>
      <w:r w:rsidRPr="00CA2CC1">
        <w:rPr>
          <w:rFonts w:cs="Calibri"/>
        </w:rPr>
        <w:t>, particularly the</w:t>
      </w:r>
      <w:r w:rsidR="00922F81" w:rsidRPr="00CA2CC1">
        <w:rPr>
          <w:rFonts w:cs="Calibri"/>
        </w:rPr>
        <w:t xml:space="preserve"> </w:t>
      </w:r>
      <w:r w:rsidRPr="00CA2CC1">
        <w:rPr>
          <w:rFonts w:cs="Calibri"/>
        </w:rPr>
        <w:t>need</w:t>
      </w:r>
      <w:r w:rsidRPr="00CA2CC1">
        <w:rPr>
          <w:rFonts w:cs="Calibri"/>
          <w:spacing w:val="-6"/>
        </w:rPr>
        <w:t xml:space="preserve"> </w:t>
      </w:r>
      <w:r w:rsidRPr="00CA2CC1">
        <w:rPr>
          <w:rFonts w:cs="Calibri"/>
        </w:rPr>
        <w:t>for</w:t>
      </w:r>
      <w:r w:rsidRPr="00CA2CC1">
        <w:rPr>
          <w:rFonts w:cs="Calibri"/>
          <w:spacing w:val="-6"/>
        </w:rPr>
        <w:t xml:space="preserve"> </w:t>
      </w:r>
      <w:r w:rsidRPr="00CA2CC1">
        <w:rPr>
          <w:rFonts w:cs="Calibri"/>
        </w:rPr>
        <w:t>clearly</w:t>
      </w:r>
      <w:r w:rsidRPr="00CA2CC1">
        <w:rPr>
          <w:rFonts w:cs="Calibri"/>
          <w:spacing w:val="-6"/>
        </w:rPr>
        <w:t xml:space="preserve"> </w:t>
      </w:r>
      <w:r w:rsidRPr="00CA2CC1">
        <w:rPr>
          <w:rFonts w:cs="Calibri"/>
        </w:rPr>
        <w:t>allocated</w:t>
      </w:r>
      <w:r w:rsidRPr="00CA2CC1">
        <w:rPr>
          <w:rFonts w:cs="Calibri"/>
          <w:spacing w:val="-6"/>
        </w:rPr>
        <w:t xml:space="preserve"> </w:t>
      </w:r>
      <w:r w:rsidRPr="00CA2CC1">
        <w:rPr>
          <w:rFonts w:cs="Calibri"/>
        </w:rPr>
        <w:t>roles</w:t>
      </w:r>
      <w:r w:rsidRPr="00CA2CC1">
        <w:rPr>
          <w:rFonts w:cs="Calibri"/>
          <w:spacing w:val="-6"/>
        </w:rPr>
        <w:t xml:space="preserve"> </w:t>
      </w:r>
      <w:r w:rsidRPr="00CA2CC1">
        <w:rPr>
          <w:rFonts w:cs="Calibri"/>
        </w:rPr>
        <w:t>and</w:t>
      </w:r>
      <w:r w:rsidRPr="00CA2CC1">
        <w:rPr>
          <w:rFonts w:cs="Calibri"/>
          <w:spacing w:val="-6"/>
        </w:rPr>
        <w:t xml:space="preserve"> </w:t>
      </w:r>
      <w:r w:rsidRPr="00CA2CC1">
        <w:rPr>
          <w:rFonts w:cs="Calibri"/>
        </w:rPr>
        <w:t>responsibilities</w:t>
      </w:r>
      <w:r w:rsidRPr="00CA2CC1">
        <w:rPr>
          <w:rFonts w:cs="Calibri"/>
          <w:spacing w:val="-6"/>
        </w:rPr>
        <w:t xml:space="preserve"> </w:t>
      </w:r>
      <w:r w:rsidRPr="00CA2CC1">
        <w:rPr>
          <w:rFonts w:cs="Calibri"/>
        </w:rPr>
        <w:t>‘for addressing regionally significant water supply options across the interconnected south-central grid’.</w:t>
      </w:r>
    </w:p>
    <w:p w14:paraId="0E44D544" w14:textId="77777777" w:rsidR="00FA4226" w:rsidRPr="00CA2CC1" w:rsidRDefault="00000000" w:rsidP="0043303B">
      <w:pPr>
        <w:pStyle w:val="BodyText"/>
        <w:numPr>
          <w:ilvl w:val="0"/>
          <w:numId w:val="37"/>
        </w:numPr>
        <w:rPr>
          <w:rFonts w:cs="Calibri"/>
        </w:rPr>
      </w:pPr>
      <w:r w:rsidRPr="00CA2CC1">
        <w:rPr>
          <w:rFonts w:cs="Calibri"/>
        </w:rPr>
        <w:t>The Integrated Transport Framework for the Inner South East Metropolitan Region draws upon Infrastructure Victoria’s research and advice to provide a consolidated view of key transport issues facing the region.</w:t>
      </w:r>
      <w:r w:rsidRPr="00CA2CC1">
        <w:rPr>
          <w:rFonts w:cs="Calibri"/>
          <w:spacing w:val="40"/>
        </w:rPr>
        <w:t xml:space="preserve"> </w:t>
      </w:r>
      <w:r w:rsidRPr="00CA2CC1">
        <w:rPr>
          <w:rFonts w:cs="Calibri"/>
        </w:rPr>
        <w:t>The framework</w:t>
      </w:r>
      <w:r w:rsidRPr="00CA2CC1">
        <w:rPr>
          <w:rFonts w:cs="Calibri"/>
          <w:spacing w:val="-6"/>
        </w:rPr>
        <w:t xml:space="preserve"> </w:t>
      </w:r>
      <w:r w:rsidRPr="00CA2CC1">
        <w:rPr>
          <w:rFonts w:cs="Calibri"/>
        </w:rPr>
        <w:t>advocates</w:t>
      </w:r>
      <w:r w:rsidRPr="00CA2CC1">
        <w:rPr>
          <w:rFonts w:cs="Calibri"/>
          <w:spacing w:val="-6"/>
        </w:rPr>
        <w:t xml:space="preserve"> </w:t>
      </w:r>
      <w:r w:rsidRPr="00CA2CC1">
        <w:rPr>
          <w:rFonts w:cs="Calibri"/>
        </w:rPr>
        <w:t>a</w:t>
      </w:r>
      <w:r w:rsidRPr="00CA2CC1">
        <w:rPr>
          <w:rFonts w:cs="Calibri"/>
          <w:spacing w:val="-6"/>
        </w:rPr>
        <w:t xml:space="preserve"> </w:t>
      </w:r>
      <w:r w:rsidRPr="00CA2CC1">
        <w:rPr>
          <w:rFonts w:cs="Calibri"/>
        </w:rPr>
        <w:t>position</w:t>
      </w:r>
      <w:r w:rsidRPr="00CA2CC1">
        <w:rPr>
          <w:rFonts w:cs="Calibri"/>
          <w:spacing w:val="-6"/>
        </w:rPr>
        <w:t xml:space="preserve"> </w:t>
      </w:r>
      <w:r w:rsidRPr="00CA2CC1">
        <w:rPr>
          <w:rFonts w:cs="Calibri"/>
        </w:rPr>
        <w:t>on</w:t>
      </w:r>
      <w:r w:rsidRPr="00CA2CC1">
        <w:rPr>
          <w:rFonts w:cs="Calibri"/>
          <w:spacing w:val="-6"/>
        </w:rPr>
        <w:t xml:space="preserve"> </w:t>
      </w:r>
      <w:r w:rsidRPr="00CA2CC1">
        <w:rPr>
          <w:rFonts w:cs="Calibri"/>
        </w:rPr>
        <w:t>transport</w:t>
      </w:r>
      <w:r w:rsidRPr="00CA2CC1">
        <w:rPr>
          <w:rFonts w:cs="Calibri"/>
          <w:spacing w:val="-6"/>
        </w:rPr>
        <w:t xml:space="preserve"> </w:t>
      </w:r>
      <w:r w:rsidRPr="00CA2CC1">
        <w:rPr>
          <w:rFonts w:cs="Calibri"/>
        </w:rPr>
        <w:t>and</w:t>
      </w:r>
      <w:r w:rsidRPr="00CA2CC1">
        <w:rPr>
          <w:rFonts w:cs="Calibri"/>
          <w:spacing w:val="-6"/>
        </w:rPr>
        <w:t xml:space="preserve"> </w:t>
      </w:r>
      <w:r w:rsidRPr="00CA2CC1">
        <w:rPr>
          <w:rFonts w:cs="Calibri"/>
        </w:rPr>
        <w:t>related land use initiatives and was funded by the Inner South East Metropolitan Partnership. It was developed with support from the Victorian Department of Transport and Department of Jobs, Precincts and Regions.</w:t>
      </w:r>
    </w:p>
    <w:p w14:paraId="01B63EE4" w14:textId="77777777" w:rsidR="00FA4226" w:rsidRPr="00CA2CC1" w:rsidRDefault="00000000" w:rsidP="0043303B">
      <w:pPr>
        <w:pStyle w:val="BodyText"/>
        <w:numPr>
          <w:ilvl w:val="0"/>
          <w:numId w:val="37"/>
        </w:numPr>
        <w:rPr>
          <w:rFonts w:cs="Calibri"/>
        </w:rPr>
      </w:pPr>
      <w:r w:rsidRPr="00CA2CC1">
        <w:rPr>
          <w:rFonts w:cs="Calibri"/>
        </w:rPr>
        <w:t>In</w:t>
      </w:r>
      <w:r w:rsidRPr="00CA2CC1">
        <w:rPr>
          <w:rFonts w:cs="Calibri"/>
          <w:spacing w:val="-5"/>
        </w:rPr>
        <w:t xml:space="preserve"> </w:t>
      </w:r>
      <w:r w:rsidRPr="00CA2CC1">
        <w:rPr>
          <w:rFonts w:cs="Calibri"/>
        </w:rPr>
        <w:t>October</w:t>
      </w:r>
      <w:r w:rsidRPr="00CA2CC1">
        <w:rPr>
          <w:rFonts w:cs="Calibri"/>
          <w:spacing w:val="-5"/>
        </w:rPr>
        <w:t xml:space="preserve"> </w:t>
      </w:r>
      <w:r w:rsidRPr="00CA2CC1">
        <w:rPr>
          <w:rFonts w:cs="Calibri"/>
        </w:rPr>
        <w:t>2022,</w:t>
      </w:r>
      <w:r w:rsidRPr="00CA2CC1">
        <w:rPr>
          <w:rFonts w:cs="Calibri"/>
          <w:spacing w:val="-5"/>
        </w:rPr>
        <w:t xml:space="preserve"> </w:t>
      </w:r>
      <w:r w:rsidRPr="00CA2CC1">
        <w:rPr>
          <w:rFonts w:cs="Calibri"/>
        </w:rPr>
        <w:t>the</w:t>
      </w:r>
      <w:r w:rsidRPr="00CA2CC1">
        <w:rPr>
          <w:rFonts w:cs="Calibri"/>
          <w:spacing w:val="-5"/>
        </w:rPr>
        <w:t xml:space="preserve"> </w:t>
      </w:r>
      <w:r w:rsidRPr="00CA2CC1">
        <w:rPr>
          <w:rFonts w:cs="Calibri"/>
        </w:rPr>
        <w:t>Victorian</w:t>
      </w:r>
      <w:r w:rsidRPr="00CA2CC1">
        <w:rPr>
          <w:rFonts w:cs="Calibri"/>
          <w:spacing w:val="-5"/>
        </w:rPr>
        <w:t xml:space="preserve"> </w:t>
      </w:r>
      <w:r w:rsidRPr="00CA2CC1">
        <w:rPr>
          <w:rFonts w:cs="Calibri"/>
        </w:rPr>
        <w:t>Government</w:t>
      </w:r>
      <w:r w:rsidRPr="00CA2CC1">
        <w:rPr>
          <w:rFonts w:cs="Calibri"/>
          <w:spacing w:val="-5"/>
        </w:rPr>
        <w:t xml:space="preserve"> </w:t>
      </w:r>
      <w:r w:rsidRPr="00CA2CC1">
        <w:rPr>
          <w:rFonts w:cs="Calibri"/>
        </w:rPr>
        <w:t>announced the biggest hospital project in Australia’s history,</w:t>
      </w:r>
    </w:p>
    <w:p w14:paraId="4797523F" w14:textId="77777777" w:rsidR="00FA4226" w:rsidRPr="00CA2CC1" w:rsidRDefault="00000000" w:rsidP="0043303B">
      <w:pPr>
        <w:pStyle w:val="BodyText"/>
        <w:numPr>
          <w:ilvl w:val="0"/>
          <w:numId w:val="37"/>
        </w:numPr>
        <w:rPr>
          <w:rFonts w:cs="Calibri"/>
        </w:rPr>
      </w:pPr>
      <w:r w:rsidRPr="00CA2CC1">
        <w:rPr>
          <w:rFonts w:cs="Calibri"/>
        </w:rPr>
        <w:t xml:space="preserve">the rebuild of the Royal Melbourne Hospital and development of Melbourne’s Arden medical precinct. The precinct development aims to advance health research and education, improve hospital access </w:t>
      </w:r>
      <w:r w:rsidRPr="00CA2CC1">
        <w:rPr>
          <w:rFonts w:cs="Calibri"/>
        </w:rPr>
        <w:lastRenderedPageBreak/>
        <w:t>and provide innovation in patient care. The announcement delivered</w:t>
      </w:r>
      <w:r w:rsidRPr="00CA2CC1">
        <w:rPr>
          <w:rFonts w:cs="Calibri"/>
          <w:spacing w:val="-11"/>
        </w:rPr>
        <w:t xml:space="preserve"> </w:t>
      </w:r>
      <w:r w:rsidRPr="00CA2CC1">
        <w:rPr>
          <w:rFonts w:cs="Calibri"/>
        </w:rPr>
        <w:t>on</w:t>
      </w:r>
      <w:r w:rsidRPr="00CA2CC1">
        <w:rPr>
          <w:rFonts w:cs="Calibri"/>
          <w:spacing w:val="-11"/>
        </w:rPr>
        <w:t xml:space="preserve"> </w:t>
      </w:r>
      <w:r w:rsidRPr="00CA2CC1">
        <w:rPr>
          <w:rFonts w:cs="Calibri"/>
        </w:rPr>
        <w:t>recommendations</w:t>
      </w:r>
      <w:r w:rsidRPr="00CA2CC1">
        <w:rPr>
          <w:rFonts w:cs="Calibri"/>
          <w:spacing w:val="-11"/>
        </w:rPr>
        <w:t xml:space="preserve"> </w:t>
      </w:r>
      <w:r w:rsidRPr="00CA2CC1">
        <w:rPr>
          <w:rFonts w:cs="Calibri"/>
        </w:rPr>
        <w:t>in</w:t>
      </w:r>
      <w:r w:rsidRPr="00CA2CC1">
        <w:rPr>
          <w:rFonts w:cs="Calibri"/>
          <w:spacing w:val="-12"/>
        </w:rPr>
        <w:t xml:space="preserve"> </w:t>
      </w:r>
      <w:r w:rsidRPr="00CA2CC1">
        <w:rPr>
          <w:rFonts w:cs="Calibri"/>
          <w:i/>
        </w:rPr>
        <w:t>Victoria’s</w:t>
      </w:r>
      <w:r w:rsidRPr="00CA2CC1">
        <w:rPr>
          <w:rFonts w:cs="Calibri"/>
          <w:i/>
          <w:spacing w:val="-11"/>
        </w:rPr>
        <w:t xml:space="preserve"> </w:t>
      </w:r>
      <w:r w:rsidRPr="00CA2CC1">
        <w:rPr>
          <w:rFonts w:cs="Calibri"/>
          <w:i/>
        </w:rPr>
        <w:t>infrastructure strategy 2021–2051</w:t>
      </w:r>
      <w:r w:rsidRPr="00CA2CC1">
        <w:rPr>
          <w:rFonts w:cs="Calibri"/>
        </w:rPr>
        <w:t>, including the need to prioritise redevelopment of Royal Melbourne Hospital.</w:t>
      </w:r>
    </w:p>
    <w:p w14:paraId="5CA84B78" w14:textId="2A282E56" w:rsidR="00FA4226" w:rsidRPr="00CA2CC1" w:rsidRDefault="00000000" w:rsidP="0043303B">
      <w:pPr>
        <w:pStyle w:val="BodyText"/>
        <w:numPr>
          <w:ilvl w:val="0"/>
          <w:numId w:val="37"/>
        </w:numPr>
        <w:rPr>
          <w:rFonts w:cs="Calibri"/>
        </w:rPr>
      </w:pPr>
      <w:r w:rsidRPr="00CA2CC1">
        <w:rPr>
          <w:rFonts w:cs="Calibri"/>
        </w:rPr>
        <w:t>In</w:t>
      </w:r>
      <w:r w:rsidRPr="00CA2CC1">
        <w:rPr>
          <w:rFonts w:cs="Calibri"/>
          <w:spacing w:val="-2"/>
        </w:rPr>
        <w:t xml:space="preserve"> </w:t>
      </w:r>
      <w:r w:rsidRPr="00CA2CC1">
        <w:rPr>
          <w:rFonts w:cs="Calibri"/>
        </w:rPr>
        <w:t>May 2023,</w:t>
      </w:r>
      <w:r w:rsidRPr="00CA2CC1">
        <w:rPr>
          <w:rFonts w:cs="Calibri"/>
          <w:spacing w:val="1"/>
        </w:rPr>
        <w:t xml:space="preserve"> </w:t>
      </w:r>
      <w:r w:rsidRPr="00CA2CC1">
        <w:rPr>
          <w:rFonts w:cs="Calibri"/>
        </w:rPr>
        <w:t>the government</w:t>
      </w:r>
      <w:r w:rsidRPr="00CA2CC1">
        <w:rPr>
          <w:rFonts w:cs="Calibri"/>
          <w:spacing w:val="1"/>
        </w:rPr>
        <w:t xml:space="preserve"> </w:t>
      </w:r>
      <w:r w:rsidRPr="00CA2CC1">
        <w:rPr>
          <w:rFonts w:cs="Calibri"/>
        </w:rPr>
        <w:t>announced an</w:t>
      </w:r>
      <w:r w:rsidRPr="00CA2CC1">
        <w:rPr>
          <w:rFonts w:cs="Calibri"/>
          <w:spacing w:val="1"/>
        </w:rPr>
        <w:t xml:space="preserve"> </w:t>
      </w:r>
      <w:r w:rsidRPr="00CA2CC1">
        <w:rPr>
          <w:rFonts w:cs="Calibri"/>
          <w:spacing w:val="-2"/>
        </w:rPr>
        <w:t>extra</w:t>
      </w:r>
      <w:r w:rsidR="00922F81" w:rsidRPr="00CA2CC1">
        <w:rPr>
          <w:rFonts w:cs="Calibri"/>
          <w:spacing w:val="-2"/>
        </w:rPr>
        <w:t xml:space="preserve"> </w:t>
      </w:r>
      <w:r w:rsidRPr="00CA2CC1">
        <w:rPr>
          <w:rFonts w:cs="Calibri"/>
        </w:rPr>
        <w:t>$2.8 billion in road repairs and upgrades over the next decade. This investment aims to help keep Victorian communities connected and drivers safer, it is the first- time road funding has been committed over a 10-year period.</w:t>
      </w:r>
      <w:r w:rsidRPr="00CA2CC1">
        <w:rPr>
          <w:rFonts w:cs="Calibri"/>
          <w:spacing w:val="-5"/>
        </w:rPr>
        <w:t xml:space="preserve"> </w:t>
      </w:r>
      <w:r w:rsidRPr="00CA2CC1">
        <w:rPr>
          <w:rFonts w:cs="Calibri"/>
        </w:rPr>
        <w:t>We</w:t>
      </w:r>
      <w:r w:rsidRPr="00CA2CC1">
        <w:rPr>
          <w:rFonts w:cs="Calibri"/>
          <w:spacing w:val="-5"/>
        </w:rPr>
        <w:t xml:space="preserve"> </w:t>
      </w:r>
      <w:r w:rsidRPr="00CA2CC1">
        <w:rPr>
          <w:rFonts w:cs="Calibri"/>
        </w:rPr>
        <w:t>recommended</w:t>
      </w:r>
      <w:r w:rsidRPr="00CA2CC1">
        <w:rPr>
          <w:rFonts w:cs="Calibri"/>
          <w:spacing w:val="-5"/>
        </w:rPr>
        <w:t xml:space="preserve"> </w:t>
      </w:r>
      <w:r w:rsidRPr="00CA2CC1">
        <w:rPr>
          <w:rFonts w:cs="Calibri"/>
        </w:rPr>
        <w:t>a</w:t>
      </w:r>
      <w:r w:rsidRPr="00CA2CC1">
        <w:rPr>
          <w:rFonts w:cs="Calibri"/>
          <w:spacing w:val="-5"/>
        </w:rPr>
        <w:t xml:space="preserve"> </w:t>
      </w:r>
      <w:r w:rsidRPr="00CA2CC1">
        <w:rPr>
          <w:rFonts w:cs="Calibri"/>
        </w:rPr>
        <w:t>10-year</w:t>
      </w:r>
      <w:r w:rsidRPr="00CA2CC1">
        <w:rPr>
          <w:rFonts w:cs="Calibri"/>
          <w:spacing w:val="-5"/>
        </w:rPr>
        <w:t xml:space="preserve"> </w:t>
      </w:r>
      <w:r w:rsidRPr="00CA2CC1">
        <w:rPr>
          <w:rFonts w:cs="Calibri"/>
        </w:rPr>
        <w:t>funding</w:t>
      </w:r>
      <w:r w:rsidRPr="00CA2CC1">
        <w:rPr>
          <w:rFonts w:cs="Calibri"/>
          <w:spacing w:val="-5"/>
        </w:rPr>
        <w:t xml:space="preserve"> </w:t>
      </w:r>
      <w:r w:rsidRPr="00CA2CC1">
        <w:rPr>
          <w:rFonts w:cs="Calibri"/>
        </w:rPr>
        <w:t>program</w:t>
      </w:r>
      <w:r w:rsidRPr="00CA2CC1">
        <w:rPr>
          <w:rFonts w:cs="Calibri"/>
          <w:spacing w:val="-5"/>
        </w:rPr>
        <w:t xml:space="preserve"> </w:t>
      </w:r>
      <w:r w:rsidRPr="00CA2CC1">
        <w:rPr>
          <w:rFonts w:cs="Calibri"/>
        </w:rPr>
        <w:t>to deliver</w:t>
      </w:r>
      <w:r w:rsidRPr="00CA2CC1">
        <w:rPr>
          <w:rFonts w:cs="Calibri"/>
          <w:spacing w:val="-7"/>
        </w:rPr>
        <w:t xml:space="preserve"> </w:t>
      </w:r>
      <w:r w:rsidRPr="00CA2CC1">
        <w:rPr>
          <w:rFonts w:cs="Calibri"/>
        </w:rPr>
        <w:t>long-term</w:t>
      </w:r>
      <w:r w:rsidRPr="00CA2CC1">
        <w:rPr>
          <w:rFonts w:cs="Calibri"/>
          <w:spacing w:val="-7"/>
        </w:rPr>
        <w:t xml:space="preserve"> </w:t>
      </w:r>
      <w:r w:rsidRPr="00CA2CC1">
        <w:rPr>
          <w:rFonts w:cs="Calibri"/>
        </w:rPr>
        <w:t>certainty</w:t>
      </w:r>
      <w:r w:rsidRPr="00CA2CC1">
        <w:rPr>
          <w:rFonts w:cs="Calibri"/>
          <w:spacing w:val="-7"/>
        </w:rPr>
        <w:t xml:space="preserve"> </w:t>
      </w:r>
      <w:r w:rsidRPr="00CA2CC1">
        <w:rPr>
          <w:rFonts w:cs="Calibri"/>
        </w:rPr>
        <w:t>for</w:t>
      </w:r>
      <w:r w:rsidRPr="00CA2CC1">
        <w:rPr>
          <w:rFonts w:cs="Calibri"/>
          <w:spacing w:val="-7"/>
        </w:rPr>
        <w:t xml:space="preserve"> </w:t>
      </w:r>
      <w:r w:rsidRPr="00CA2CC1">
        <w:rPr>
          <w:rFonts w:cs="Calibri"/>
        </w:rPr>
        <w:t>regional</w:t>
      </w:r>
      <w:r w:rsidRPr="00CA2CC1">
        <w:rPr>
          <w:rFonts w:cs="Calibri"/>
          <w:spacing w:val="-7"/>
        </w:rPr>
        <w:t xml:space="preserve"> </w:t>
      </w:r>
      <w:r w:rsidRPr="00CA2CC1">
        <w:rPr>
          <w:rFonts w:cs="Calibri"/>
        </w:rPr>
        <w:t>road</w:t>
      </w:r>
      <w:r w:rsidRPr="00CA2CC1">
        <w:rPr>
          <w:rFonts w:cs="Calibri"/>
          <w:spacing w:val="-7"/>
        </w:rPr>
        <w:t xml:space="preserve"> </w:t>
      </w:r>
      <w:r w:rsidRPr="00CA2CC1">
        <w:rPr>
          <w:rFonts w:cs="Calibri"/>
        </w:rPr>
        <w:t xml:space="preserve">maintenance and upgrades in </w:t>
      </w:r>
      <w:r w:rsidRPr="00CA2CC1">
        <w:rPr>
          <w:rFonts w:cs="Calibri"/>
          <w:i/>
        </w:rPr>
        <w:t xml:space="preserve">Victoria’s infrastructure strategy </w:t>
      </w:r>
      <w:r w:rsidRPr="00CA2CC1">
        <w:rPr>
          <w:rFonts w:cs="Calibri"/>
          <w:i/>
          <w:spacing w:val="-2"/>
        </w:rPr>
        <w:t>2021–2051</w:t>
      </w:r>
      <w:r w:rsidRPr="00CA2CC1">
        <w:rPr>
          <w:rFonts w:cs="Calibri"/>
          <w:spacing w:val="-2"/>
        </w:rPr>
        <w:t>.</w:t>
      </w:r>
    </w:p>
    <w:p w14:paraId="3CAF5134" w14:textId="77777777" w:rsidR="003058CE" w:rsidRPr="00CA2CC1" w:rsidRDefault="003058CE" w:rsidP="0043303B">
      <w:pPr>
        <w:pStyle w:val="BodyText"/>
        <w:numPr>
          <w:ilvl w:val="0"/>
          <w:numId w:val="37"/>
        </w:numPr>
        <w:rPr>
          <w:rFonts w:cs="Calibri"/>
        </w:rPr>
      </w:pPr>
      <w:r w:rsidRPr="00CA2CC1">
        <w:rPr>
          <w:rFonts w:cs="Calibri"/>
        </w:rPr>
        <w:t xml:space="preserve">The final report of the independent expert panel for the Victorian 2035 emissions reduction target makes multiple references to Infrastructure Victoria’s advice reports on gas infrastructure in a net zero economy and infrastructure planning for zero emissions vehicles. In May 2023, the Victorian Government announced new targets to reduce emissions from 2005 levels by between 75% and 80% by 2035, and reach net zero emissions by 2045. This is 5 years earlier than the previous 2050 net zero target. The government also announced new renewable energy targets and renewable energy storage targets.  </w:t>
      </w:r>
    </w:p>
    <w:p w14:paraId="430528B4" w14:textId="40661488" w:rsidR="00FA4226" w:rsidRPr="00CA2CC1" w:rsidRDefault="00000000" w:rsidP="0043303B">
      <w:pPr>
        <w:pStyle w:val="BodyText"/>
        <w:numPr>
          <w:ilvl w:val="0"/>
          <w:numId w:val="37"/>
        </w:numPr>
        <w:rPr>
          <w:rFonts w:cs="Calibri"/>
        </w:rPr>
      </w:pPr>
      <w:r w:rsidRPr="00CA2CC1">
        <w:rPr>
          <w:rFonts w:cs="Calibri"/>
        </w:rPr>
        <w:t>In March 2023, the Victorian Government asked Infrastructure Victoria to provide advice on options that will assist in the reduction of greenhouse gas emissions through future infrastructure investment, decision making and procurement. The government asked us</w:t>
      </w:r>
      <w:r w:rsidR="00B92CA4" w:rsidRPr="00CA2CC1">
        <w:rPr>
          <w:rFonts w:cs="Calibri"/>
        </w:rPr>
        <w:t xml:space="preserve"> </w:t>
      </w:r>
      <w:r w:rsidRPr="00CA2CC1">
        <w:rPr>
          <w:rFonts w:cs="Calibri"/>
        </w:rPr>
        <w:t>to consider how policies and guidelines can better account for greenhouse gas emissions produced in the design, investment, construction, maintenance and decommissioning of public infrastructure.</w:t>
      </w:r>
    </w:p>
    <w:p w14:paraId="37F74CD8" w14:textId="77777777" w:rsidR="00FA4226" w:rsidRPr="00A82B74" w:rsidRDefault="00000000" w:rsidP="0043303B">
      <w:pPr>
        <w:pStyle w:val="BodyText"/>
        <w:spacing w:before="110"/>
        <w:rPr>
          <w:rFonts w:cs="Calibri"/>
        </w:rPr>
      </w:pPr>
      <w:r w:rsidRPr="00A82B74">
        <w:rPr>
          <w:rFonts w:cs="Calibri"/>
        </w:rPr>
        <w:t>Infrastructure Victoria draws on its sound evidence-base and recommendations to contribute to complex policy reform.</w:t>
      </w:r>
      <w:r w:rsidRPr="00A82B74">
        <w:rPr>
          <w:rFonts w:cs="Calibri"/>
          <w:spacing w:val="-7"/>
        </w:rPr>
        <w:t xml:space="preserve"> </w:t>
      </w:r>
      <w:r w:rsidRPr="00A82B74">
        <w:rPr>
          <w:rFonts w:cs="Calibri"/>
        </w:rPr>
        <w:t>During</w:t>
      </w:r>
      <w:r w:rsidRPr="00A82B74">
        <w:rPr>
          <w:rFonts w:cs="Calibri"/>
          <w:spacing w:val="-7"/>
        </w:rPr>
        <w:t xml:space="preserve"> </w:t>
      </w:r>
      <w:r w:rsidRPr="00A82B74">
        <w:rPr>
          <w:rFonts w:cs="Calibri"/>
        </w:rPr>
        <w:t>the</w:t>
      </w:r>
      <w:r w:rsidRPr="00A82B74">
        <w:rPr>
          <w:rFonts w:cs="Calibri"/>
          <w:spacing w:val="-7"/>
        </w:rPr>
        <w:t xml:space="preserve"> </w:t>
      </w:r>
      <w:r w:rsidRPr="00A82B74">
        <w:rPr>
          <w:rFonts w:cs="Calibri"/>
        </w:rPr>
        <w:t>past</w:t>
      </w:r>
      <w:r w:rsidRPr="00A82B74">
        <w:rPr>
          <w:rFonts w:cs="Calibri"/>
          <w:spacing w:val="-7"/>
        </w:rPr>
        <w:t xml:space="preserve"> </w:t>
      </w:r>
      <w:r w:rsidRPr="00A82B74">
        <w:rPr>
          <w:rFonts w:cs="Calibri"/>
        </w:rPr>
        <w:t>year,</w:t>
      </w:r>
      <w:r w:rsidRPr="00A82B74">
        <w:rPr>
          <w:rFonts w:cs="Calibri"/>
          <w:spacing w:val="-7"/>
        </w:rPr>
        <w:t xml:space="preserve"> </w:t>
      </w:r>
      <w:r w:rsidRPr="00A82B74">
        <w:rPr>
          <w:rFonts w:cs="Calibri"/>
        </w:rPr>
        <w:t>we</w:t>
      </w:r>
      <w:r w:rsidRPr="00A82B74">
        <w:rPr>
          <w:rFonts w:cs="Calibri"/>
          <w:spacing w:val="-7"/>
        </w:rPr>
        <w:t xml:space="preserve"> </w:t>
      </w:r>
      <w:r w:rsidRPr="00A82B74">
        <w:rPr>
          <w:rFonts w:cs="Calibri"/>
        </w:rPr>
        <w:t>participated</w:t>
      </w:r>
      <w:r w:rsidRPr="00A82B74">
        <w:rPr>
          <w:rFonts w:cs="Calibri"/>
          <w:spacing w:val="-7"/>
        </w:rPr>
        <w:t xml:space="preserve"> </w:t>
      </w:r>
      <w:r w:rsidRPr="00A82B74">
        <w:rPr>
          <w:rFonts w:cs="Calibri"/>
        </w:rPr>
        <w:t>in</w:t>
      </w:r>
      <w:r w:rsidRPr="00A82B74">
        <w:rPr>
          <w:rFonts w:cs="Calibri"/>
          <w:spacing w:val="-7"/>
        </w:rPr>
        <w:t xml:space="preserve"> </w:t>
      </w:r>
      <w:r w:rsidRPr="00A82B74">
        <w:rPr>
          <w:rFonts w:cs="Calibri"/>
        </w:rPr>
        <w:t>a</w:t>
      </w:r>
      <w:r w:rsidRPr="00A82B74">
        <w:rPr>
          <w:rFonts w:cs="Calibri"/>
          <w:spacing w:val="-7"/>
        </w:rPr>
        <w:t xml:space="preserve"> </w:t>
      </w:r>
      <w:r w:rsidRPr="00A82B74">
        <w:rPr>
          <w:rFonts w:cs="Calibri"/>
        </w:rPr>
        <w:t>Victorian parliamentary inquiry, Australian Government policy consultation and an independent national review:</w:t>
      </w:r>
    </w:p>
    <w:p w14:paraId="254BD0F0" w14:textId="77777777" w:rsidR="00FA4226" w:rsidRPr="00CA2CC1" w:rsidRDefault="00000000" w:rsidP="0043303B">
      <w:pPr>
        <w:pStyle w:val="BodyText"/>
        <w:numPr>
          <w:ilvl w:val="0"/>
          <w:numId w:val="38"/>
        </w:numPr>
        <w:rPr>
          <w:rFonts w:cs="Calibri"/>
        </w:rPr>
      </w:pPr>
      <w:r w:rsidRPr="00CA2CC1">
        <w:rPr>
          <w:rFonts w:cs="Calibri"/>
        </w:rPr>
        <w:t>We made a submission and appeared before a public hearing of the Victorian Legislative Council’s Inquiry into Land</w:t>
      </w:r>
      <w:r w:rsidRPr="00CA2CC1">
        <w:rPr>
          <w:rFonts w:cs="Calibri"/>
          <w:spacing w:val="-5"/>
        </w:rPr>
        <w:t xml:space="preserve"> </w:t>
      </w:r>
      <w:r w:rsidRPr="00CA2CC1">
        <w:rPr>
          <w:rFonts w:cs="Calibri"/>
        </w:rPr>
        <w:t>Transfer</w:t>
      </w:r>
      <w:r w:rsidRPr="00CA2CC1">
        <w:rPr>
          <w:rFonts w:cs="Calibri"/>
          <w:spacing w:val="-5"/>
        </w:rPr>
        <w:t xml:space="preserve"> </w:t>
      </w:r>
      <w:r w:rsidRPr="00CA2CC1">
        <w:rPr>
          <w:rFonts w:cs="Calibri"/>
        </w:rPr>
        <w:t>Duty</w:t>
      </w:r>
      <w:r w:rsidRPr="00CA2CC1">
        <w:rPr>
          <w:rFonts w:cs="Calibri"/>
          <w:spacing w:val="-5"/>
        </w:rPr>
        <w:t xml:space="preserve"> </w:t>
      </w:r>
      <w:r w:rsidRPr="00CA2CC1">
        <w:rPr>
          <w:rFonts w:cs="Calibri"/>
        </w:rPr>
        <w:t>Fees.</w:t>
      </w:r>
      <w:r w:rsidRPr="00CA2CC1">
        <w:rPr>
          <w:rFonts w:cs="Calibri"/>
          <w:spacing w:val="-5"/>
        </w:rPr>
        <w:t xml:space="preserve"> </w:t>
      </w:r>
      <w:r w:rsidRPr="00CA2CC1">
        <w:rPr>
          <w:rFonts w:cs="Calibri"/>
        </w:rPr>
        <w:t>Our</w:t>
      </w:r>
      <w:r w:rsidRPr="00CA2CC1">
        <w:rPr>
          <w:rFonts w:cs="Calibri"/>
          <w:spacing w:val="-5"/>
        </w:rPr>
        <w:t xml:space="preserve"> </w:t>
      </w:r>
      <w:r w:rsidRPr="00CA2CC1">
        <w:rPr>
          <w:rFonts w:cs="Calibri"/>
        </w:rPr>
        <w:t>submission</w:t>
      </w:r>
      <w:r w:rsidRPr="00CA2CC1">
        <w:rPr>
          <w:rFonts w:cs="Calibri"/>
          <w:spacing w:val="-5"/>
        </w:rPr>
        <w:t xml:space="preserve"> </w:t>
      </w:r>
      <w:r w:rsidRPr="00CA2CC1">
        <w:rPr>
          <w:rFonts w:cs="Calibri"/>
        </w:rPr>
        <w:t>drew</w:t>
      </w:r>
      <w:r w:rsidRPr="00CA2CC1">
        <w:rPr>
          <w:rFonts w:cs="Calibri"/>
          <w:spacing w:val="-5"/>
        </w:rPr>
        <w:t xml:space="preserve"> </w:t>
      </w:r>
      <w:r w:rsidRPr="00CA2CC1">
        <w:rPr>
          <w:rFonts w:cs="Calibri"/>
        </w:rPr>
        <w:t>on</w:t>
      </w:r>
      <w:r w:rsidRPr="00CA2CC1">
        <w:rPr>
          <w:rFonts w:cs="Calibri"/>
          <w:spacing w:val="-5"/>
        </w:rPr>
        <w:t xml:space="preserve"> </w:t>
      </w:r>
      <w:r w:rsidRPr="00CA2CC1">
        <w:rPr>
          <w:rFonts w:cs="Calibri"/>
        </w:rPr>
        <w:t>policy evidence and analysis through our research into home choices and affordability in Melbourne, Geelong and Ballarat,</w:t>
      </w:r>
      <w:r w:rsidRPr="00CA2CC1">
        <w:rPr>
          <w:rFonts w:cs="Calibri"/>
          <w:spacing w:val="-7"/>
        </w:rPr>
        <w:t xml:space="preserve"> </w:t>
      </w:r>
      <w:r w:rsidRPr="00CA2CC1">
        <w:rPr>
          <w:rFonts w:cs="Calibri"/>
        </w:rPr>
        <w:t>including</w:t>
      </w:r>
      <w:r w:rsidRPr="00CA2CC1">
        <w:rPr>
          <w:rFonts w:cs="Calibri"/>
          <w:spacing w:val="-7"/>
        </w:rPr>
        <w:t xml:space="preserve"> </w:t>
      </w:r>
      <w:r w:rsidRPr="00CA2CC1">
        <w:rPr>
          <w:rFonts w:cs="Calibri"/>
        </w:rPr>
        <w:t>the</w:t>
      </w:r>
      <w:r w:rsidRPr="00CA2CC1">
        <w:rPr>
          <w:rFonts w:cs="Calibri"/>
          <w:spacing w:val="-7"/>
        </w:rPr>
        <w:t xml:space="preserve"> </w:t>
      </w:r>
      <w:r w:rsidRPr="00CA2CC1">
        <w:rPr>
          <w:rFonts w:cs="Calibri"/>
        </w:rPr>
        <w:t>market</w:t>
      </w:r>
      <w:r w:rsidRPr="00CA2CC1">
        <w:rPr>
          <w:rFonts w:cs="Calibri"/>
          <w:spacing w:val="-7"/>
        </w:rPr>
        <w:t xml:space="preserve"> </w:t>
      </w:r>
      <w:r w:rsidRPr="00CA2CC1">
        <w:rPr>
          <w:rFonts w:cs="Calibri"/>
        </w:rPr>
        <w:t>distortions</w:t>
      </w:r>
      <w:r w:rsidRPr="00CA2CC1">
        <w:rPr>
          <w:rFonts w:cs="Calibri"/>
          <w:spacing w:val="-7"/>
        </w:rPr>
        <w:t xml:space="preserve"> </w:t>
      </w:r>
      <w:r w:rsidRPr="00CA2CC1">
        <w:rPr>
          <w:rFonts w:cs="Calibri"/>
        </w:rPr>
        <w:t>created</w:t>
      </w:r>
      <w:r w:rsidRPr="00CA2CC1">
        <w:rPr>
          <w:rFonts w:cs="Calibri"/>
          <w:spacing w:val="-7"/>
        </w:rPr>
        <w:t xml:space="preserve"> </w:t>
      </w:r>
      <w:r w:rsidRPr="00CA2CC1">
        <w:rPr>
          <w:rFonts w:cs="Calibri"/>
        </w:rPr>
        <w:t>by</w:t>
      </w:r>
      <w:r w:rsidRPr="00CA2CC1">
        <w:rPr>
          <w:rFonts w:cs="Calibri"/>
          <w:spacing w:val="-7"/>
        </w:rPr>
        <w:t xml:space="preserve"> </w:t>
      </w:r>
      <w:r w:rsidRPr="00CA2CC1">
        <w:rPr>
          <w:rFonts w:cs="Calibri"/>
        </w:rPr>
        <w:t>state land transfer duty fees and concessions. These fees are known as ‘stamp duties’ in Victoria. We published our policy</w:t>
      </w:r>
      <w:r w:rsidRPr="00CA2CC1">
        <w:rPr>
          <w:rFonts w:cs="Calibri"/>
          <w:spacing w:val="-1"/>
        </w:rPr>
        <w:t xml:space="preserve"> </w:t>
      </w:r>
      <w:r w:rsidRPr="00CA2CC1">
        <w:rPr>
          <w:rFonts w:cs="Calibri"/>
        </w:rPr>
        <w:t>research</w:t>
      </w:r>
      <w:r w:rsidRPr="00CA2CC1">
        <w:rPr>
          <w:rFonts w:cs="Calibri"/>
          <w:spacing w:val="-1"/>
        </w:rPr>
        <w:t xml:space="preserve"> </w:t>
      </w:r>
      <w:r w:rsidRPr="00CA2CC1">
        <w:rPr>
          <w:rFonts w:cs="Calibri"/>
        </w:rPr>
        <w:t>in</w:t>
      </w:r>
      <w:r w:rsidRPr="00CA2CC1">
        <w:rPr>
          <w:rFonts w:cs="Calibri"/>
          <w:spacing w:val="-1"/>
        </w:rPr>
        <w:t xml:space="preserve"> </w:t>
      </w:r>
      <w:r w:rsidRPr="00CA2CC1">
        <w:rPr>
          <w:rFonts w:cs="Calibri"/>
          <w:i/>
        </w:rPr>
        <w:t>Our</w:t>
      </w:r>
      <w:r w:rsidRPr="00CA2CC1">
        <w:rPr>
          <w:rFonts w:cs="Calibri"/>
          <w:i/>
          <w:spacing w:val="-1"/>
        </w:rPr>
        <w:t xml:space="preserve"> </w:t>
      </w:r>
      <w:r w:rsidRPr="00CA2CC1">
        <w:rPr>
          <w:rFonts w:cs="Calibri"/>
          <w:i/>
        </w:rPr>
        <w:t>home</w:t>
      </w:r>
      <w:r w:rsidRPr="00CA2CC1">
        <w:rPr>
          <w:rFonts w:cs="Calibri"/>
          <w:i/>
          <w:spacing w:val="-1"/>
        </w:rPr>
        <w:t xml:space="preserve"> </w:t>
      </w:r>
      <w:r w:rsidRPr="00CA2CC1">
        <w:rPr>
          <w:rFonts w:cs="Calibri"/>
          <w:i/>
        </w:rPr>
        <w:t>choices:</w:t>
      </w:r>
      <w:r w:rsidRPr="00CA2CC1">
        <w:rPr>
          <w:rFonts w:cs="Calibri"/>
          <w:i/>
          <w:spacing w:val="-1"/>
        </w:rPr>
        <w:t xml:space="preserve"> </w:t>
      </w:r>
      <w:r w:rsidRPr="00CA2CC1">
        <w:rPr>
          <w:rFonts w:cs="Calibri"/>
          <w:i/>
        </w:rPr>
        <w:t>how</w:t>
      </w:r>
      <w:r w:rsidRPr="00CA2CC1">
        <w:rPr>
          <w:rFonts w:cs="Calibri"/>
          <w:i/>
          <w:spacing w:val="-1"/>
        </w:rPr>
        <w:t xml:space="preserve"> </w:t>
      </w:r>
      <w:r w:rsidRPr="00CA2CC1">
        <w:rPr>
          <w:rFonts w:cs="Calibri"/>
          <w:i/>
        </w:rPr>
        <w:t>more</w:t>
      </w:r>
      <w:r w:rsidRPr="00CA2CC1">
        <w:rPr>
          <w:rFonts w:cs="Calibri"/>
          <w:i/>
          <w:spacing w:val="-1"/>
        </w:rPr>
        <w:t xml:space="preserve"> </w:t>
      </w:r>
      <w:r w:rsidRPr="00CA2CC1">
        <w:rPr>
          <w:rFonts w:cs="Calibri"/>
          <w:i/>
        </w:rPr>
        <w:t xml:space="preserve">housing options can make better use of Victoria’s existing infrastructure </w:t>
      </w:r>
      <w:r w:rsidRPr="00CA2CC1">
        <w:rPr>
          <w:rFonts w:cs="Calibri"/>
        </w:rPr>
        <w:t xml:space="preserve">and </w:t>
      </w:r>
      <w:r w:rsidRPr="00CA2CC1">
        <w:rPr>
          <w:rFonts w:cs="Calibri"/>
          <w:i/>
        </w:rPr>
        <w:t>Our home choices: policy evidence</w:t>
      </w:r>
      <w:r w:rsidRPr="00CA2CC1">
        <w:rPr>
          <w:rFonts w:cs="Calibri"/>
        </w:rPr>
        <w:t>.</w:t>
      </w:r>
    </w:p>
    <w:p w14:paraId="689B5230" w14:textId="77777777" w:rsidR="00FA4226" w:rsidRPr="00CA2CC1" w:rsidRDefault="00000000" w:rsidP="0043303B">
      <w:pPr>
        <w:pStyle w:val="BodyText"/>
        <w:numPr>
          <w:ilvl w:val="0"/>
          <w:numId w:val="38"/>
        </w:numPr>
        <w:rPr>
          <w:rFonts w:cs="Calibri"/>
        </w:rPr>
      </w:pPr>
      <w:r w:rsidRPr="00CA2CC1">
        <w:rPr>
          <w:rFonts w:cs="Calibri"/>
        </w:rPr>
        <w:t>We</w:t>
      </w:r>
      <w:r w:rsidRPr="00CA2CC1">
        <w:rPr>
          <w:rFonts w:cs="Calibri"/>
          <w:spacing w:val="-7"/>
        </w:rPr>
        <w:t xml:space="preserve"> </w:t>
      </w:r>
      <w:r w:rsidRPr="00CA2CC1">
        <w:rPr>
          <w:rFonts w:cs="Calibri"/>
        </w:rPr>
        <w:t>provided</w:t>
      </w:r>
      <w:r w:rsidRPr="00CA2CC1">
        <w:rPr>
          <w:rFonts w:cs="Calibri"/>
          <w:spacing w:val="-7"/>
        </w:rPr>
        <w:t xml:space="preserve"> </w:t>
      </w:r>
      <w:r w:rsidRPr="00CA2CC1">
        <w:rPr>
          <w:rFonts w:cs="Calibri"/>
        </w:rPr>
        <w:t>a</w:t>
      </w:r>
      <w:r w:rsidRPr="00CA2CC1">
        <w:rPr>
          <w:rFonts w:cs="Calibri"/>
          <w:spacing w:val="-7"/>
        </w:rPr>
        <w:t xml:space="preserve"> </w:t>
      </w:r>
      <w:r w:rsidRPr="00CA2CC1">
        <w:rPr>
          <w:rFonts w:cs="Calibri"/>
        </w:rPr>
        <w:t>submission</w:t>
      </w:r>
      <w:r w:rsidRPr="00CA2CC1">
        <w:rPr>
          <w:rFonts w:cs="Calibri"/>
          <w:spacing w:val="-7"/>
        </w:rPr>
        <w:t xml:space="preserve"> </w:t>
      </w:r>
      <w:r w:rsidRPr="00CA2CC1">
        <w:rPr>
          <w:rFonts w:cs="Calibri"/>
        </w:rPr>
        <w:t>to</w:t>
      </w:r>
      <w:r w:rsidRPr="00CA2CC1">
        <w:rPr>
          <w:rFonts w:cs="Calibri"/>
          <w:spacing w:val="-7"/>
        </w:rPr>
        <w:t xml:space="preserve"> </w:t>
      </w:r>
      <w:r w:rsidRPr="00CA2CC1">
        <w:rPr>
          <w:rFonts w:cs="Calibri"/>
        </w:rPr>
        <w:t>the</w:t>
      </w:r>
      <w:r w:rsidRPr="00CA2CC1">
        <w:rPr>
          <w:rFonts w:cs="Calibri"/>
          <w:spacing w:val="-7"/>
        </w:rPr>
        <w:t xml:space="preserve"> </w:t>
      </w:r>
      <w:r w:rsidRPr="00CA2CC1">
        <w:rPr>
          <w:rFonts w:cs="Calibri"/>
          <w:i/>
        </w:rPr>
        <w:t>National</w:t>
      </w:r>
      <w:r w:rsidRPr="00CA2CC1">
        <w:rPr>
          <w:rFonts w:cs="Calibri"/>
          <w:i/>
          <w:spacing w:val="-7"/>
        </w:rPr>
        <w:t xml:space="preserve"> </w:t>
      </w:r>
      <w:r w:rsidRPr="00CA2CC1">
        <w:rPr>
          <w:rFonts w:cs="Calibri"/>
          <w:i/>
        </w:rPr>
        <w:t>electric</w:t>
      </w:r>
      <w:r w:rsidRPr="00CA2CC1">
        <w:rPr>
          <w:rFonts w:cs="Calibri"/>
          <w:i/>
          <w:spacing w:val="-7"/>
        </w:rPr>
        <w:t xml:space="preserve"> </w:t>
      </w:r>
      <w:r w:rsidRPr="00CA2CC1">
        <w:rPr>
          <w:rFonts w:cs="Calibri"/>
          <w:i/>
        </w:rPr>
        <w:t xml:space="preserve">vehicle strategy consultation paper </w:t>
      </w:r>
      <w:r w:rsidRPr="00CA2CC1">
        <w:rPr>
          <w:rFonts w:cs="Calibri"/>
        </w:rPr>
        <w:t xml:space="preserve">which drew on our </w:t>
      </w:r>
      <w:r w:rsidRPr="00CA2CC1">
        <w:rPr>
          <w:rFonts w:cs="Calibri"/>
          <w:i/>
        </w:rPr>
        <w:t>Advice</w:t>
      </w:r>
      <w:r w:rsidRPr="00CA2CC1">
        <w:rPr>
          <w:rFonts w:cs="Calibri"/>
          <w:i/>
          <w:spacing w:val="40"/>
        </w:rPr>
        <w:t xml:space="preserve"> </w:t>
      </w:r>
      <w:r w:rsidRPr="00CA2CC1">
        <w:rPr>
          <w:rFonts w:cs="Calibri"/>
          <w:i/>
        </w:rPr>
        <w:t xml:space="preserve">on automated and zero emissions vehicles infrastructure </w:t>
      </w:r>
      <w:r w:rsidRPr="00CA2CC1">
        <w:rPr>
          <w:rFonts w:cs="Calibri"/>
        </w:rPr>
        <w:t xml:space="preserve">and our policy research, </w:t>
      </w:r>
      <w:r w:rsidRPr="00CA2CC1">
        <w:rPr>
          <w:rFonts w:cs="Calibri"/>
          <w:i/>
        </w:rPr>
        <w:t xml:space="preserve">Driving down emissions: accelerating Victoria’s zero emission vehicle uptake. </w:t>
      </w:r>
      <w:r w:rsidRPr="00CA2CC1">
        <w:rPr>
          <w:rFonts w:cs="Calibri"/>
        </w:rPr>
        <w:t>Our research on this issue included findings from Victoria’s largest community deliberative engagement, published</w:t>
      </w:r>
      <w:r w:rsidRPr="00CA2CC1">
        <w:rPr>
          <w:rFonts w:cs="Calibri"/>
          <w:spacing w:val="40"/>
        </w:rPr>
        <w:t xml:space="preserve"> </w:t>
      </w:r>
      <w:r w:rsidRPr="00CA2CC1">
        <w:rPr>
          <w:rFonts w:cs="Calibri"/>
        </w:rPr>
        <w:t xml:space="preserve">in </w:t>
      </w:r>
      <w:r w:rsidRPr="00CA2CC1">
        <w:rPr>
          <w:rFonts w:cs="Calibri"/>
          <w:i/>
        </w:rPr>
        <w:t>Tackling transport emissions to encourage uptake of low or zero emissions vehicles sooner</w:t>
      </w:r>
      <w:r w:rsidRPr="00CA2CC1">
        <w:rPr>
          <w:rFonts w:cs="Calibri"/>
        </w:rPr>
        <w:t>.</w:t>
      </w:r>
    </w:p>
    <w:p w14:paraId="1BC08CB9" w14:textId="77777777" w:rsidR="00756ECD" w:rsidRPr="00CA2CC1" w:rsidRDefault="00000000" w:rsidP="0043303B">
      <w:pPr>
        <w:pStyle w:val="BodyText"/>
        <w:numPr>
          <w:ilvl w:val="0"/>
          <w:numId w:val="38"/>
        </w:numPr>
        <w:rPr>
          <w:rFonts w:cs="Calibri"/>
        </w:rPr>
      </w:pPr>
      <w:r w:rsidRPr="00CA2CC1">
        <w:rPr>
          <w:rFonts w:cs="Calibri"/>
        </w:rPr>
        <w:t>We provided a submission to the independent review of</w:t>
      </w:r>
      <w:r w:rsidRPr="00CA2CC1">
        <w:rPr>
          <w:rFonts w:cs="Calibri"/>
          <w:spacing w:val="-7"/>
        </w:rPr>
        <w:t xml:space="preserve"> </w:t>
      </w:r>
      <w:r w:rsidRPr="00CA2CC1">
        <w:rPr>
          <w:rFonts w:cs="Calibri"/>
        </w:rPr>
        <w:t>Infrastructure</w:t>
      </w:r>
      <w:r w:rsidRPr="00CA2CC1">
        <w:rPr>
          <w:rFonts w:cs="Calibri"/>
          <w:spacing w:val="-7"/>
        </w:rPr>
        <w:t xml:space="preserve"> </w:t>
      </w:r>
      <w:r w:rsidRPr="00CA2CC1">
        <w:rPr>
          <w:rFonts w:cs="Calibri"/>
        </w:rPr>
        <w:t>Australia</w:t>
      </w:r>
      <w:r w:rsidRPr="00CA2CC1">
        <w:rPr>
          <w:rFonts w:cs="Calibri"/>
          <w:spacing w:val="-7"/>
        </w:rPr>
        <w:t xml:space="preserve"> </w:t>
      </w:r>
      <w:r w:rsidRPr="00CA2CC1">
        <w:rPr>
          <w:rFonts w:cs="Calibri"/>
        </w:rPr>
        <w:t>which</w:t>
      </w:r>
      <w:r w:rsidRPr="00CA2CC1">
        <w:rPr>
          <w:rFonts w:cs="Calibri"/>
          <w:spacing w:val="-7"/>
        </w:rPr>
        <w:t xml:space="preserve"> </w:t>
      </w:r>
      <w:r w:rsidRPr="00CA2CC1">
        <w:rPr>
          <w:rFonts w:cs="Calibri"/>
        </w:rPr>
        <w:t>highlighted</w:t>
      </w:r>
      <w:r w:rsidRPr="00CA2CC1">
        <w:rPr>
          <w:rFonts w:cs="Calibri"/>
          <w:spacing w:val="-7"/>
        </w:rPr>
        <w:t xml:space="preserve"> </w:t>
      </w:r>
      <w:r w:rsidRPr="00CA2CC1">
        <w:rPr>
          <w:rFonts w:cs="Calibri"/>
        </w:rPr>
        <w:t>our</w:t>
      </w:r>
      <w:r w:rsidRPr="00CA2CC1">
        <w:rPr>
          <w:rFonts w:cs="Calibri"/>
          <w:spacing w:val="-7"/>
        </w:rPr>
        <w:t xml:space="preserve"> </w:t>
      </w:r>
      <w:r w:rsidRPr="00CA2CC1">
        <w:rPr>
          <w:rFonts w:cs="Calibri"/>
        </w:rPr>
        <w:t>unique structure among Australian infrastructure bodies,</w:t>
      </w:r>
      <w:r w:rsidR="00756ECD" w:rsidRPr="00CA2CC1">
        <w:rPr>
          <w:rFonts w:cs="Calibri"/>
        </w:rPr>
        <w:t xml:space="preserve"> </w:t>
      </w:r>
      <w:r w:rsidRPr="00CA2CC1">
        <w:rPr>
          <w:rFonts w:cs="Calibri"/>
          <w:color w:val="414042"/>
        </w:rPr>
        <w:t>and</w:t>
      </w:r>
      <w:r w:rsidRPr="00CA2CC1">
        <w:rPr>
          <w:rFonts w:cs="Calibri"/>
          <w:color w:val="414042"/>
          <w:spacing w:val="-7"/>
        </w:rPr>
        <w:t xml:space="preserve"> </w:t>
      </w:r>
      <w:r w:rsidRPr="00CA2CC1">
        <w:rPr>
          <w:rFonts w:cs="Calibri"/>
          <w:color w:val="414042"/>
        </w:rPr>
        <w:t>the</w:t>
      </w:r>
      <w:r w:rsidRPr="00CA2CC1">
        <w:rPr>
          <w:rFonts w:cs="Calibri"/>
          <w:color w:val="414042"/>
          <w:spacing w:val="-7"/>
        </w:rPr>
        <w:t xml:space="preserve"> </w:t>
      </w:r>
      <w:r w:rsidRPr="00CA2CC1">
        <w:rPr>
          <w:rFonts w:cs="Calibri"/>
          <w:color w:val="414042"/>
        </w:rPr>
        <w:t>importance</w:t>
      </w:r>
      <w:r w:rsidRPr="00CA2CC1">
        <w:rPr>
          <w:rFonts w:cs="Calibri"/>
          <w:color w:val="414042"/>
          <w:spacing w:val="-7"/>
        </w:rPr>
        <w:t xml:space="preserve"> </w:t>
      </w:r>
      <w:r w:rsidRPr="00CA2CC1">
        <w:rPr>
          <w:rFonts w:cs="Calibri"/>
          <w:color w:val="414042"/>
        </w:rPr>
        <w:t>of</w:t>
      </w:r>
      <w:r w:rsidRPr="00CA2CC1">
        <w:rPr>
          <w:rFonts w:cs="Calibri"/>
          <w:color w:val="414042"/>
          <w:spacing w:val="-7"/>
        </w:rPr>
        <w:t xml:space="preserve"> </w:t>
      </w:r>
      <w:r w:rsidRPr="00CA2CC1">
        <w:rPr>
          <w:rFonts w:cs="Calibri"/>
          <w:color w:val="414042"/>
        </w:rPr>
        <w:t>independence</w:t>
      </w:r>
      <w:r w:rsidRPr="00CA2CC1">
        <w:rPr>
          <w:rFonts w:cs="Calibri"/>
          <w:color w:val="414042"/>
          <w:spacing w:val="-7"/>
        </w:rPr>
        <w:t xml:space="preserve"> </w:t>
      </w:r>
      <w:r w:rsidRPr="00CA2CC1">
        <w:rPr>
          <w:rFonts w:cs="Calibri"/>
          <w:color w:val="414042"/>
        </w:rPr>
        <w:t>in</w:t>
      </w:r>
      <w:r w:rsidRPr="00CA2CC1">
        <w:rPr>
          <w:rFonts w:cs="Calibri"/>
          <w:color w:val="414042"/>
          <w:spacing w:val="-7"/>
        </w:rPr>
        <w:t xml:space="preserve"> </w:t>
      </w:r>
      <w:r w:rsidRPr="00CA2CC1">
        <w:rPr>
          <w:rFonts w:cs="Calibri"/>
          <w:color w:val="414042"/>
        </w:rPr>
        <w:t>infrastructure planning and policy development. We drew on a 2021 review of strategic planning governance by the</w:t>
      </w:r>
      <w:r w:rsidR="00B92CA4" w:rsidRPr="00CA2CC1">
        <w:rPr>
          <w:rFonts w:cs="Calibri"/>
        </w:rPr>
        <w:t xml:space="preserve"> </w:t>
      </w:r>
      <w:r w:rsidRPr="00CA2CC1">
        <w:rPr>
          <w:rFonts w:cs="Calibri"/>
          <w:color w:val="414042"/>
        </w:rPr>
        <w:t>International</w:t>
      </w:r>
      <w:r w:rsidRPr="00CA2CC1">
        <w:rPr>
          <w:rFonts w:cs="Calibri"/>
          <w:color w:val="414042"/>
          <w:spacing w:val="-10"/>
        </w:rPr>
        <w:t xml:space="preserve"> </w:t>
      </w:r>
      <w:r w:rsidRPr="00CA2CC1">
        <w:rPr>
          <w:rFonts w:cs="Calibri"/>
          <w:color w:val="414042"/>
        </w:rPr>
        <w:t>Transport</w:t>
      </w:r>
      <w:r w:rsidRPr="00CA2CC1">
        <w:rPr>
          <w:rFonts w:cs="Calibri"/>
          <w:color w:val="414042"/>
          <w:spacing w:val="-10"/>
        </w:rPr>
        <w:t xml:space="preserve"> </w:t>
      </w:r>
      <w:r w:rsidRPr="00CA2CC1">
        <w:rPr>
          <w:rFonts w:cs="Calibri"/>
          <w:color w:val="414042"/>
        </w:rPr>
        <w:t>Forum</w:t>
      </w:r>
      <w:r w:rsidRPr="00CA2CC1">
        <w:rPr>
          <w:rFonts w:cs="Calibri"/>
          <w:color w:val="414042"/>
          <w:spacing w:val="-10"/>
        </w:rPr>
        <w:t xml:space="preserve"> </w:t>
      </w:r>
      <w:r w:rsidRPr="00CA2CC1">
        <w:rPr>
          <w:rFonts w:cs="Calibri"/>
          <w:color w:val="414042"/>
        </w:rPr>
        <w:t>which</w:t>
      </w:r>
      <w:r w:rsidRPr="00CA2CC1">
        <w:rPr>
          <w:rFonts w:cs="Calibri"/>
          <w:color w:val="414042"/>
          <w:spacing w:val="-10"/>
        </w:rPr>
        <w:t xml:space="preserve"> </w:t>
      </w:r>
      <w:r w:rsidRPr="00CA2CC1">
        <w:rPr>
          <w:rFonts w:cs="Calibri"/>
          <w:color w:val="414042"/>
        </w:rPr>
        <w:t>found</w:t>
      </w:r>
      <w:r w:rsidRPr="00CA2CC1">
        <w:rPr>
          <w:rFonts w:cs="Calibri"/>
          <w:color w:val="414042"/>
          <w:spacing w:val="-10"/>
        </w:rPr>
        <w:t xml:space="preserve"> </w:t>
      </w:r>
      <w:r w:rsidRPr="00CA2CC1">
        <w:rPr>
          <w:rFonts w:cs="Calibri"/>
          <w:color w:val="414042"/>
        </w:rPr>
        <w:t>independent advisory bodies, like Infrastructure Victoria, play a valuable role in enabling difficult issues, lend credence to policy and advocacy reform and ‘provide genuine thought leadership’ on issues, including those that are challenging and unpopular.</w:t>
      </w:r>
    </w:p>
    <w:p w14:paraId="0B202D03" w14:textId="42A3AA14" w:rsidR="00FA4226" w:rsidRPr="00CA2CC1" w:rsidRDefault="00000000" w:rsidP="0043303B">
      <w:pPr>
        <w:pStyle w:val="BodyText"/>
        <w:rPr>
          <w:rFonts w:cs="Calibri"/>
        </w:rPr>
      </w:pPr>
      <w:r w:rsidRPr="00CA2CC1">
        <w:rPr>
          <w:rFonts w:cs="Calibri"/>
          <w:color w:val="414042"/>
        </w:rPr>
        <w:t>Infrastructure Victoria prides itself on research backed by</w:t>
      </w:r>
      <w:r w:rsidRPr="00CA2CC1">
        <w:rPr>
          <w:rFonts w:cs="Calibri"/>
          <w:color w:val="414042"/>
          <w:spacing w:val="-5"/>
        </w:rPr>
        <w:t xml:space="preserve"> </w:t>
      </w:r>
      <w:r w:rsidRPr="00CA2CC1">
        <w:rPr>
          <w:rFonts w:cs="Calibri"/>
          <w:color w:val="414042"/>
        </w:rPr>
        <w:t>evidence,</w:t>
      </w:r>
      <w:r w:rsidRPr="00CA2CC1">
        <w:rPr>
          <w:rFonts w:cs="Calibri"/>
          <w:color w:val="414042"/>
          <w:spacing w:val="-5"/>
        </w:rPr>
        <w:t xml:space="preserve"> </w:t>
      </w:r>
      <w:r w:rsidRPr="00CA2CC1">
        <w:rPr>
          <w:rFonts w:cs="Calibri"/>
          <w:color w:val="414042"/>
        </w:rPr>
        <w:t>engagement</w:t>
      </w:r>
      <w:r w:rsidRPr="00CA2CC1">
        <w:rPr>
          <w:rFonts w:cs="Calibri"/>
          <w:color w:val="414042"/>
          <w:spacing w:val="-5"/>
        </w:rPr>
        <w:t xml:space="preserve"> </w:t>
      </w:r>
      <w:r w:rsidRPr="00CA2CC1">
        <w:rPr>
          <w:rFonts w:cs="Calibri"/>
          <w:color w:val="414042"/>
        </w:rPr>
        <w:t>and</w:t>
      </w:r>
      <w:r w:rsidRPr="00CA2CC1">
        <w:rPr>
          <w:rFonts w:cs="Calibri"/>
          <w:color w:val="414042"/>
          <w:spacing w:val="-5"/>
        </w:rPr>
        <w:t xml:space="preserve"> </w:t>
      </w:r>
      <w:r w:rsidRPr="00CA2CC1">
        <w:rPr>
          <w:rFonts w:cs="Calibri"/>
          <w:color w:val="414042"/>
        </w:rPr>
        <w:t>consultation</w:t>
      </w:r>
      <w:r w:rsidRPr="00CA2CC1">
        <w:rPr>
          <w:rFonts w:cs="Calibri"/>
          <w:color w:val="414042"/>
          <w:spacing w:val="-5"/>
        </w:rPr>
        <w:t xml:space="preserve"> </w:t>
      </w:r>
      <w:r w:rsidRPr="00CA2CC1">
        <w:rPr>
          <w:rFonts w:cs="Calibri"/>
          <w:color w:val="414042"/>
        </w:rPr>
        <w:t>that</w:t>
      </w:r>
      <w:r w:rsidRPr="00CA2CC1">
        <w:rPr>
          <w:rFonts w:cs="Calibri"/>
          <w:color w:val="414042"/>
          <w:spacing w:val="-5"/>
        </w:rPr>
        <w:t xml:space="preserve"> </w:t>
      </w:r>
      <w:r w:rsidRPr="00CA2CC1">
        <w:rPr>
          <w:rFonts w:cs="Calibri"/>
          <w:color w:val="414042"/>
        </w:rPr>
        <w:t>can</w:t>
      </w:r>
      <w:r w:rsidRPr="00CA2CC1">
        <w:rPr>
          <w:rFonts w:cs="Calibri"/>
          <w:color w:val="414042"/>
          <w:spacing w:val="-5"/>
        </w:rPr>
        <w:t xml:space="preserve"> </w:t>
      </w:r>
      <w:r w:rsidRPr="00CA2CC1">
        <w:rPr>
          <w:rFonts w:cs="Calibri"/>
          <w:color w:val="414042"/>
        </w:rPr>
        <w:t>be</w:t>
      </w:r>
      <w:r w:rsidR="00181064" w:rsidRPr="00CA2CC1">
        <w:rPr>
          <w:rFonts w:cs="Calibri"/>
        </w:rPr>
        <w:t xml:space="preserve"> </w:t>
      </w:r>
      <w:r w:rsidRPr="00CA2CC1">
        <w:rPr>
          <w:rFonts w:cs="Calibri"/>
          <w:color w:val="414042"/>
        </w:rPr>
        <w:t>used</w:t>
      </w:r>
      <w:r w:rsidRPr="00CA2CC1">
        <w:rPr>
          <w:rFonts w:cs="Calibri"/>
          <w:color w:val="414042"/>
          <w:spacing w:val="-6"/>
        </w:rPr>
        <w:t xml:space="preserve"> </w:t>
      </w:r>
      <w:r w:rsidRPr="00CA2CC1">
        <w:rPr>
          <w:rFonts w:cs="Calibri"/>
          <w:color w:val="414042"/>
        </w:rPr>
        <w:t>by</w:t>
      </w:r>
      <w:r w:rsidRPr="00CA2CC1">
        <w:rPr>
          <w:rFonts w:cs="Calibri"/>
          <w:color w:val="414042"/>
          <w:spacing w:val="-6"/>
        </w:rPr>
        <w:t xml:space="preserve"> </w:t>
      </w:r>
      <w:r w:rsidRPr="00CA2CC1">
        <w:rPr>
          <w:rFonts w:cs="Calibri"/>
          <w:color w:val="414042"/>
        </w:rPr>
        <w:t>stakeholders</w:t>
      </w:r>
      <w:r w:rsidRPr="00CA2CC1">
        <w:rPr>
          <w:rFonts w:cs="Calibri"/>
          <w:color w:val="414042"/>
          <w:spacing w:val="-6"/>
        </w:rPr>
        <w:t xml:space="preserve"> </w:t>
      </w:r>
      <w:r w:rsidRPr="00CA2CC1">
        <w:rPr>
          <w:rFonts w:cs="Calibri"/>
          <w:color w:val="414042"/>
        </w:rPr>
        <w:t>across</w:t>
      </w:r>
      <w:r w:rsidRPr="00CA2CC1">
        <w:rPr>
          <w:rFonts w:cs="Calibri"/>
          <w:color w:val="414042"/>
          <w:spacing w:val="-6"/>
        </w:rPr>
        <w:t xml:space="preserve"> </w:t>
      </w:r>
      <w:r w:rsidRPr="00CA2CC1">
        <w:rPr>
          <w:rFonts w:cs="Calibri"/>
          <w:color w:val="414042"/>
        </w:rPr>
        <w:t>every</w:t>
      </w:r>
      <w:r w:rsidRPr="00CA2CC1">
        <w:rPr>
          <w:rFonts w:cs="Calibri"/>
          <w:color w:val="414042"/>
          <w:spacing w:val="-6"/>
        </w:rPr>
        <w:t xml:space="preserve"> </w:t>
      </w:r>
      <w:r w:rsidRPr="00CA2CC1">
        <w:rPr>
          <w:rFonts w:cs="Calibri"/>
          <w:color w:val="414042"/>
        </w:rPr>
        <w:t>infrastructure</w:t>
      </w:r>
      <w:r w:rsidRPr="00CA2CC1">
        <w:rPr>
          <w:rFonts w:cs="Calibri"/>
          <w:color w:val="414042"/>
          <w:spacing w:val="-6"/>
        </w:rPr>
        <w:t xml:space="preserve"> </w:t>
      </w:r>
      <w:r w:rsidRPr="00CA2CC1">
        <w:rPr>
          <w:rFonts w:cs="Calibri"/>
          <w:color w:val="414042"/>
        </w:rPr>
        <w:t>sector</w:t>
      </w:r>
      <w:r w:rsidRPr="00CA2CC1">
        <w:rPr>
          <w:rFonts w:cs="Calibri"/>
          <w:color w:val="414042"/>
          <w:spacing w:val="-6"/>
        </w:rPr>
        <w:t xml:space="preserve"> </w:t>
      </w:r>
      <w:r w:rsidRPr="00CA2CC1">
        <w:rPr>
          <w:rFonts w:cs="Calibri"/>
          <w:color w:val="414042"/>
        </w:rPr>
        <w:t>to challenge, support and progress their own work. Notable citations and references during the year included:</w:t>
      </w:r>
    </w:p>
    <w:p w14:paraId="6C6B9358" w14:textId="77777777" w:rsidR="00FA4226" w:rsidRPr="00CA2CC1" w:rsidRDefault="00000000" w:rsidP="0043303B">
      <w:pPr>
        <w:pStyle w:val="BodyText"/>
        <w:numPr>
          <w:ilvl w:val="0"/>
          <w:numId w:val="39"/>
        </w:numPr>
        <w:ind w:left="284"/>
        <w:rPr>
          <w:rFonts w:cs="Calibri"/>
        </w:rPr>
      </w:pPr>
      <w:r w:rsidRPr="00CA2CC1">
        <w:rPr>
          <w:rFonts w:cs="Calibri"/>
        </w:rPr>
        <w:t xml:space="preserve">The Australian Productivity Commission’s 5-year productivity inquiry reports cited our research, </w:t>
      </w:r>
      <w:r w:rsidRPr="00CA2CC1">
        <w:rPr>
          <w:rFonts w:cs="Calibri"/>
          <w:i/>
        </w:rPr>
        <w:t>Fair move:</w:t>
      </w:r>
      <w:r w:rsidRPr="00CA2CC1">
        <w:rPr>
          <w:rFonts w:cs="Calibri"/>
          <w:i/>
          <w:spacing w:val="-5"/>
        </w:rPr>
        <w:t xml:space="preserve"> </w:t>
      </w:r>
      <w:r w:rsidRPr="00CA2CC1">
        <w:rPr>
          <w:rFonts w:cs="Calibri"/>
          <w:i/>
        </w:rPr>
        <w:t>better</w:t>
      </w:r>
      <w:r w:rsidRPr="00CA2CC1">
        <w:rPr>
          <w:rFonts w:cs="Calibri"/>
          <w:i/>
          <w:spacing w:val="-5"/>
        </w:rPr>
        <w:t xml:space="preserve"> </w:t>
      </w:r>
      <w:r w:rsidRPr="00CA2CC1">
        <w:rPr>
          <w:rFonts w:cs="Calibri"/>
          <w:i/>
        </w:rPr>
        <w:t>public</w:t>
      </w:r>
      <w:r w:rsidRPr="00CA2CC1">
        <w:rPr>
          <w:rFonts w:cs="Calibri"/>
          <w:i/>
          <w:spacing w:val="-5"/>
        </w:rPr>
        <w:t xml:space="preserve"> </w:t>
      </w:r>
      <w:r w:rsidRPr="00CA2CC1">
        <w:rPr>
          <w:rFonts w:cs="Calibri"/>
          <w:i/>
        </w:rPr>
        <w:t>transport</w:t>
      </w:r>
      <w:r w:rsidRPr="00CA2CC1">
        <w:rPr>
          <w:rFonts w:cs="Calibri"/>
          <w:i/>
          <w:spacing w:val="-5"/>
        </w:rPr>
        <w:t xml:space="preserve"> </w:t>
      </w:r>
      <w:r w:rsidRPr="00CA2CC1">
        <w:rPr>
          <w:rFonts w:cs="Calibri"/>
          <w:i/>
        </w:rPr>
        <w:t>fares</w:t>
      </w:r>
      <w:r w:rsidRPr="00CA2CC1">
        <w:rPr>
          <w:rFonts w:cs="Calibri"/>
          <w:i/>
          <w:spacing w:val="-5"/>
        </w:rPr>
        <w:t xml:space="preserve"> </w:t>
      </w:r>
      <w:r w:rsidRPr="00CA2CC1">
        <w:rPr>
          <w:rFonts w:cs="Calibri"/>
          <w:i/>
        </w:rPr>
        <w:t>for</w:t>
      </w:r>
      <w:r w:rsidRPr="00CA2CC1">
        <w:rPr>
          <w:rFonts w:cs="Calibri"/>
          <w:i/>
          <w:spacing w:val="-5"/>
        </w:rPr>
        <w:t xml:space="preserve"> </w:t>
      </w:r>
      <w:r w:rsidRPr="00CA2CC1">
        <w:rPr>
          <w:rFonts w:cs="Calibri"/>
          <w:i/>
        </w:rPr>
        <w:t>Melbourne,</w:t>
      </w:r>
      <w:r w:rsidRPr="00CA2CC1">
        <w:rPr>
          <w:rFonts w:cs="Calibri"/>
          <w:i/>
          <w:spacing w:val="-6"/>
        </w:rPr>
        <w:t xml:space="preserve"> </w:t>
      </w:r>
      <w:r w:rsidRPr="00CA2CC1">
        <w:rPr>
          <w:rFonts w:cs="Calibri"/>
        </w:rPr>
        <w:t xml:space="preserve">and endorsed our recommendations on public transport pricing reform. Three inquiry reports reference our research, </w:t>
      </w:r>
      <w:r w:rsidRPr="00CA2CC1">
        <w:rPr>
          <w:rFonts w:cs="Calibri"/>
          <w:i/>
        </w:rPr>
        <w:t xml:space="preserve">5-year productivity inquiry: advancing prosperity </w:t>
      </w:r>
      <w:r w:rsidRPr="00CA2CC1">
        <w:rPr>
          <w:rFonts w:cs="Calibri"/>
        </w:rPr>
        <w:t xml:space="preserve">(volume 1), </w:t>
      </w:r>
      <w:r w:rsidRPr="00CA2CC1">
        <w:rPr>
          <w:rFonts w:cs="Calibri"/>
          <w:i/>
        </w:rPr>
        <w:t xml:space="preserve">5-year productivity inquiry: a competitive, dynamic and sustainable future </w:t>
      </w:r>
      <w:r w:rsidRPr="00CA2CC1">
        <w:rPr>
          <w:rFonts w:cs="Calibri"/>
        </w:rPr>
        <w:t xml:space="preserve">(volume 3) and </w:t>
      </w:r>
      <w:r w:rsidRPr="00CA2CC1">
        <w:rPr>
          <w:rFonts w:cs="Calibri"/>
          <w:i/>
        </w:rPr>
        <w:t xml:space="preserve">5-year productivity inquiry: innovation for the 98% </w:t>
      </w:r>
      <w:r w:rsidRPr="00CA2CC1">
        <w:rPr>
          <w:rFonts w:cs="Calibri"/>
        </w:rPr>
        <w:t>(volume 5).</w:t>
      </w:r>
    </w:p>
    <w:p w14:paraId="76008D34" w14:textId="77777777" w:rsidR="00FA4226" w:rsidRPr="00CA2CC1" w:rsidRDefault="00000000" w:rsidP="0043303B">
      <w:pPr>
        <w:pStyle w:val="BodyText"/>
        <w:numPr>
          <w:ilvl w:val="0"/>
          <w:numId w:val="39"/>
        </w:numPr>
        <w:ind w:left="284"/>
        <w:rPr>
          <w:rFonts w:cs="Calibri"/>
          <w:i/>
        </w:rPr>
      </w:pPr>
      <w:r w:rsidRPr="00CA2CC1">
        <w:rPr>
          <w:rFonts w:cs="Calibri"/>
        </w:rPr>
        <w:t xml:space="preserve">The Productivity Commission’s </w:t>
      </w:r>
      <w:r w:rsidRPr="00CA2CC1">
        <w:rPr>
          <w:rFonts w:cs="Calibri"/>
          <w:i/>
        </w:rPr>
        <w:t>National housing and homelessness</w:t>
      </w:r>
      <w:r w:rsidRPr="00CA2CC1">
        <w:rPr>
          <w:rFonts w:cs="Calibri"/>
          <w:i/>
          <w:spacing w:val="-8"/>
        </w:rPr>
        <w:t xml:space="preserve"> </w:t>
      </w:r>
      <w:r w:rsidRPr="00CA2CC1">
        <w:rPr>
          <w:rFonts w:cs="Calibri"/>
          <w:i/>
        </w:rPr>
        <w:t>agreement</w:t>
      </w:r>
      <w:r w:rsidRPr="00CA2CC1">
        <w:rPr>
          <w:rFonts w:cs="Calibri"/>
          <w:i/>
          <w:spacing w:val="-8"/>
        </w:rPr>
        <w:t xml:space="preserve"> </w:t>
      </w:r>
      <w:r w:rsidRPr="00CA2CC1">
        <w:rPr>
          <w:rFonts w:cs="Calibri"/>
          <w:i/>
        </w:rPr>
        <w:t>study</w:t>
      </w:r>
      <w:r w:rsidRPr="00CA2CC1">
        <w:rPr>
          <w:rFonts w:cs="Calibri"/>
          <w:i/>
          <w:spacing w:val="-9"/>
        </w:rPr>
        <w:t xml:space="preserve"> </w:t>
      </w:r>
      <w:r w:rsidRPr="00CA2CC1">
        <w:rPr>
          <w:rFonts w:cs="Calibri"/>
        </w:rPr>
        <w:t>made</w:t>
      </w:r>
      <w:r w:rsidRPr="00CA2CC1">
        <w:rPr>
          <w:rFonts w:cs="Calibri"/>
          <w:spacing w:val="-8"/>
        </w:rPr>
        <w:t xml:space="preserve"> </w:t>
      </w:r>
      <w:r w:rsidRPr="00CA2CC1">
        <w:rPr>
          <w:rFonts w:cs="Calibri"/>
        </w:rPr>
        <w:t>several</w:t>
      </w:r>
      <w:r w:rsidRPr="00CA2CC1">
        <w:rPr>
          <w:rFonts w:cs="Calibri"/>
          <w:spacing w:val="-8"/>
        </w:rPr>
        <w:t xml:space="preserve"> </w:t>
      </w:r>
      <w:r w:rsidRPr="00CA2CC1">
        <w:rPr>
          <w:rFonts w:cs="Calibri"/>
        </w:rPr>
        <w:lastRenderedPageBreak/>
        <w:t xml:space="preserve">references to Infrastructure Victoria’s submission and our technical report, </w:t>
      </w:r>
      <w:r w:rsidRPr="00CA2CC1">
        <w:rPr>
          <w:rFonts w:cs="Calibri"/>
          <w:i/>
        </w:rPr>
        <w:t>Infrastructure provision in different development settings - metropolitan Melbourne.</w:t>
      </w:r>
    </w:p>
    <w:p w14:paraId="0E35F5DC" w14:textId="77777777" w:rsidR="00FA4226" w:rsidRPr="00CA2CC1" w:rsidRDefault="00000000" w:rsidP="0043303B">
      <w:pPr>
        <w:pStyle w:val="BodyText"/>
        <w:numPr>
          <w:ilvl w:val="0"/>
          <w:numId w:val="39"/>
        </w:numPr>
        <w:ind w:left="284"/>
        <w:rPr>
          <w:rFonts w:cs="Calibri"/>
          <w:i/>
        </w:rPr>
      </w:pPr>
      <w:r w:rsidRPr="00CA2CC1">
        <w:rPr>
          <w:rFonts w:cs="Calibri"/>
        </w:rPr>
        <w:t xml:space="preserve">The Business Council of Australia referenced our housing choices research in its May 2023 report, </w:t>
      </w:r>
      <w:r w:rsidRPr="00CA2CC1">
        <w:rPr>
          <w:rFonts w:cs="Calibri"/>
          <w:i/>
        </w:rPr>
        <w:t>Housing</w:t>
      </w:r>
      <w:r w:rsidRPr="00CA2CC1">
        <w:rPr>
          <w:rFonts w:cs="Calibri"/>
          <w:i/>
          <w:spacing w:val="-11"/>
        </w:rPr>
        <w:t xml:space="preserve"> </w:t>
      </w:r>
      <w:r w:rsidRPr="00CA2CC1">
        <w:rPr>
          <w:rFonts w:cs="Calibri"/>
          <w:i/>
        </w:rPr>
        <w:t>Australia’s</w:t>
      </w:r>
      <w:r w:rsidRPr="00CA2CC1">
        <w:rPr>
          <w:rFonts w:cs="Calibri"/>
          <w:i/>
          <w:spacing w:val="-11"/>
        </w:rPr>
        <w:t xml:space="preserve"> </w:t>
      </w:r>
      <w:r w:rsidRPr="00CA2CC1">
        <w:rPr>
          <w:rFonts w:cs="Calibri"/>
          <w:i/>
        </w:rPr>
        <w:t>talent:</w:t>
      </w:r>
      <w:r w:rsidRPr="00CA2CC1">
        <w:rPr>
          <w:rFonts w:cs="Calibri"/>
          <w:i/>
          <w:spacing w:val="-11"/>
        </w:rPr>
        <w:t xml:space="preserve"> </w:t>
      </w:r>
      <w:r w:rsidRPr="00CA2CC1">
        <w:rPr>
          <w:rFonts w:cs="Calibri"/>
          <w:i/>
        </w:rPr>
        <w:t>addressing</w:t>
      </w:r>
      <w:r w:rsidRPr="00CA2CC1">
        <w:rPr>
          <w:rFonts w:cs="Calibri"/>
          <w:i/>
          <w:spacing w:val="-11"/>
        </w:rPr>
        <w:t xml:space="preserve"> </w:t>
      </w:r>
      <w:r w:rsidRPr="00CA2CC1">
        <w:rPr>
          <w:rFonts w:cs="Calibri"/>
          <w:i/>
        </w:rPr>
        <w:t>the</w:t>
      </w:r>
      <w:r w:rsidRPr="00CA2CC1">
        <w:rPr>
          <w:rFonts w:cs="Calibri"/>
          <w:i/>
          <w:spacing w:val="-11"/>
        </w:rPr>
        <w:t xml:space="preserve"> </w:t>
      </w:r>
      <w:r w:rsidRPr="00CA2CC1">
        <w:rPr>
          <w:rFonts w:cs="Calibri"/>
          <w:i/>
        </w:rPr>
        <w:t>nation’s housing challenge.</w:t>
      </w:r>
    </w:p>
    <w:p w14:paraId="4725B70A" w14:textId="77777777" w:rsidR="00FA4226" w:rsidRPr="00CA2CC1" w:rsidRDefault="00000000" w:rsidP="0043303B">
      <w:pPr>
        <w:pStyle w:val="BodyText"/>
        <w:numPr>
          <w:ilvl w:val="0"/>
          <w:numId w:val="39"/>
        </w:numPr>
        <w:ind w:left="284"/>
        <w:rPr>
          <w:rFonts w:cs="Calibri"/>
          <w:i/>
        </w:rPr>
      </w:pPr>
      <w:r w:rsidRPr="00CA2CC1">
        <w:rPr>
          <w:rFonts w:cs="Calibri"/>
        </w:rPr>
        <w:t>Environment</w:t>
      </w:r>
      <w:r w:rsidRPr="00CA2CC1">
        <w:rPr>
          <w:rFonts w:cs="Calibri"/>
          <w:spacing w:val="-6"/>
        </w:rPr>
        <w:t xml:space="preserve"> </w:t>
      </w:r>
      <w:r w:rsidRPr="00CA2CC1">
        <w:rPr>
          <w:rFonts w:cs="Calibri"/>
        </w:rPr>
        <w:t>Victoria</w:t>
      </w:r>
      <w:r w:rsidRPr="00CA2CC1">
        <w:rPr>
          <w:rFonts w:cs="Calibri"/>
          <w:spacing w:val="-6"/>
        </w:rPr>
        <w:t xml:space="preserve"> </w:t>
      </w:r>
      <w:r w:rsidRPr="00CA2CC1">
        <w:rPr>
          <w:rFonts w:cs="Calibri"/>
        </w:rPr>
        <w:t>cited</w:t>
      </w:r>
      <w:r w:rsidRPr="00CA2CC1">
        <w:rPr>
          <w:rFonts w:cs="Calibri"/>
          <w:spacing w:val="-6"/>
        </w:rPr>
        <w:t xml:space="preserve"> </w:t>
      </w:r>
      <w:r w:rsidRPr="00CA2CC1">
        <w:rPr>
          <w:rFonts w:cs="Calibri"/>
        </w:rPr>
        <w:t>our</w:t>
      </w:r>
      <w:r w:rsidRPr="00CA2CC1">
        <w:rPr>
          <w:rFonts w:cs="Calibri"/>
          <w:spacing w:val="-6"/>
        </w:rPr>
        <w:t xml:space="preserve"> </w:t>
      </w:r>
      <w:r w:rsidRPr="00CA2CC1">
        <w:rPr>
          <w:rFonts w:cs="Calibri"/>
        </w:rPr>
        <w:t>advice</w:t>
      </w:r>
      <w:r w:rsidRPr="00CA2CC1">
        <w:rPr>
          <w:rFonts w:cs="Calibri"/>
          <w:spacing w:val="-6"/>
        </w:rPr>
        <w:t xml:space="preserve"> </w:t>
      </w:r>
      <w:r w:rsidRPr="00CA2CC1">
        <w:rPr>
          <w:rFonts w:cs="Calibri"/>
        </w:rPr>
        <w:t>to</w:t>
      </w:r>
      <w:r w:rsidRPr="00CA2CC1">
        <w:rPr>
          <w:rFonts w:cs="Calibri"/>
          <w:spacing w:val="-6"/>
        </w:rPr>
        <w:t xml:space="preserve"> </w:t>
      </w:r>
      <w:r w:rsidRPr="00CA2CC1">
        <w:rPr>
          <w:rFonts w:cs="Calibri"/>
        </w:rPr>
        <w:t>government on</w:t>
      </w:r>
      <w:r w:rsidRPr="00CA2CC1">
        <w:rPr>
          <w:rFonts w:cs="Calibri"/>
          <w:spacing w:val="-6"/>
        </w:rPr>
        <w:t xml:space="preserve"> </w:t>
      </w:r>
      <w:r w:rsidRPr="00CA2CC1">
        <w:rPr>
          <w:rFonts w:cs="Calibri"/>
        </w:rPr>
        <w:t>the</w:t>
      </w:r>
      <w:r w:rsidRPr="00CA2CC1">
        <w:rPr>
          <w:rFonts w:cs="Calibri"/>
          <w:spacing w:val="-6"/>
        </w:rPr>
        <w:t xml:space="preserve"> </w:t>
      </w:r>
      <w:r w:rsidRPr="00CA2CC1">
        <w:rPr>
          <w:rFonts w:cs="Calibri"/>
        </w:rPr>
        <w:t>future</w:t>
      </w:r>
      <w:r w:rsidRPr="00CA2CC1">
        <w:rPr>
          <w:rFonts w:cs="Calibri"/>
          <w:spacing w:val="-6"/>
        </w:rPr>
        <w:t xml:space="preserve"> </w:t>
      </w:r>
      <w:r w:rsidRPr="00CA2CC1">
        <w:rPr>
          <w:rFonts w:cs="Calibri"/>
        </w:rPr>
        <w:t>of</w:t>
      </w:r>
      <w:r w:rsidRPr="00CA2CC1">
        <w:rPr>
          <w:rFonts w:cs="Calibri"/>
          <w:spacing w:val="-6"/>
        </w:rPr>
        <w:t xml:space="preserve"> </w:t>
      </w:r>
      <w:r w:rsidRPr="00CA2CC1">
        <w:rPr>
          <w:rFonts w:cs="Calibri"/>
        </w:rPr>
        <w:t>Victoria’s</w:t>
      </w:r>
      <w:r w:rsidRPr="00CA2CC1">
        <w:rPr>
          <w:rFonts w:cs="Calibri"/>
          <w:spacing w:val="-6"/>
        </w:rPr>
        <w:t xml:space="preserve"> </w:t>
      </w:r>
      <w:r w:rsidRPr="00CA2CC1">
        <w:rPr>
          <w:rFonts w:cs="Calibri"/>
        </w:rPr>
        <w:t>gas</w:t>
      </w:r>
      <w:r w:rsidRPr="00CA2CC1">
        <w:rPr>
          <w:rFonts w:cs="Calibri"/>
          <w:spacing w:val="-6"/>
        </w:rPr>
        <w:t xml:space="preserve"> </w:t>
      </w:r>
      <w:r w:rsidRPr="00CA2CC1">
        <w:rPr>
          <w:rFonts w:cs="Calibri"/>
        </w:rPr>
        <w:t>infrastructure</w:t>
      </w:r>
      <w:r w:rsidRPr="00CA2CC1">
        <w:rPr>
          <w:rFonts w:cs="Calibri"/>
          <w:spacing w:val="-6"/>
        </w:rPr>
        <w:t xml:space="preserve"> </w:t>
      </w:r>
      <w:r w:rsidRPr="00CA2CC1">
        <w:rPr>
          <w:rFonts w:cs="Calibri"/>
        </w:rPr>
        <w:t>assets</w:t>
      </w:r>
      <w:r w:rsidRPr="00CA2CC1">
        <w:rPr>
          <w:rFonts w:cs="Calibri"/>
          <w:spacing w:val="-6"/>
        </w:rPr>
        <w:t xml:space="preserve"> </w:t>
      </w:r>
      <w:r w:rsidRPr="00CA2CC1">
        <w:rPr>
          <w:rFonts w:cs="Calibri"/>
        </w:rPr>
        <w:t xml:space="preserve">in its 2023 research report, </w:t>
      </w:r>
      <w:r w:rsidRPr="00CA2CC1">
        <w:rPr>
          <w:rFonts w:cs="Calibri"/>
          <w:i/>
        </w:rPr>
        <w:t>Gas sector emissions and Victoria’s new 2035 climate targets.</w:t>
      </w:r>
    </w:p>
    <w:p w14:paraId="0CEBC45E" w14:textId="77777777" w:rsidR="00FA4226" w:rsidRPr="00CA2CC1" w:rsidRDefault="00000000" w:rsidP="0043303B">
      <w:pPr>
        <w:pStyle w:val="BodyText"/>
        <w:numPr>
          <w:ilvl w:val="0"/>
          <w:numId w:val="39"/>
        </w:numPr>
        <w:ind w:left="284"/>
        <w:rPr>
          <w:rFonts w:cs="Calibri"/>
        </w:rPr>
      </w:pPr>
      <w:r w:rsidRPr="00CA2CC1">
        <w:rPr>
          <w:rFonts w:cs="Calibri"/>
        </w:rPr>
        <w:t>The Central and Gippsland Region Sustainable Water Strategy outlines a long term strategic plan to secure Victoria’s</w:t>
      </w:r>
      <w:r w:rsidRPr="00CA2CC1">
        <w:rPr>
          <w:rFonts w:cs="Calibri"/>
          <w:spacing w:val="-8"/>
        </w:rPr>
        <w:t xml:space="preserve"> </w:t>
      </w:r>
      <w:r w:rsidRPr="00CA2CC1">
        <w:rPr>
          <w:rFonts w:cs="Calibri"/>
        </w:rPr>
        <w:t>future</w:t>
      </w:r>
      <w:r w:rsidRPr="00CA2CC1">
        <w:rPr>
          <w:rFonts w:cs="Calibri"/>
          <w:spacing w:val="-8"/>
        </w:rPr>
        <w:t xml:space="preserve"> </w:t>
      </w:r>
      <w:r w:rsidRPr="00CA2CC1">
        <w:rPr>
          <w:rFonts w:cs="Calibri"/>
        </w:rPr>
        <w:t>water</w:t>
      </w:r>
      <w:r w:rsidRPr="00CA2CC1">
        <w:rPr>
          <w:rFonts w:cs="Calibri"/>
          <w:spacing w:val="-8"/>
        </w:rPr>
        <w:t xml:space="preserve"> </w:t>
      </w:r>
      <w:r w:rsidRPr="00CA2CC1">
        <w:rPr>
          <w:rFonts w:cs="Calibri"/>
        </w:rPr>
        <w:t>resources</w:t>
      </w:r>
      <w:r w:rsidRPr="00CA2CC1">
        <w:rPr>
          <w:rFonts w:cs="Calibri"/>
          <w:spacing w:val="-8"/>
        </w:rPr>
        <w:t xml:space="preserve"> </w:t>
      </w:r>
      <w:r w:rsidRPr="00CA2CC1">
        <w:rPr>
          <w:rFonts w:cs="Calibri"/>
        </w:rPr>
        <w:t>over</w:t>
      </w:r>
      <w:r w:rsidRPr="00CA2CC1">
        <w:rPr>
          <w:rFonts w:cs="Calibri"/>
          <w:spacing w:val="-8"/>
        </w:rPr>
        <w:t xml:space="preserve"> </w:t>
      </w:r>
      <w:r w:rsidRPr="00CA2CC1">
        <w:rPr>
          <w:rFonts w:cs="Calibri"/>
        </w:rPr>
        <w:t>the</w:t>
      </w:r>
      <w:r w:rsidRPr="00CA2CC1">
        <w:rPr>
          <w:rFonts w:cs="Calibri"/>
          <w:spacing w:val="-8"/>
        </w:rPr>
        <w:t xml:space="preserve"> </w:t>
      </w:r>
      <w:r w:rsidRPr="00CA2CC1">
        <w:rPr>
          <w:rFonts w:cs="Calibri"/>
        </w:rPr>
        <w:t>next</w:t>
      </w:r>
      <w:r w:rsidRPr="00CA2CC1">
        <w:rPr>
          <w:rFonts w:cs="Calibri"/>
          <w:spacing w:val="-8"/>
        </w:rPr>
        <w:t xml:space="preserve"> </w:t>
      </w:r>
      <w:r w:rsidRPr="00CA2CC1">
        <w:rPr>
          <w:rFonts w:cs="Calibri"/>
        </w:rPr>
        <w:t>50</w:t>
      </w:r>
      <w:r w:rsidRPr="00CA2CC1">
        <w:rPr>
          <w:rFonts w:cs="Calibri"/>
          <w:spacing w:val="-8"/>
        </w:rPr>
        <w:t xml:space="preserve"> </w:t>
      </w:r>
      <w:r w:rsidRPr="00CA2CC1">
        <w:rPr>
          <w:rFonts w:cs="Calibri"/>
        </w:rPr>
        <w:t xml:space="preserve">years. The renewed strategy is consistent with several of our recommendations in </w:t>
      </w:r>
      <w:r w:rsidRPr="00CA2CC1">
        <w:rPr>
          <w:rFonts w:cs="Calibri"/>
          <w:i/>
        </w:rPr>
        <w:t xml:space="preserve">Victoria’s infrastructure strategy </w:t>
      </w:r>
      <w:r w:rsidRPr="00CA2CC1">
        <w:rPr>
          <w:rFonts w:cs="Calibri"/>
          <w:i/>
          <w:spacing w:val="-2"/>
        </w:rPr>
        <w:t>2021–2051</w:t>
      </w:r>
      <w:r w:rsidRPr="00CA2CC1">
        <w:rPr>
          <w:rFonts w:cs="Calibri"/>
          <w:spacing w:val="-2"/>
        </w:rPr>
        <w:t>.</w:t>
      </w:r>
    </w:p>
    <w:p w14:paraId="5CFFC662" w14:textId="731302A0" w:rsidR="00FA4226" w:rsidRPr="00CA2CC1" w:rsidRDefault="00000000" w:rsidP="0043303B">
      <w:pPr>
        <w:pStyle w:val="BodyText"/>
        <w:numPr>
          <w:ilvl w:val="0"/>
          <w:numId w:val="39"/>
        </w:numPr>
        <w:ind w:left="284"/>
        <w:rPr>
          <w:rFonts w:cs="Calibri"/>
        </w:rPr>
      </w:pPr>
      <w:r w:rsidRPr="00CA2CC1">
        <w:rPr>
          <w:rFonts w:cs="Calibri"/>
        </w:rPr>
        <w:t>The Victorian Chamber of Commerce and Industry published its state election platform. The advocacy document has strong synergies with Infrastructure Victoria’s</w:t>
      </w:r>
      <w:r w:rsidRPr="00CA2CC1">
        <w:rPr>
          <w:rFonts w:cs="Calibri"/>
          <w:spacing w:val="-9"/>
        </w:rPr>
        <w:t xml:space="preserve"> </w:t>
      </w:r>
      <w:r w:rsidRPr="00CA2CC1">
        <w:rPr>
          <w:rFonts w:cs="Calibri"/>
        </w:rPr>
        <w:t>research</w:t>
      </w:r>
      <w:r w:rsidRPr="00CA2CC1">
        <w:rPr>
          <w:rFonts w:cs="Calibri"/>
          <w:spacing w:val="-9"/>
        </w:rPr>
        <w:t xml:space="preserve"> </w:t>
      </w:r>
      <w:r w:rsidRPr="00CA2CC1">
        <w:rPr>
          <w:rFonts w:cs="Calibri"/>
        </w:rPr>
        <w:t>and</w:t>
      </w:r>
      <w:r w:rsidRPr="00CA2CC1">
        <w:rPr>
          <w:rFonts w:cs="Calibri"/>
          <w:spacing w:val="-9"/>
        </w:rPr>
        <w:t xml:space="preserve"> </w:t>
      </w:r>
      <w:r w:rsidRPr="00CA2CC1">
        <w:rPr>
          <w:rFonts w:cs="Calibri"/>
        </w:rPr>
        <w:t>advice</w:t>
      </w:r>
      <w:r w:rsidRPr="00CA2CC1">
        <w:rPr>
          <w:rFonts w:cs="Calibri"/>
          <w:spacing w:val="-9"/>
        </w:rPr>
        <w:t xml:space="preserve"> </w:t>
      </w:r>
      <w:r w:rsidRPr="00CA2CC1">
        <w:rPr>
          <w:rFonts w:cs="Calibri"/>
        </w:rPr>
        <w:t>including</w:t>
      </w:r>
      <w:r w:rsidRPr="00CA2CC1">
        <w:rPr>
          <w:rFonts w:cs="Calibri"/>
          <w:spacing w:val="33"/>
        </w:rPr>
        <w:t xml:space="preserve"> </w:t>
      </w:r>
      <w:r w:rsidRPr="00CA2CC1">
        <w:rPr>
          <w:rFonts w:cs="Calibri"/>
        </w:rPr>
        <w:t>public</w:t>
      </w:r>
      <w:r w:rsidRPr="00CA2CC1">
        <w:rPr>
          <w:rFonts w:cs="Calibri"/>
          <w:spacing w:val="-9"/>
        </w:rPr>
        <w:t xml:space="preserve"> </w:t>
      </w:r>
      <w:r w:rsidRPr="00CA2CC1">
        <w:rPr>
          <w:rFonts w:cs="Calibri"/>
        </w:rPr>
        <w:t>transport fares discounts, digital infrastructure for regions,</w:t>
      </w:r>
      <w:r w:rsidR="00181064" w:rsidRPr="00CA2CC1">
        <w:rPr>
          <w:rFonts w:cs="Calibri"/>
        </w:rPr>
        <w:t xml:space="preserve"> </w:t>
      </w:r>
      <w:r w:rsidRPr="00CA2CC1">
        <w:rPr>
          <w:rFonts w:cs="Calibri"/>
        </w:rPr>
        <w:t>clean energy investment plus industry assistance for renewables and energy efficiency, tax deductions for energy efficiency and time of use, planning reform to enable</w:t>
      </w:r>
      <w:r w:rsidRPr="00CA2CC1">
        <w:rPr>
          <w:rFonts w:cs="Calibri"/>
          <w:spacing w:val="-8"/>
        </w:rPr>
        <w:t xml:space="preserve"> </w:t>
      </w:r>
      <w:r w:rsidRPr="00CA2CC1">
        <w:rPr>
          <w:rFonts w:cs="Calibri"/>
        </w:rPr>
        <w:t>residential</w:t>
      </w:r>
      <w:r w:rsidRPr="00CA2CC1">
        <w:rPr>
          <w:rFonts w:cs="Calibri"/>
          <w:spacing w:val="-8"/>
        </w:rPr>
        <w:t xml:space="preserve"> </w:t>
      </w:r>
      <w:r w:rsidRPr="00CA2CC1">
        <w:rPr>
          <w:rFonts w:cs="Calibri"/>
        </w:rPr>
        <w:t>development</w:t>
      </w:r>
      <w:r w:rsidRPr="00CA2CC1">
        <w:rPr>
          <w:rFonts w:cs="Calibri"/>
          <w:spacing w:val="-8"/>
        </w:rPr>
        <w:t xml:space="preserve"> </w:t>
      </w:r>
      <w:r w:rsidRPr="00CA2CC1">
        <w:rPr>
          <w:rFonts w:cs="Calibri"/>
        </w:rPr>
        <w:t>near</w:t>
      </w:r>
      <w:r w:rsidRPr="00CA2CC1">
        <w:rPr>
          <w:rFonts w:cs="Calibri"/>
          <w:spacing w:val="-8"/>
        </w:rPr>
        <w:t xml:space="preserve"> </w:t>
      </w:r>
      <w:r w:rsidRPr="00CA2CC1">
        <w:rPr>
          <w:rFonts w:cs="Calibri"/>
        </w:rPr>
        <w:t>transport</w:t>
      </w:r>
      <w:r w:rsidRPr="00CA2CC1">
        <w:rPr>
          <w:rFonts w:cs="Calibri"/>
          <w:spacing w:val="-8"/>
        </w:rPr>
        <w:t xml:space="preserve"> </w:t>
      </w:r>
      <w:r w:rsidRPr="00CA2CC1">
        <w:rPr>
          <w:rFonts w:cs="Calibri"/>
        </w:rPr>
        <w:t>corridors, protection of port access and rail mode shift, better public transport in Victoria’s regions and investment in regional road maintenance.</w:t>
      </w:r>
    </w:p>
    <w:p w14:paraId="326817BF" w14:textId="77777777" w:rsidR="007C6D4B" w:rsidRPr="00CA2CC1" w:rsidRDefault="00000000" w:rsidP="0043303B">
      <w:pPr>
        <w:pStyle w:val="BodyText"/>
        <w:numPr>
          <w:ilvl w:val="0"/>
          <w:numId w:val="39"/>
        </w:numPr>
        <w:ind w:left="284"/>
        <w:rPr>
          <w:rFonts w:cs="Calibri"/>
          <w:sz w:val="18"/>
        </w:rPr>
      </w:pPr>
      <w:r w:rsidRPr="00CA2CC1">
        <w:rPr>
          <w:rFonts w:cs="Calibri"/>
        </w:rPr>
        <w:t>The Property Council’s state election platform called for implementation of Infrastructure Victoria’s 30-year strategy</w:t>
      </w:r>
      <w:r w:rsidRPr="00CA2CC1">
        <w:rPr>
          <w:rFonts w:cs="Calibri"/>
          <w:spacing w:val="-10"/>
        </w:rPr>
        <w:t xml:space="preserve"> </w:t>
      </w:r>
      <w:r w:rsidRPr="00CA2CC1">
        <w:rPr>
          <w:rFonts w:cs="Calibri"/>
        </w:rPr>
        <w:t>recommendations</w:t>
      </w:r>
      <w:r w:rsidRPr="00CA2CC1">
        <w:rPr>
          <w:rFonts w:cs="Calibri"/>
          <w:spacing w:val="-10"/>
        </w:rPr>
        <w:t xml:space="preserve"> </w:t>
      </w:r>
      <w:r w:rsidRPr="00CA2CC1">
        <w:rPr>
          <w:rFonts w:cs="Calibri"/>
        </w:rPr>
        <w:t>including</w:t>
      </w:r>
      <w:r w:rsidRPr="00CA2CC1">
        <w:rPr>
          <w:rFonts w:cs="Calibri"/>
          <w:spacing w:val="-10"/>
        </w:rPr>
        <w:t xml:space="preserve"> </w:t>
      </w:r>
      <w:r w:rsidRPr="00CA2CC1">
        <w:rPr>
          <w:rFonts w:cs="Calibri"/>
        </w:rPr>
        <w:t>energy</w:t>
      </w:r>
      <w:r w:rsidRPr="00CA2CC1">
        <w:rPr>
          <w:rFonts w:cs="Calibri"/>
          <w:spacing w:val="-10"/>
        </w:rPr>
        <w:t xml:space="preserve"> </w:t>
      </w:r>
      <w:r w:rsidRPr="00CA2CC1">
        <w:rPr>
          <w:rFonts w:cs="Calibri"/>
        </w:rPr>
        <w:t>efficiency upgrades</w:t>
      </w:r>
      <w:r w:rsidRPr="00CA2CC1">
        <w:rPr>
          <w:rFonts w:cs="Calibri"/>
          <w:spacing w:val="-5"/>
        </w:rPr>
        <w:t xml:space="preserve"> </w:t>
      </w:r>
      <w:r w:rsidRPr="00CA2CC1">
        <w:rPr>
          <w:rFonts w:cs="Calibri"/>
        </w:rPr>
        <w:t>to</w:t>
      </w:r>
      <w:r w:rsidRPr="00CA2CC1">
        <w:rPr>
          <w:rFonts w:cs="Calibri"/>
          <w:spacing w:val="-5"/>
        </w:rPr>
        <w:t xml:space="preserve"> </w:t>
      </w:r>
      <w:r w:rsidRPr="00CA2CC1">
        <w:rPr>
          <w:rFonts w:cs="Calibri"/>
        </w:rPr>
        <w:t>Victorian</w:t>
      </w:r>
      <w:r w:rsidRPr="00CA2CC1">
        <w:rPr>
          <w:rFonts w:cs="Calibri"/>
          <w:spacing w:val="-5"/>
        </w:rPr>
        <w:t xml:space="preserve"> </w:t>
      </w:r>
      <w:r w:rsidRPr="00CA2CC1">
        <w:rPr>
          <w:rFonts w:cs="Calibri"/>
        </w:rPr>
        <w:t>Government</w:t>
      </w:r>
      <w:r w:rsidRPr="00CA2CC1">
        <w:rPr>
          <w:rFonts w:cs="Calibri"/>
          <w:spacing w:val="-5"/>
        </w:rPr>
        <w:t xml:space="preserve"> </w:t>
      </w:r>
      <w:r w:rsidRPr="00CA2CC1">
        <w:rPr>
          <w:rFonts w:cs="Calibri"/>
        </w:rPr>
        <w:t>owned</w:t>
      </w:r>
      <w:r w:rsidRPr="00CA2CC1">
        <w:rPr>
          <w:rFonts w:cs="Calibri"/>
          <w:spacing w:val="-5"/>
        </w:rPr>
        <w:t xml:space="preserve"> </w:t>
      </w:r>
      <w:r w:rsidRPr="00CA2CC1">
        <w:rPr>
          <w:rFonts w:cs="Calibri"/>
        </w:rPr>
        <w:t>and</w:t>
      </w:r>
      <w:r w:rsidRPr="00CA2CC1">
        <w:rPr>
          <w:rFonts w:cs="Calibri"/>
          <w:spacing w:val="-5"/>
        </w:rPr>
        <w:t xml:space="preserve"> </w:t>
      </w:r>
      <w:r w:rsidRPr="00CA2CC1">
        <w:rPr>
          <w:rFonts w:cs="Calibri"/>
        </w:rPr>
        <w:t>leased buildings</w:t>
      </w:r>
      <w:r w:rsidRPr="00CA2CC1">
        <w:rPr>
          <w:rFonts w:cs="Calibri"/>
          <w:spacing w:val="-5"/>
        </w:rPr>
        <w:t xml:space="preserve"> </w:t>
      </w:r>
      <w:r w:rsidRPr="00CA2CC1">
        <w:rPr>
          <w:rFonts w:cs="Calibri"/>
        </w:rPr>
        <w:t>and</w:t>
      </w:r>
      <w:r w:rsidRPr="00CA2CC1">
        <w:rPr>
          <w:rFonts w:cs="Calibri"/>
          <w:spacing w:val="-5"/>
        </w:rPr>
        <w:t xml:space="preserve"> </w:t>
      </w:r>
      <w:r w:rsidRPr="00CA2CC1">
        <w:rPr>
          <w:rFonts w:cs="Calibri"/>
        </w:rPr>
        <w:t>development</w:t>
      </w:r>
      <w:r w:rsidRPr="00CA2CC1">
        <w:rPr>
          <w:rFonts w:cs="Calibri"/>
          <w:spacing w:val="-5"/>
        </w:rPr>
        <w:t xml:space="preserve"> </w:t>
      </w:r>
      <w:r w:rsidRPr="00CA2CC1">
        <w:rPr>
          <w:rFonts w:cs="Calibri"/>
        </w:rPr>
        <w:t>of</w:t>
      </w:r>
      <w:r w:rsidRPr="00CA2CC1">
        <w:rPr>
          <w:rFonts w:cs="Calibri"/>
          <w:spacing w:val="-5"/>
        </w:rPr>
        <w:t xml:space="preserve"> </w:t>
      </w:r>
      <w:r w:rsidRPr="00CA2CC1">
        <w:rPr>
          <w:rFonts w:cs="Calibri"/>
        </w:rPr>
        <w:t>the</w:t>
      </w:r>
      <w:r w:rsidRPr="00CA2CC1">
        <w:rPr>
          <w:rFonts w:cs="Calibri"/>
          <w:spacing w:val="-5"/>
        </w:rPr>
        <w:t xml:space="preserve"> </w:t>
      </w:r>
      <w:r w:rsidRPr="00CA2CC1">
        <w:rPr>
          <w:rFonts w:cs="Calibri"/>
        </w:rPr>
        <w:t>Western</w:t>
      </w:r>
      <w:r w:rsidRPr="00CA2CC1">
        <w:rPr>
          <w:rFonts w:cs="Calibri"/>
          <w:spacing w:val="-5"/>
        </w:rPr>
        <w:t xml:space="preserve"> </w:t>
      </w:r>
      <w:r w:rsidRPr="00CA2CC1">
        <w:rPr>
          <w:rFonts w:cs="Calibri"/>
        </w:rPr>
        <w:t>Intermodal Freight Terminal.</w:t>
      </w:r>
    </w:p>
    <w:p w14:paraId="2D0AF50A" w14:textId="4F380015" w:rsidR="00FA4226" w:rsidRPr="00CA2CC1" w:rsidRDefault="00000000" w:rsidP="0043303B">
      <w:pPr>
        <w:pStyle w:val="BodyText"/>
        <w:numPr>
          <w:ilvl w:val="0"/>
          <w:numId w:val="39"/>
        </w:numPr>
        <w:ind w:left="284"/>
        <w:rPr>
          <w:rFonts w:cs="Calibri"/>
        </w:rPr>
      </w:pPr>
      <w:r w:rsidRPr="00CA2CC1">
        <w:rPr>
          <w:rFonts w:cs="Calibri"/>
        </w:rPr>
        <w:t>The</w:t>
      </w:r>
      <w:r w:rsidRPr="00CA2CC1">
        <w:rPr>
          <w:rFonts w:cs="Calibri"/>
          <w:spacing w:val="-6"/>
        </w:rPr>
        <w:t xml:space="preserve"> </w:t>
      </w:r>
      <w:r w:rsidRPr="00CA2CC1">
        <w:rPr>
          <w:rFonts w:cs="Calibri"/>
        </w:rPr>
        <w:t>Victorian</w:t>
      </w:r>
      <w:r w:rsidRPr="00CA2CC1">
        <w:rPr>
          <w:rFonts w:cs="Calibri"/>
          <w:spacing w:val="-6"/>
        </w:rPr>
        <w:t xml:space="preserve"> </w:t>
      </w:r>
      <w:r w:rsidRPr="00CA2CC1">
        <w:rPr>
          <w:rFonts w:cs="Calibri"/>
        </w:rPr>
        <w:t>Chamber</w:t>
      </w:r>
      <w:r w:rsidRPr="00CA2CC1">
        <w:rPr>
          <w:rFonts w:cs="Calibri"/>
          <w:spacing w:val="-6"/>
        </w:rPr>
        <w:t xml:space="preserve"> </w:t>
      </w:r>
      <w:r w:rsidRPr="00CA2CC1">
        <w:rPr>
          <w:rFonts w:cs="Calibri"/>
        </w:rPr>
        <w:t>of</w:t>
      </w:r>
      <w:r w:rsidRPr="00CA2CC1">
        <w:rPr>
          <w:rFonts w:cs="Calibri"/>
          <w:spacing w:val="-6"/>
        </w:rPr>
        <w:t xml:space="preserve"> </w:t>
      </w:r>
      <w:r w:rsidRPr="00CA2CC1">
        <w:rPr>
          <w:rFonts w:cs="Calibri"/>
        </w:rPr>
        <w:t>Commerce</w:t>
      </w:r>
      <w:r w:rsidRPr="00CA2CC1">
        <w:rPr>
          <w:rFonts w:cs="Calibri"/>
          <w:spacing w:val="-6"/>
        </w:rPr>
        <w:t xml:space="preserve"> </w:t>
      </w:r>
      <w:r w:rsidRPr="00CA2CC1">
        <w:rPr>
          <w:rFonts w:cs="Calibri"/>
        </w:rPr>
        <w:t>2023</w:t>
      </w:r>
      <w:r w:rsidRPr="00CA2CC1">
        <w:rPr>
          <w:rFonts w:cs="Calibri"/>
          <w:spacing w:val="-6"/>
        </w:rPr>
        <w:t xml:space="preserve"> </w:t>
      </w:r>
      <w:r w:rsidRPr="00CA2CC1">
        <w:rPr>
          <w:rFonts w:cs="Calibri"/>
        </w:rPr>
        <w:t>state</w:t>
      </w:r>
      <w:r w:rsidRPr="00CA2CC1">
        <w:rPr>
          <w:rFonts w:cs="Calibri"/>
          <w:spacing w:val="-6"/>
        </w:rPr>
        <w:t xml:space="preserve"> </w:t>
      </w:r>
      <w:r w:rsidRPr="00CA2CC1">
        <w:rPr>
          <w:rFonts w:cs="Calibri"/>
        </w:rPr>
        <w:t>budget submission called for a fund to help community sector organisations to recover from the 2022 floods and references our strategy recommendation, Build back better after emergencies.</w:t>
      </w:r>
    </w:p>
    <w:p w14:paraId="186738D5" w14:textId="77777777" w:rsidR="00FA4226" w:rsidRPr="00CA2CC1" w:rsidRDefault="00000000" w:rsidP="0043303B">
      <w:pPr>
        <w:pStyle w:val="BodyText"/>
        <w:numPr>
          <w:ilvl w:val="0"/>
          <w:numId w:val="39"/>
        </w:numPr>
        <w:ind w:left="284"/>
        <w:rPr>
          <w:rFonts w:cs="Calibri"/>
        </w:rPr>
      </w:pPr>
      <w:r w:rsidRPr="00CA2CC1">
        <w:rPr>
          <w:rFonts w:cs="Calibri"/>
        </w:rPr>
        <w:t xml:space="preserve">The </w:t>
      </w:r>
      <w:r w:rsidRPr="00CA2CC1">
        <w:rPr>
          <w:rFonts w:cs="Calibri"/>
          <w:i/>
        </w:rPr>
        <w:t>Benchmarking Melbourne 2023 report</w:t>
      </w:r>
      <w:r w:rsidRPr="00CA2CC1">
        <w:rPr>
          <w:rFonts w:cs="Calibri"/>
        </w:rPr>
        <w:t>, commissioned by the Committee for Melbourne, aligns strongly with Infrastructure Victoria’s research, advice and</w:t>
      </w:r>
      <w:r w:rsidRPr="00CA2CC1">
        <w:rPr>
          <w:rFonts w:cs="Calibri"/>
          <w:spacing w:val="-13"/>
        </w:rPr>
        <w:t xml:space="preserve"> </w:t>
      </w:r>
      <w:r w:rsidRPr="00CA2CC1">
        <w:rPr>
          <w:rFonts w:cs="Calibri"/>
        </w:rPr>
        <w:t>recommendations</w:t>
      </w:r>
      <w:r w:rsidRPr="00CA2CC1">
        <w:rPr>
          <w:rFonts w:cs="Calibri"/>
          <w:spacing w:val="-12"/>
        </w:rPr>
        <w:t xml:space="preserve"> </w:t>
      </w:r>
      <w:r w:rsidRPr="00CA2CC1">
        <w:rPr>
          <w:rFonts w:cs="Calibri"/>
        </w:rPr>
        <w:t>in</w:t>
      </w:r>
      <w:r w:rsidRPr="00CA2CC1">
        <w:rPr>
          <w:rFonts w:cs="Calibri"/>
          <w:spacing w:val="-13"/>
        </w:rPr>
        <w:t xml:space="preserve"> </w:t>
      </w:r>
      <w:r w:rsidRPr="00CA2CC1">
        <w:rPr>
          <w:rFonts w:cs="Calibri"/>
        </w:rPr>
        <w:t>Victoria’s</w:t>
      </w:r>
      <w:r w:rsidRPr="00CA2CC1">
        <w:rPr>
          <w:rFonts w:cs="Calibri"/>
          <w:spacing w:val="-12"/>
        </w:rPr>
        <w:t xml:space="preserve"> </w:t>
      </w:r>
      <w:r w:rsidRPr="00CA2CC1">
        <w:rPr>
          <w:rFonts w:cs="Calibri"/>
        </w:rPr>
        <w:t>30-year</w:t>
      </w:r>
      <w:r w:rsidRPr="00CA2CC1">
        <w:rPr>
          <w:rFonts w:cs="Calibri"/>
          <w:spacing w:val="-13"/>
        </w:rPr>
        <w:t xml:space="preserve"> </w:t>
      </w:r>
      <w:r w:rsidRPr="00CA2CC1">
        <w:rPr>
          <w:rFonts w:cs="Calibri"/>
        </w:rPr>
        <w:t xml:space="preserve">infrastructure </w:t>
      </w:r>
      <w:r w:rsidRPr="00CA2CC1">
        <w:rPr>
          <w:rFonts w:cs="Calibri"/>
          <w:spacing w:val="-2"/>
        </w:rPr>
        <w:t>strategy.</w:t>
      </w:r>
    </w:p>
    <w:p w14:paraId="4AFBFFB2" w14:textId="77777777" w:rsidR="00FA4226" w:rsidRPr="00CA2CC1" w:rsidRDefault="00000000" w:rsidP="0043303B">
      <w:pPr>
        <w:pStyle w:val="BodyText"/>
        <w:numPr>
          <w:ilvl w:val="0"/>
          <w:numId w:val="39"/>
        </w:numPr>
        <w:ind w:left="284"/>
        <w:rPr>
          <w:rFonts w:cs="Calibri"/>
        </w:rPr>
      </w:pPr>
      <w:r w:rsidRPr="00CA2CC1">
        <w:rPr>
          <w:rFonts w:cs="Calibri"/>
        </w:rPr>
        <w:t xml:space="preserve">The City of Melbourne’s </w:t>
      </w:r>
      <w:r w:rsidRPr="00CA2CC1">
        <w:rPr>
          <w:rFonts w:cs="Calibri"/>
          <w:i/>
        </w:rPr>
        <w:t xml:space="preserve">Victorian election 2022 advocacy priorities </w:t>
      </w:r>
      <w:r w:rsidRPr="00CA2CC1">
        <w:rPr>
          <w:rFonts w:cs="Calibri"/>
        </w:rPr>
        <w:t xml:space="preserve">made several recommendations drawing on our project and policy recommendations in </w:t>
      </w:r>
      <w:r w:rsidRPr="00CA2CC1">
        <w:rPr>
          <w:rFonts w:cs="Calibri"/>
          <w:i/>
        </w:rPr>
        <w:t xml:space="preserve">Victoria’s infrastructure strategy 2021–2051 </w:t>
      </w:r>
      <w:r w:rsidRPr="00CA2CC1">
        <w:rPr>
          <w:rFonts w:cs="Calibri"/>
        </w:rPr>
        <w:t>including completing</w:t>
      </w:r>
      <w:r w:rsidRPr="00CA2CC1">
        <w:rPr>
          <w:rFonts w:cs="Calibri"/>
          <w:spacing w:val="-5"/>
        </w:rPr>
        <w:t xml:space="preserve"> </w:t>
      </w:r>
      <w:r w:rsidRPr="00CA2CC1">
        <w:rPr>
          <w:rFonts w:cs="Calibri"/>
        </w:rPr>
        <w:t>a</w:t>
      </w:r>
      <w:r w:rsidRPr="00CA2CC1">
        <w:rPr>
          <w:rFonts w:cs="Calibri"/>
          <w:spacing w:val="-5"/>
        </w:rPr>
        <w:t xml:space="preserve"> </w:t>
      </w:r>
      <w:r w:rsidRPr="00CA2CC1">
        <w:rPr>
          <w:rFonts w:cs="Calibri"/>
        </w:rPr>
        <w:t>business</w:t>
      </w:r>
      <w:r w:rsidRPr="00CA2CC1">
        <w:rPr>
          <w:rFonts w:cs="Calibri"/>
          <w:spacing w:val="-5"/>
        </w:rPr>
        <w:t xml:space="preserve"> </w:t>
      </w:r>
      <w:r w:rsidRPr="00CA2CC1">
        <w:rPr>
          <w:rFonts w:cs="Calibri"/>
        </w:rPr>
        <w:t>case</w:t>
      </w:r>
      <w:r w:rsidRPr="00CA2CC1">
        <w:rPr>
          <w:rFonts w:cs="Calibri"/>
          <w:spacing w:val="-5"/>
        </w:rPr>
        <w:t xml:space="preserve"> </w:t>
      </w:r>
      <w:r w:rsidRPr="00CA2CC1">
        <w:rPr>
          <w:rFonts w:cs="Calibri"/>
        </w:rPr>
        <w:t>for</w:t>
      </w:r>
      <w:r w:rsidRPr="00CA2CC1">
        <w:rPr>
          <w:rFonts w:cs="Calibri"/>
          <w:spacing w:val="-5"/>
        </w:rPr>
        <w:t xml:space="preserve"> </w:t>
      </w:r>
      <w:r w:rsidRPr="00CA2CC1">
        <w:rPr>
          <w:rFonts w:cs="Calibri"/>
        </w:rPr>
        <w:t>Melbourne</w:t>
      </w:r>
      <w:r w:rsidRPr="00CA2CC1">
        <w:rPr>
          <w:rFonts w:cs="Calibri"/>
          <w:spacing w:val="-5"/>
        </w:rPr>
        <w:t xml:space="preserve"> </w:t>
      </w:r>
      <w:r w:rsidRPr="00CA2CC1">
        <w:rPr>
          <w:rFonts w:cs="Calibri"/>
        </w:rPr>
        <w:t>Metro</w:t>
      </w:r>
      <w:r w:rsidRPr="00CA2CC1">
        <w:rPr>
          <w:rFonts w:cs="Calibri"/>
          <w:spacing w:val="-5"/>
        </w:rPr>
        <w:t xml:space="preserve"> </w:t>
      </w:r>
      <w:r w:rsidRPr="00CA2CC1">
        <w:rPr>
          <w:rFonts w:cs="Calibri"/>
        </w:rPr>
        <w:t>2</w:t>
      </w:r>
      <w:r w:rsidRPr="00CA2CC1">
        <w:rPr>
          <w:rFonts w:cs="Calibri"/>
          <w:spacing w:val="-5"/>
        </w:rPr>
        <w:t xml:space="preserve"> </w:t>
      </w:r>
      <w:r w:rsidRPr="00CA2CC1">
        <w:rPr>
          <w:rFonts w:cs="Calibri"/>
        </w:rPr>
        <w:t>and market reforms to encourage distributed energy and household</w:t>
      </w:r>
      <w:r w:rsidRPr="00CA2CC1">
        <w:rPr>
          <w:rFonts w:cs="Calibri"/>
          <w:spacing w:val="-7"/>
        </w:rPr>
        <w:t xml:space="preserve"> </w:t>
      </w:r>
      <w:r w:rsidRPr="00CA2CC1">
        <w:rPr>
          <w:rFonts w:cs="Calibri"/>
        </w:rPr>
        <w:t>excess</w:t>
      </w:r>
      <w:r w:rsidRPr="00CA2CC1">
        <w:rPr>
          <w:rFonts w:cs="Calibri"/>
          <w:spacing w:val="-7"/>
        </w:rPr>
        <w:t xml:space="preserve"> </w:t>
      </w:r>
      <w:r w:rsidRPr="00CA2CC1">
        <w:rPr>
          <w:rFonts w:cs="Calibri"/>
        </w:rPr>
        <w:t>energy</w:t>
      </w:r>
      <w:r w:rsidRPr="00CA2CC1">
        <w:rPr>
          <w:rFonts w:cs="Calibri"/>
          <w:spacing w:val="-7"/>
        </w:rPr>
        <w:t xml:space="preserve"> </w:t>
      </w:r>
      <w:r w:rsidRPr="00CA2CC1">
        <w:rPr>
          <w:rFonts w:cs="Calibri"/>
        </w:rPr>
        <w:t>exports</w:t>
      </w:r>
      <w:r w:rsidRPr="00CA2CC1">
        <w:rPr>
          <w:rFonts w:cs="Calibri"/>
          <w:spacing w:val="-7"/>
        </w:rPr>
        <w:t xml:space="preserve"> </w:t>
      </w:r>
      <w:r w:rsidRPr="00CA2CC1">
        <w:rPr>
          <w:rFonts w:cs="Calibri"/>
        </w:rPr>
        <w:t>from</w:t>
      </w:r>
      <w:r w:rsidRPr="00CA2CC1">
        <w:rPr>
          <w:rFonts w:cs="Calibri"/>
          <w:spacing w:val="-7"/>
        </w:rPr>
        <w:t xml:space="preserve"> </w:t>
      </w:r>
      <w:r w:rsidRPr="00CA2CC1">
        <w:rPr>
          <w:rFonts w:cs="Calibri"/>
        </w:rPr>
        <w:t>battery</w:t>
      </w:r>
      <w:r w:rsidRPr="00CA2CC1">
        <w:rPr>
          <w:rFonts w:cs="Calibri"/>
          <w:spacing w:val="-7"/>
        </w:rPr>
        <w:t xml:space="preserve"> </w:t>
      </w:r>
      <w:r w:rsidRPr="00CA2CC1">
        <w:rPr>
          <w:rFonts w:cs="Calibri"/>
        </w:rPr>
        <w:t>storage.</w:t>
      </w:r>
    </w:p>
    <w:p w14:paraId="03C2DCED" w14:textId="26667DE6" w:rsidR="00FA4226" w:rsidRPr="00CA2CC1" w:rsidRDefault="00000000" w:rsidP="0043303B">
      <w:pPr>
        <w:pStyle w:val="BodyText"/>
        <w:numPr>
          <w:ilvl w:val="0"/>
          <w:numId w:val="39"/>
        </w:numPr>
        <w:ind w:left="284"/>
        <w:rPr>
          <w:rFonts w:cs="Calibri"/>
        </w:rPr>
      </w:pPr>
      <w:r w:rsidRPr="00CA2CC1">
        <w:rPr>
          <w:rFonts w:cs="Calibri"/>
        </w:rPr>
        <w:t>Victoria’s 30-year infrastructure strategy was cited in</w:t>
      </w:r>
      <w:r w:rsidRPr="00CA2CC1">
        <w:rPr>
          <w:rFonts w:cs="Calibri"/>
          <w:spacing w:val="-8"/>
        </w:rPr>
        <w:t xml:space="preserve"> </w:t>
      </w:r>
      <w:r w:rsidRPr="00CA2CC1">
        <w:rPr>
          <w:rFonts w:cs="Calibri"/>
        </w:rPr>
        <w:t>‘Communicative</w:t>
      </w:r>
      <w:r w:rsidRPr="00CA2CC1">
        <w:rPr>
          <w:rFonts w:cs="Calibri"/>
          <w:spacing w:val="-8"/>
        </w:rPr>
        <w:t xml:space="preserve"> </w:t>
      </w:r>
      <w:r w:rsidRPr="00CA2CC1">
        <w:rPr>
          <w:rFonts w:cs="Calibri"/>
        </w:rPr>
        <w:t>planning</w:t>
      </w:r>
      <w:r w:rsidRPr="00CA2CC1">
        <w:rPr>
          <w:rFonts w:cs="Calibri"/>
          <w:spacing w:val="-8"/>
        </w:rPr>
        <w:t xml:space="preserve"> </w:t>
      </w:r>
      <w:r w:rsidRPr="00CA2CC1">
        <w:rPr>
          <w:rFonts w:cs="Calibri"/>
        </w:rPr>
        <w:t>and</w:t>
      </w:r>
      <w:r w:rsidRPr="00CA2CC1">
        <w:rPr>
          <w:rFonts w:cs="Calibri"/>
          <w:spacing w:val="-8"/>
        </w:rPr>
        <w:t xml:space="preserve"> </w:t>
      </w:r>
      <w:r w:rsidRPr="00CA2CC1">
        <w:rPr>
          <w:rFonts w:cs="Calibri"/>
        </w:rPr>
        <w:t>the</w:t>
      </w:r>
      <w:r w:rsidRPr="00CA2CC1">
        <w:rPr>
          <w:rFonts w:cs="Calibri"/>
          <w:spacing w:val="-8"/>
        </w:rPr>
        <w:t xml:space="preserve"> </w:t>
      </w:r>
      <w:r w:rsidRPr="00CA2CC1">
        <w:rPr>
          <w:rFonts w:cs="Calibri"/>
        </w:rPr>
        <w:t>transformative potential of citizen-led participation’, a chapter in</w:t>
      </w:r>
      <w:r w:rsidR="00181064" w:rsidRPr="00CA2CC1">
        <w:rPr>
          <w:rFonts w:cs="Calibri"/>
        </w:rPr>
        <w:t xml:space="preserve"> </w:t>
      </w:r>
      <w:r w:rsidRPr="00CA2CC1">
        <w:rPr>
          <w:rFonts w:cs="Calibri"/>
          <w:i/>
        </w:rPr>
        <w:t>Handbook</w:t>
      </w:r>
      <w:r w:rsidRPr="00CA2CC1">
        <w:rPr>
          <w:rFonts w:cs="Calibri"/>
          <w:i/>
          <w:spacing w:val="-1"/>
        </w:rPr>
        <w:t xml:space="preserve"> </w:t>
      </w:r>
      <w:r w:rsidRPr="00CA2CC1">
        <w:rPr>
          <w:rFonts w:cs="Calibri"/>
          <w:i/>
        </w:rPr>
        <w:t>on planning and power</w:t>
      </w:r>
      <w:r w:rsidRPr="00CA2CC1">
        <w:rPr>
          <w:rFonts w:cs="Calibri"/>
        </w:rPr>
        <w:t xml:space="preserve">, published in </w:t>
      </w:r>
      <w:r w:rsidRPr="00CA2CC1">
        <w:rPr>
          <w:rFonts w:cs="Calibri"/>
          <w:spacing w:val="-2"/>
        </w:rPr>
        <w:t>2023.</w:t>
      </w:r>
    </w:p>
    <w:p w14:paraId="65A21DCD" w14:textId="77777777" w:rsidR="00FA4226" w:rsidRPr="00CA2CC1" w:rsidRDefault="00000000" w:rsidP="0043303B">
      <w:pPr>
        <w:pStyle w:val="BodyText"/>
        <w:numPr>
          <w:ilvl w:val="0"/>
          <w:numId w:val="39"/>
        </w:numPr>
        <w:ind w:left="284"/>
        <w:rPr>
          <w:rFonts w:cs="Calibri"/>
          <w:i/>
        </w:rPr>
      </w:pPr>
      <w:r w:rsidRPr="00CA2CC1">
        <w:rPr>
          <w:rFonts w:cs="Calibri"/>
        </w:rPr>
        <w:t>The</w:t>
      </w:r>
      <w:r w:rsidRPr="00CA2CC1">
        <w:rPr>
          <w:rFonts w:cs="Calibri"/>
          <w:spacing w:val="-5"/>
        </w:rPr>
        <w:t xml:space="preserve"> </w:t>
      </w:r>
      <w:r w:rsidRPr="00CA2CC1">
        <w:rPr>
          <w:rFonts w:cs="Calibri"/>
        </w:rPr>
        <w:t>30-year</w:t>
      </w:r>
      <w:r w:rsidRPr="00CA2CC1">
        <w:rPr>
          <w:rFonts w:cs="Calibri"/>
          <w:spacing w:val="-5"/>
        </w:rPr>
        <w:t xml:space="preserve"> </w:t>
      </w:r>
      <w:r w:rsidRPr="00CA2CC1">
        <w:rPr>
          <w:rFonts w:cs="Calibri"/>
        </w:rPr>
        <w:t>strategy</w:t>
      </w:r>
      <w:r w:rsidRPr="00CA2CC1">
        <w:rPr>
          <w:rFonts w:cs="Calibri"/>
          <w:spacing w:val="-5"/>
        </w:rPr>
        <w:t xml:space="preserve"> </w:t>
      </w:r>
      <w:r w:rsidRPr="00CA2CC1">
        <w:rPr>
          <w:rFonts w:cs="Calibri"/>
        </w:rPr>
        <w:t>and</w:t>
      </w:r>
      <w:r w:rsidRPr="00CA2CC1">
        <w:rPr>
          <w:rFonts w:cs="Calibri"/>
          <w:spacing w:val="-5"/>
        </w:rPr>
        <w:t xml:space="preserve"> </w:t>
      </w:r>
      <w:r w:rsidRPr="00CA2CC1">
        <w:rPr>
          <w:rFonts w:cs="Calibri"/>
        </w:rPr>
        <w:t>our</w:t>
      </w:r>
      <w:r w:rsidRPr="00CA2CC1">
        <w:rPr>
          <w:rFonts w:cs="Calibri"/>
          <w:spacing w:val="-5"/>
        </w:rPr>
        <w:t xml:space="preserve"> </w:t>
      </w:r>
      <w:r w:rsidRPr="00CA2CC1">
        <w:rPr>
          <w:rFonts w:cs="Calibri"/>
        </w:rPr>
        <w:t>Fair</w:t>
      </w:r>
      <w:r w:rsidRPr="00CA2CC1">
        <w:rPr>
          <w:rFonts w:cs="Calibri"/>
          <w:spacing w:val="-5"/>
        </w:rPr>
        <w:t xml:space="preserve"> </w:t>
      </w:r>
      <w:r w:rsidRPr="00CA2CC1">
        <w:rPr>
          <w:rFonts w:cs="Calibri"/>
        </w:rPr>
        <w:t>move</w:t>
      </w:r>
      <w:r w:rsidRPr="00CA2CC1">
        <w:rPr>
          <w:rFonts w:cs="Calibri"/>
          <w:spacing w:val="-5"/>
        </w:rPr>
        <w:t xml:space="preserve"> </w:t>
      </w:r>
      <w:r w:rsidRPr="00CA2CC1">
        <w:rPr>
          <w:rFonts w:cs="Calibri"/>
        </w:rPr>
        <w:t>and</w:t>
      </w:r>
      <w:r w:rsidRPr="00CA2CC1">
        <w:rPr>
          <w:rFonts w:cs="Calibri"/>
          <w:spacing w:val="-5"/>
        </w:rPr>
        <w:t xml:space="preserve"> </w:t>
      </w:r>
      <w:r w:rsidRPr="00CA2CC1">
        <w:rPr>
          <w:rFonts w:cs="Calibri"/>
        </w:rPr>
        <w:t>Good</w:t>
      </w:r>
      <w:r w:rsidRPr="00CA2CC1">
        <w:rPr>
          <w:rFonts w:cs="Calibri"/>
          <w:spacing w:val="-5"/>
        </w:rPr>
        <w:t xml:space="preserve"> </w:t>
      </w:r>
      <w:r w:rsidRPr="00CA2CC1">
        <w:rPr>
          <w:rFonts w:cs="Calibri"/>
        </w:rPr>
        <w:t>move research</w:t>
      </w:r>
      <w:r w:rsidRPr="00CA2CC1">
        <w:rPr>
          <w:rFonts w:cs="Calibri"/>
          <w:spacing w:val="-11"/>
        </w:rPr>
        <w:t xml:space="preserve"> </w:t>
      </w:r>
      <w:r w:rsidRPr="00CA2CC1">
        <w:rPr>
          <w:rFonts w:cs="Calibri"/>
        </w:rPr>
        <w:t>reports</w:t>
      </w:r>
      <w:r w:rsidRPr="00CA2CC1">
        <w:rPr>
          <w:rFonts w:cs="Calibri"/>
          <w:spacing w:val="-11"/>
        </w:rPr>
        <w:t xml:space="preserve"> </w:t>
      </w:r>
      <w:r w:rsidRPr="00CA2CC1">
        <w:rPr>
          <w:rFonts w:cs="Calibri"/>
        </w:rPr>
        <w:t>are</w:t>
      </w:r>
      <w:r w:rsidRPr="00CA2CC1">
        <w:rPr>
          <w:rFonts w:cs="Calibri"/>
          <w:spacing w:val="-11"/>
        </w:rPr>
        <w:t xml:space="preserve"> </w:t>
      </w:r>
      <w:r w:rsidRPr="00CA2CC1">
        <w:rPr>
          <w:rFonts w:cs="Calibri"/>
        </w:rPr>
        <w:t>referenced</w:t>
      </w:r>
      <w:r w:rsidRPr="00CA2CC1">
        <w:rPr>
          <w:rFonts w:cs="Calibri"/>
          <w:spacing w:val="-11"/>
        </w:rPr>
        <w:t xml:space="preserve"> </w:t>
      </w:r>
      <w:r w:rsidRPr="00CA2CC1">
        <w:rPr>
          <w:rFonts w:cs="Calibri"/>
        </w:rPr>
        <w:t>in</w:t>
      </w:r>
      <w:r w:rsidRPr="00CA2CC1">
        <w:rPr>
          <w:rFonts w:cs="Calibri"/>
          <w:spacing w:val="-11"/>
        </w:rPr>
        <w:t xml:space="preserve"> </w:t>
      </w:r>
      <w:r w:rsidRPr="00CA2CC1">
        <w:rPr>
          <w:rFonts w:cs="Calibri"/>
        </w:rPr>
        <w:t>the</w:t>
      </w:r>
      <w:r w:rsidRPr="00CA2CC1">
        <w:rPr>
          <w:rFonts w:cs="Calibri"/>
          <w:spacing w:val="-11"/>
        </w:rPr>
        <w:t xml:space="preserve"> </w:t>
      </w:r>
      <w:r w:rsidRPr="00CA2CC1">
        <w:rPr>
          <w:rFonts w:cs="Calibri"/>
        </w:rPr>
        <w:t>chapter</w:t>
      </w:r>
      <w:r w:rsidRPr="00CA2CC1">
        <w:rPr>
          <w:rFonts w:cs="Calibri"/>
          <w:spacing w:val="-11"/>
        </w:rPr>
        <w:t xml:space="preserve"> </w:t>
      </w:r>
      <w:r w:rsidRPr="00CA2CC1">
        <w:rPr>
          <w:rFonts w:cs="Calibri"/>
        </w:rPr>
        <w:t xml:space="preserve">‘Transport pricing and financing in Oceania’, published in the 2023 book, </w:t>
      </w:r>
      <w:r w:rsidRPr="00CA2CC1">
        <w:rPr>
          <w:rFonts w:cs="Calibri"/>
          <w:i/>
        </w:rPr>
        <w:t>Transport pricing and financing.</w:t>
      </w:r>
    </w:p>
    <w:p w14:paraId="175E3A09" w14:textId="77777777" w:rsidR="00FA4226" w:rsidRPr="00CA2CC1" w:rsidRDefault="00000000" w:rsidP="0043303B">
      <w:pPr>
        <w:pStyle w:val="BodyText"/>
        <w:numPr>
          <w:ilvl w:val="0"/>
          <w:numId w:val="39"/>
        </w:numPr>
        <w:ind w:left="284"/>
        <w:rPr>
          <w:rFonts w:cs="Calibri"/>
        </w:rPr>
      </w:pPr>
      <w:r w:rsidRPr="00CA2CC1">
        <w:rPr>
          <w:rFonts w:cs="Calibri"/>
        </w:rPr>
        <w:t xml:space="preserve">The </w:t>
      </w:r>
      <w:r w:rsidRPr="00CA2CC1">
        <w:rPr>
          <w:rFonts w:cs="Calibri"/>
          <w:i/>
        </w:rPr>
        <w:t>Addressing regional disadvantage through infrastructure:</w:t>
      </w:r>
      <w:r w:rsidRPr="00CA2CC1">
        <w:rPr>
          <w:rFonts w:cs="Calibri"/>
          <w:i/>
          <w:spacing w:val="-10"/>
        </w:rPr>
        <w:t xml:space="preserve"> </w:t>
      </w:r>
      <w:r w:rsidRPr="00CA2CC1">
        <w:rPr>
          <w:rFonts w:cs="Calibri"/>
          <w:i/>
        </w:rPr>
        <w:t>Central</w:t>
      </w:r>
      <w:r w:rsidRPr="00CA2CC1">
        <w:rPr>
          <w:rFonts w:cs="Calibri"/>
          <w:i/>
          <w:spacing w:val="-10"/>
        </w:rPr>
        <w:t xml:space="preserve"> </w:t>
      </w:r>
      <w:r w:rsidRPr="00CA2CC1">
        <w:rPr>
          <w:rFonts w:cs="Calibri"/>
          <w:i/>
        </w:rPr>
        <w:t>Highlands</w:t>
      </w:r>
      <w:r w:rsidRPr="00CA2CC1">
        <w:rPr>
          <w:rFonts w:cs="Calibri"/>
          <w:i/>
          <w:spacing w:val="-10"/>
        </w:rPr>
        <w:t xml:space="preserve"> </w:t>
      </w:r>
      <w:r w:rsidRPr="00CA2CC1">
        <w:rPr>
          <w:rFonts w:cs="Calibri"/>
        </w:rPr>
        <w:t>report</w:t>
      </w:r>
      <w:r w:rsidRPr="00CA2CC1">
        <w:rPr>
          <w:rFonts w:cs="Calibri"/>
          <w:spacing w:val="-10"/>
        </w:rPr>
        <w:t xml:space="preserve"> </w:t>
      </w:r>
      <w:r w:rsidRPr="00CA2CC1">
        <w:rPr>
          <w:rFonts w:cs="Calibri"/>
        </w:rPr>
        <w:t>was</w:t>
      </w:r>
      <w:r w:rsidRPr="00CA2CC1">
        <w:rPr>
          <w:rFonts w:cs="Calibri"/>
          <w:spacing w:val="-10"/>
        </w:rPr>
        <w:t xml:space="preserve"> </w:t>
      </w:r>
      <w:r w:rsidRPr="00CA2CC1">
        <w:rPr>
          <w:rFonts w:cs="Calibri"/>
        </w:rPr>
        <w:t>referenced in the article ‘A health justice partnership for young people: strategies for program promotion to young people</w:t>
      </w:r>
      <w:r w:rsidRPr="00CA2CC1">
        <w:rPr>
          <w:rFonts w:cs="Calibri"/>
          <w:spacing w:val="-1"/>
        </w:rPr>
        <w:t xml:space="preserve"> </w:t>
      </w:r>
      <w:r w:rsidRPr="00CA2CC1">
        <w:rPr>
          <w:rFonts w:cs="Calibri"/>
        </w:rPr>
        <w:t>and</w:t>
      </w:r>
      <w:r w:rsidRPr="00CA2CC1">
        <w:rPr>
          <w:rFonts w:cs="Calibri"/>
          <w:spacing w:val="-1"/>
        </w:rPr>
        <w:t xml:space="preserve"> </w:t>
      </w:r>
      <w:r w:rsidRPr="00CA2CC1">
        <w:rPr>
          <w:rFonts w:cs="Calibri"/>
        </w:rPr>
        <w:t>youth</w:t>
      </w:r>
      <w:r w:rsidRPr="00CA2CC1">
        <w:rPr>
          <w:rFonts w:cs="Calibri"/>
          <w:spacing w:val="-1"/>
        </w:rPr>
        <w:t xml:space="preserve"> </w:t>
      </w:r>
      <w:r w:rsidRPr="00CA2CC1">
        <w:rPr>
          <w:rFonts w:cs="Calibri"/>
        </w:rPr>
        <w:t>workers’,</w:t>
      </w:r>
      <w:r w:rsidRPr="00CA2CC1">
        <w:rPr>
          <w:rFonts w:cs="Calibri"/>
          <w:spacing w:val="-1"/>
        </w:rPr>
        <w:t xml:space="preserve"> </w:t>
      </w:r>
      <w:r w:rsidRPr="00CA2CC1">
        <w:rPr>
          <w:rFonts w:cs="Calibri"/>
        </w:rPr>
        <w:t>published</w:t>
      </w:r>
      <w:r w:rsidRPr="00CA2CC1">
        <w:rPr>
          <w:rFonts w:cs="Calibri"/>
          <w:spacing w:val="-1"/>
        </w:rPr>
        <w:t xml:space="preserve"> </w:t>
      </w:r>
      <w:r w:rsidRPr="00CA2CC1">
        <w:rPr>
          <w:rFonts w:cs="Calibri"/>
        </w:rPr>
        <w:t>in</w:t>
      </w:r>
      <w:r w:rsidRPr="00CA2CC1">
        <w:rPr>
          <w:rFonts w:cs="Calibri"/>
          <w:spacing w:val="-1"/>
        </w:rPr>
        <w:t xml:space="preserve"> </w:t>
      </w:r>
      <w:r w:rsidRPr="00CA2CC1">
        <w:rPr>
          <w:rFonts w:cs="Calibri"/>
        </w:rPr>
        <w:t>the</w:t>
      </w:r>
      <w:r w:rsidRPr="00CA2CC1">
        <w:rPr>
          <w:rFonts w:cs="Calibri"/>
          <w:spacing w:val="-1"/>
        </w:rPr>
        <w:t xml:space="preserve"> </w:t>
      </w:r>
      <w:r w:rsidRPr="00CA2CC1">
        <w:rPr>
          <w:rFonts w:cs="Calibri"/>
        </w:rPr>
        <w:t>Australian Journal of Primary Health in May 2023.</w:t>
      </w:r>
    </w:p>
    <w:p w14:paraId="14E528B7" w14:textId="77777777" w:rsidR="00FA4226" w:rsidRPr="00CA2CC1" w:rsidRDefault="00000000" w:rsidP="0043303B">
      <w:pPr>
        <w:pStyle w:val="BodyText"/>
        <w:numPr>
          <w:ilvl w:val="0"/>
          <w:numId w:val="39"/>
        </w:numPr>
        <w:ind w:left="284"/>
        <w:rPr>
          <w:rFonts w:cs="Calibri"/>
        </w:rPr>
      </w:pPr>
      <w:r w:rsidRPr="00CA2CC1">
        <w:rPr>
          <w:rFonts w:cs="Calibri"/>
        </w:rPr>
        <w:t>Infrastructure</w:t>
      </w:r>
      <w:r w:rsidRPr="00CA2CC1">
        <w:rPr>
          <w:rFonts w:cs="Calibri"/>
          <w:spacing w:val="-2"/>
        </w:rPr>
        <w:t xml:space="preserve"> </w:t>
      </w:r>
      <w:r w:rsidRPr="00CA2CC1">
        <w:rPr>
          <w:rFonts w:cs="Calibri"/>
        </w:rPr>
        <w:t>Victoria’s</w:t>
      </w:r>
      <w:r w:rsidRPr="00CA2CC1">
        <w:rPr>
          <w:rFonts w:cs="Calibri"/>
          <w:spacing w:val="-2"/>
        </w:rPr>
        <w:t xml:space="preserve"> </w:t>
      </w:r>
      <w:r w:rsidRPr="00CA2CC1">
        <w:rPr>
          <w:rFonts w:cs="Calibri"/>
        </w:rPr>
        <w:t>Density</w:t>
      </w:r>
      <w:r w:rsidRPr="00CA2CC1">
        <w:rPr>
          <w:rFonts w:cs="Calibri"/>
          <w:spacing w:val="-2"/>
        </w:rPr>
        <w:t xml:space="preserve"> </w:t>
      </w:r>
      <w:r w:rsidRPr="00CA2CC1">
        <w:rPr>
          <w:rFonts w:cs="Calibri"/>
        </w:rPr>
        <w:t>done</w:t>
      </w:r>
      <w:r w:rsidRPr="00CA2CC1">
        <w:rPr>
          <w:rFonts w:cs="Calibri"/>
          <w:spacing w:val="-2"/>
        </w:rPr>
        <w:t xml:space="preserve"> </w:t>
      </w:r>
      <w:r w:rsidRPr="00CA2CC1">
        <w:rPr>
          <w:rFonts w:cs="Calibri"/>
        </w:rPr>
        <w:t>well</w:t>
      </w:r>
      <w:r w:rsidRPr="00CA2CC1">
        <w:rPr>
          <w:rFonts w:cs="Calibri"/>
          <w:spacing w:val="-2"/>
        </w:rPr>
        <w:t xml:space="preserve"> </w:t>
      </w:r>
      <w:r w:rsidRPr="00CA2CC1">
        <w:rPr>
          <w:rFonts w:cs="Calibri"/>
        </w:rPr>
        <w:t>research</w:t>
      </w:r>
      <w:r w:rsidRPr="00CA2CC1">
        <w:rPr>
          <w:rFonts w:cs="Calibri"/>
          <w:spacing w:val="-2"/>
        </w:rPr>
        <w:t xml:space="preserve"> </w:t>
      </w:r>
      <w:r w:rsidRPr="00CA2CC1">
        <w:rPr>
          <w:rFonts w:cs="Calibri"/>
        </w:rPr>
        <w:t>was cited</w:t>
      </w:r>
      <w:r w:rsidRPr="00CA2CC1">
        <w:rPr>
          <w:rFonts w:cs="Calibri"/>
          <w:spacing w:val="-2"/>
        </w:rPr>
        <w:t xml:space="preserve"> </w:t>
      </w:r>
      <w:r w:rsidRPr="00CA2CC1">
        <w:rPr>
          <w:rFonts w:cs="Calibri"/>
        </w:rPr>
        <w:t>in</w:t>
      </w:r>
      <w:r w:rsidRPr="00CA2CC1">
        <w:rPr>
          <w:rFonts w:cs="Calibri"/>
          <w:spacing w:val="-2"/>
        </w:rPr>
        <w:t xml:space="preserve"> </w:t>
      </w:r>
      <w:r w:rsidRPr="00CA2CC1">
        <w:rPr>
          <w:rFonts w:cs="Calibri"/>
        </w:rPr>
        <w:t>the</w:t>
      </w:r>
      <w:r w:rsidRPr="00CA2CC1">
        <w:rPr>
          <w:rFonts w:cs="Calibri"/>
          <w:spacing w:val="-2"/>
        </w:rPr>
        <w:t xml:space="preserve"> </w:t>
      </w:r>
      <w:r w:rsidRPr="00CA2CC1">
        <w:rPr>
          <w:rFonts w:cs="Calibri"/>
        </w:rPr>
        <w:t>academic</w:t>
      </w:r>
      <w:r w:rsidRPr="00CA2CC1">
        <w:rPr>
          <w:rFonts w:cs="Calibri"/>
          <w:spacing w:val="-2"/>
        </w:rPr>
        <w:t xml:space="preserve"> </w:t>
      </w:r>
      <w:r w:rsidRPr="00CA2CC1">
        <w:rPr>
          <w:rFonts w:cs="Calibri"/>
        </w:rPr>
        <w:t>article,</w:t>
      </w:r>
      <w:r w:rsidRPr="00CA2CC1">
        <w:rPr>
          <w:rFonts w:cs="Calibri"/>
          <w:spacing w:val="-2"/>
        </w:rPr>
        <w:t xml:space="preserve"> </w:t>
      </w:r>
      <w:r w:rsidRPr="00CA2CC1">
        <w:rPr>
          <w:rFonts w:cs="Calibri"/>
        </w:rPr>
        <w:t>’”Density</w:t>
      </w:r>
      <w:r w:rsidRPr="00CA2CC1">
        <w:rPr>
          <w:rFonts w:cs="Calibri"/>
          <w:spacing w:val="-2"/>
        </w:rPr>
        <w:t xml:space="preserve"> </w:t>
      </w:r>
      <w:r w:rsidRPr="00CA2CC1">
        <w:rPr>
          <w:rFonts w:cs="Calibri"/>
        </w:rPr>
        <w:t>done</w:t>
      </w:r>
      <w:r w:rsidRPr="00CA2CC1">
        <w:rPr>
          <w:rFonts w:cs="Calibri"/>
          <w:spacing w:val="-2"/>
        </w:rPr>
        <w:t xml:space="preserve"> </w:t>
      </w:r>
      <w:r w:rsidRPr="00CA2CC1">
        <w:rPr>
          <w:rFonts w:cs="Calibri"/>
        </w:rPr>
        <w:t>well”</w:t>
      </w:r>
      <w:r w:rsidRPr="00CA2CC1">
        <w:rPr>
          <w:rFonts w:cs="Calibri"/>
          <w:spacing w:val="-2"/>
        </w:rPr>
        <w:t xml:space="preserve"> </w:t>
      </w:r>
      <w:r w:rsidRPr="00CA2CC1">
        <w:rPr>
          <w:rFonts w:cs="Calibri"/>
        </w:rPr>
        <w:t>in</w:t>
      </w:r>
      <w:r w:rsidRPr="00CA2CC1">
        <w:rPr>
          <w:rFonts w:cs="Calibri"/>
          <w:spacing w:val="-2"/>
        </w:rPr>
        <w:t xml:space="preserve"> </w:t>
      </w:r>
      <w:r w:rsidRPr="00CA2CC1">
        <w:rPr>
          <w:rFonts w:cs="Calibri"/>
        </w:rPr>
        <w:t>the pursuit of 20-minute neighbourhoods: navigating fluid discourses</w:t>
      </w:r>
      <w:r w:rsidRPr="00CA2CC1">
        <w:rPr>
          <w:rFonts w:cs="Calibri"/>
          <w:spacing w:val="-5"/>
        </w:rPr>
        <w:t xml:space="preserve"> </w:t>
      </w:r>
      <w:r w:rsidRPr="00CA2CC1">
        <w:rPr>
          <w:rFonts w:cs="Calibri"/>
        </w:rPr>
        <w:t>in</w:t>
      </w:r>
      <w:r w:rsidRPr="00CA2CC1">
        <w:rPr>
          <w:rFonts w:cs="Calibri"/>
          <w:spacing w:val="-5"/>
        </w:rPr>
        <w:t xml:space="preserve"> </w:t>
      </w:r>
      <w:r w:rsidRPr="00CA2CC1">
        <w:rPr>
          <w:rFonts w:cs="Calibri"/>
        </w:rPr>
        <w:t>Melbourne’</w:t>
      </w:r>
      <w:r w:rsidRPr="00CA2CC1">
        <w:rPr>
          <w:rFonts w:cs="Calibri"/>
          <w:spacing w:val="-5"/>
        </w:rPr>
        <w:t xml:space="preserve"> </w:t>
      </w:r>
      <w:r w:rsidRPr="00CA2CC1">
        <w:rPr>
          <w:rFonts w:cs="Calibri"/>
        </w:rPr>
        <w:t>published</w:t>
      </w:r>
      <w:r w:rsidRPr="00CA2CC1">
        <w:rPr>
          <w:rFonts w:cs="Calibri"/>
          <w:spacing w:val="-5"/>
        </w:rPr>
        <w:t xml:space="preserve"> </w:t>
      </w:r>
      <w:r w:rsidRPr="00CA2CC1">
        <w:rPr>
          <w:rFonts w:cs="Calibri"/>
        </w:rPr>
        <w:t>in</w:t>
      </w:r>
      <w:r w:rsidRPr="00CA2CC1">
        <w:rPr>
          <w:rFonts w:cs="Calibri"/>
          <w:spacing w:val="-5"/>
        </w:rPr>
        <w:t xml:space="preserve"> </w:t>
      </w:r>
      <w:r w:rsidRPr="00CA2CC1">
        <w:rPr>
          <w:rFonts w:cs="Calibri"/>
        </w:rPr>
        <w:t>Urban</w:t>
      </w:r>
      <w:r w:rsidRPr="00CA2CC1">
        <w:rPr>
          <w:rFonts w:cs="Calibri"/>
          <w:spacing w:val="-5"/>
        </w:rPr>
        <w:t xml:space="preserve"> </w:t>
      </w:r>
      <w:r w:rsidRPr="00CA2CC1">
        <w:rPr>
          <w:rFonts w:cs="Calibri"/>
        </w:rPr>
        <w:t>Policy</w:t>
      </w:r>
      <w:r w:rsidRPr="00CA2CC1">
        <w:rPr>
          <w:rFonts w:cs="Calibri"/>
          <w:spacing w:val="-5"/>
        </w:rPr>
        <w:t xml:space="preserve"> </w:t>
      </w:r>
      <w:r w:rsidRPr="00CA2CC1">
        <w:rPr>
          <w:rFonts w:cs="Calibri"/>
        </w:rPr>
        <w:t>and Research in 2023.</w:t>
      </w:r>
    </w:p>
    <w:p w14:paraId="3657A5DC" w14:textId="77777777" w:rsidR="00FA4226" w:rsidRPr="00CA2CC1" w:rsidRDefault="00000000" w:rsidP="0043303B">
      <w:pPr>
        <w:pStyle w:val="BodyText"/>
        <w:numPr>
          <w:ilvl w:val="0"/>
          <w:numId w:val="39"/>
        </w:numPr>
        <w:ind w:left="284"/>
        <w:rPr>
          <w:rFonts w:cs="Calibri"/>
        </w:rPr>
      </w:pPr>
      <w:r w:rsidRPr="00CA2CC1">
        <w:rPr>
          <w:rFonts w:cs="Calibri"/>
        </w:rPr>
        <w:t>Our</w:t>
      </w:r>
      <w:r w:rsidRPr="00CA2CC1">
        <w:rPr>
          <w:rFonts w:cs="Calibri"/>
          <w:spacing w:val="-4"/>
        </w:rPr>
        <w:t xml:space="preserve"> </w:t>
      </w:r>
      <w:r w:rsidRPr="00CA2CC1">
        <w:rPr>
          <w:rFonts w:cs="Calibri"/>
        </w:rPr>
        <w:t>research</w:t>
      </w:r>
      <w:r w:rsidRPr="00CA2CC1">
        <w:rPr>
          <w:rFonts w:cs="Calibri"/>
          <w:spacing w:val="-4"/>
        </w:rPr>
        <w:t xml:space="preserve"> </w:t>
      </w:r>
      <w:r w:rsidRPr="00CA2CC1">
        <w:rPr>
          <w:rFonts w:cs="Calibri"/>
        </w:rPr>
        <w:t>report,</w:t>
      </w:r>
      <w:r w:rsidRPr="00CA2CC1">
        <w:rPr>
          <w:rFonts w:cs="Calibri"/>
          <w:spacing w:val="-4"/>
        </w:rPr>
        <w:t xml:space="preserve"> </w:t>
      </w:r>
      <w:r w:rsidRPr="00CA2CC1">
        <w:rPr>
          <w:rFonts w:cs="Calibri"/>
        </w:rPr>
        <w:t>Transporting</w:t>
      </w:r>
      <w:r w:rsidRPr="00CA2CC1">
        <w:rPr>
          <w:rFonts w:cs="Calibri"/>
          <w:spacing w:val="-4"/>
        </w:rPr>
        <w:t xml:space="preserve"> </w:t>
      </w:r>
      <w:r w:rsidRPr="00CA2CC1">
        <w:rPr>
          <w:rFonts w:cs="Calibri"/>
        </w:rPr>
        <w:t>Melbourne’s</w:t>
      </w:r>
      <w:r w:rsidRPr="00CA2CC1">
        <w:rPr>
          <w:rFonts w:cs="Calibri"/>
          <w:spacing w:val="-4"/>
        </w:rPr>
        <w:t xml:space="preserve"> </w:t>
      </w:r>
      <w:r w:rsidRPr="00CA2CC1">
        <w:rPr>
          <w:rFonts w:cs="Calibri"/>
        </w:rPr>
        <w:t>recovery, was cited in ‘A city-level transport vision for 2050: reimagined since COVID-19’, published in Transport Policy</w:t>
      </w:r>
      <w:r w:rsidRPr="00CA2CC1">
        <w:rPr>
          <w:rFonts w:cs="Calibri"/>
          <w:spacing w:val="-5"/>
        </w:rPr>
        <w:t xml:space="preserve"> </w:t>
      </w:r>
      <w:r w:rsidRPr="00CA2CC1">
        <w:rPr>
          <w:rFonts w:cs="Calibri"/>
        </w:rPr>
        <w:t>(volume</w:t>
      </w:r>
      <w:r w:rsidRPr="00CA2CC1">
        <w:rPr>
          <w:rFonts w:cs="Calibri"/>
          <w:spacing w:val="-5"/>
        </w:rPr>
        <w:t xml:space="preserve"> </w:t>
      </w:r>
      <w:r w:rsidRPr="00CA2CC1">
        <w:rPr>
          <w:rFonts w:cs="Calibri"/>
        </w:rPr>
        <w:t>132),</w:t>
      </w:r>
      <w:r w:rsidRPr="00CA2CC1">
        <w:rPr>
          <w:rFonts w:cs="Calibri"/>
          <w:spacing w:val="-5"/>
        </w:rPr>
        <w:t xml:space="preserve"> </w:t>
      </w:r>
      <w:r w:rsidRPr="00CA2CC1">
        <w:rPr>
          <w:rFonts w:cs="Calibri"/>
        </w:rPr>
        <w:t>the</w:t>
      </w:r>
      <w:r w:rsidRPr="00CA2CC1">
        <w:rPr>
          <w:rFonts w:cs="Calibri"/>
          <w:spacing w:val="-5"/>
        </w:rPr>
        <w:t xml:space="preserve"> </w:t>
      </w:r>
      <w:r w:rsidRPr="00CA2CC1">
        <w:rPr>
          <w:rFonts w:cs="Calibri"/>
        </w:rPr>
        <w:t>international</w:t>
      </w:r>
      <w:r w:rsidRPr="00CA2CC1">
        <w:rPr>
          <w:rFonts w:cs="Calibri"/>
          <w:spacing w:val="-5"/>
        </w:rPr>
        <w:t xml:space="preserve"> </w:t>
      </w:r>
      <w:r w:rsidRPr="00CA2CC1">
        <w:rPr>
          <w:rFonts w:cs="Calibri"/>
        </w:rPr>
        <w:t>journal</w:t>
      </w:r>
      <w:r w:rsidRPr="00CA2CC1">
        <w:rPr>
          <w:rFonts w:cs="Calibri"/>
          <w:spacing w:val="-5"/>
        </w:rPr>
        <w:t xml:space="preserve"> </w:t>
      </w:r>
      <w:r w:rsidRPr="00CA2CC1">
        <w:rPr>
          <w:rFonts w:cs="Calibri"/>
        </w:rPr>
        <w:t>of</w:t>
      </w:r>
      <w:r w:rsidRPr="00CA2CC1">
        <w:rPr>
          <w:rFonts w:cs="Calibri"/>
          <w:spacing w:val="-5"/>
        </w:rPr>
        <w:t xml:space="preserve"> </w:t>
      </w:r>
      <w:r w:rsidRPr="00CA2CC1">
        <w:rPr>
          <w:rFonts w:cs="Calibri"/>
        </w:rPr>
        <w:t>the</w:t>
      </w:r>
      <w:r w:rsidRPr="00CA2CC1">
        <w:rPr>
          <w:rFonts w:cs="Calibri"/>
          <w:spacing w:val="-5"/>
        </w:rPr>
        <w:t xml:space="preserve"> </w:t>
      </w:r>
      <w:r w:rsidRPr="00CA2CC1">
        <w:rPr>
          <w:rFonts w:cs="Calibri"/>
        </w:rPr>
        <w:t>World Conference on Transport Research Society.</w:t>
      </w:r>
    </w:p>
    <w:p w14:paraId="5B82B74C" w14:textId="77777777" w:rsidR="00FA4226" w:rsidRPr="00CA2CC1" w:rsidRDefault="00000000" w:rsidP="0043303B">
      <w:pPr>
        <w:pStyle w:val="BodyText"/>
        <w:numPr>
          <w:ilvl w:val="0"/>
          <w:numId w:val="39"/>
        </w:numPr>
        <w:ind w:left="284"/>
        <w:rPr>
          <w:rFonts w:cs="Calibri"/>
        </w:rPr>
      </w:pPr>
      <w:r w:rsidRPr="00CA2CC1">
        <w:rPr>
          <w:rFonts w:cs="Calibri"/>
        </w:rPr>
        <w:t>Our</w:t>
      </w:r>
      <w:r w:rsidRPr="00CA2CC1">
        <w:rPr>
          <w:rFonts w:cs="Calibri"/>
          <w:spacing w:val="-6"/>
        </w:rPr>
        <w:t xml:space="preserve"> </w:t>
      </w:r>
      <w:r w:rsidRPr="00CA2CC1">
        <w:rPr>
          <w:rFonts w:cs="Calibri"/>
          <w:i/>
        </w:rPr>
        <w:t>Advice</w:t>
      </w:r>
      <w:r w:rsidRPr="00CA2CC1">
        <w:rPr>
          <w:rFonts w:cs="Calibri"/>
          <w:i/>
          <w:spacing w:val="-6"/>
        </w:rPr>
        <w:t xml:space="preserve"> </w:t>
      </w:r>
      <w:r w:rsidRPr="00CA2CC1">
        <w:rPr>
          <w:rFonts w:cs="Calibri"/>
          <w:i/>
        </w:rPr>
        <w:t>on</w:t>
      </w:r>
      <w:r w:rsidRPr="00CA2CC1">
        <w:rPr>
          <w:rFonts w:cs="Calibri"/>
          <w:i/>
          <w:spacing w:val="-6"/>
        </w:rPr>
        <w:t xml:space="preserve"> </w:t>
      </w:r>
      <w:r w:rsidRPr="00CA2CC1">
        <w:rPr>
          <w:rFonts w:cs="Calibri"/>
          <w:i/>
        </w:rPr>
        <w:t>zero</w:t>
      </w:r>
      <w:r w:rsidRPr="00CA2CC1">
        <w:rPr>
          <w:rFonts w:cs="Calibri"/>
          <w:i/>
          <w:spacing w:val="-6"/>
        </w:rPr>
        <w:t xml:space="preserve"> </w:t>
      </w:r>
      <w:r w:rsidRPr="00CA2CC1">
        <w:rPr>
          <w:rFonts w:cs="Calibri"/>
          <w:i/>
        </w:rPr>
        <w:t>emissions</w:t>
      </w:r>
      <w:r w:rsidRPr="00CA2CC1">
        <w:rPr>
          <w:rFonts w:cs="Calibri"/>
          <w:i/>
          <w:spacing w:val="-6"/>
        </w:rPr>
        <w:t xml:space="preserve"> </w:t>
      </w:r>
      <w:r w:rsidRPr="00CA2CC1">
        <w:rPr>
          <w:rFonts w:cs="Calibri"/>
          <w:i/>
        </w:rPr>
        <w:t>and</w:t>
      </w:r>
      <w:r w:rsidRPr="00CA2CC1">
        <w:rPr>
          <w:rFonts w:cs="Calibri"/>
          <w:i/>
          <w:spacing w:val="-6"/>
        </w:rPr>
        <w:t xml:space="preserve"> </w:t>
      </w:r>
      <w:r w:rsidRPr="00CA2CC1">
        <w:rPr>
          <w:rFonts w:cs="Calibri"/>
          <w:i/>
        </w:rPr>
        <w:t>automated</w:t>
      </w:r>
      <w:r w:rsidRPr="00CA2CC1">
        <w:rPr>
          <w:rFonts w:cs="Calibri"/>
          <w:i/>
          <w:spacing w:val="-6"/>
        </w:rPr>
        <w:t xml:space="preserve"> </w:t>
      </w:r>
      <w:r w:rsidRPr="00CA2CC1">
        <w:rPr>
          <w:rFonts w:cs="Calibri"/>
          <w:i/>
        </w:rPr>
        <w:t xml:space="preserve">vehicles </w:t>
      </w:r>
      <w:r w:rsidRPr="00CA2CC1">
        <w:rPr>
          <w:rFonts w:cs="Calibri"/>
        </w:rPr>
        <w:t>was cited in the article ‘Imagining urban mobility futures in the era of autonomous vehicles - insights from</w:t>
      </w:r>
      <w:r w:rsidRPr="00CA2CC1">
        <w:rPr>
          <w:rFonts w:cs="Calibri"/>
          <w:spacing w:val="-2"/>
        </w:rPr>
        <w:t xml:space="preserve"> </w:t>
      </w:r>
      <w:r w:rsidRPr="00CA2CC1">
        <w:rPr>
          <w:rFonts w:cs="Calibri"/>
        </w:rPr>
        <w:t>participatory</w:t>
      </w:r>
      <w:r w:rsidRPr="00CA2CC1">
        <w:rPr>
          <w:rFonts w:cs="Calibri"/>
          <w:spacing w:val="-2"/>
        </w:rPr>
        <w:t xml:space="preserve"> </w:t>
      </w:r>
      <w:r w:rsidRPr="00CA2CC1">
        <w:rPr>
          <w:rFonts w:cs="Calibri"/>
        </w:rPr>
        <w:t>visioning</w:t>
      </w:r>
      <w:r w:rsidRPr="00CA2CC1">
        <w:rPr>
          <w:rFonts w:cs="Calibri"/>
          <w:spacing w:val="-2"/>
        </w:rPr>
        <w:t xml:space="preserve"> </w:t>
      </w:r>
      <w:r w:rsidRPr="00CA2CC1">
        <w:rPr>
          <w:rFonts w:cs="Calibri"/>
        </w:rPr>
        <w:t>and</w:t>
      </w:r>
      <w:r w:rsidRPr="00CA2CC1">
        <w:rPr>
          <w:rFonts w:cs="Calibri"/>
          <w:spacing w:val="-2"/>
        </w:rPr>
        <w:t xml:space="preserve"> </w:t>
      </w:r>
      <w:r w:rsidRPr="00CA2CC1">
        <w:rPr>
          <w:rFonts w:cs="Calibri"/>
        </w:rPr>
        <w:t>multi-criteria</w:t>
      </w:r>
      <w:r w:rsidRPr="00CA2CC1">
        <w:rPr>
          <w:rFonts w:cs="Calibri"/>
          <w:spacing w:val="-2"/>
        </w:rPr>
        <w:t xml:space="preserve"> </w:t>
      </w:r>
      <w:r w:rsidRPr="00CA2CC1">
        <w:rPr>
          <w:rFonts w:cs="Calibri"/>
        </w:rPr>
        <w:t>appraisal in the UK and Australia’, published in Transport Policy (volume 136).</w:t>
      </w:r>
    </w:p>
    <w:p w14:paraId="51599900" w14:textId="77777777" w:rsidR="00181064" w:rsidRPr="00CA2CC1" w:rsidRDefault="00000000" w:rsidP="0043303B">
      <w:pPr>
        <w:pStyle w:val="BodyText"/>
        <w:numPr>
          <w:ilvl w:val="0"/>
          <w:numId w:val="39"/>
        </w:numPr>
        <w:ind w:left="284"/>
        <w:rPr>
          <w:rFonts w:cs="Calibri"/>
        </w:rPr>
      </w:pPr>
      <w:r w:rsidRPr="00CA2CC1">
        <w:rPr>
          <w:rFonts w:cs="Calibri"/>
        </w:rPr>
        <w:t>Our Advice on zero emissions and automated vehicles was also cited in ‘Striking the right balance: understanding</w:t>
      </w:r>
      <w:r w:rsidRPr="00CA2CC1">
        <w:rPr>
          <w:rFonts w:cs="Calibri"/>
          <w:spacing w:val="-8"/>
        </w:rPr>
        <w:t xml:space="preserve"> </w:t>
      </w:r>
      <w:r w:rsidRPr="00CA2CC1">
        <w:rPr>
          <w:rFonts w:cs="Calibri"/>
        </w:rPr>
        <w:t>the</w:t>
      </w:r>
      <w:r w:rsidRPr="00CA2CC1">
        <w:rPr>
          <w:rFonts w:cs="Calibri"/>
          <w:spacing w:val="-8"/>
        </w:rPr>
        <w:t xml:space="preserve"> </w:t>
      </w:r>
      <w:r w:rsidRPr="00CA2CC1">
        <w:rPr>
          <w:rFonts w:cs="Calibri"/>
        </w:rPr>
        <w:t>strategic</w:t>
      </w:r>
      <w:r w:rsidRPr="00CA2CC1">
        <w:rPr>
          <w:rFonts w:cs="Calibri"/>
          <w:spacing w:val="-8"/>
        </w:rPr>
        <w:t xml:space="preserve"> </w:t>
      </w:r>
      <w:r w:rsidRPr="00CA2CC1">
        <w:rPr>
          <w:rFonts w:cs="Calibri"/>
        </w:rPr>
        <w:t>applications</w:t>
      </w:r>
      <w:r w:rsidRPr="00CA2CC1">
        <w:rPr>
          <w:rFonts w:cs="Calibri"/>
          <w:spacing w:val="-8"/>
        </w:rPr>
        <w:t xml:space="preserve"> </w:t>
      </w:r>
      <w:r w:rsidRPr="00CA2CC1">
        <w:rPr>
          <w:rFonts w:cs="Calibri"/>
        </w:rPr>
        <w:t>of</w:t>
      </w:r>
      <w:r w:rsidRPr="00CA2CC1">
        <w:rPr>
          <w:rFonts w:cs="Calibri"/>
          <w:spacing w:val="-8"/>
        </w:rPr>
        <w:t xml:space="preserve"> </w:t>
      </w:r>
      <w:r w:rsidRPr="00CA2CC1">
        <w:rPr>
          <w:rFonts w:cs="Calibri"/>
        </w:rPr>
        <w:t xml:space="preserve">hydrogen in transitioning to a net zero emissions economy’, </w:t>
      </w:r>
      <w:r w:rsidRPr="00CA2CC1">
        <w:rPr>
          <w:rFonts w:cs="Calibri"/>
        </w:rPr>
        <w:lastRenderedPageBreak/>
        <w:t>published by Sustainable Earth Reviews in 2023.</w:t>
      </w:r>
    </w:p>
    <w:p w14:paraId="6FB125B5" w14:textId="2D8E90E6" w:rsidR="00FA4226" w:rsidRPr="00CA2CC1" w:rsidRDefault="00000000" w:rsidP="0043303B">
      <w:pPr>
        <w:pStyle w:val="BodyText"/>
        <w:numPr>
          <w:ilvl w:val="0"/>
          <w:numId w:val="39"/>
        </w:numPr>
        <w:ind w:left="284"/>
        <w:rPr>
          <w:rFonts w:cs="Calibri"/>
        </w:rPr>
      </w:pPr>
      <w:r w:rsidRPr="00CA2CC1">
        <w:rPr>
          <w:rFonts w:cs="Calibri"/>
          <w:i/>
        </w:rPr>
        <w:t xml:space="preserve">Victoria’s infrastructure strategy 2021–2051 </w:t>
      </w:r>
      <w:r w:rsidRPr="00CA2CC1">
        <w:rPr>
          <w:rFonts w:cs="Calibri"/>
        </w:rPr>
        <w:t>and our Victorian Land Use and Transport Integration (VLUTI) model architecture report were cited in ‘An application of</w:t>
      </w:r>
      <w:r w:rsidRPr="00CA2CC1">
        <w:rPr>
          <w:rFonts w:cs="Calibri"/>
          <w:spacing w:val="-5"/>
        </w:rPr>
        <w:t xml:space="preserve"> </w:t>
      </w:r>
      <w:r w:rsidRPr="00CA2CC1">
        <w:rPr>
          <w:rFonts w:cs="Calibri"/>
        </w:rPr>
        <w:t>land</w:t>
      </w:r>
      <w:r w:rsidRPr="00CA2CC1">
        <w:rPr>
          <w:rFonts w:cs="Calibri"/>
          <w:spacing w:val="-5"/>
        </w:rPr>
        <w:t xml:space="preserve"> </w:t>
      </w:r>
      <w:r w:rsidRPr="00CA2CC1">
        <w:rPr>
          <w:rFonts w:cs="Calibri"/>
        </w:rPr>
        <w:t>use,</w:t>
      </w:r>
      <w:r w:rsidRPr="00CA2CC1">
        <w:rPr>
          <w:rFonts w:cs="Calibri"/>
          <w:spacing w:val="-5"/>
        </w:rPr>
        <w:t xml:space="preserve"> </w:t>
      </w:r>
      <w:r w:rsidRPr="00CA2CC1">
        <w:rPr>
          <w:rFonts w:cs="Calibri"/>
        </w:rPr>
        <w:t>transport,</w:t>
      </w:r>
      <w:r w:rsidRPr="00CA2CC1">
        <w:rPr>
          <w:rFonts w:cs="Calibri"/>
          <w:spacing w:val="-5"/>
        </w:rPr>
        <w:t xml:space="preserve"> </w:t>
      </w:r>
      <w:r w:rsidRPr="00CA2CC1">
        <w:rPr>
          <w:rFonts w:cs="Calibri"/>
        </w:rPr>
        <w:t>and</w:t>
      </w:r>
      <w:r w:rsidRPr="00CA2CC1">
        <w:rPr>
          <w:rFonts w:cs="Calibri"/>
          <w:spacing w:val="-5"/>
        </w:rPr>
        <w:t xml:space="preserve"> </w:t>
      </w:r>
      <w:r w:rsidRPr="00CA2CC1">
        <w:rPr>
          <w:rFonts w:cs="Calibri"/>
        </w:rPr>
        <w:t>economy</w:t>
      </w:r>
      <w:r w:rsidRPr="00CA2CC1">
        <w:rPr>
          <w:rFonts w:cs="Calibri"/>
          <w:spacing w:val="-5"/>
        </w:rPr>
        <w:t xml:space="preserve"> </w:t>
      </w:r>
      <w:r w:rsidRPr="00CA2CC1">
        <w:rPr>
          <w:rFonts w:cs="Calibri"/>
        </w:rPr>
        <w:t>interaction</w:t>
      </w:r>
      <w:r w:rsidRPr="00CA2CC1">
        <w:rPr>
          <w:rFonts w:cs="Calibri"/>
          <w:spacing w:val="-5"/>
        </w:rPr>
        <w:t xml:space="preserve"> </w:t>
      </w:r>
      <w:r w:rsidRPr="00CA2CC1">
        <w:rPr>
          <w:rFonts w:cs="Calibri"/>
        </w:rPr>
        <w:t>model’, Research in Transportation Economics (volume 99), published in 2023.</w:t>
      </w:r>
    </w:p>
    <w:p w14:paraId="7A007262" w14:textId="77777777" w:rsidR="00FA4226" w:rsidRPr="00CA2CC1" w:rsidRDefault="00000000" w:rsidP="0043303B">
      <w:pPr>
        <w:pStyle w:val="BodyText"/>
        <w:numPr>
          <w:ilvl w:val="0"/>
          <w:numId w:val="39"/>
        </w:numPr>
        <w:ind w:left="284"/>
        <w:rPr>
          <w:rFonts w:cs="Calibri"/>
        </w:rPr>
      </w:pPr>
      <w:r w:rsidRPr="00CA2CC1">
        <w:rPr>
          <w:rFonts w:cs="Calibri"/>
        </w:rPr>
        <w:t>The</w:t>
      </w:r>
      <w:r w:rsidRPr="00CA2CC1">
        <w:rPr>
          <w:rFonts w:cs="Calibri"/>
          <w:spacing w:val="-8"/>
        </w:rPr>
        <w:t xml:space="preserve"> </w:t>
      </w:r>
      <w:r w:rsidRPr="00CA2CC1">
        <w:rPr>
          <w:rFonts w:cs="Calibri"/>
        </w:rPr>
        <w:t>McKell</w:t>
      </w:r>
      <w:r w:rsidRPr="00CA2CC1">
        <w:rPr>
          <w:rFonts w:cs="Calibri"/>
          <w:spacing w:val="-8"/>
        </w:rPr>
        <w:t xml:space="preserve"> </w:t>
      </w:r>
      <w:r w:rsidRPr="00CA2CC1">
        <w:rPr>
          <w:rFonts w:cs="Calibri"/>
        </w:rPr>
        <w:t>Institute</w:t>
      </w:r>
      <w:r w:rsidRPr="00CA2CC1">
        <w:rPr>
          <w:rFonts w:cs="Calibri"/>
          <w:spacing w:val="-8"/>
        </w:rPr>
        <w:t xml:space="preserve"> </w:t>
      </w:r>
      <w:r w:rsidRPr="00CA2CC1">
        <w:rPr>
          <w:rFonts w:cs="Calibri"/>
        </w:rPr>
        <w:t>report,</w:t>
      </w:r>
      <w:r w:rsidRPr="00CA2CC1">
        <w:rPr>
          <w:rFonts w:cs="Calibri"/>
          <w:spacing w:val="-8"/>
        </w:rPr>
        <w:t xml:space="preserve"> </w:t>
      </w:r>
      <w:r w:rsidRPr="00CA2CC1">
        <w:rPr>
          <w:rFonts w:cs="Calibri"/>
          <w:i/>
        </w:rPr>
        <w:t>Addressing</w:t>
      </w:r>
      <w:r w:rsidRPr="00CA2CC1">
        <w:rPr>
          <w:rFonts w:cs="Calibri"/>
          <w:i/>
          <w:spacing w:val="-8"/>
        </w:rPr>
        <w:t xml:space="preserve"> </w:t>
      </w:r>
      <w:r w:rsidRPr="00CA2CC1">
        <w:rPr>
          <w:rFonts w:cs="Calibri"/>
          <w:i/>
        </w:rPr>
        <w:t>infrastructure inequality: a path to equality for Melbourne’s outer suburbs</w:t>
      </w:r>
      <w:r w:rsidRPr="00CA2CC1">
        <w:rPr>
          <w:rFonts w:cs="Calibri"/>
        </w:rPr>
        <w:t xml:space="preserve">, drew on our </w:t>
      </w:r>
      <w:r w:rsidRPr="00CA2CC1">
        <w:rPr>
          <w:rFonts w:cs="Calibri"/>
          <w:i/>
        </w:rPr>
        <w:t xml:space="preserve">Social infrastructure for Melbourne’s growth areas </w:t>
      </w:r>
      <w:r w:rsidRPr="00CA2CC1">
        <w:rPr>
          <w:rFonts w:cs="Calibri"/>
        </w:rPr>
        <w:t xml:space="preserve">report and </w:t>
      </w:r>
      <w:r w:rsidRPr="00CA2CC1">
        <w:rPr>
          <w:rFonts w:cs="Calibri"/>
          <w:i/>
        </w:rPr>
        <w:t>Victoria’s infrastructure strategy 2021–2051</w:t>
      </w:r>
      <w:r w:rsidRPr="00CA2CC1">
        <w:rPr>
          <w:rFonts w:cs="Calibri"/>
        </w:rPr>
        <w:t>.</w:t>
      </w:r>
    </w:p>
    <w:p w14:paraId="7E310D83" w14:textId="77777777" w:rsidR="00FA4226" w:rsidRPr="00CA2CC1" w:rsidRDefault="00000000" w:rsidP="0043303B">
      <w:pPr>
        <w:pStyle w:val="BodyText"/>
        <w:numPr>
          <w:ilvl w:val="0"/>
          <w:numId w:val="39"/>
        </w:numPr>
        <w:ind w:left="284"/>
        <w:rPr>
          <w:rFonts w:cs="Calibri"/>
        </w:rPr>
      </w:pPr>
      <w:r w:rsidRPr="00CA2CC1">
        <w:rPr>
          <w:rFonts w:cs="Calibri"/>
        </w:rPr>
        <w:t>Our strategy Major transport program assessment report</w:t>
      </w:r>
      <w:r w:rsidRPr="00CA2CC1">
        <w:rPr>
          <w:rFonts w:cs="Calibri"/>
          <w:spacing w:val="-7"/>
        </w:rPr>
        <w:t xml:space="preserve"> </w:t>
      </w:r>
      <w:r w:rsidRPr="00CA2CC1">
        <w:rPr>
          <w:rFonts w:cs="Calibri"/>
        </w:rPr>
        <w:t>and</w:t>
      </w:r>
      <w:r w:rsidRPr="00CA2CC1">
        <w:rPr>
          <w:rFonts w:cs="Calibri"/>
          <w:spacing w:val="-7"/>
        </w:rPr>
        <w:t xml:space="preserve"> </w:t>
      </w:r>
      <w:r w:rsidRPr="00CA2CC1">
        <w:rPr>
          <w:rFonts w:cs="Calibri"/>
        </w:rPr>
        <w:t>Social</w:t>
      </w:r>
      <w:r w:rsidRPr="00CA2CC1">
        <w:rPr>
          <w:rFonts w:cs="Calibri"/>
          <w:spacing w:val="-7"/>
        </w:rPr>
        <w:t xml:space="preserve"> </w:t>
      </w:r>
      <w:r w:rsidRPr="00CA2CC1">
        <w:rPr>
          <w:rFonts w:cs="Calibri"/>
        </w:rPr>
        <w:t>infrastructure</w:t>
      </w:r>
      <w:r w:rsidRPr="00CA2CC1">
        <w:rPr>
          <w:rFonts w:cs="Calibri"/>
          <w:spacing w:val="-7"/>
        </w:rPr>
        <w:t xml:space="preserve"> </w:t>
      </w:r>
      <w:r w:rsidRPr="00CA2CC1">
        <w:rPr>
          <w:rFonts w:cs="Calibri"/>
        </w:rPr>
        <w:t>for</w:t>
      </w:r>
      <w:r w:rsidRPr="00CA2CC1">
        <w:rPr>
          <w:rFonts w:cs="Calibri"/>
          <w:spacing w:val="-7"/>
        </w:rPr>
        <w:t xml:space="preserve"> </w:t>
      </w:r>
      <w:r w:rsidRPr="00CA2CC1">
        <w:rPr>
          <w:rFonts w:cs="Calibri"/>
        </w:rPr>
        <w:t>Melbourne’s</w:t>
      </w:r>
      <w:r w:rsidRPr="00CA2CC1">
        <w:rPr>
          <w:rFonts w:cs="Calibri"/>
          <w:spacing w:val="-7"/>
        </w:rPr>
        <w:t xml:space="preserve"> </w:t>
      </w:r>
      <w:r w:rsidRPr="00CA2CC1">
        <w:rPr>
          <w:rFonts w:cs="Calibri"/>
        </w:rPr>
        <w:t>growth areas</w:t>
      </w:r>
      <w:r w:rsidRPr="00CA2CC1">
        <w:rPr>
          <w:rFonts w:cs="Calibri"/>
          <w:spacing w:val="-2"/>
        </w:rPr>
        <w:t xml:space="preserve"> </w:t>
      </w:r>
      <w:r w:rsidRPr="00CA2CC1">
        <w:rPr>
          <w:rFonts w:cs="Calibri"/>
        </w:rPr>
        <w:t>research</w:t>
      </w:r>
      <w:r w:rsidRPr="00CA2CC1">
        <w:rPr>
          <w:rFonts w:cs="Calibri"/>
          <w:spacing w:val="-2"/>
        </w:rPr>
        <w:t xml:space="preserve"> </w:t>
      </w:r>
      <w:r w:rsidRPr="00CA2CC1">
        <w:rPr>
          <w:rFonts w:cs="Calibri"/>
        </w:rPr>
        <w:t>were</w:t>
      </w:r>
      <w:r w:rsidRPr="00CA2CC1">
        <w:rPr>
          <w:rFonts w:cs="Calibri"/>
          <w:spacing w:val="-2"/>
        </w:rPr>
        <w:t xml:space="preserve"> </w:t>
      </w:r>
      <w:r w:rsidRPr="00CA2CC1">
        <w:rPr>
          <w:rFonts w:cs="Calibri"/>
        </w:rPr>
        <w:t>cited</w:t>
      </w:r>
      <w:r w:rsidRPr="00CA2CC1">
        <w:rPr>
          <w:rFonts w:cs="Calibri"/>
          <w:spacing w:val="-2"/>
        </w:rPr>
        <w:t xml:space="preserve"> </w:t>
      </w:r>
      <w:r w:rsidRPr="00CA2CC1">
        <w:rPr>
          <w:rFonts w:cs="Calibri"/>
        </w:rPr>
        <w:t>in</w:t>
      </w:r>
      <w:r w:rsidRPr="00CA2CC1">
        <w:rPr>
          <w:rFonts w:cs="Calibri"/>
          <w:spacing w:val="-2"/>
        </w:rPr>
        <w:t xml:space="preserve"> </w:t>
      </w:r>
      <w:r w:rsidRPr="00CA2CC1">
        <w:rPr>
          <w:rFonts w:cs="Calibri"/>
        </w:rPr>
        <w:t>‘Exploring</w:t>
      </w:r>
      <w:r w:rsidRPr="00CA2CC1">
        <w:rPr>
          <w:rFonts w:cs="Calibri"/>
          <w:spacing w:val="-2"/>
        </w:rPr>
        <w:t xml:space="preserve"> </w:t>
      </w:r>
      <w:r w:rsidRPr="00CA2CC1">
        <w:rPr>
          <w:rFonts w:cs="Calibri"/>
        </w:rPr>
        <w:t>the</w:t>
      </w:r>
      <w:r w:rsidRPr="00CA2CC1">
        <w:rPr>
          <w:rFonts w:cs="Calibri"/>
          <w:spacing w:val="-2"/>
        </w:rPr>
        <w:t xml:space="preserve"> </w:t>
      </w:r>
      <w:r w:rsidRPr="00CA2CC1">
        <w:rPr>
          <w:rFonts w:cs="Calibri"/>
        </w:rPr>
        <w:t>relationship between</w:t>
      </w:r>
      <w:r w:rsidRPr="00CA2CC1">
        <w:rPr>
          <w:rFonts w:cs="Calibri"/>
          <w:spacing w:val="-8"/>
        </w:rPr>
        <w:t xml:space="preserve"> </w:t>
      </w:r>
      <w:r w:rsidRPr="00CA2CC1">
        <w:rPr>
          <w:rFonts w:cs="Calibri"/>
        </w:rPr>
        <w:t>building</w:t>
      </w:r>
      <w:r w:rsidRPr="00CA2CC1">
        <w:rPr>
          <w:rFonts w:cs="Calibri"/>
          <w:spacing w:val="-8"/>
        </w:rPr>
        <w:t xml:space="preserve"> </w:t>
      </w:r>
      <w:r w:rsidRPr="00CA2CC1">
        <w:rPr>
          <w:rFonts w:cs="Calibri"/>
        </w:rPr>
        <w:t>construction</w:t>
      </w:r>
      <w:r w:rsidRPr="00CA2CC1">
        <w:rPr>
          <w:rFonts w:cs="Calibri"/>
          <w:spacing w:val="-8"/>
        </w:rPr>
        <w:t xml:space="preserve"> </w:t>
      </w:r>
      <w:r w:rsidRPr="00CA2CC1">
        <w:rPr>
          <w:rFonts w:cs="Calibri"/>
        </w:rPr>
        <w:t>activity</w:t>
      </w:r>
      <w:r w:rsidRPr="00CA2CC1">
        <w:rPr>
          <w:rFonts w:cs="Calibri"/>
          <w:spacing w:val="-8"/>
        </w:rPr>
        <w:t xml:space="preserve"> </w:t>
      </w:r>
      <w:r w:rsidRPr="00CA2CC1">
        <w:rPr>
          <w:rFonts w:cs="Calibri"/>
        </w:rPr>
        <w:t>and</w:t>
      </w:r>
      <w:r w:rsidRPr="00CA2CC1">
        <w:rPr>
          <w:rFonts w:cs="Calibri"/>
          <w:spacing w:val="-8"/>
        </w:rPr>
        <w:t xml:space="preserve"> </w:t>
      </w:r>
      <w:r w:rsidRPr="00CA2CC1">
        <w:rPr>
          <w:rFonts w:cs="Calibri"/>
        </w:rPr>
        <w:t>road-related expenditure in Victoria’, published in World Academy</w:t>
      </w:r>
      <w:r w:rsidRPr="00CA2CC1">
        <w:rPr>
          <w:rFonts w:cs="Calibri"/>
          <w:spacing w:val="40"/>
        </w:rPr>
        <w:t xml:space="preserve"> </w:t>
      </w:r>
      <w:r w:rsidRPr="00CA2CC1">
        <w:rPr>
          <w:rFonts w:cs="Calibri"/>
        </w:rPr>
        <w:t>of Science, Engineering and Technology International Journal of Structural and Construction Engineering (volume 17).</w:t>
      </w:r>
    </w:p>
    <w:p w14:paraId="3AE05ACB" w14:textId="77777777" w:rsidR="00FA4226" w:rsidRPr="00CA2CC1" w:rsidRDefault="00000000" w:rsidP="0043303B">
      <w:pPr>
        <w:pStyle w:val="BodyText"/>
        <w:numPr>
          <w:ilvl w:val="0"/>
          <w:numId w:val="39"/>
        </w:numPr>
        <w:ind w:left="284"/>
        <w:rPr>
          <w:rFonts w:cs="Calibri"/>
        </w:rPr>
      </w:pPr>
      <w:r w:rsidRPr="00CA2CC1">
        <w:rPr>
          <w:rFonts w:cs="Calibri"/>
        </w:rPr>
        <w:t>Bendigo</w:t>
      </w:r>
      <w:r w:rsidRPr="00CA2CC1">
        <w:rPr>
          <w:rFonts w:cs="Calibri"/>
          <w:spacing w:val="-7"/>
        </w:rPr>
        <w:t xml:space="preserve"> </w:t>
      </w:r>
      <w:r w:rsidRPr="00CA2CC1">
        <w:rPr>
          <w:rFonts w:cs="Calibri"/>
        </w:rPr>
        <w:t>Health</w:t>
      </w:r>
      <w:r w:rsidRPr="00CA2CC1">
        <w:rPr>
          <w:rFonts w:cs="Calibri"/>
          <w:spacing w:val="-7"/>
        </w:rPr>
        <w:t xml:space="preserve"> </w:t>
      </w:r>
      <w:r w:rsidRPr="00CA2CC1">
        <w:rPr>
          <w:rFonts w:cs="Calibri"/>
        </w:rPr>
        <w:t>referenced</w:t>
      </w:r>
      <w:r w:rsidRPr="00CA2CC1">
        <w:rPr>
          <w:rFonts w:cs="Calibri"/>
          <w:spacing w:val="-7"/>
        </w:rPr>
        <w:t xml:space="preserve"> </w:t>
      </w:r>
      <w:r w:rsidRPr="00CA2CC1">
        <w:rPr>
          <w:rFonts w:cs="Calibri"/>
        </w:rPr>
        <w:t>our</w:t>
      </w:r>
      <w:r w:rsidRPr="00CA2CC1">
        <w:rPr>
          <w:rFonts w:cs="Calibri"/>
          <w:spacing w:val="-7"/>
        </w:rPr>
        <w:t xml:space="preserve"> </w:t>
      </w:r>
      <w:r w:rsidRPr="00CA2CC1">
        <w:rPr>
          <w:rFonts w:cs="Calibri"/>
        </w:rPr>
        <w:t>30-year</w:t>
      </w:r>
      <w:r w:rsidRPr="00CA2CC1">
        <w:rPr>
          <w:rFonts w:cs="Calibri"/>
          <w:spacing w:val="-7"/>
        </w:rPr>
        <w:t xml:space="preserve"> </w:t>
      </w:r>
      <w:r w:rsidRPr="00CA2CC1">
        <w:rPr>
          <w:rFonts w:cs="Calibri"/>
        </w:rPr>
        <w:t>strategy</w:t>
      </w:r>
      <w:r w:rsidRPr="00CA2CC1">
        <w:rPr>
          <w:rFonts w:cs="Calibri"/>
          <w:spacing w:val="-7"/>
        </w:rPr>
        <w:t xml:space="preserve"> </w:t>
      </w:r>
      <w:r w:rsidRPr="00CA2CC1">
        <w:rPr>
          <w:rFonts w:cs="Calibri"/>
        </w:rPr>
        <w:t xml:space="preserve">Loddon Campaspe regional profile in its </w:t>
      </w:r>
      <w:r w:rsidRPr="00CA2CC1">
        <w:rPr>
          <w:rFonts w:cs="Calibri"/>
          <w:i/>
        </w:rPr>
        <w:t>Loddon Mallee climate change and health framework</w:t>
      </w:r>
      <w:r w:rsidRPr="00CA2CC1">
        <w:rPr>
          <w:rFonts w:cs="Calibri"/>
        </w:rPr>
        <w:t>.</w:t>
      </w:r>
    </w:p>
    <w:p w14:paraId="4C07EF7E" w14:textId="77777777" w:rsidR="00FA4226" w:rsidRPr="00CA2CC1" w:rsidRDefault="00000000" w:rsidP="0043303B">
      <w:pPr>
        <w:pStyle w:val="BodyText"/>
        <w:numPr>
          <w:ilvl w:val="0"/>
          <w:numId w:val="39"/>
        </w:numPr>
        <w:ind w:left="284"/>
        <w:rPr>
          <w:rFonts w:cs="Calibri"/>
        </w:rPr>
      </w:pPr>
      <w:r w:rsidRPr="00CA2CC1">
        <w:rPr>
          <w:rFonts w:cs="Calibri"/>
        </w:rPr>
        <w:t>Macedon</w:t>
      </w:r>
      <w:r w:rsidRPr="00CA2CC1">
        <w:rPr>
          <w:rFonts w:cs="Calibri"/>
          <w:spacing w:val="-13"/>
        </w:rPr>
        <w:t xml:space="preserve"> </w:t>
      </w:r>
      <w:r w:rsidRPr="00CA2CC1">
        <w:rPr>
          <w:rFonts w:cs="Calibri"/>
        </w:rPr>
        <w:t>Ranges</w:t>
      </w:r>
      <w:r w:rsidRPr="00CA2CC1">
        <w:rPr>
          <w:rFonts w:cs="Calibri"/>
          <w:spacing w:val="-12"/>
        </w:rPr>
        <w:t xml:space="preserve"> </w:t>
      </w:r>
      <w:r w:rsidRPr="00CA2CC1">
        <w:rPr>
          <w:rFonts w:cs="Calibri"/>
        </w:rPr>
        <w:t>Shire</w:t>
      </w:r>
      <w:r w:rsidRPr="00CA2CC1">
        <w:rPr>
          <w:rFonts w:cs="Calibri"/>
          <w:spacing w:val="-13"/>
        </w:rPr>
        <w:t xml:space="preserve"> </w:t>
      </w:r>
      <w:r w:rsidRPr="00CA2CC1">
        <w:rPr>
          <w:rFonts w:cs="Calibri"/>
        </w:rPr>
        <w:t>Council</w:t>
      </w:r>
      <w:r w:rsidRPr="00CA2CC1">
        <w:rPr>
          <w:rFonts w:cs="Calibri"/>
          <w:spacing w:val="-12"/>
        </w:rPr>
        <w:t xml:space="preserve"> </w:t>
      </w:r>
      <w:r w:rsidRPr="00CA2CC1">
        <w:rPr>
          <w:rFonts w:cs="Calibri"/>
        </w:rPr>
        <w:t>referenced</w:t>
      </w:r>
      <w:r w:rsidRPr="00CA2CC1">
        <w:rPr>
          <w:rFonts w:cs="Calibri"/>
          <w:spacing w:val="-13"/>
        </w:rPr>
        <w:t xml:space="preserve"> </w:t>
      </w:r>
      <w:r w:rsidRPr="00CA2CC1">
        <w:rPr>
          <w:rFonts w:cs="Calibri"/>
        </w:rPr>
        <w:t>Victoria’s 30-year infrastructure strategy in its Affordable Housing Policy.</w:t>
      </w:r>
    </w:p>
    <w:p w14:paraId="677B9521" w14:textId="77777777" w:rsidR="00FA4226" w:rsidRPr="00CA2CC1" w:rsidRDefault="00000000" w:rsidP="0043303B">
      <w:pPr>
        <w:pStyle w:val="BodyText"/>
        <w:numPr>
          <w:ilvl w:val="0"/>
          <w:numId w:val="39"/>
        </w:numPr>
        <w:ind w:left="284"/>
        <w:rPr>
          <w:rFonts w:cs="Calibri"/>
        </w:rPr>
      </w:pPr>
      <w:r w:rsidRPr="00CA2CC1">
        <w:rPr>
          <w:rFonts w:cs="Calibri"/>
        </w:rPr>
        <w:t>Knox City Council cited our 30-year strategy recommendation</w:t>
      </w:r>
      <w:r w:rsidRPr="00CA2CC1">
        <w:rPr>
          <w:rFonts w:cs="Calibri"/>
          <w:spacing w:val="-7"/>
        </w:rPr>
        <w:t xml:space="preserve"> </w:t>
      </w:r>
      <w:r w:rsidRPr="00CA2CC1">
        <w:rPr>
          <w:rFonts w:cs="Calibri"/>
        </w:rPr>
        <w:t>on</w:t>
      </w:r>
      <w:r w:rsidRPr="00CA2CC1">
        <w:rPr>
          <w:rFonts w:cs="Calibri"/>
          <w:spacing w:val="-7"/>
        </w:rPr>
        <w:t xml:space="preserve"> </w:t>
      </w:r>
      <w:r w:rsidRPr="00CA2CC1">
        <w:rPr>
          <w:rFonts w:cs="Calibri"/>
        </w:rPr>
        <w:t>setting</w:t>
      </w:r>
      <w:r w:rsidRPr="00CA2CC1">
        <w:rPr>
          <w:rFonts w:cs="Calibri"/>
          <w:spacing w:val="-7"/>
        </w:rPr>
        <w:t xml:space="preserve"> </w:t>
      </w:r>
      <w:r w:rsidRPr="00CA2CC1">
        <w:rPr>
          <w:rFonts w:cs="Calibri"/>
        </w:rPr>
        <w:t>social</w:t>
      </w:r>
      <w:r w:rsidRPr="00CA2CC1">
        <w:rPr>
          <w:rFonts w:cs="Calibri"/>
          <w:spacing w:val="-7"/>
        </w:rPr>
        <w:t xml:space="preserve"> </w:t>
      </w:r>
      <w:r w:rsidRPr="00CA2CC1">
        <w:rPr>
          <w:rFonts w:cs="Calibri"/>
        </w:rPr>
        <w:t>housing</w:t>
      </w:r>
      <w:r w:rsidRPr="00CA2CC1">
        <w:rPr>
          <w:rFonts w:cs="Calibri"/>
          <w:spacing w:val="-7"/>
        </w:rPr>
        <w:t xml:space="preserve"> </w:t>
      </w:r>
      <w:r w:rsidRPr="00CA2CC1">
        <w:rPr>
          <w:rFonts w:cs="Calibri"/>
        </w:rPr>
        <w:t>targets</w:t>
      </w:r>
      <w:r w:rsidRPr="00CA2CC1">
        <w:rPr>
          <w:rFonts w:cs="Calibri"/>
          <w:spacing w:val="-7"/>
        </w:rPr>
        <w:t xml:space="preserve"> </w:t>
      </w:r>
      <w:r w:rsidRPr="00CA2CC1">
        <w:rPr>
          <w:rFonts w:cs="Calibri"/>
        </w:rPr>
        <w:t>to support its Social and Affordable Housing Strategy.</w:t>
      </w:r>
    </w:p>
    <w:p w14:paraId="0B150376" w14:textId="77777777" w:rsidR="00FA4226" w:rsidRPr="00CA2CC1" w:rsidRDefault="00000000" w:rsidP="0043303B">
      <w:pPr>
        <w:pStyle w:val="BodyText"/>
        <w:numPr>
          <w:ilvl w:val="0"/>
          <w:numId w:val="39"/>
        </w:numPr>
        <w:ind w:left="284"/>
        <w:rPr>
          <w:rFonts w:cs="Calibri"/>
        </w:rPr>
      </w:pPr>
      <w:r w:rsidRPr="00CA2CC1">
        <w:rPr>
          <w:rFonts w:cs="Calibri"/>
        </w:rPr>
        <w:t>The</w:t>
      </w:r>
      <w:r w:rsidRPr="00CA2CC1">
        <w:rPr>
          <w:rFonts w:cs="Calibri"/>
          <w:spacing w:val="-7"/>
        </w:rPr>
        <w:t xml:space="preserve"> </w:t>
      </w:r>
      <w:r w:rsidRPr="00CA2CC1">
        <w:rPr>
          <w:rFonts w:cs="Calibri"/>
        </w:rPr>
        <w:t>Housing</w:t>
      </w:r>
      <w:r w:rsidRPr="00CA2CC1">
        <w:rPr>
          <w:rFonts w:cs="Calibri"/>
          <w:spacing w:val="-7"/>
        </w:rPr>
        <w:t xml:space="preserve"> </w:t>
      </w:r>
      <w:r w:rsidRPr="00CA2CC1">
        <w:rPr>
          <w:rFonts w:cs="Calibri"/>
        </w:rPr>
        <w:t>Industry</w:t>
      </w:r>
      <w:r w:rsidRPr="00CA2CC1">
        <w:rPr>
          <w:rFonts w:cs="Calibri"/>
          <w:spacing w:val="-7"/>
        </w:rPr>
        <w:t xml:space="preserve"> </w:t>
      </w:r>
      <w:r w:rsidRPr="00CA2CC1">
        <w:rPr>
          <w:rFonts w:cs="Calibri"/>
        </w:rPr>
        <w:t>Association</w:t>
      </w:r>
      <w:r w:rsidRPr="00CA2CC1">
        <w:rPr>
          <w:rFonts w:cs="Calibri"/>
          <w:spacing w:val="-7"/>
        </w:rPr>
        <w:t xml:space="preserve"> </w:t>
      </w:r>
      <w:r w:rsidRPr="00CA2CC1">
        <w:rPr>
          <w:rFonts w:cs="Calibri"/>
        </w:rPr>
        <w:t>referenced</w:t>
      </w:r>
      <w:r w:rsidRPr="00CA2CC1">
        <w:rPr>
          <w:rFonts w:cs="Calibri"/>
          <w:spacing w:val="-7"/>
        </w:rPr>
        <w:t xml:space="preserve"> </w:t>
      </w:r>
      <w:r w:rsidRPr="00CA2CC1">
        <w:rPr>
          <w:rFonts w:cs="Calibri"/>
        </w:rPr>
        <w:t>Our</w:t>
      </w:r>
      <w:r w:rsidRPr="00CA2CC1">
        <w:rPr>
          <w:rFonts w:cs="Calibri"/>
          <w:spacing w:val="-7"/>
        </w:rPr>
        <w:t xml:space="preserve"> </w:t>
      </w:r>
      <w:r w:rsidRPr="00CA2CC1">
        <w:rPr>
          <w:rFonts w:cs="Calibri"/>
        </w:rPr>
        <w:t>home choices research in its submission to the Tasmanian Housing Strategy Exposure Draft.</w:t>
      </w:r>
    </w:p>
    <w:p w14:paraId="40326BA2" w14:textId="77777777" w:rsidR="00FA4226" w:rsidRPr="00CA2CC1" w:rsidRDefault="00000000" w:rsidP="0043303B">
      <w:pPr>
        <w:pStyle w:val="BodyText"/>
        <w:numPr>
          <w:ilvl w:val="0"/>
          <w:numId w:val="39"/>
        </w:numPr>
        <w:ind w:left="284"/>
        <w:rPr>
          <w:rFonts w:cs="Calibri"/>
        </w:rPr>
      </w:pPr>
      <w:r w:rsidRPr="00CA2CC1">
        <w:rPr>
          <w:rFonts w:cs="Calibri"/>
        </w:rPr>
        <w:t>The</w:t>
      </w:r>
      <w:r w:rsidRPr="00CA2CC1">
        <w:rPr>
          <w:rFonts w:cs="Calibri"/>
          <w:spacing w:val="-7"/>
        </w:rPr>
        <w:t xml:space="preserve"> </w:t>
      </w:r>
      <w:r w:rsidRPr="00CA2CC1">
        <w:rPr>
          <w:rFonts w:cs="Calibri"/>
        </w:rPr>
        <w:t>Community</w:t>
      </w:r>
      <w:r w:rsidRPr="00CA2CC1">
        <w:rPr>
          <w:rFonts w:cs="Calibri"/>
          <w:spacing w:val="-7"/>
        </w:rPr>
        <w:t xml:space="preserve"> </w:t>
      </w:r>
      <w:r w:rsidRPr="00CA2CC1">
        <w:rPr>
          <w:rFonts w:cs="Calibri"/>
        </w:rPr>
        <w:t>Housing</w:t>
      </w:r>
      <w:r w:rsidRPr="00CA2CC1">
        <w:rPr>
          <w:rFonts w:cs="Calibri"/>
          <w:spacing w:val="-7"/>
        </w:rPr>
        <w:t xml:space="preserve"> </w:t>
      </w:r>
      <w:r w:rsidRPr="00CA2CC1">
        <w:rPr>
          <w:rFonts w:cs="Calibri"/>
        </w:rPr>
        <w:t>Industry</w:t>
      </w:r>
      <w:r w:rsidRPr="00CA2CC1">
        <w:rPr>
          <w:rFonts w:cs="Calibri"/>
          <w:spacing w:val="-7"/>
        </w:rPr>
        <w:t xml:space="preserve"> </w:t>
      </w:r>
      <w:r w:rsidRPr="00CA2CC1">
        <w:rPr>
          <w:rFonts w:cs="Calibri"/>
        </w:rPr>
        <w:t>Association</w:t>
      </w:r>
      <w:r w:rsidRPr="00CA2CC1">
        <w:rPr>
          <w:rFonts w:cs="Calibri"/>
          <w:spacing w:val="-7"/>
        </w:rPr>
        <w:t xml:space="preserve"> </w:t>
      </w:r>
      <w:r w:rsidRPr="00CA2CC1">
        <w:rPr>
          <w:rFonts w:cs="Calibri"/>
        </w:rPr>
        <w:t>cited our 30-year strategy recommendation on social housing targets in its submission to the 2022–23 Victorian Budget.</w:t>
      </w:r>
    </w:p>
    <w:p w14:paraId="6957EE4E" w14:textId="77777777" w:rsidR="00FA4226" w:rsidRPr="00CA2CC1" w:rsidRDefault="00000000" w:rsidP="0043303B">
      <w:pPr>
        <w:pStyle w:val="BodyText"/>
        <w:numPr>
          <w:ilvl w:val="0"/>
          <w:numId w:val="39"/>
        </w:numPr>
        <w:ind w:left="284"/>
        <w:rPr>
          <w:rFonts w:cs="Calibri"/>
        </w:rPr>
      </w:pPr>
      <w:r w:rsidRPr="00CA2CC1">
        <w:rPr>
          <w:rFonts w:cs="Calibri"/>
        </w:rPr>
        <w:t>The La Trobe Valley Authority drew from our 30-year strategy</w:t>
      </w:r>
      <w:r w:rsidRPr="00CA2CC1">
        <w:rPr>
          <w:rFonts w:cs="Calibri"/>
          <w:spacing w:val="-6"/>
        </w:rPr>
        <w:t xml:space="preserve"> </w:t>
      </w:r>
      <w:r w:rsidRPr="00CA2CC1">
        <w:rPr>
          <w:rFonts w:cs="Calibri"/>
        </w:rPr>
        <w:t>Gippsland</w:t>
      </w:r>
      <w:r w:rsidRPr="00CA2CC1">
        <w:rPr>
          <w:rFonts w:cs="Calibri"/>
          <w:spacing w:val="-6"/>
        </w:rPr>
        <w:t xml:space="preserve"> </w:t>
      </w:r>
      <w:r w:rsidRPr="00CA2CC1">
        <w:rPr>
          <w:rFonts w:cs="Calibri"/>
        </w:rPr>
        <w:t>regional</w:t>
      </w:r>
      <w:r w:rsidRPr="00CA2CC1">
        <w:rPr>
          <w:rFonts w:cs="Calibri"/>
          <w:spacing w:val="-6"/>
        </w:rPr>
        <w:t xml:space="preserve"> </w:t>
      </w:r>
      <w:r w:rsidRPr="00CA2CC1">
        <w:rPr>
          <w:rFonts w:cs="Calibri"/>
        </w:rPr>
        <w:t>profile</w:t>
      </w:r>
      <w:r w:rsidRPr="00CA2CC1">
        <w:rPr>
          <w:rFonts w:cs="Calibri"/>
          <w:spacing w:val="-6"/>
        </w:rPr>
        <w:t xml:space="preserve"> </w:t>
      </w:r>
      <w:r w:rsidRPr="00CA2CC1">
        <w:rPr>
          <w:rFonts w:cs="Calibri"/>
        </w:rPr>
        <w:t>in</w:t>
      </w:r>
      <w:r w:rsidRPr="00CA2CC1">
        <w:rPr>
          <w:rFonts w:cs="Calibri"/>
          <w:spacing w:val="-6"/>
        </w:rPr>
        <w:t xml:space="preserve"> </w:t>
      </w:r>
      <w:r w:rsidRPr="00CA2CC1">
        <w:rPr>
          <w:rFonts w:cs="Calibri"/>
        </w:rPr>
        <w:t>developing</w:t>
      </w:r>
      <w:r w:rsidRPr="00CA2CC1">
        <w:rPr>
          <w:rFonts w:cs="Calibri"/>
          <w:spacing w:val="-6"/>
        </w:rPr>
        <w:t xml:space="preserve"> </w:t>
      </w:r>
      <w:r w:rsidRPr="00CA2CC1">
        <w:rPr>
          <w:rFonts w:cs="Calibri"/>
        </w:rPr>
        <w:t>its</w:t>
      </w:r>
      <w:r w:rsidRPr="00CA2CC1">
        <w:rPr>
          <w:rFonts w:cs="Calibri"/>
          <w:spacing w:val="-6"/>
        </w:rPr>
        <w:t xml:space="preserve"> </w:t>
      </w:r>
      <w:r w:rsidRPr="00CA2CC1">
        <w:rPr>
          <w:rFonts w:cs="Calibri"/>
        </w:rPr>
        <w:t>draft La Trobe Valley and Gippsland Transition Plan.</w:t>
      </w:r>
    </w:p>
    <w:p w14:paraId="6D5E18F9" w14:textId="77777777" w:rsidR="00FA4226" w:rsidRPr="00CA2CC1" w:rsidRDefault="00000000" w:rsidP="0043303B">
      <w:pPr>
        <w:pStyle w:val="BodyText"/>
        <w:numPr>
          <w:ilvl w:val="0"/>
          <w:numId w:val="39"/>
        </w:numPr>
        <w:ind w:left="284"/>
        <w:rPr>
          <w:rFonts w:cs="Calibri"/>
        </w:rPr>
      </w:pPr>
      <w:r w:rsidRPr="00CA2CC1">
        <w:rPr>
          <w:rFonts w:cs="Calibri"/>
        </w:rPr>
        <w:t>Infrastructure Victoria’s 2018 social housing research was</w:t>
      </w:r>
      <w:r w:rsidRPr="00CA2CC1">
        <w:rPr>
          <w:rFonts w:cs="Calibri"/>
          <w:spacing w:val="-8"/>
        </w:rPr>
        <w:t xml:space="preserve"> </w:t>
      </w:r>
      <w:r w:rsidRPr="00CA2CC1">
        <w:rPr>
          <w:rFonts w:cs="Calibri"/>
        </w:rPr>
        <w:t>cited</w:t>
      </w:r>
      <w:r w:rsidRPr="00CA2CC1">
        <w:rPr>
          <w:rFonts w:cs="Calibri"/>
          <w:spacing w:val="-8"/>
        </w:rPr>
        <w:t xml:space="preserve"> </w:t>
      </w:r>
      <w:r w:rsidRPr="00CA2CC1">
        <w:rPr>
          <w:rFonts w:cs="Calibri"/>
        </w:rPr>
        <w:t>in</w:t>
      </w:r>
      <w:r w:rsidRPr="00CA2CC1">
        <w:rPr>
          <w:rFonts w:cs="Calibri"/>
          <w:spacing w:val="-8"/>
        </w:rPr>
        <w:t xml:space="preserve"> </w:t>
      </w:r>
      <w:r w:rsidRPr="00CA2CC1">
        <w:rPr>
          <w:rFonts w:cs="Calibri"/>
        </w:rPr>
        <w:t>the</w:t>
      </w:r>
      <w:r w:rsidRPr="00CA2CC1">
        <w:rPr>
          <w:rFonts w:cs="Calibri"/>
          <w:spacing w:val="-8"/>
        </w:rPr>
        <w:t xml:space="preserve"> </w:t>
      </w:r>
      <w:r w:rsidRPr="00CA2CC1">
        <w:rPr>
          <w:rFonts w:cs="Calibri"/>
        </w:rPr>
        <w:t>RMIT</w:t>
      </w:r>
      <w:r w:rsidRPr="00CA2CC1">
        <w:rPr>
          <w:rFonts w:cs="Calibri"/>
          <w:spacing w:val="-8"/>
        </w:rPr>
        <w:t xml:space="preserve"> </w:t>
      </w:r>
      <w:r w:rsidRPr="00CA2CC1">
        <w:rPr>
          <w:rFonts w:cs="Calibri"/>
        </w:rPr>
        <w:t>University</w:t>
      </w:r>
      <w:r w:rsidRPr="00CA2CC1">
        <w:rPr>
          <w:rFonts w:cs="Calibri"/>
          <w:spacing w:val="-8"/>
        </w:rPr>
        <w:t xml:space="preserve"> </w:t>
      </w:r>
      <w:r w:rsidRPr="00CA2CC1">
        <w:rPr>
          <w:rFonts w:cs="Calibri"/>
        </w:rPr>
        <w:t>research</w:t>
      </w:r>
      <w:r w:rsidRPr="00CA2CC1">
        <w:rPr>
          <w:rFonts w:cs="Calibri"/>
          <w:spacing w:val="-8"/>
        </w:rPr>
        <w:t xml:space="preserve"> </w:t>
      </w:r>
      <w:r w:rsidRPr="00CA2CC1">
        <w:rPr>
          <w:rFonts w:cs="Calibri"/>
        </w:rPr>
        <w:t>report,</w:t>
      </w:r>
      <w:r w:rsidRPr="00CA2CC1">
        <w:rPr>
          <w:rFonts w:cs="Calibri"/>
          <w:spacing w:val="-9"/>
        </w:rPr>
        <w:t xml:space="preserve"> </w:t>
      </w:r>
      <w:r w:rsidRPr="00CA2CC1">
        <w:rPr>
          <w:rFonts w:cs="Calibri"/>
          <w:i/>
        </w:rPr>
        <w:t>Happy, healthy and housed? 12 month outcomes from a longitudinal study of new tenants in social housing</w:t>
      </w:r>
      <w:r w:rsidRPr="00CA2CC1">
        <w:rPr>
          <w:rFonts w:cs="Calibri"/>
        </w:rPr>
        <w:t>.</w:t>
      </w:r>
    </w:p>
    <w:p w14:paraId="4DF10536" w14:textId="77777777" w:rsidR="00FA4226" w:rsidRPr="00CA2CC1" w:rsidRDefault="00000000" w:rsidP="0043303B">
      <w:pPr>
        <w:pStyle w:val="BodyText"/>
        <w:numPr>
          <w:ilvl w:val="0"/>
          <w:numId w:val="39"/>
        </w:numPr>
        <w:ind w:left="284"/>
        <w:rPr>
          <w:rFonts w:cs="Calibri"/>
        </w:rPr>
      </w:pPr>
      <w:r w:rsidRPr="00CA2CC1">
        <w:rPr>
          <w:rFonts w:cs="Calibri"/>
        </w:rPr>
        <w:t>The</w:t>
      </w:r>
      <w:r w:rsidRPr="00CA2CC1">
        <w:rPr>
          <w:rFonts w:cs="Calibri"/>
          <w:spacing w:val="-8"/>
        </w:rPr>
        <w:t xml:space="preserve"> </w:t>
      </w:r>
      <w:r w:rsidRPr="00CA2CC1">
        <w:rPr>
          <w:rFonts w:cs="Calibri"/>
        </w:rPr>
        <w:t>Integrated</w:t>
      </w:r>
      <w:r w:rsidRPr="00CA2CC1">
        <w:rPr>
          <w:rFonts w:cs="Calibri"/>
          <w:spacing w:val="-8"/>
        </w:rPr>
        <w:t xml:space="preserve"> </w:t>
      </w:r>
      <w:r w:rsidRPr="00CA2CC1">
        <w:rPr>
          <w:rFonts w:cs="Calibri"/>
        </w:rPr>
        <w:t>Transport</w:t>
      </w:r>
      <w:r w:rsidRPr="00CA2CC1">
        <w:rPr>
          <w:rFonts w:cs="Calibri"/>
          <w:spacing w:val="-8"/>
        </w:rPr>
        <w:t xml:space="preserve"> </w:t>
      </w:r>
      <w:r w:rsidRPr="00CA2CC1">
        <w:rPr>
          <w:rFonts w:cs="Calibri"/>
        </w:rPr>
        <w:t>Framework</w:t>
      </w:r>
      <w:r w:rsidRPr="00CA2CC1">
        <w:rPr>
          <w:rFonts w:cs="Calibri"/>
          <w:spacing w:val="-8"/>
        </w:rPr>
        <w:t xml:space="preserve"> </w:t>
      </w:r>
      <w:r w:rsidRPr="00CA2CC1">
        <w:rPr>
          <w:rFonts w:cs="Calibri"/>
        </w:rPr>
        <w:t>for</w:t>
      </w:r>
      <w:r w:rsidRPr="00CA2CC1">
        <w:rPr>
          <w:rFonts w:cs="Calibri"/>
          <w:spacing w:val="-8"/>
        </w:rPr>
        <w:t xml:space="preserve"> </w:t>
      </w:r>
      <w:r w:rsidRPr="00CA2CC1">
        <w:rPr>
          <w:rFonts w:cs="Calibri"/>
        </w:rPr>
        <w:t>the</w:t>
      </w:r>
      <w:r w:rsidRPr="00CA2CC1">
        <w:rPr>
          <w:rFonts w:cs="Calibri"/>
          <w:spacing w:val="-8"/>
        </w:rPr>
        <w:t xml:space="preserve"> </w:t>
      </w:r>
      <w:r w:rsidRPr="00CA2CC1">
        <w:rPr>
          <w:rFonts w:cs="Calibri"/>
        </w:rPr>
        <w:t>Inner</w:t>
      </w:r>
      <w:r w:rsidRPr="00CA2CC1">
        <w:rPr>
          <w:rFonts w:cs="Calibri"/>
          <w:spacing w:val="-8"/>
        </w:rPr>
        <w:t xml:space="preserve"> </w:t>
      </w:r>
      <w:r w:rsidRPr="00CA2CC1">
        <w:rPr>
          <w:rFonts w:cs="Calibri"/>
        </w:rPr>
        <w:t>South East Metropolitan Region referenced Infrastructure Victoria’s Advice on automated vehicles and our research findings on transport congestion.</w:t>
      </w:r>
    </w:p>
    <w:p w14:paraId="2C7F8FC1" w14:textId="77777777" w:rsidR="006A4F2A" w:rsidRPr="00CA2CC1" w:rsidRDefault="006A4F2A" w:rsidP="0043303B">
      <w:pPr>
        <w:rPr>
          <w:rFonts w:eastAsia="Times New Roman" w:cs="Calibri"/>
          <w:color w:val="231F20"/>
          <w:w w:val="105"/>
          <w:sz w:val="64"/>
          <w:szCs w:val="64"/>
        </w:rPr>
      </w:pPr>
      <w:bookmarkStart w:id="32" w:name="Five-year_financial_summary"/>
      <w:bookmarkStart w:id="33" w:name="_bookmark15"/>
      <w:bookmarkEnd w:id="32"/>
      <w:bookmarkEnd w:id="33"/>
      <w:r w:rsidRPr="00CA2CC1">
        <w:rPr>
          <w:rFonts w:cs="Calibri"/>
          <w:color w:val="231F20"/>
          <w:w w:val="105"/>
        </w:rPr>
        <w:br w:type="page"/>
      </w:r>
    </w:p>
    <w:p w14:paraId="3CB0084D" w14:textId="46830C66" w:rsidR="00FA4226" w:rsidRPr="00CA2CC1" w:rsidRDefault="00000000" w:rsidP="0043303B">
      <w:pPr>
        <w:pStyle w:val="Heading1"/>
        <w:spacing w:before="171"/>
        <w:rPr>
          <w:rFonts w:cs="Calibri"/>
        </w:rPr>
      </w:pPr>
      <w:r w:rsidRPr="00CA2CC1">
        <w:rPr>
          <w:rFonts w:cs="Calibri"/>
          <w:color w:val="231F20"/>
          <w:w w:val="105"/>
        </w:rPr>
        <w:lastRenderedPageBreak/>
        <w:t xml:space="preserve">Five-year financial </w:t>
      </w:r>
      <w:r w:rsidRPr="00CA2CC1">
        <w:rPr>
          <w:rFonts w:cs="Calibri"/>
          <w:color w:val="231F20"/>
          <w:spacing w:val="-2"/>
          <w:w w:val="105"/>
        </w:rPr>
        <w:t>summary</w:t>
      </w:r>
    </w:p>
    <w:p w14:paraId="483B5208" w14:textId="77777777" w:rsidR="00FA4226" w:rsidRPr="00CA2CC1" w:rsidRDefault="00FA4226" w:rsidP="0043303B">
      <w:pPr>
        <w:pStyle w:val="BodyText"/>
        <w:rPr>
          <w:rFonts w:cs="Calibri"/>
          <w:sz w:val="20"/>
        </w:rPr>
      </w:pPr>
    </w:p>
    <w:p w14:paraId="26C6D181" w14:textId="77777777" w:rsidR="00FA4226" w:rsidRPr="00CA2CC1" w:rsidRDefault="00FA4226" w:rsidP="0043303B">
      <w:pPr>
        <w:pStyle w:val="BodyText"/>
        <w:rPr>
          <w:rFonts w:cs="Calibri"/>
          <w:sz w:val="20"/>
        </w:rPr>
      </w:pPr>
    </w:p>
    <w:p w14:paraId="345FF81D" w14:textId="77777777" w:rsidR="00FA4226" w:rsidRPr="00CA2CC1" w:rsidRDefault="00FA4226" w:rsidP="0043303B">
      <w:pPr>
        <w:pStyle w:val="BodyText"/>
        <w:rPr>
          <w:rFonts w:cs="Calibri"/>
          <w:sz w:val="20"/>
        </w:rPr>
      </w:pPr>
    </w:p>
    <w:p w14:paraId="60BE377E" w14:textId="77777777" w:rsidR="00FA4226" w:rsidRPr="00CA2CC1" w:rsidRDefault="00FA4226" w:rsidP="0043303B">
      <w:pPr>
        <w:pStyle w:val="BodyText"/>
        <w:rPr>
          <w:rFonts w:cs="Calibri"/>
          <w:sz w:val="20"/>
        </w:rPr>
      </w:pPr>
    </w:p>
    <w:p w14:paraId="7C63B722" w14:textId="77777777" w:rsidR="00FA4226" w:rsidRPr="00CA2CC1" w:rsidRDefault="00FA4226" w:rsidP="0043303B">
      <w:pPr>
        <w:pStyle w:val="BodyText"/>
        <w:rPr>
          <w:rFonts w:cs="Calibri"/>
          <w:sz w:val="20"/>
        </w:rPr>
      </w:pPr>
    </w:p>
    <w:p w14:paraId="187595CE" w14:textId="77777777" w:rsidR="00FA4226" w:rsidRPr="00CA2CC1" w:rsidRDefault="00FA4226" w:rsidP="0043303B">
      <w:pPr>
        <w:pStyle w:val="BodyText"/>
        <w:rPr>
          <w:rFonts w:cs="Calibri"/>
          <w:sz w:val="24"/>
        </w:rPr>
      </w:pPr>
    </w:p>
    <w:tbl>
      <w:tblPr>
        <w:tblW w:w="9639" w:type="dxa"/>
        <w:tblLayout w:type="fixed"/>
        <w:tblCellMar>
          <w:left w:w="0" w:type="dxa"/>
          <w:right w:w="0" w:type="dxa"/>
        </w:tblCellMar>
        <w:tblLook w:val="01E0" w:firstRow="1" w:lastRow="1" w:firstColumn="1" w:lastColumn="1" w:noHBand="0" w:noVBand="0"/>
      </w:tblPr>
      <w:tblGrid>
        <w:gridCol w:w="3024"/>
        <w:gridCol w:w="1323"/>
        <w:gridCol w:w="1323"/>
        <w:gridCol w:w="1323"/>
        <w:gridCol w:w="1323"/>
        <w:gridCol w:w="1323"/>
      </w:tblGrid>
      <w:tr w:rsidR="00A82B74" w:rsidRPr="00A82B74" w14:paraId="70091DE6" w14:textId="77777777" w:rsidTr="00264665">
        <w:trPr>
          <w:trHeight w:val="347"/>
        </w:trPr>
        <w:tc>
          <w:tcPr>
            <w:tcW w:w="3024" w:type="dxa"/>
            <w:tcBorders>
              <w:bottom w:val="single" w:sz="6" w:space="0" w:color="C48F1B"/>
            </w:tcBorders>
          </w:tcPr>
          <w:p w14:paraId="7200BC73" w14:textId="77777777" w:rsidR="00FA4226" w:rsidRPr="00A82B74" w:rsidRDefault="00000000" w:rsidP="0043303B">
            <w:pPr>
              <w:pStyle w:val="TableParagraph"/>
              <w:spacing w:before="34"/>
              <w:jc w:val="left"/>
              <w:rPr>
                <w:rFonts w:cs="Calibri"/>
                <w:b/>
                <w:bCs/>
                <w:color w:val="000000" w:themeColor="text1"/>
                <w:sz w:val="18"/>
              </w:rPr>
            </w:pPr>
            <w:r w:rsidRPr="00A82B74">
              <w:rPr>
                <w:rFonts w:cs="Calibri"/>
                <w:b/>
                <w:bCs/>
                <w:color w:val="000000" w:themeColor="text1"/>
                <w:sz w:val="18"/>
              </w:rPr>
              <w:t>Five-year</w:t>
            </w:r>
            <w:r w:rsidRPr="00A82B74">
              <w:rPr>
                <w:rFonts w:cs="Calibri"/>
                <w:b/>
                <w:bCs/>
                <w:color w:val="000000" w:themeColor="text1"/>
                <w:spacing w:val="7"/>
                <w:sz w:val="18"/>
              </w:rPr>
              <w:t xml:space="preserve"> </w:t>
            </w:r>
            <w:r w:rsidRPr="00A82B74">
              <w:rPr>
                <w:rFonts w:cs="Calibri"/>
                <w:b/>
                <w:bCs/>
                <w:color w:val="000000" w:themeColor="text1"/>
                <w:sz w:val="18"/>
              </w:rPr>
              <w:t>financial</w:t>
            </w:r>
            <w:r w:rsidRPr="00A82B74">
              <w:rPr>
                <w:rFonts w:cs="Calibri"/>
                <w:b/>
                <w:bCs/>
                <w:color w:val="000000" w:themeColor="text1"/>
                <w:spacing w:val="9"/>
                <w:sz w:val="18"/>
              </w:rPr>
              <w:t xml:space="preserve"> </w:t>
            </w:r>
            <w:r w:rsidRPr="00A82B74">
              <w:rPr>
                <w:rFonts w:cs="Calibri"/>
                <w:b/>
                <w:bCs/>
                <w:color w:val="000000" w:themeColor="text1"/>
                <w:spacing w:val="-2"/>
                <w:sz w:val="18"/>
              </w:rPr>
              <w:t>summary</w:t>
            </w:r>
          </w:p>
        </w:tc>
        <w:tc>
          <w:tcPr>
            <w:tcW w:w="1323" w:type="dxa"/>
            <w:tcBorders>
              <w:bottom w:val="single" w:sz="6" w:space="0" w:color="C48F1B"/>
            </w:tcBorders>
            <w:shd w:val="clear" w:color="auto" w:fill="FFFFFF"/>
            <w:tcMar>
              <w:left w:w="0" w:type="dxa"/>
              <w:right w:w="57" w:type="dxa"/>
            </w:tcMar>
          </w:tcPr>
          <w:p w14:paraId="214A85F5" w14:textId="77777777" w:rsidR="00FA4226" w:rsidRPr="00A82B74" w:rsidRDefault="00000000" w:rsidP="0043303B">
            <w:pPr>
              <w:pStyle w:val="TableParagraph"/>
              <w:spacing w:before="34"/>
              <w:rPr>
                <w:rFonts w:cs="Calibri"/>
                <w:b/>
                <w:bCs/>
                <w:color w:val="000000" w:themeColor="text1"/>
                <w:sz w:val="18"/>
              </w:rPr>
            </w:pPr>
            <w:r w:rsidRPr="00A82B74">
              <w:rPr>
                <w:rFonts w:cs="Calibri"/>
                <w:b/>
                <w:bCs/>
                <w:color w:val="000000" w:themeColor="text1"/>
                <w:sz w:val="18"/>
              </w:rPr>
              <w:t>2022-</w:t>
            </w:r>
            <w:r w:rsidRPr="00A82B74">
              <w:rPr>
                <w:rFonts w:cs="Calibri"/>
                <w:b/>
                <w:bCs/>
                <w:color w:val="000000" w:themeColor="text1"/>
                <w:spacing w:val="-5"/>
                <w:sz w:val="18"/>
              </w:rPr>
              <w:t>23</w:t>
            </w:r>
          </w:p>
        </w:tc>
        <w:tc>
          <w:tcPr>
            <w:tcW w:w="1323" w:type="dxa"/>
            <w:tcBorders>
              <w:bottom w:val="single" w:sz="6" w:space="0" w:color="C48F1B"/>
            </w:tcBorders>
            <w:shd w:val="clear" w:color="auto" w:fill="DFEDF2"/>
            <w:tcMar>
              <w:left w:w="0" w:type="dxa"/>
              <w:right w:w="57" w:type="dxa"/>
            </w:tcMar>
          </w:tcPr>
          <w:p w14:paraId="4301DD59" w14:textId="77777777" w:rsidR="00FA4226" w:rsidRPr="00A82B74" w:rsidRDefault="00000000" w:rsidP="0043303B">
            <w:pPr>
              <w:pStyle w:val="TableParagraph"/>
              <w:spacing w:before="34"/>
              <w:rPr>
                <w:rFonts w:cs="Calibri"/>
                <w:b/>
                <w:bCs/>
                <w:color w:val="000000" w:themeColor="text1"/>
                <w:sz w:val="10"/>
              </w:rPr>
            </w:pPr>
            <w:r w:rsidRPr="00A82B74">
              <w:rPr>
                <w:rFonts w:cs="Calibri"/>
                <w:b/>
                <w:bCs/>
                <w:color w:val="000000" w:themeColor="text1"/>
                <w:spacing w:val="-2"/>
                <w:sz w:val="18"/>
              </w:rPr>
              <w:t>2021-</w:t>
            </w:r>
            <w:r w:rsidRPr="00A82B74">
              <w:rPr>
                <w:rFonts w:cs="Calibri"/>
                <w:b/>
                <w:bCs/>
                <w:color w:val="000000" w:themeColor="text1"/>
                <w:spacing w:val="-5"/>
                <w:sz w:val="18"/>
              </w:rPr>
              <w:t>22</w:t>
            </w:r>
            <w:r w:rsidRPr="00A82B74">
              <w:rPr>
                <w:rFonts w:cs="Calibri"/>
                <w:b/>
                <w:bCs/>
                <w:color w:val="000000" w:themeColor="text1"/>
                <w:spacing w:val="-5"/>
                <w:position w:val="6"/>
                <w:sz w:val="10"/>
              </w:rPr>
              <w:t>b</w:t>
            </w:r>
          </w:p>
        </w:tc>
        <w:tc>
          <w:tcPr>
            <w:tcW w:w="1323" w:type="dxa"/>
            <w:tcBorders>
              <w:bottom w:val="single" w:sz="6" w:space="0" w:color="C48F1B"/>
            </w:tcBorders>
            <w:shd w:val="clear" w:color="auto" w:fill="FFFFFF"/>
            <w:tcMar>
              <w:left w:w="0" w:type="dxa"/>
              <w:right w:w="57" w:type="dxa"/>
            </w:tcMar>
          </w:tcPr>
          <w:p w14:paraId="399574E7" w14:textId="77777777" w:rsidR="00FA4226" w:rsidRPr="00A82B74" w:rsidRDefault="00000000" w:rsidP="0043303B">
            <w:pPr>
              <w:pStyle w:val="TableParagraph"/>
              <w:spacing w:before="34"/>
              <w:rPr>
                <w:rFonts w:cs="Calibri"/>
                <w:b/>
                <w:bCs/>
                <w:color w:val="000000" w:themeColor="text1"/>
                <w:sz w:val="18"/>
              </w:rPr>
            </w:pPr>
            <w:r w:rsidRPr="00A82B74">
              <w:rPr>
                <w:rFonts w:cs="Calibri"/>
                <w:b/>
                <w:bCs/>
                <w:color w:val="000000" w:themeColor="text1"/>
                <w:sz w:val="18"/>
              </w:rPr>
              <w:t>2020-</w:t>
            </w:r>
            <w:r w:rsidRPr="00A82B74">
              <w:rPr>
                <w:rFonts w:cs="Calibri"/>
                <w:b/>
                <w:bCs/>
                <w:color w:val="000000" w:themeColor="text1"/>
                <w:spacing w:val="-5"/>
                <w:sz w:val="18"/>
              </w:rPr>
              <w:t>21</w:t>
            </w:r>
          </w:p>
        </w:tc>
        <w:tc>
          <w:tcPr>
            <w:tcW w:w="1323" w:type="dxa"/>
            <w:tcBorders>
              <w:bottom w:val="single" w:sz="6" w:space="0" w:color="C48F1B"/>
            </w:tcBorders>
            <w:shd w:val="clear" w:color="auto" w:fill="DFEDF2"/>
            <w:tcMar>
              <w:left w:w="0" w:type="dxa"/>
              <w:right w:w="57" w:type="dxa"/>
            </w:tcMar>
          </w:tcPr>
          <w:p w14:paraId="35B28607" w14:textId="77777777" w:rsidR="00FA4226" w:rsidRPr="00A82B74" w:rsidRDefault="00000000" w:rsidP="0043303B">
            <w:pPr>
              <w:pStyle w:val="TableParagraph"/>
              <w:spacing w:before="34"/>
              <w:rPr>
                <w:rFonts w:cs="Calibri"/>
                <w:b/>
                <w:bCs/>
                <w:color w:val="000000" w:themeColor="text1"/>
                <w:sz w:val="18"/>
              </w:rPr>
            </w:pPr>
            <w:r w:rsidRPr="00A82B74">
              <w:rPr>
                <w:rFonts w:cs="Calibri"/>
                <w:b/>
                <w:bCs/>
                <w:color w:val="000000" w:themeColor="text1"/>
                <w:spacing w:val="-2"/>
                <w:sz w:val="18"/>
              </w:rPr>
              <w:t>2019-</w:t>
            </w:r>
            <w:r w:rsidRPr="00A82B74">
              <w:rPr>
                <w:rFonts w:cs="Calibri"/>
                <w:b/>
                <w:bCs/>
                <w:color w:val="000000" w:themeColor="text1"/>
                <w:spacing w:val="-5"/>
                <w:sz w:val="18"/>
              </w:rPr>
              <w:t>20</w:t>
            </w:r>
          </w:p>
        </w:tc>
        <w:tc>
          <w:tcPr>
            <w:tcW w:w="1323" w:type="dxa"/>
            <w:tcBorders>
              <w:bottom w:val="single" w:sz="6" w:space="0" w:color="C48F1B"/>
            </w:tcBorders>
            <w:shd w:val="clear" w:color="auto" w:fill="FFFFFF"/>
            <w:tcMar>
              <w:left w:w="0" w:type="dxa"/>
              <w:right w:w="57" w:type="dxa"/>
            </w:tcMar>
          </w:tcPr>
          <w:p w14:paraId="1CCC98A8" w14:textId="77777777" w:rsidR="00FA4226" w:rsidRPr="00A82B74" w:rsidRDefault="00000000" w:rsidP="0043303B">
            <w:pPr>
              <w:pStyle w:val="TableParagraph"/>
              <w:spacing w:before="34"/>
              <w:rPr>
                <w:rFonts w:cs="Calibri"/>
                <w:b/>
                <w:bCs/>
                <w:color w:val="000000" w:themeColor="text1"/>
                <w:sz w:val="18"/>
              </w:rPr>
            </w:pPr>
            <w:r w:rsidRPr="00A82B74">
              <w:rPr>
                <w:rFonts w:cs="Calibri"/>
                <w:b/>
                <w:bCs/>
                <w:color w:val="000000" w:themeColor="text1"/>
                <w:spacing w:val="-2"/>
                <w:sz w:val="18"/>
              </w:rPr>
              <w:t>2018-</w:t>
            </w:r>
            <w:r w:rsidRPr="00A82B74">
              <w:rPr>
                <w:rFonts w:cs="Calibri"/>
                <w:b/>
                <w:bCs/>
                <w:color w:val="000000" w:themeColor="text1"/>
                <w:spacing w:val="-5"/>
                <w:sz w:val="18"/>
              </w:rPr>
              <w:t>19</w:t>
            </w:r>
          </w:p>
        </w:tc>
      </w:tr>
      <w:tr w:rsidR="00FA4226" w:rsidRPr="00CA2CC1" w14:paraId="08A7F089" w14:textId="77777777" w:rsidTr="00264665">
        <w:trPr>
          <w:trHeight w:val="276"/>
        </w:trPr>
        <w:tc>
          <w:tcPr>
            <w:tcW w:w="3024" w:type="dxa"/>
            <w:tcBorders>
              <w:top w:val="single" w:sz="6" w:space="0" w:color="C48F1B"/>
              <w:bottom w:val="single" w:sz="4" w:space="0" w:color="73777A"/>
            </w:tcBorders>
          </w:tcPr>
          <w:p w14:paraId="28CCFB97" w14:textId="1B2E74ED" w:rsidR="00FA4226" w:rsidRPr="00CA2CC1" w:rsidRDefault="00000000" w:rsidP="0043303B">
            <w:pPr>
              <w:pStyle w:val="TableParagraph"/>
              <w:jc w:val="left"/>
              <w:rPr>
                <w:rFonts w:cs="Calibri"/>
                <w:sz w:val="18"/>
              </w:rPr>
            </w:pPr>
            <w:r w:rsidRPr="00CA2CC1">
              <w:rPr>
                <w:rFonts w:cs="Calibri"/>
                <w:color w:val="414042"/>
                <w:sz w:val="18"/>
              </w:rPr>
              <w:t>Total</w:t>
            </w:r>
            <w:r w:rsidRPr="00CA2CC1">
              <w:rPr>
                <w:rFonts w:cs="Calibri"/>
                <w:color w:val="414042"/>
                <w:spacing w:val="-1"/>
                <w:sz w:val="18"/>
              </w:rPr>
              <w:t xml:space="preserve"> </w:t>
            </w:r>
            <w:r w:rsidRPr="00CA2CC1">
              <w:rPr>
                <w:rFonts w:cs="Calibri"/>
                <w:color w:val="414042"/>
                <w:sz w:val="18"/>
              </w:rPr>
              <w:t>income</w:t>
            </w:r>
            <w:r w:rsidRPr="00CA2CC1">
              <w:rPr>
                <w:rFonts w:cs="Calibri"/>
                <w:color w:val="414042"/>
                <w:spacing w:val="-1"/>
                <w:sz w:val="18"/>
              </w:rPr>
              <w:t xml:space="preserve"> </w:t>
            </w:r>
            <w:r w:rsidRPr="00CA2CC1">
              <w:rPr>
                <w:rFonts w:cs="Calibri"/>
                <w:color w:val="414042"/>
                <w:sz w:val="18"/>
              </w:rPr>
              <w:t>from</w:t>
            </w:r>
            <w:r w:rsidRPr="00CA2CC1">
              <w:rPr>
                <w:rFonts w:cs="Calibri"/>
                <w:color w:val="414042"/>
                <w:spacing w:val="-1"/>
                <w:sz w:val="18"/>
              </w:rPr>
              <w:t xml:space="preserve"> </w:t>
            </w:r>
            <w:r w:rsidRPr="00CA2CC1">
              <w:rPr>
                <w:rFonts w:cs="Calibri"/>
                <w:color w:val="414042"/>
                <w:spacing w:val="-2"/>
                <w:sz w:val="18"/>
              </w:rPr>
              <w:t>transa</w:t>
            </w:r>
            <w:r w:rsidR="004215A1" w:rsidRPr="00CA2CC1">
              <w:rPr>
                <w:rFonts w:cs="Calibri"/>
                <w:color w:val="414042"/>
                <w:spacing w:val="-2"/>
                <w:sz w:val="18"/>
              </w:rPr>
              <w:t>c</w:t>
            </w:r>
            <w:r w:rsidRPr="00CA2CC1">
              <w:rPr>
                <w:rFonts w:cs="Calibri"/>
                <w:color w:val="414042"/>
                <w:spacing w:val="-2"/>
                <w:sz w:val="18"/>
              </w:rPr>
              <w:t>tions</w:t>
            </w:r>
          </w:p>
        </w:tc>
        <w:tc>
          <w:tcPr>
            <w:tcW w:w="1323" w:type="dxa"/>
            <w:tcBorders>
              <w:top w:val="single" w:sz="6" w:space="0" w:color="C48F1B"/>
              <w:bottom w:val="single" w:sz="4" w:space="0" w:color="73777A"/>
            </w:tcBorders>
            <w:shd w:val="clear" w:color="auto" w:fill="FFFFFF"/>
            <w:tcMar>
              <w:left w:w="0" w:type="dxa"/>
              <w:right w:w="57" w:type="dxa"/>
            </w:tcMar>
          </w:tcPr>
          <w:p w14:paraId="5ADC8D12" w14:textId="77777777" w:rsidR="00FA4226" w:rsidRPr="00CA2CC1" w:rsidRDefault="00000000" w:rsidP="0043303B">
            <w:pPr>
              <w:pStyle w:val="TableParagraph"/>
              <w:rPr>
                <w:rFonts w:cs="Calibri"/>
                <w:sz w:val="18"/>
              </w:rPr>
            </w:pPr>
            <w:r w:rsidRPr="00CA2CC1">
              <w:rPr>
                <w:rFonts w:cs="Calibri"/>
                <w:color w:val="414042"/>
                <w:spacing w:val="-2"/>
                <w:sz w:val="18"/>
              </w:rPr>
              <w:t>9,922,138</w:t>
            </w:r>
          </w:p>
        </w:tc>
        <w:tc>
          <w:tcPr>
            <w:tcW w:w="1323" w:type="dxa"/>
            <w:tcBorders>
              <w:top w:val="single" w:sz="6" w:space="0" w:color="C48F1B"/>
              <w:bottom w:val="single" w:sz="4" w:space="0" w:color="73777A"/>
            </w:tcBorders>
            <w:shd w:val="clear" w:color="auto" w:fill="DFEDF2"/>
            <w:tcMar>
              <w:left w:w="0" w:type="dxa"/>
              <w:right w:w="57" w:type="dxa"/>
            </w:tcMar>
          </w:tcPr>
          <w:p w14:paraId="5A1CD4BD" w14:textId="77777777" w:rsidR="00FA4226" w:rsidRPr="00CA2CC1" w:rsidRDefault="00000000" w:rsidP="0043303B">
            <w:pPr>
              <w:pStyle w:val="TableParagraph"/>
              <w:rPr>
                <w:rFonts w:cs="Calibri"/>
                <w:sz w:val="18"/>
              </w:rPr>
            </w:pPr>
            <w:r w:rsidRPr="00CA2CC1">
              <w:rPr>
                <w:rFonts w:cs="Calibri"/>
                <w:color w:val="414042"/>
                <w:spacing w:val="-2"/>
                <w:sz w:val="18"/>
              </w:rPr>
              <w:t>9,849,369</w:t>
            </w:r>
          </w:p>
        </w:tc>
        <w:tc>
          <w:tcPr>
            <w:tcW w:w="1323" w:type="dxa"/>
            <w:tcBorders>
              <w:top w:val="single" w:sz="6" w:space="0" w:color="C48F1B"/>
              <w:bottom w:val="single" w:sz="4" w:space="0" w:color="73777A"/>
            </w:tcBorders>
            <w:shd w:val="clear" w:color="auto" w:fill="FFFFFF"/>
            <w:tcMar>
              <w:left w:w="0" w:type="dxa"/>
              <w:right w:w="57" w:type="dxa"/>
            </w:tcMar>
          </w:tcPr>
          <w:p w14:paraId="1F1A3167" w14:textId="77777777" w:rsidR="00FA4226" w:rsidRPr="00CA2CC1" w:rsidRDefault="00000000" w:rsidP="0043303B">
            <w:pPr>
              <w:pStyle w:val="TableParagraph"/>
              <w:rPr>
                <w:rFonts w:cs="Calibri"/>
                <w:sz w:val="18"/>
              </w:rPr>
            </w:pPr>
            <w:r w:rsidRPr="00CA2CC1">
              <w:rPr>
                <w:rFonts w:cs="Calibri"/>
                <w:color w:val="414042"/>
                <w:spacing w:val="-2"/>
                <w:sz w:val="18"/>
              </w:rPr>
              <w:t>9,934,765</w:t>
            </w:r>
          </w:p>
        </w:tc>
        <w:tc>
          <w:tcPr>
            <w:tcW w:w="1323" w:type="dxa"/>
            <w:tcBorders>
              <w:top w:val="single" w:sz="6" w:space="0" w:color="C48F1B"/>
              <w:bottom w:val="single" w:sz="4" w:space="0" w:color="73777A"/>
            </w:tcBorders>
            <w:shd w:val="clear" w:color="auto" w:fill="DFEDF2"/>
            <w:tcMar>
              <w:left w:w="0" w:type="dxa"/>
              <w:right w:w="57" w:type="dxa"/>
            </w:tcMar>
          </w:tcPr>
          <w:p w14:paraId="4AE5EE9F" w14:textId="77777777" w:rsidR="00FA4226" w:rsidRPr="00CA2CC1" w:rsidRDefault="00000000" w:rsidP="0043303B">
            <w:pPr>
              <w:pStyle w:val="TableParagraph"/>
              <w:rPr>
                <w:rFonts w:cs="Calibri"/>
                <w:sz w:val="18"/>
              </w:rPr>
            </w:pPr>
            <w:r w:rsidRPr="00CA2CC1">
              <w:rPr>
                <w:rFonts w:cs="Calibri"/>
                <w:color w:val="414042"/>
                <w:spacing w:val="-2"/>
                <w:sz w:val="18"/>
              </w:rPr>
              <w:t>10,056,029</w:t>
            </w:r>
          </w:p>
        </w:tc>
        <w:tc>
          <w:tcPr>
            <w:tcW w:w="1323" w:type="dxa"/>
            <w:tcBorders>
              <w:top w:val="single" w:sz="6" w:space="0" w:color="C48F1B"/>
              <w:bottom w:val="single" w:sz="4" w:space="0" w:color="73777A"/>
            </w:tcBorders>
            <w:shd w:val="clear" w:color="auto" w:fill="FFFFFF"/>
            <w:tcMar>
              <w:left w:w="0" w:type="dxa"/>
              <w:right w:w="57" w:type="dxa"/>
            </w:tcMar>
          </w:tcPr>
          <w:p w14:paraId="7200180F" w14:textId="77777777" w:rsidR="00FA4226" w:rsidRPr="00CA2CC1" w:rsidRDefault="00000000" w:rsidP="0043303B">
            <w:pPr>
              <w:pStyle w:val="TableParagraph"/>
              <w:rPr>
                <w:rFonts w:cs="Calibri"/>
                <w:sz w:val="18"/>
              </w:rPr>
            </w:pPr>
            <w:r w:rsidRPr="00CA2CC1">
              <w:rPr>
                <w:rFonts w:cs="Calibri"/>
                <w:color w:val="414042"/>
                <w:spacing w:val="-2"/>
                <w:sz w:val="18"/>
              </w:rPr>
              <w:t>10,123,596</w:t>
            </w:r>
          </w:p>
        </w:tc>
      </w:tr>
      <w:tr w:rsidR="00FA4226" w:rsidRPr="00CA2CC1" w14:paraId="1CD2DB6A" w14:textId="77777777" w:rsidTr="00264665">
        <w:trPr>
          <w:trHeight w:val="278"/>
        </w:trPr>
        <w:tc>
          <w:tcPr>
            <w:tcW w:w="3024" w:type="dxa"/>
            <w:tcBorders>
              <w:top w:val="single" w:sz="4" w:space="0" w:color="73777A"/>
              <w:bottom w:val="single" w:sz="4" w:space="0" w:color="73777A"/>
            </w:tcBorders>
          </w:tcPr>
          <w:p w14:paraId="2DC37FA1" w14:textId="77777777" w:rsidR="00FA4226" w:rsidRPr="00CA2CC1" w:rsidRDefault="00000000" w:rsidP="0043303B">
            <w:pPr>
              <w:pStyle w:val="TableParagraph"/>
              <w:jc w:val="left"/>
              <w:rPr>
                <w:rFonts w:cs="Calibri"/>
                <w:sz w:val="18"/>
              </w:rPr>
            </w:pPr>
            <w:r w:rsidRPr="00CA2CC1">
              <w:rPr>
                <w:rFonts w:cs="Calibri"/>
                <w:color w:val="414042"/>
                <w:sz w:val="18"/>
              </w:rPr>
              <w:t>Total</w:t>
            </w:r>
            <w:r w:rsidRPr="00CA2CC1">
              <w:rPr>
                <w:rFonts w:cs="Calibri"/>
                <w:color w:val="414042"/>
                <w:spacing w:val="-2"/>
                <w:sz w:val="18"/>
              </w:rPr>
              <w:t xml:space="preserve"> </w:t>
            </w:r>
            <w:r w:rsidRPr="00CA2CC1">
              <w:rPr>
                <w:rFonts w:cs="Calibri"/>
                <w:color w:val="414042"/>
                <w:sz w:val="18"/>
              </w:rPr>
              <w:t xml:space="preserve">expenses from </w:t>
            </w:r>
            <w:r w:rsidRPr="00CA2CC1">
              <w:rPr>
                <w:rFonts w:cs="Calibri"/>
                <w:color w:val="414042"/>
                <w:spacing w:val="-2"/>
                <w:sz w:val="18"/>
              </w:rPr>
              <w:t>transactions</w:t>
            </w:r>
          </w:p>
        </w:tc>
        <w:tc>
          <w:tcPr>
            <w:tcW w:w="1323" w:type="dxa"/>
            <w:tcBorders>
              <w:top w:val="single" w:sz="4" w:space="0" w:color="73777A"/>
              <w:bottom w:val="single" w:sz="4" w:space="0" w:color="73777A"/>
            </w:tcBorders>
            <w:shd w:val="clear" w:color="auto" w:fill="FFFFFF"/>
            <w:tcMar>
              <w:left w:w="0" w:type="dxa"/>
              <w:right w:w="57" w:type="dxa"/>
            </w:tcMar>
          </w:tcPr>
          <w:p w14:paraId="4003FE62" w14:textId="77777777" w:rsidR="00FA4226" w:rsidRPr="00CA2CC1" w:rsidRDefault="00000000" w:rsidP="0043303B">
            <w:pPr>
              <w:pStyle w:val="TableParagraph"/>
              <w:rPr>
                <w:rFonts w:cs="Calibri"/>
                <w:sz w:val="18"/>
              </w:rPr>
            </w:pPr>
            <w:r w:rsidRPr="00CA2CC1">
              <w:rPr>
                <w:rFonts w:cs="Calibri"/>
                <w:color w:val="414042"/>
                <w:spacing w:val="-2"/>
                <w:sz w:val="18"/>
              </w:rPr>
              <w:t>9,976,101</w:t>
            </w:r>
          </w:p>
        </w:tc>
        <w:tc>
          <w:tcPr>
            <w:tcW w:w="1323" w:type="dxa"/>
            <w:tcBorders>
              <w:top w:val="single" w:sz="4" w:space="0" w:color="73777A"/>
              <w:bottom w:val="single" w:sz="4" w:space="0" w:color="73777A"/>
            </w:tcBorders>
            <w:shd w:val="clear" w:color="auto" w:fill="DFEDF2"/>
            <w:tcMar>
              <w:left w:w="0" w:type="dxa"/>
              <w:right w:w="57" w:type="dxa"/>
            </w:tcMar>
          </w:tcPr>
          <w:p w14:paraId="7442C699" w14:textId="77777777" w:rsidR="00FA4226" w:rsidRPr="00CA2CC1" w:rsidRDefault="00000000" w:rsidP="0043303B">
            <w:pPr>
              <w:pStyle w:val="TableParagraph"/>
              <w:rPr>
                <w:rFonts w:cs="Calibri"/>
                <w:sz w:val="18"/>
              </w:rPr>
            </w:pPr>
            <w:r w:rsidRPr="00CA2CC1">
              <w:rPr>
                <w:rFonts w:cs="Calibri"/>
                <w:color w:val="414042"/>
                <w:spacing w:val="-2"/>
                <w:sz w:val="18"/>
              </w:rPr>
              <w:t>9,310,816</w:t>
            </w:r>
          </w:p>
        </w:tc>
        <w:tc>
          <w:tcPr>
            <w:tcW w:w="1323" w:type="dxa"/>
            <w:tcBorders>
              <w:top w:val="single" w:sz="4" w:space="0" w:color="73777A"/>
              <w:bottom w:val="single" w:sz="4" w:space="0" w:color="73777A"/>
            </w:tcBorders>
            <w:shd w:val="clear" w:color="auto" w:fill="FFFFFF"/>
            <w:tcMar>
              <w:left w:w="0" w:type="dxa"/>
              <w:right w:w="57" w:type="dxa"/>
            </w:tcMar>
          </w:tcPr>
          <w:p w14:paraId="40C9C2FC" w14:textId="77777777" w:rsidR="00FA4226" w:rsidRPr="00CA2CC1" w:rsidRDefault="00000000" w:rsidP="0043303B">
            <w:pPr>
              <w:pStyle w:val="TableParagraph"/>
              <w:rPr>
                <w:rFonts w:cs="Calibri"/>
                <w:sz w:val="18"/>
              </w:rPr>
            </w:pPr>
            <w:r w:rsidRPr="00CA2CC1">
              <w:rPr>
                <w:rFonts w:cs="Calibri"/>
                <w:color w:val="414042"/>
                <w:spacing w:val="-2"/>
                <w:sz w:val="18"/>
              </w:rPr>
              <w:t>9,466,675</w:t>
            </w:r>
          </w:p>
        </w:tc>
        <w:tc>
          <w:tcPr>
            <w:tcW w:w="1323" w:type="dxa"/>
            <w:tcBorders>
              <w:top w:val="single" w:sz="4" w:space="0" w:color="73777A"/>
              <w:bottom w:val="single" w:sz="4" w:space="0" w:color="73777A"/>
            </w:tcBorders>
            <w:shd w:val="clear" w:color="auto" w:fill="DFEDF2"/>
            <w:tcMar>
              <w:left w:w="0" w:type="dxa"/>
              <w:right w:w="57" w:type="dxa"/>
            </w:tcMar>
          </w:tcPr>
          <w:p w14:paraId="174A0A80" w14:textId="77777777" w:rsidR="00FA4226" w:rsidRPr="00CA2CC1" w:rsidRDefault="00000000" w:rsidP="0043303B">
            <w:pPr>
              <w:pStyle w:val="TableParagraph"/>
              <w:rPr>
                <w:rFonts w:cs="Calibri"/>
                <w:sz w:val="18"/>
              </w:rPr>
            </w:pPr>
            <w:r w:rsidRPr="00CA2CC1">
              <w:rPr>
                <w:rFonts w:cs="Calibri"/>
                <w:color w:val="414042"/>
                <w:spacing w:val="-2"/>
                <w:sz w:val="18"/>
              </w:rPr>
              <w:t>10,128,246</w:t>
            </w:r>
          </w:p>
        </w:tc>
        <w:tc>
          <w:tcPr>
            <w:tcW w:w="1323" w:type="dxa"/>
            <w:tcBorders>
              <w:top w:val="single" w:sz="4" w:space="0" w:color="73777A"/>
              <w:bottom w:val="single" w:sz="4" w:space="0" w:color="73777A"/>
            </w:tcBorders>
            <w:shd w:val="clear" w:color="auto" w:fill="FFFFFF"/>
            <w:tcMar>
              <w:left w:w="0" w:type="dxa"/>
              <w:right w:w="57" w:type="dxa"/>
            </w:tcMar>
          </w:tcPr>
          <w:p w14:paraId="0E8198E2" w14:textId="77777777" w:rsidR="00FA4226" w:rsidRPr="00CA2CC1" w:rsidRDefault="00000000" w:rsidP="0043303B">
            <w:pPr>
              <w:pStyle w:val="TableParagraph"/>
              <w:rPr>
                <w:rFonts w:cs="Calibri"/>
                <w:sz w:val="18"/>
              </w:rPr>
            </w:pPr>
            <w:r w:rsidRPr="00CA2CC1">
              <w:rPr>
                <w:rFonts w:cs="Calibri"/>
                <w:color w:val="414042"/>
                <w:spacing w:val="-2"/>
                <w:sz w:val="18"/>
              </w:rPr>
              <w:t>10,123,596</w:t>
            </w:r>
          </w:p>
        </w:tc>
      </w:tr>
      <w:tr w:rsidR="00FA4226" w:rsidRPr="00CA2CC1" w14:paraId="0A022640" w14:textId="77777777" w:rsidTr="00264665">
        <w:trPr>
          <w:trHeight w:val="278"/>
        </w:trPr>
        <w:tc>
          <w:tcPr>
            <w:tcW w:w="3024" w:type="dxa"/>
            <w:tcBorders>
              <w:top w:val="single" w:sz="4" w:space="0" w:color="73777A"/>
              <w:bottom w:val="single" w:sz="4" w:space="0" w:color="73777A"/>
            </w:tcBorders>
          </w:tcPr>
          <w:p w14:paraId="603825A8" w14:textId="77777777" w:rsidR="00FA4226" w:rsidRPr="00CA2CC1" w:rsidRDefault="00000000" w:rsidP="0043303B">
            <w:pPr>
              <w:pStyle w:val="TableParagraph"/>
              <w:jc w:val="left"/>
              <w:rPr>
                <w:rFonts w:cs="Calibri"/>
                <w:sz w:val="18"/>
              </w:rPr>
            </w:pPr>
            <w:r w:rsidRPr="00CA2CC1">
              <w:rPr>
                <w:rFonts w:cs="Calibri"/>
                <w:color w:val="414042"/>
                <w:sz w:val="18"/>
              </w:rPr>
              <w:t>Net</w:t>
            </w:r>
            <w:r w:rsidRPr="00CA2CC1">
              <w:rPr>
                <w:rFonts w:cs="Calibri"/>
                <w:color w:val="414042"/>
                <w:spacing w:val="3"/>
                <w:sz w:val="18"/>
              </w:rPr>
              <w:t xml:space="preserve"> </w:t>
            </w:r>
            <w:r w:rsidRPr="00CA2CC1">
              <w:rPr>
                <w:rFonts w:cs="Calibri"/>
                <w:color w:val="414042"/>
                <w:sz w:val="18"/>
              </w:rPr>
              <w:t>result</w:t>
            </w:r>
            <w:r w:rsidRPr="00CA2CC1">
              <w:rPr>
                <w:rFonts w:cs="Calibri"/>
                <w:color w:val="414042"/>
                <w:spacing w:val="3"/>
                <w:sz w:val="18"/>
              </w:rPr>
              <w:t xml:space="preserve"> </w:t>
            </w:r>
            <w:r w:rsidRPr="00CA2CC1">
              <w:rPr>
                <w:rFonts w:cs="Calibri"/>
                <w:color w:val="414042"/>
                <w:sz w:val="18"/>
              </w:rPr>
              <w:t>from</w:t>
            </w:r>
            <w:r w:rsidRPr="00CA2CC1">
              <w:rPr>
                <w:rFonts w:cs="Calibri"/>
                <w:color w:val="414042"/>
                <w:spacing w:val="4"/>
                <w:sz w:val="18"/>
              </w:rPr>
              <w:t xml:space="preserve"> </w:t>
            </w:r>
            <w:r w:rsidRPr="00CA2CC1">
              <w:rPr>
                <w:rFonts w:cs="Calibri"/>
                <w:color w:val="414042"/>
                <w:spacing w:val="-2"/>
                <w:sz w:val="18"/>
              </w:rPr>
              <w:t>transactions</w:t>
            </w:r>
          </w:p>
        </w:tc>
        <w:tc>
          <w:tcPr>
            <w:tcW w:w="1323" w:type="dxa"/>
            <w:tcBorders>
              <w:top w:val="single" w:sz="4" w:space="0" w:color="73777A"/>
              <w:bottom w:val="single" w:sz="4" w:space="0" w:color="73777A"/>
            </w:tcBorders>
            <w:shd w:val="clear" w:color="auto" w:fill="FFFFFF"/>
            <w:tcMar>
              <w:left w:w="0" w:type="dxa"/>
              <w:right w:w="57" w:type="dxa"/>
            </w:tcMar>
          </w:tcPr>
          <w:p w14:paraId="6509880E" w14:textId="77777777" w:rsidR="00FA4226" w:rsidRPr="00CA2CC1" w:rsidRDefault="00000000" w:rsidP="0043303B">
            <w:pPr>
              <w:pStyle w:val="TableParagraph"/>
              <w:rPr>
                <w:rFonts w:cs="Calibri"/>
                <w:sz w:val="18"/>
              </w:rPr>
            </w:pPr>
            <w:r w:rsidRPr="00CA2CC1">
              <w:rPr>
                <w:rFonts w:cs="Calibri"/>
                <w:color w:val="414042"/>
                <w:sz w:val="18"/>
              </w:rPr>
              <w:t>-</w:t>
            </w:r>
            <w:r w:rsidRPr="00CA2CC1">
              <w:rPr>
                <w:rFonts w:cs="Calibri"/>
                <w:color w:val="414042"/>
                <w:spacing w:val="-2"/>
                <w:sz w:val="18"/>
              </w:rPr>
              <w:t>53,963</w:t>
            </w:r>
          </w:p>
        </w:tc>
        <w:tc>
          <w:tcPr>
            <w:tcW w:w="1323" w:type="dxa"/>
            <w:tcBorders>
              <w:top w:val="single" w:sz="4" w:space="0" w:color="73777A"/>
              <w:bottom w:val="single" w:sz="4" w:space="0" w:color="73777A"/>
            </w:tcBorders>
            <w:shd w:val="clear" w:color="auto" w:fill="DFEDF2"/>
            <w:tcMar>
              <w:left w:w="0" w:type="dxa"/>
              <w:right w:w="57" w:type="dxa"/>
            </w:tcMar>
          </w:tcPr>
          <w:p w14:paraId="39B55BC0" w14:textId="77777777" w:rsidR="00FA4226" w:rsidRPr="00CA2CC1" w:rsidRDefault="00000000" w:rsidP="0043303B">
            <w:pPr>
              <w:pStyle w:val="TableParagraph"/>
              <w:rPr>
                <w:rFonts w:cs="Calibri"/>
                <w:sz w:val="18"/>
              </w:rPr>
            </w:pPr>
            <w:r w:rsidRPr="00CA2CC1">
              <w:rPr>
                <w:rFonts w:cs="Calibri"/>
                <w:color w:val="414042"/>
                <w:spacing w:val="-2"/>
                <w:sz w:val="18"/>
              </w:rPr>
              <w:t>538,553</w:t>
            </w:r>
          </w:p>
        </w:tc>
        <w:tc>
          <w:tcPr>
            <w:tcW w:w="1323" w:type="dxa"/>
            <w:tcBorders>
              <w:top w:val="single" w:sz="4" w:space="0" w:color="73777A"/>
              <w:bottom w:val="single" w:sz="4" w:space="0" w:color="73777A"/>
            </w:tcBorders>
            <w:shd w:val="clear" w:color="auto" w:fill="FFFFFF"/>
            <w:tcMar>
              <w:left w:w="0" w:type="dxa"/>
              <w:right w:w="57" w:type="dxa"/>
            </w:tcMar>
          </w:tcPr>
          <w:p w14:paraId="7D8DA658" w14:textId="77777777" w:rsidR="00FA4226" w:rsidRPr="00CA2CC1" w:rsidRDefault="00000000" w:rsidP="0043303B">
            <w:pPr>
              <w:pStyle w:val="TableParagraph"/>
              <w:rPr>
                <w:rFonts w:cs="Calibri"/>
                <w:sz w:val="18"/>
              </w:rPr>
            </w:pPr>
            <w:r w:rsidRPr="00CA2CC1">
              <w:rPr>
                <w:rFonts w:cs="Calibri"/>
                <w:color w:val="414042"/>
                <w:spacing w:val="-2"/>
                <w:sz w:val="18"/>
              </w:rPr>
              <w:t>468,090</w:t>
            </w:r>
          </w:p>
        </w:tc>
        <w:tc>
          <w:tcPr>
            <w:tcW w:w="1323" w:type="dxa"/>
            <w:tcBorders>
              <w:top w:val="single" w:sz="4" w:space="0" w:color="73777A"/>
              <w:bottom w:val="single" w:sz="4" w:space="0" w:color="73777A"/>
            </w:tcBorders>
            <w:shd w:val="clear" w:color="auto" w:fill="DFEDF2"/>
            <w:tcMar>
              <w:left w:w="0" w:type="dxa"/>
              <w:right w:w="57" w:type="dxa"/>
            </w:tcMar>
          </w:tcPr>
          <w:p w14:paraId="3E3376C1" w14:textId="77777777" w:rsidR="00FA4226" w:rsidRPr="00CA2CC1" w:rsidRDefault="00000000" w:rsidP="0043303B">
            <w:pPr>
              <w:pStyle w:val="TableParagraph"/>
              <w:rPr>
                <w:rFonts w:cs="Calibri"/>
                <w:sz w:val="18"/>
              </w:rPr>
            </w:pPr>
            <w:r w:rsidRPr="00CA2CC1">
              <w:rPr>
                <w:rFonts w:cs="Calibri"/>
                <w:color w:val="414042"/>
                <w:spacing w:val="-11"/>
                <w:sz w:val="18"/>
              </w:rPr>
              <w:t>-</w:t>
            </w:r>
            <w:r w:rsidRPr="00CA2CC1">
              <w:rPr>
                <w:rFonts w:cs="Calibri"/>
                <w:color w:val="414042"/>
                <w:spacing w:val="-2"/>
                <w:sz w:val="18"/>
              </w:rPr>
              <w:t>72,217</w:t>
            </w:r>
          </w:p>
        </w:tc>
        <w:tc>
          <w:tcPr>
            <w:tcW w:w="1323" w:type="dxa"/>
            <w:tcBorders>
              <w:top w:val="single" w:sz="4" w:space="0" w:color="73777A"/>
              <w:bottom w:val="single" w:sz="4" w:space="0" w:color="73777A"/>
            </w:tcBorders>
            <w:shd w:val="clear" w:color="auto" w:fill="FFFFFF"/>
            <w:tcMar>
              <w:left w:w="0" w:type="dxa"/>
              <w:right w:w="57" w:type="dxa"/>
            </w:tcMar>
          </w:tcPr>
          <w:p w14:paraId="575F9C75" w14:textId="77777777" w:rsidR="00FA4226" w:rsidRPr="00CA2CC1" w:rsidRDefault="00000000" w:rsidP="0043303B">
            <w:pPr>
              <w:pStyle w:val="TableParagraph"/>
              <w:rPr>
                <w:rFonts w:cs="Calibri"/>
                <w:sz w:val="18"/>
              </w:rPr>
            </w:pPr>
            <w:r w:rsidRPr="00CA2CC1">
              <w:rPr>
                <w:rFonts w:cs="Calibri"/>
                <w:color w:val="414042"/>
                <w:sz w:val="18"/>
              </w:rPr>
              <w:t>-</w:t>
            </w:r>
          </w:p>
        </w:tc>
      </w:tr>
      <w:tr w:rsidR="00FA4226" w:rsidRPr="00CA2CC1" w14:paraId="6FBF8836" w14:textId="77777777" w:rsidTr="00264665">
        <w:trPr>
          <w:trHeight w:val="498"/>
        </w:trPr>
        <w:tc>
          <w:tcPr>
            <w:tcW w:w="3024" w:type="dxa"/>
            <w:tcBorders>
              <w:top w:val="single" w:sz="4" w:space="0" w:color="73777A"/>
              <w:bottom w:val="single" w:sz="4" w:space="0" w:color="73777A"/>
            </w:tcBorders>
          </w:tcPr>
          <w:p w14:paraId="0F820E64" w14:textId="77777777" w:rsidR="00FA4226" w:rsidRPr="00CA2CC1" w:rsidRDefault="00000000" w:rsidP="0043303B">
            <w:pPr>
              <w:pStyle w:val="TableParagraph"/>
              <w:spacing w:before="16"/>
              <w:jc w:val="left"/>
              <w:rPr>
                <w:rFonts w:cs="Calibri"/>
                <w:sz w:val="10"/>
              </w:rPr>
            </w:pPr>
            <w:r w:rsidRPr="00CA2CC1">
              <w:rPr>
                <w:rFonts w:cs="Calibri"/>
                <w:color w:val="414042"/>
                <w:sz w:val="18"/>
              </w:rPr>
              <w:t>Other</w:t>
            </w:r>
            <w:r w:rsidRPr="00CA2CC1">
              <w:rPr>
                <w:rFonts w:cs="Calibri"/>
                <w:color w:val="414042"/>
                <w:spacing w:val="-1"/>
                <w:sz w:val="18"/>
              </w:rPr>
              <w:t xml:space="preserve"> </w:t>
            </w:r>
            <w:r w:rsidRPr="00CA2CC1">
              <w:rPr>
                <w:rFonts w:cs="Calibri"/>
                <w:color w:val="414042"/>
                <w:sz w:val="18"/>
              </w:rPr>
              <w:t>economic</w:t>
            </w:r>
            <w:r w:rsidRPr="00CA2CC1">
              <w:rPr>
                <w:rFonts w:cs="Calibri"/>
                <w:color w:val="414042"/>
                <w:spacing w:val="-1"/>
                <w:sz w:val="18"/>
              </w:rPr>
              <w:t xml:space="preserve"> </w:t>
            </w:r>
            <w:r w:rsidRPr="00CA2CC1">
              <w:rPr>
                <w:rFonts w:cs="Calibri"/>
                <w:color w:val="414042"/>
                <w:sz w:val="18"/>
              </w:rPr>
              <w:t>flows</w:t>
            </w:r>
            <w:r w:rsidRPr="00CA2CC1">
              <w:rPr>
                <w:rFonts w:cs="Calibri"/>
                <w:color w:val="414042"/>
                <w:spacing w:val="-1"/>
                <w:sz w:val="18"/>
              </w:rPr>
              <w:t xml:space="preserve"> </w:t>
            </w:r>
            <w:r w:rsidRPr="00CA2CC1">
              <w:rPr>
                <w:rFonts w:cs="Calibri"/>
                <w:color w:val="414042"/>
                <w:sz w:val="18"/>
              </w:rPr>
              <w:t>included in net result</w:t>
            </w:r>
            <w:r w:rsidRPr="00CA2CC1">
              <w:rPr>
                <w:rFonts w:cs="Calibri"/>
                <w:color w:val="414042"/>
                <w:position w:val="6"/>
                <w:sz w:val="10"/>
              </w:rPr>
              <w:t>a</w:t>
            </w:r>
          </w:p>
        </w:tc>
        <w:tc>
          <w:tcPr>
            <w:tcW w:w="1323" w:type="dxa"/>
            <w:tcBorders>
              <w:top w:val="single" w:sz="4" w:space="0" w:color="73777A"/>
              <w:bottom w:val="single" w:sz="4" w:space="0" w:color="73777A"/>
            </w:tcBorders>
            <w:shd w:val="clear" w:color="auto" w:fill="FFFFFF"/>
            <w:tcMar>
              <w:left w:w="0" w:type="dxa"/>
              <w:right w:w="57" w:type="dxa"/>
            </w:tcMar>
          </w:tcPr>
          <w:p w14:paraId="0B6EBB18" w14:textId="77777777" w:rsidR="00FA4226" w:rsidRPr="00CA2CC1" w:rsidRDefault="00FA4226" w:rsidP="0043303B">
            <w:pPr>
              <w:pStyle w:val="TableParagraph"/>
              <w:spacing w:before="6"/>
              <w:jc w:val="left"/>
              <w:rPr>
                <w:rFonts w:cs="Calibri"/>
                <w:sz w:val="18"/>
              </w:rPr>
            </w:pPr>
          </w:p>
          <w:p w14:paraId="320C3401" w14:textId="77777777" w:rsidR="00FA4226" w:rsidRPr="00CA2CC1" w:rsidRDefault="00000000" w:rsidP="0043303B">
            <w:pPr>
              <w:pStyle w:val="TableParagraph"/>
              <w:rPr>
                <w:rFonts w:cs="Calibri"/>
                <w:sz w:val="18"/>
              </w:rPr>
            </w:pPr>
            <w:r w:rsidRPr="00CA2CC1">
              <w:rPr>
                <w:rFonts w:cs="Calibri"/>
                <w:color w:val="414042"/>
                <w:spacing w:val="-11"/>
                <w:sz w:val="18"/>
              </w:rPr>
              <w:t>-</w:t>
            </w:r>
            <w:r w:rsidRPr="00CA2CC1">
              <w:rPr>
                <w:rFonts w:cs="Calibri"/>
                <w:color w:val="414042"/>
                <w:spacing w:val="-2"/>
                <w:sz w:val="18"/>
              </w:rPr>
              <w:t>7,801</w:t>
            </w:r>
          </w:p>
        </w:tc>
        <w:tc>
          <w:tcPr>
            <w:tcW w:w="1323" w:type="dxa"/>
            <w:tcBorders>
              <w:top w:val="single" w:sz="4" w:space="0" w:color="73777A"/>
              <w:bottom w:val="single" w:sz="4" w:space="0" w:color="73777A"/>
            </w:tcBorders>
            <w:shd w:val="clear" w:color="auto" w:fill="DFEDF2"/>
            <w:tcMar>
              <w:left w:w="0" w:type="dxa"/>
              <w:right w:w="57" w:type="dxa"/>
            </w:tcMar>
          </w:tcPr>
          <w:p w14:paraId="1933CB41" w14:textId="77777777" w:rsidR="00FA4226" w:rsidRPr="00CA2CC1" w:rsidRDefault="00FA4226" w:rsidP="0043303B">
            <w:pPr>
              <w:pStyle w:val="TableParagraph"/>
              <w:spacing w:before="6"/>
              <w:jc w:val="left"/>
              <w:rPr>
                <w:rFonts w:cs="Calibri"/>
                <w:sz w:val="18"/>
              </w:rPr>
            </w:pPr>
          </w:p>
          <w:p w14:paraId="73093BA0" w14:textId="77777777" w:rsidR="00FA4226" w:rsidRPr="00CA2CC1" w:rsidRDefault="00000000" w:rsidP="0043303B">
            <w:pPr>
              <w:pStyle w:val="TableParagraph"/>
              <w:rPr>
                <w:rFonts w:cs="Calibri"/>
                <w:sz w:val="18"/>
              </w:rPr>
            </w:pPr>
            <w:r w:rsidRPr="00CA2CC1">
              <w:rPr>
                <w:rFonts w:cs="Calibri"/>
                <w:color w:val="414042"/>
                <w:spacing w:val="-2"/>
                <w:sz w:val="18"/>
              </w:rPr>
              <w:t>53,806</w:t>
            </w:r>
          </w:p>
        </w:tc>
        <w:tc>
          <w:tcPr>
            <w:tcW w:w="1323" w:type="dxa"/>
            <w:tcBorders>
              <w:top w:val="single" w:sz="4" w:space="0" w:color="73777A"/>
              <w:bottom w:val="single" w:sz="4" w:space="0" w:color="73777A"/>
            </w:tcBorders>
            <w:shd w:val="clear" w:color="auto" w:fill="FFFFFF"/>
            <w:tcMar>
              <w:left w:w="0" w:type="dxa"/>
              <w:right w:w="57" w:type="dxa"/>
            </w:tcMar>
          </w:tcPr>
          <w:p w14:paraId="4441601C" w14:textId="77777777" w:rsidR="00FA4226" w:rsidRPr="00CA2CC1" w:rsidRDefault="00FA4226" w:rsidP="0043303B">
            <w:pPr>
              <w:pStyle w:val="TableParagraph"/>
              <w:spacing w:before="6"/>
              <w:jc w:val="left"/>
              <w:rPr>
                <w:rFonts w:cs="Calibri"/>
                <w:sz w:val="18"/>
              </w:rPr>
            </w:pPr>
          </w:p>
          <w:p w14:paraId="1B10FD19" w14:textId="77777777" w:rsidR="00FA4226" w:rsidRPr="00CA2CC1" w:rsidRDefault="00000000" w:rsidP="0043303B">
            <w:pPr>
              <w:pStyle w:val="TableParagraph"/>
              <w:rPr>
                <w:rFonts w:cs="Calibri"/>
                <w:sz w:val="18"/>
              </w:rPr>
            </w:pPr>
            <w:r w:rsidRPr="00CA2CC1">
              <w:rPr>
                <w:rFonts w:cs="Calibri"/>
                <w:color w:val="414042"/>
                <w:spacing w:val="-2"/>
                <w:sz w:val="18"/>
              </w:rPr>
              <w:t>79,099</w:t>
            </w:r>
          </w:p>
        </w:tc>
        <w:tc>
          <w:tcPr>
            <w:tcW w:w="1323" w:type="dxa"/>
            <w:tcBorders>
              <w:top w:val="single" w:sz="4" w:space="0" w:color="73777A"/>
              <w:bottom w:val="single" w:sz="4" w:space="0" w:color="73777A"/>
            </w:tcBorders>
            <w:shd w:val="clear" w:color="auto" w:fill="DFEDF2"/>
            <w:tcMar>
              <w:left w:w="0" w:type="dxa"/>
              <w:right w:w="57" w:type="dxa"/>
            </w:tcMar>
          </w:tcPr>
          <w:p w14:paraId="75CA6346" w14:textId="77777777" w:rsidR="00FA4226" w:rsidRPr="00CA2CC1" w:rsidRDefault="00FA4226" w:rsidP="0043303B">
            <w:pPr>
              <w:pStyle w:val="TableParagraph"/>
              <w:spacing w:before="6"/>
              <w:jc w:val="left"/>
              <w:rPr>
                <w:rFonts w:cs="Calibri"/>
                <w:sz w:val="18"/>
              </w:rPr>
            </w:pPr>
          </w:p>
          <w:p w14:paraId="704F614C" w14:textId="77777777" w:rsidR="00FA4226" w:rsidRPr="00CA2CC1" w:rsidRDefault="00000000" w:rsidP="0043303B">
            <w:pPr>
              <w:pStyle w:val="TableParagraph"/>
              <w:rPr>
                <w:rFonts w:cs="Calibri"/>
                <w:sz w:val="18"/>
              </w:rPr>
            </w:pPr>
            <w:r w:rsidRPr="00CA2CC1">
              <w:rPr>
                <w:rFonts w:cs="Calibri"/>
                <w:color w:val="414042"/>
                <w:spacing w:val="-16"/>
                <w:sz w:val="18"/>
              </w:rPr>
              <w:t>-</w:t>
            </w:r>
            <w:r w:rsidRPr="00CA2CC1">
              <w:rPr>
                <w:rFonts w:cs="Calibri"/>
                <w:color w:val="414042"/>
                <w:spacing w:val="-2"/>
                <w:sz w:val="18"/>
              </w:rPr>
              <w:t>16,178</w:t>
            </w:r>
          </w:p>
        </w:tc>
        <w:tc>
          <w:tcPr>
            <w:tcW w:w="1323" w:type="dxa"/>
            <w:tcBorders>
              <w:top w:val="single" w:sz="4" w:space="0" w:color="73777A"/>
              <w:bottom w:val="single" w:sz="4" w:space="0" w:color="73777A"/>
            </w:tcBorders>
            <w:shd w:val="clear" w:color="auto" w:fill="FFFFFF"/>
            <w:tcMar>
              <w:left w:w="0" w:type="dxa"/>
              <w:right w:w="57" w:type="dxa"/>
            </w:tcMar>
          </w:tcPr>
          <w:p w14:paraId="30549DF7" w14:textId="77777777" w:rsidR="00FA4226" w:rsidRPr="00CA2CC1" w:rsidRDefault="00FA4226" w:rsidP="0043303B">
            <w:pPr>
              <w:pStyle w:val="TableParagraph"/>
              <w:spacing w:before="6"/>
              <w:jc w:val="left"/>
              <w:rPr>
                <w:rFonts w:cs="Calibri"/>
                <w:sz w:val="18"/>
              </w:rPr>
            </w:pPr>
          </w:p>
          <w:p w14:paraId="393CE239" w14:textId="77777777" w:rsidR="00FA4226" w:rsidRPr="00CA2CC1" w:rsidRDefault="00000000" w:rsidP="0043303B">
            <w:pPr>
              <w:pStyle w:val="TableParagraph"/>
              <w:rPr>
                <w:rFonts w:cs="Calibri"/>
                <w:sz w:val="18"/>
              </w:rPr>
            </w:pPr>
            <w:r w:rsidRPr="00CA2CC1">
              <w:rPr>
                <w:rFonts w:cs="Calibri"/>
                <w:color w:val="414042"/>
                <w:sz w:val="18"/>
              </w:rPr>
              <w:t>-</w:t>
            </w:r>
            <w:r w:rsidRPr="00CA2CC1">
              <w:rPr>
                <w:rFonts w:cs="Calibri"/>
                <w:color w:val="414042"/>
                <w:spacing w:val="-2"/>
                <w:sz w:val="18"/>
              </w:rPr>
              <w:t>35,438</w:t>
            </w:r>
          </w:p>
        </w:tc>
      </w:tr>
      <w:tr w:rsidR="00FA4226" w:rsidRPr="00CA2CC1" w14:paraId="69FF28E0" w14:textId="77777777" w:rsidTr="00264665">
        <w:trPr>
          <w:trHeight w:val="278"/>
        </w:trPr>
        <w:tc>
          <w:tcPr>
            <w:tcW w:w="3024" w:type="dxa"/>
            <w:tcBorders>
              <w:top w:val="single" w:sz="4" w:space="0" w:color="73777A"/>
              <w:bottom w:val="single" w:sz="4" w:space="0" w:color="73777A"/>
            </w:tcBorders>
          </w:tcPr>
          <w:p w14:paraId="21D961DA" w14:textId="77777777" w:rsidR="00FA4226" w:rsidRPr="00CA2CC1" w:rsidRDefault="00000000" w:rsidP="0043303B">
            <w:pPr>
              <w:pStyle w:val="TableParagraph"/>
              <w:jc w:val="left"/>
              <w:rPr>
                <w:rFonts w:cs="Calibri"/>
                <w:sz w:val="18"/>
              </w:rPr>
            </w:pPr>
            <w:r w:rsidRPr="00CA2CC1">
              <w:rPr>
                <w:rFonts w:cs="Calibri"/>
                <w:color w:val="414042"/>
                <w:sz w:val="18"/>
              </w:rPr>
              <w:t>Net</w:t>
            </w:r>
            <w:r w:rsidRPr="00CA2CC1">
              <w:rPr>
                <w:rFonts w:cs="Calibri"/>
                <w:color w:val="414042"/>
                <w:spacing w:val="2"/>
                <w:sz w:val="18"/>
              </w:rPr>
              <w:t xml:space="preserve"> </w:t>
            </w:r>
            <w:r w:rsidRPr="00CA2CC1">
              <w:rPr>
                <w:rFonts w:cs="Calibri"/>
                <w:color w:val="414042"/>
                <w:sz w:val="18"/>
              </w:rPr>
              <w:t>result</w:t>
            </w:r>
            <w:r w:rsidRPr="00CA2CC1">
              <w:rPr>
                <w:rFonts w:cs="Calibri"/>
                <w:color w:val="414042"/>
                <w:spacing w:val="2"/>
                <w:sz w:val="18"/>
              </w:rPr>
              <w:t xml:space="preserve"> </w:t>
            </w:r>
            <w:r w:rsidRPr="00CA2CC1">
              <w:rPr>
                <w:rFonts w:cs="Calibri"/>
                <w:color w:val="414042"/>
                <w:sz w:val="18"/>
              </w:rPr>
              <w:t>for</w:t>
            </w:r>
            <w:r w:rsidRPr="00CA2CC1">
              <w:rPr>
                <w:rFonts w:cs="Calibri"/>
                <w:color w:val="414042"/>
                <w:spacing w:val="2"/>
                <w:sz w:val="18"/>
              </w:rPr>
              <w:t xml:space="preserve"> </w:t>
            </w:r>
            <w:r w:rsidRPr="00CA2CC1">
              <w:rPr>
                <w:rFonts w:cs="Calibri"/>
                <w:color w:val="414042"/>
                <w:sz w:val="18"/>
              </w:rPr>
              <w:t>the</w:t>
            </w:r>
            <w:r w:rsidRPr="00CA2CC1">
              <w:rPr>
                <w:rFonts w:cs="Calibri"/>
                <w:color w:val="414042"/>
                <w:spacing w:val="3"/>
                <w:sz w:val="18"/>
              </w:rPr>
              <w:t xml:space="preserve"> </w:t>
            </w:r>
            <w:r w:rsidRPr="00CA2CC1">
              <w:rPr>
                <w:rFonts w:cs="Calibri"/>
                <w:color w:val="414042"/>
                <w:spacing w:val="-2"/>
                <w:sz w:val="18"/>
              </w:rPr>
              <w:t>period</w:t>
            </w:r>
          </w:p>
        </w:tc>
        <w:tc>
          <w:tcPr>
            <w:tcW w:w="1323" w:type="dxa"/>
            <w:tcBorders>
              <w:top w:val="single" w:sz="4" w:space="0" w:color="73777A"/>
              <w:bottom w:val="single" w:sz="4" w:space="0" w:color="73777A"/>
            </w:tcBorders>
            <w:shd w:val="clear" w:color="auto" w:fill="FFFFFF"/>
            <w:tcMar>
              <w:left w:w="0" w:type="dxa"/>
              <w:right w:w="57" w:type="dxa"/>
            </w:tcMar>
          </w:tcPr>
          <w:p w14:paraId="2B8BA0C5" w14:textId="77777777" w:rsidR="00FA4226" w:rsidRPr="00CA2CC1" w:rsidRDefault="00000000" w:rsidP="0043303B">
            <w:pPr>
              <w:pStyle w:val="TableParagraph"/>
              <w:rPr>
                <w:rFonts w:cs="Calibri"/>
                <w:sz w:val="18"/>
              </w:rPr>
            </w:pPr>
            <w:r w:rsidRPr="00CA2CC1">
              <w:rPr>
                <w:rFonts w:cs="Calibri"/>
                <w:color w:val="414042"/>
                <w:sz w:val="18"/>
              </w:rPr>
              <w:t>-</w:t>
            </w:r>
            <w:r w:rsidRPr="00CA2CC1">
              <w:rPr>
                <w:rFonts w:cs="Calibri"/>
                <w:color w:val="414042"/>
                <w:spacing w:val="-2"/>
                <w:sz w:val="18"/>
              </w:rPr>
              <w:t>61,764</w:t>
            </w:r>
          </w:p>
        </w:tc>
        <w:tc>
          <w:tcPr>
            <w:tcW w:w="1323" w:type="dxa"/>
            <w:tcBorders>
              <w:top w:val="single" w:sz="4" w:space="0" w:color="73777A"/>
              <w:bottom w:val="single" w:sz="4" w:space="0" w:color="73777A"/>
            </w:tcBorders>
            <w:shd w:val="clear" w:color="auto" w:fill="DFEDF2"/>
            <w:tcMar>
              <w:left w:w="0" w:type="dxa"/>
              <w:right w:w="57" w:type="dxa"/>
            </w:tcMar>
          </w:tcPr>
          <w:p w14:paraId="26A35E5D" w14:textId="77777777" w:rsidR="00FA4226" w:rsidRPr="00CA2CC1" w:rsidRDefault="00000000" w:rsidP="0043303B">
            <w:pPr>
              <w:pStyle w:val="TableParagraph"/>
              <w:rPr>
                <w:rFonts w:cs="Calibri"/>
                <w:sz w:val="18"/>
              </w:rPr>
            </w:pPr>
            <w:r w:rsidRPr="00CA2CC1">
              <w:rPr>
                <w:rFonts w:cs="Calibri"/>
                <w:color w:val="414042"/>
                <w:spacing w:val="-2"/>
                <w:sz w:val="18"/>
              </w:rPr>
              <w:t>592,359</w:t>
            </w:r>
          </w:p>
        </w:tc>
        <w:tc>
          <w:tcPr>
            <w:tcW w:w="1323" w:type="dxa"/>
            <w:tcBorders>
              <w:top w:val="single" w:sz="4" w:space="0" w:color="73777A"/>
              <w:bottom w:val="single" w:sz="4" w:space="0" w:color="73777A"/>
            </w:tcBorders>
            <w:shd w:val="clear" w:color="auto" w:fill="FFFFFF"/>
            <w:tcMar>
              <w:left w:w="0" w:type="dxa"/>
              <w:right w:w="57" w:type="dxa"/>
            </w:tcMar>
          </w:tcPr>
          <w:p w14:paraId="6467E37C" w14:textId="77777777" w:rsidR="00FA4226" w:rsidRPr="00CA2CC1" w:rsidRDefault="00000000" w:rsidP="0043303B">
            <w:pPr>
              <w:pStyle w:val="TableParagraph"/>
              <w:rPr>
                <w:rFonts w:cs="Calibri"/>
                <w:sz w:val="18"/>
              </w:rPr>
            </w:pPr>
            <w:r w:rsidRPr="00CA2CC1">
              <w:rPr>
                <w:rFonts w:cs="Calibri"/>
                <w:color w:val="414042"/>
                <w:spacing w:val="-2"/>
                <w:sz w:val="18"/>
              </w:rPr>
              <w:t>547,189</w:t>
            </w:r>
          </w:p>
        </w:tc>
        <w:tc>
          <w:tcPr>
            <w:tcW w:w="1323" w:type="dxa"/>
            <w:tcBorders>
              <w:top w:val="single" w:sz="4" w:space="0" w:color="73777A"/>
              <w:bottom w:val="single" w:sz="4" w:space="0" w:color="73777A"/>
            </w:tcBorders>
            <w:shd w:val="clear" w:color="auto" w:fill="DFEDF2"/>
            <w:tcMar>
              <w:left w:w="0" w:type="dxa"/>
              <w:right w:w="57" w:type="dxa"/>
            </w:tcMar>
          </w:tcPr>
          <w:p w14:paraId="008EF3C0" w14:textId="77777777" w:rsidR="00FA4226" w:rsidRPr="00CA2CC1" w:rsidRDefault="00000000" w:rsidP="0043303B">
            <w:pPr>
              <w:pStyle w:val="TableParagraph"/>
              <w:rPr>
                <w:rFonts w:cs="Calibri"/>
                <w:sz w:val="18"/>
              </w:rPr>
            </w:pPr>
            <w:r w:rsidRPr="00CA2CC1">
              <w:rPr>
                <w:rFonts w:cs="Calibri"/>
                <w:color w:val="414042"/>
                <w:sz w:val="18"/>
              </w:rPr>
              <w:t>-</w:t>
            </w:r>
            <w:r w:rsidRPr="00CA2CC1">
              <w:rPr>
                <w:rFonts w:cs="Calibri"/>
                <w:color w:val="414042"/>
                <w:spacing w:val="-2"/>
                <w:sz w:val="18"/>
              </w:rPr>
              <w:t>88,395</w:t>
            </w:r>
          </w:p>
        </w:tc>
        <w:tc>
          <w:tcPr>
            <w:tcW w:w="1323" w:type="dxa"/>
            <w:tcBorders>
              <w:top w:val="single" w:sz="4" w:space="0" w:color="73777A"/>
              <w:bottom w:val="single" w:sz="4" w:space="0" w:color="73777A"/>
            </w:tcBorders>
            <w:shd w:val="clear" w:color="auto" w:fill="FFFFFF"/>
            <w:tcMar>
              <w:left w:w="0" w:type="dxa"/>
              <w:right w:w="57" w:type="dxa"/>
            </w:tcMar>
          </w:tcPr>
          <w:p w14:paraId="0729CF37" w14:textId="7C83BEE2" w:rsidR="00FA4226" w:rsidRPr="00CA2CC1" w:rsidRDefault="00D53C6B" w:rsidP="0043303B">
            <w:pPr>
              <w:pStyle w:val="TableParagraph"/>
              <w:rPr>
                <w:rFonts w:cs="Calibri"/>
                <w:sz w:val="18"/>
              </w:rPr>
            </w:pPr>
            <w:r w:rsidRPr="00CA2CC1">
              <w:rPr>
                <w:rFonts w:cs="Calibri"/>
                <w:color w:val="414042"/>
                <w:sz w:val="18"/>
              </w:rPr>
              <w:t>-</w:t>
            </w:r>
            <w:r w:rsidRPr="00CA2CC1">
              <w:rPr>
                <w:rFonts w:cs="Calibri"/>
                <w:color w:val="414042"/>
                <w:spacing w:val="-2"/>
                <w:sz w:val="18"/>
              </w:rPr>
              <w:t>35,438</w:t>
            </w:r>
          </w:p>
        </w:tc>
      </w:tr>
      <w:tr w:rsidR="00FA4226" w:rsidRPr="00CA2CC1" w14:paraId="7D5F79A0" w14:textId="77777777" w:rsidTr="00264665">
        <w:trPr>
          <w:trHeight w:val="281"/>
        </w:trPr>
        <w:tc>
          <w:tcPr>
            <w:tcW w:w="3024" w:type="dxa"/>
            <w:tcBorders>
              <w:top w:val="single" w:sz="4" w:space="0" w:color="73777A"/>
              <w:bottom w:val="single" w:sz="2" w:space="0" w:color="73777A"/>
            </w:tcBorders>
          </w:tcPr>
          <w:p w14:paraId="7CD0120B" w14:textId="77777777" w:rsidR="00FA4226" w:rsidRPr="00CA2CC1" w:rsidRDefault="00000000" w:rsidP="0043303B">
            <w:pPr>
              <w:pStyle w:val="TableParagraph"/>
              <w:jc w:val="left"/>
              <w:rPr>
                <w:rFonts w:cs="Calibri"/>
                <w:sz w:val="18"/>
              </w:rPr>
            </w:pPr>
            <w:r w:rsidRPr="00CA2CC1">
              <w:rPr>
                <w:rFonts w:cs="Calibri"/>
                <w:color w:val="414042"/>
                <w:sz w:val="18"/>
              </w:rPr>
              <w:t>Net</w:t>
            </w:r>
            <w:r w:rsidRPr="00CA2CC1">
              <w:rPr>
                <w:rFonts w:cs="Calibri"/>
                <w:color w:val="414042"/>
                <w:spacing w:val="1"/>
                <w:sz w:val="18"/>
              </w:rPr>
              <w:t xml:space="preserve"> </w:t>
            </w:r>
            <w:r w:rsidRPr="00CA2CC1">
              <w:rPr>
                <w:rFonts w:cs="Calibri"/>
                <w:color w:val="414042"/>
                <w:sz w:val="18"/>
              </w:rPr>
              <w:t>cashflows</w:t>
            </w:r>
            <w:r w:rsidRPr="00CA2CC1">
              <w:rPr>
                <w:rFonts w:cs="Calibri"/>
                <w:color w:val="414042"/>
                <w:spacing w:val="3"/>
                <w:sz w:val="18"/>
              </w:rPr>
              <w:t xml:space="preserve"> </w:t>
            </w:r>
            <w:r w:rsidRPr="00CA2CC1">
              <w:rPr>
                <w:rFonts w:cs="Calibri"/>
                <w:color w:val="414042"/>
                <w:sz w:val="18"/>
              </w:rPr>
              <w:t>from</w:t>
            </w:r>
            <w:r w:rsidRPr="00CA2CC1">
              <w:rPr>
                <w:rFonts w:cs="Calibri"/>
                <w:color w:val="414042"/>
                <w:spacing w:val="4"/>
                <w:sz w:val="18"/>
              </w:rPr>
              <w:t xml:space="preserve"> </w:t>
            </w:r>
            <w:r w:rsidRPr="00CA2CC1">
              <w:rPr>
                <w:rFonts w:cs="Calibri"/>
                <w:color w:val="414042"/>
                <w:spacing w:val="-2"/>
                <w:sz w:val="18"/>
              </w:rPr>
              <w:t>operations</w:t>
            </w:r>
          </w:p>
        </w:tc>
        <w:tc>
          <w:tcPr>
            <w:tcW w:w="1323" w:type="dxa"/>
            <w:tcBorders>
              <w:top w:val="single" w:sz="4" w:space="0" w:color="73777A"/>
              <w:bottom w:val="single" w:sz="2" w:space="0" w:color="73777A"/>
            </w:tcBorders>
            <w:shd w:val="clear" w:color="auto" w:fill="FFFFFF"/>
            <w:tcMar>
              <w:left w:w="0" w:type="dxa"/>
              <w:right w:w="57" w:type="dxa"/>
            </w:tcMar>
          </w:tcPr>
          <w:p w14:paraId="55513179" w14:textId="77777777" w:rsidR="00FA4226" w:rsidRPr="00CA2CC1" w:rsidRDefault="00000000" w:rsidP="0043303B">
            <w:pPr>
              <w:pStyle w:val="TableParagraph"/>
              <w:rPr>
                <w:rFonts w:cs="Calibri"/>
                <w:sz w:val="18"/>
              </w:rPr>
            </w:pPr>
            <w:r w:rsidRPr="00CA2CC1">
              <w:rPr>
                <w:rFonts w:cs="Calibri"/>
                <w:color w:val="414042"/>
                <w:spacing w:val="-2"/>
                <w:sz w:val="18"/>
              </w:rPr>
              <w:t>416,668</w:t>
            </w:r>
          </w:p>
        </w:tc>
        <w:tc>
          <w:tcPr>
            <w:tcW w:w="1323" w:type="dxa"/>
            <w:tcBorders>
              <w:top w:val="single" w:sz="4" w:space="0" w:color="73777A"/>
              <w:bottom w:val="single" w:sz="2" w:space="0" w:color="73777A"/>
            </w:tcBorders>
            <w:shd w:val="clear" w:color="auto" w:fill="DFEDF2"/>
            <w:tcMar>
              <w:left w:w="0" w:type="dxa"/>
              <w:right w:w="57" w:type="dxa"/>
            </w:tcMar>
          </w:tcPr>
          <w:p w14:paraId="26E3C401" w14:textId="77777777" w:rsidR="00FA4226" w:rsidRPr="00CA2CC1" w:rsidRDefault="00000000" w:rsidP="0043303B">
            <w:pPr>
              <w:pStyle w:val="TableParagraph"/>
              <w:rPr>
                <w:rFonts w:cs="Calibri"/>
                <w:sz w:val="18"/>
              </w:rPr>
            </w:pPr>
            <w:r w:rsidRPr="00CA2CC1">
              <w:rPr>
                <w:rFonts w:cs="Calibri"/>
                <w:color w:val="414042"/>
                <w:spacing w:val="-2"/>
                <w:sz w:val="18"/>
              </w:rPr>
              <w:t>336,459</w:t>
            </w:r>
          </w:p>
        </w:tc>
        <w:tc>
          <w:tcPr>
            <w:tcW w:w="1323" w:type="dxa"/>
            <w:tcBorders>
              <w:top w:val="single" w:sz="4" w:space="0" w:color="73777A"/>
              <w:bottom w:val="single" w:sz="2" w:space="0" w:color="73777A"/>
            </w:tcBorders>
            <w:shd w:val="clear" w:color="auto" w:fill="FFFFFF"/>
            <w:tcMar>
              <w:left w:w="0" w:type="dxa"/>
              <w:right w:w="57" w:type="dxa"/>
            </w:tcMar>
          </w:tcPr>
          <w:p w14:paraId="0AE31410" w14:textId="77777777" w:rsidR="00FA4226" w:rsidRPr="00CA2CC1" w:rsidRDefault="00000000" w:rsidP="0043303B">
            <w:pPr>
              <w:pStyle w:val="TableParagraph"/>
              <w:rPr>
                <w:rFonts w:cs="Calibri"/>
                <w:sz w:val="18"/>
              </w:rPr>
            </w:pPr>
            <w:r w:rsidRPr="00CA2CC1">
              <w:rPr>
                <w:rFonts w:cs="Calibri"/>
                <w:color w:val="414042"/>
                <w:spacing w:val="-2"/>
                <w:sz w:val="18"/>
              </w:rPr>
              <w:t>312,288</w:t>
            </w:r>
          </w:p>
        </w:tc>
        <w:tc>
          <w:tcPr>
            <w:tcW w:w="1323" w:type="dxa"/>
            <w:tcBorders>
              <w:top w:val="single" w:sz="4" w:space="0" w:color="73777A"/>
              <w:bottom w:val="single" w:sz="2" w:space="0" w:color="73777A"/>
            </w:tcBorders>
            <w:shd w:val="clear" w:color="auto" w:fill="DFEDF2"/>
            <w:tcMar>
              <w:left w:w="0" w:type="dxa"/>
              <w:right w:w="57" w:type="dxa"/>
            </w:tcMar>
          </w:tcPr>
          <w:p w14:paraId="4485580B" w14:textId="77777777" w:rsidR="00FA4226" w:rsidRPr="00CA2CC1" w:rsidRDefault="00000000" w:rsidP="0043303B">
            <w:pPr>
              <w:pStyle w:val="TableParagraph"/>
              <w:rPr>
                <w:rFonts w:cs="Calibri"/>
                <w:sz w:val="18"/>
              </w:rPr>
            </w:pPr>
            <w:r w:rsidRPr="00CA2CC1">
              <w:rPr>
                <w:rFonts w:cs="Calibri"/>
                <w:color w:val="414042"/>
                <w:spacing w:val="-2"/>
                <w:sz w:val="18"/>
              </w:rPr>
              <w:t>296,608</w:t>
            </w:r>
          </w:p>
        </w:tc>
        <w:tc>
          <w:tcPr>
            <w:tcW w:w="1323" w:type="dxa"/>
            <w:tcBorders>
              <w:top w:val="single" w:sz="4" w:space="0" w:color="73777A"/>
              <w:bottom w:val="single" w:sz="2" w:space="0" w:color="73777A"/>
            </w:tcBorders>
            <w:shd w:val="clear" w:color="auto" w:fill="FFFFFF"/>
            <w:tcMar>
              <w:left w:w="0" w:type="dxa"/>
              <w:right w:w="57" w:type="dxa"/>
            </w:tcMar>
          </w:tcPr>
          <w:p w14:paraId="4A8F7A9B" w14:textId="77777777" w:rsidR="00FA4226" w:rsidRPr="00CA2CC1" w:rsidRDefault="00000000" w:rsidP="0043303B">
            <w:pPr>
              <w:pStyle w:val="TableParagraph"/>
              <w:rPr>
                <w:rFonts w:cs="Calibri"/>
                <w:sz w:val="18"/>
              </w:rPr>
            </w:pPr>
            <w:r w:rsidRPr="00CA2CC1">
              <w:rPr>
                <w:rFonts w:cs="Calibri"/>
                <w:color w:val="414042"/>
                <w:spacing w:val="-2"/>
                <w:sz w:val="18"/>
              </w:rPr>
              <w:t>37,576</w:t>
            </w:r>
          </w:p>
        </w:tc>
      </w:tr>
      <w:tr w:rsidR="00FA4226" w:rsidRPr="00CA2CC1" w14:paraId="7834F407" w14:textId="77777777" w:rsidTr="00264665">
        <w:trPr>
          <w:trHeight w:val="278"/>
        </w:trPr>
        <w:tc>
          <w:tcPr>
            <w:tcW w:w="3024" w:type="dxa"/>
            <w:tcBorders>
              <w:top w:val="single" w:sz="2" w:space="0" w:color="73777A"/>
              <w:bottom w:val="single" w:sz="6" w:space="0" w:color="73777A"/>
            </w:tcBorders>
          </w:tcPr>
          <w:p w14:paraId="52C9EFDA" w14:textId="77777777" w:rsidR="00FA4226" w:rsidRPr="00CA2CC1" w:rsidRDefault="00000000" w:rsidP="0043303B">
            <w:pPr>
              <w:pStyle w:val="TableParagraph"/>
              <w:jc w:val="left"/>
              <w:rPr>
                <w:rFonts w:cs="Calibri"/>
                <w:sz w:val="18"/>
              </w:rPr>
            </w:pPr>
            <w:r w:rsidRPr="00CA2CC1">
              <w:rPr>
                <w:rFonts w:cs="Calibri"/>
                <w:color w:val="414042"/>
                <w:sz w:val="18"/>
              </w:rPr>
              <w:t>Total</w:t>
            </w:r>
            <w:r w:rsidRPr="00CA2CC1">
              <w:rPr>
                <w:rFonts w:cs="Calibri"/>
                <w:color w:val="414042"/>
                <w:spacing w:val="-7"/>
                <w:sz w:val="18"/>
              </w:rPr>
              <w:t xml:space="preserve"> </w:t>
            </w:r>
            <w:r w:rsidRPr="00CA2CC1">
              <w:rPr>
                <w:rFonts w:cs="Calibri"/>
                <w:color w:val="414042"/>
                <w:spacing w:val="-2"/>
                <w:sz w:val="18"/>
              </w:rPr>
              <w:t>assets</w:t>
            </w:r>
          </w:p>
        </w:tc>
        <w:tc>
          <w:tcPr>
            <w:tcW w:w="1323" w:type="dxa"/>
            <w:tcBorders>
              <w:top w:val="single" w:sz="2" w:space="0" w:color="73777A"/>
              <w:bottom w:val="single" w:sz="6" w:space="0" w:color="73777A"/>
            </w:tcBorders>
            <w:shd w:val="clear" w:color="auto" w:fill="FFFFFF"/>
            <w:tcMar>
              <w:left w:w="0" w:type="dxa"/>
              <w:right w:w="57" w:type="dxa"/>
            </w:tcMar>
          </w:tcPr>
          <w:p w14:paraId="28035A49" w14:textId="77777777" w:rsidR="00FA4226" w:rsidRPr="00CA2CC1" w:rsidRDefault="00000000" w:rsidP="0043303B">
            <w:pPr>
              <w:pStyle w:val="TableParagraph"/>
              <w:rPr>
                <w:rFonts w:cs="Calibri"/>
                <w:sz w:val="18"/>
              </w:rPr>
            </w:pPr>
            <w:r w:rsidRPr="00CA2CC1">
              <w:rPr>
                <w:rFonts w:cs="Calibri"/>
                <w:color w:val="414042"/>
                <w:spacing w:val="-2"/>
                <w:sz w:val="18"/>
              </w:rPr>
              <w:t>5,310,110</w:t>
            </w:r>
          </w:p>
        </w:tc>
        <w:tc>
          <w:tcPr>
            <w:tcW w:w="1323" w:type="dxa"/>
            <w:tcBorders>
              <w:top w:val="single" w:sz="2" w:space="0" w:color="73777A"/>
              <w:bottom w:val="single" w:sz="6" w:space="0" w:color="73777A"/>
            </w:tcBorders>
            <w:shd w:val="clear" w:color="auto" w:fill="DFEDF2"/>
            <w:tcMar>
              <w:left w:w="0" w:type="dxa"/>
              <w:right w:w="57" w:type="dxa"/>
            </w:tcMar>
          </w:tcPr>
          <w:p w14:paraId="23AB5F10" w14:textId="77777777" w:rsidR="00FA4226" w:rsidRPr="00CA2CC1" w:rsidRDefault="00000000" w:rsidP="0043303B">
            <w:pPr>
              <w:pStyle w:val="TableParagraph"/>
              <w:rPr>
                <w:rFonts w:cs="Calibri"/>
                <w:sz w:val="18"/>
              </w:rPr>
            </w:pPr>
            <w:r w:rsidRPr="00CA2CC1">
              <w:rPr>
                <w:rFonts w:cs="Calibri"/>
                <w:color w:val="414042"/>
                <w:spacing w:val="-2"/>
                <w:sz w:val="18"/>
              </w:rPr>
              <w:t>5,719,438</w:t>
            </w:r>
          </w:p>
        </w:tc>
        <w:tc>
          <w:tcPr>
            <w:tcW w:w="1323" w:type="dxa"/>
            <w:tcBorders>
              <w:top w:val="single" w:sz="2" w:space="0" w:color="73777A"/>
              <w:bottom w:val="single" w:sz="6" w:space="0" w:color="73777A"/>
            </w:tcBorders>
            <w:shd w:val="clear" w:color="auto" w:fill="FFFFFF"/>
            <w:tcMar>
              <w:left w:w="0" w:type="dxa"/>
              <w:right w:w="57" w:type="dxa"/>
            </w:tcMar>
          </w:tcPr>
          <w:p w14:paraId="006AB9AA" w14:textId="77777777" w:rsidR="00FA4226" w:rsidRPr="00CA2CC1" w:rsidRDefault="00000000" w:rsidP="0043303B">
            <w:pPr>
              <w:pStyle w:val="TableParagraph"/>
              <w:rPr>
                <w:rFonts w:cs="Calibri"/>
                <w:sz w:val="18"/>
              </w:rPr>
            </w:pPr>
            <w:r w:rsidRPr="00CA2CC1">
              <w:rPr>
                <w:rFonts w:cs="Calibri"/>
                <w:color w:val="414042"/>
                <w:spacing w:val="-2"/>
                <w:sz w:val="18"/>
              </w:rPr>
              <w:t>4,631,972</w:t>
            </w:r>
          </w:p>
        </w:tc>
        <w:tc>
          <w:tcPr>
            <w:tcW w:w="1323" w:type="dxa"/>
            <w:tcBorders>
              <w:top w:val="single" w:sz="2" w:space="0" w:color="73777A"/>
              <w:bottom w:val="single" w:sz="6" w:space="0" w:color="73777A"/>
            </w:tcBorders>
            <w:shd w:val="clear" w:color="auto" w:fill="DFEDF2"/>
            <w:tcMar>
              <w:left w:w="0" w:type="dxa"/>
              <w:right w:w="57" w:type="dxa"/>
            </w:tcMar>
          </w:tcPr>
          <w:p w14:paraId="196161DD" w14:textId="77777777" w:rsidR="00FA4226" w:rsidRPr="00CA2CC1" w:rsidRDefault="00000000" w:rsidP="0043303B">
            <w:pPr>
              <w:pStyle w:val="TableParagraph"/>
              <w:rPr>
                <w:rFonts w:cs="Calibri"/>
                <w:sz w:val="18"/>
              </w:rPr>
            </w:pPr>
            <w:r w:rsidRPr="00CA2CC1">
              <w:rPr>
                <w:rFonts w:cs="Calibri"/>
                <w:color w:val="414042"/>
                <w:spacing w:val="-2"/>
                <w:sz w:val="18"/>
              </w:rPr>
              <w:t>4,345,948</w:t>
            </w:r>
          </w:p>
        </w:tc>
        <w:tc>
          <w:tcPr>
            <w:tcW w:w="1323" w:type="dxa"/>
            <w:tcBorders>
              <w:top w:val="single" w:sz="2" w:space="0" w:color="73777A"/>
              <w:bottom w:val="single" w:sz="6" w:space="0" w:color="73777A"/>
            </w:tcBorders>
            <w:shd w:val="clear" w:color="auto" w:fill="FFFFFF"/>
            <w:tcMar>
              <w:left w:w="0" w:type="dxa"/>
              <w:right w:w="57" w:type="dxa"/>
            </w:tcMar>
          </w:tcPr>
          <w:p w14:paraId="47F40A1E" w14:textId="77777777" w:rsidR="00FA4226" w:rsidRPr="00CA2CC1" w:rsidRDefault="00000000" w:rsidP="0043303B">
            <w:pPr>
              <w:pStyle w:val="TableParagraph"/>
              <w:rPr>
                <w:rFonts w:cs="Calibri"/>
                <w:sz w:val="18"/>
              </w:rPr>
            </w:pPr>
            <w:r w:rsidRPr="00CA2CC1">
              <w:rPr>
                <w:rFonts w:cs="Calibri"/>
                <w:color w:val="414042"/>
                <w:spacing w:val="-2"/>
                <w:sz w:val="18"/>
              </w:rPr>
              <w:t>2,419,205</w:t>
            </w:r>
          </w:p>
        </w:tc>
      </w:tr>
      <w:tr w:rsidR="00FA4226" w:rsidRPr="00CA2CC1" w14:paraId="3B1EC047" w14:textId="77777777" w:rsidTr="00264665">
        <w:trPr>
          <w:trHeight w:val="273"/>
        </w:trPr>
        <w:tc>
          <w:tcPr>
            <w:tcW w:w="3024" w:type="dxa"/>
            <w:tcBorders>
              <w:top w:val="single" w:sz="6" w:space="0" w:color="73777A"/>
              <w:bottom w:val="single" w:sz="6" w:space="0" w:color="73777A"/>
            </w:tcBorders>
          </w:tcPr>
          <w:p w14:paraId="2282B1F2" w14:textId="059C9330" w:rsidR="00FA4226" w:rsidRPr="00CA2CC1" w:rsidRDefault="00000000" w:rsidP="0043303B">
            <w:pPr>
              <w:pStyle w:val="TableParagraph"/>
              <w:jc w:val="left"/>
              <w:rPr>
                <w:rFonts w:cs="Calibri"/>
                <w:sz w:val="18"/>
              </w:rPr>
            </w:pPr>
            <w:r w:rsidRPr="00CA2CC1">
              <w:rPr>
                <w:rFonts w:cs="Calibri"/>
                <w:color w:val="414042"/>
                <w:sz w:val="18"/>
              </w:rPr>
              <w:t>Total</w:t>
            </w:r>
            <w:r w:rsidRPr="00CA2CC1">
              <w:rPr>
                <w:rFonts w:cs="Calibri"/>
                <w:color w:val="414042"/>
                <w:spacing w:val="-7"/>
                <w:sz w:val="18"/>
              </w:rPr>
              <w:t xml:space="preserve"> </w:t>
            </w:r>
            <w:r w:rsidR="00E627FD" w:rsidRPr="00CA2CC1">
              <w:rPr>
                <w:rFonts w:cs="Calibri"/>
                <w:color w:val="414042"/>
                <w:spacing w:val="-2"/>
                <w:sz w:val="18"/>
              </w:rPr>
              <w:t>liabilities</w:t>
            </w:r>
          </w:p>
        </w:tc>
        <w:tc>
          <w:tcPr>
            <w:tcW w:w="1323" w:type="dxa"/>
            <w:tcBorders>
              <w:top w:val="single" w:sz="6" w:space="0" w:color="73777A"/>
              <w:bottom w:val="single" w:sz="6" w:space="0" w:color="73777A"/>
            </w:tcBorders>
            <w:shd w:val="clear" w:color="auto" w:fill="FFFFFF"/>
            <w:tcMar>
              <w:left w:w="0" w:type="dxa"/>
              <w:right w:w="57" w:type="dxa"/>
            </w:tcMar>
          </w:tcPr>
          <w:p w14:paraId="0AF15F11" w14:textId="77777777" w:rsidR="00FA4226" w:rsidRPr="00CA2CC1" w:rsidRDefault="00000000" w:rsidP="0043303B">
            <w:pPr>
              <w:pStyle w:val="TableParagraph"/>
              <w:rPr>
                <w:rFonts w:cs="Calibri"/>
                <w:sz w:val="18"/>
              </w:rPr>
            </w:pPr>
            <w:r w:rsidRPr="00CA2CC1">
              <w:rPr>
                <w:rFonts w:cs="Calibri"/>
                <w:color w:val="414042"/>
                <w:spacing w:val="-2"/>
                <w:sz w:val="18"/>
              </w:rPr>
              <w:t>3,340,199</w:t>
            </w:r>
          </w:p>
        </w:tc>
        <w:tc>
          <w:tcPr>
            <w:tcW w:w="1323" w:type="dxa"/>
            <w:tcBorders>
              <w:top w:val="single" w:sz="6" w:space="0" w:color="73777A"/>
              <w:bottom w:val="single" w:sz="6" w:space="0" w:color="73777A"/>
            </w:tcBorders>
            <w:shd w:val="clear" w:color="auto" w:fill="DFEDF2"/>
            <w:tcMar>
              <w:left w:w="0" w:type="dxa"/>
              <w:right w:w="57" w:type="dxa"/>
            </w:tcMar>
          </w:tcPr>
          <w:p w14:paraId="68D8D3F5" w14:textId="77777777" w:rsidR="00FA4226" w:rsidRPr="00CA2CC1" w:rsidRDefault="00000000" w:rsidP="0043303B">
            <w:pPr>
              <w:pStyle w:val="TableParagraph"/>
              <w:rPr>
                <w:rFonts w:cs="Calibri"/>
                <w:sz w:val="18"/>
              </w:rPr>
            </w:pPr>
            <w:r w:rsidRPr="00CA2CC1">
              <w:rPr>
                <w:rFonts w:cs="Calibri"/>
                <w:color w:val="414042"/>
                <w:spacing w:val="-2"/>
                <w:sz w:val="18"/>
              </w:rPr>
              <w:t>4,687,457</w:t>
            </w:r>
          </w:p>
        </w:tc>
        <w:tc>
          <w:tcPr>
            <w:tcW w:w="1323" w:type="dxa"/>
            <w:tcBorders>
              <w:top w:val="single" w:sz="6" w:space="0" w:color="73777A"/>
              <w:bottom w:val="single" w:sz="6" w:space="0" w:color="73777A"/>
            </w:tcBorders>
            <w:shd w:val="clear" w:color="auto" w:fill="FFFFFF"/>
            <w:tcMar>
              <w:left w:w="0" w:type="dxa"/>
              <w:right w:w="57" w:type="dxa"/>
            </w:tcMar>
          </w:tcPr>
          <w:p w14:paraId="61485477" w14:textId="77777777" w:rsidR="00FA4226" w:rsidRPr="00CA2CC1" w:rsidRDefault="00000000" w:rsidP="0043303B">
            <w:pPr>
              <w:pStyle w:val="TableParagraph"/>
              <w:rPr>
                <w:rFonts w:cs="Calibri"/>
                <w:sz w:val="18"/>
              </w:rPr>
            </w:pPr>
            <w:r w:rsidRPr="00CA2CC1">
              <w:rPr>
                <w:rFonts w:cs="Calibri"/>
                <w:color w:val="414042"/>
                <w:spacing w:val="-2"/>
                <w:sz w:val="18"/>
              </w:rPr>
              <w:t>4,192,391</w:t>
            </w:r>
          </w:p>
        </w:tc>
        <w:tc>
          <w:tcPr>
            <w:tcW w:w="1323" w:type="dxa"/>
            <w:tcBorders>
              <w:top w:val="single" w:sz="6" w:space="0" w:color="73777A"/>
              <w:bottom w:val="single" w:sz="6" w:space="0" w:color="73777A"/>
            </w:tcBorders>
            <w:shd w:val="clear" w:color="auto" w:fill="DFEDF2"/>
            <w:tcMar>
              <w:left w:w="0" w:type="dxa"/>
              <w:right w:w="57" w:type="dxa"/>
            </w:tcMar>
          </w:tcPr>
          <w:p w14:paraId="2EDD39BD" w14:textId="77777777" w:rsidR="00FA4226" w:rsidRPr="00CA2CC1" w:rsidRDefault="00000000" w:rsidP="0043303B">
            <w:pPr>
              <w:pStyle w:val="TableParagraph"/>
              <w:rPr>
                <w:rFonts w:cs="Calibri"/>
                <w:sz w:val="18"/>
              </w:rPr>
            </w:pPr>
            <w:r w:rsidRPr="00CA2CC1">
              <w:rPr>
                <w:rFonts w:cs="Calibri"/>
                <w:color w:val="414042"/>
                <w:spacing w:val="-2"/>
                <w:sz w:val="18"/>
              </w:rPr>
              <w:t>4,453,516</w:t>
            </w:r>
          </w:p>
        </w:tc>
        <w:tc>
          <w:tcPr>
            <w:tcW w:w="1323" w:type="dxa"/>
            <w:tcBorders>
              <w:top w:val="single" w:sz="6" w:space="0" w:color="73777A"/>
              <w:bottom w:val="single" w:sz="6" w:space="0" w:color="73777A"/>
            </w:tcBorders>
            <w:shd w:val="clear" w:color="auto" w:fill="FFFFFF"/>
            <w:tcMar>
              <w:left w:w="0" w:type="dxa"/>
              <w:right w:w="57" w:type="dxa"/>
            </w:tcMar>
          </w:tcPr>
          <w:p w14:paraId="77FCDFB3" w14:textId="77777777" w:rsidR="00FA4226" w:rsidRPr="00CA2CC1" w:rsidRDefault="00000000" w:rsidP="0043303B">
            <w:pPr>
              <w:pStyle w:val="TableParagraph"/>
              <w:rPr>
                <w:rFonts w:cs="Calibri"/>
                <w:sz w:val="18"/>
              </w:rPr>
            </w:pPr>
            <w:r w:rsidRPr="00CA2CC1">
              <w:rPr>
                <w:rFonts w:cs="Calibri"/>
                <w:color w:val="414042"/>
                <w:spacing w:val="-2"/>
                <w:sz w:val="18"/>
              </w:rPr>
              <w:t>2,438,378</w:t>
            </w:r>
          </w:p>
        </w:tc>
      </w:tr>
    </w:tbl>
    <w:p w14:paraId="25C32D00" w14:textId="77777777" w:rsidR="00FA4226" w:rsidRPr="00CA2CC1" w:rsidRDefault="00FA4226" w:rsidP="0043303B">
      <w:pPr>
        <w:pStyle w:val="BodyText"/>
        <w:spacing w:before="5"/>
        <w:rPr>
          <w:rFonts w:cs="Calibri"/>
          <w:sz w:val="18"/>
        </w:rPr>
      </w:pPr>
    </w:p>
    <w:p w14:paraId="4BA21E3C" w14:textId="2EFCCB64" w:rsidR="00FA4226" w:rsidRPr="00CA2CC1" w:rsidRDefault="00000000" w:rsidP="0043303B">
      <w:pPr>
        <w:spacing w:before="75"/>
        <w:rPr>
          <w:rFonts w:cs="Calibri"/>
          <w:i/>
          <w:sz w:val="18"/>
          <w:szCs w:val="18"/>
        </w:rPr>
      </w:pPr>
      <w:r w:rsidRPr="00CA2CC1">
        <w:rPr>
          <w:rFonts w:cs="Calibri"/>
          <w:i/>
          <w:color w:val="414042"/>
          <w:sz w:val="18"/>
          <w:szCs w:val="18"/>
        </w:rPr>
        <w:t>Notes:</w:t>
      </w:r>
      <w:r w:rsidR="006A4F2A" w:rsidRPr="00CA2CC1">
        <w:rPr>
          <w:rFonts w:cs="Calibri"/>
          <w:i/>
          <w:color w:val="414042"/>
          <w:spacing w:val="39"/>
          <w:sz w:val="18"/>
          <w:szCs w:val="18"/>
        </w:rPr>
        <w:t xml:space="preserve"> </w:t>
      </w:r>
      <w:r w:rsidR="006A4F2A" w:rsidRPr="00CA2CC1">
        <w:rPr>
          <w:rFonts w:cs="Calibri"/>
          <w:i/>
          <w:color w:val="414042"/>
          <w:spacing w:val="39"/>
          <w:sz w:val="18"/>
          <w:szCs w:val="18"/>
        </w:rPr>
        <w:br/>
      </w:r>
      <w:r w:rsidRPr="00CA2CC1">
        <w:rPr>
          <w:rFonts w:cs="Calibri"/>
          <w:i/>
          <w:color w:val="414042"/>
          <w:sz w:val="18"/>
          <w:szCs w:val="18"/>
        </w:rPr>
        <w:t xml:space="preserve">a) Includes gains or losses from disposal of non-financial assets and revaluation of leave liabilities for changes in the government bond </w:t>
      </w:r>
      <w:r w:rsidRPr="00CA2CC1">
        <w:rPr>
          <w:rFonts w:cs="Calibri"/>
          <w:i/>
          <w:color w:val="414042"/>
          <w:spacing w:val="-2"/>
          <w:sz w:val="18"/>
          <w:szCs w:val="18"/>
        </w:rPr>
        <w:t>rate.</w:t>
      </w:r>
    </w:p>
    <w:p w14:paraId="256EB758" w14:textId="77777777" w:rsidR="00FA4226" w:rsidRPr="00CA2CC1" w:rsidRDefault="00000000" w:rsidP="0043303B">
      <w:pPr>
        <w:spacing w:before="49"/>
        <w:rPr>
          <w:rFonts w:cs="Calibri"/>
          <w:i/>
          <w:sz w:val="18"/>
          <w:szCs w:val="18"/>
        </w:rPr>
      </w:pPr>
      <w:r w:rsidRPr="00CA2CC1">
        <w:rPr>
          <w:rFonts w:cs="Calibri"/>
          <w:i/>
          <w:color w:val="414042"/>
          <w:sz w:val="18"/>
          <w:szCs w:val="18"/>
        </w:rPr>
        <w:t xml:space="preserve">b) The 2021-22 comparative figures have been adjusted to correct a minor prior period </w:t>
      </w:r>
      <w:r w:rsidRPr="00CA2CC1">
        <w:rPr>
          <w:rFonts w:cs="Calibri"/>
          <w:i/>
          <w:color w:val="414042"/>
          <w:spacing w:val="-2"/>
          <w:sz w:val="18"/>
          <w:szCs w:val="18"/>
        </w:rPr>
        <w:t>error.</w:t>
      </w:r>
    </w:p>
    <w:p w14:paraId="71F4CCAE" w14:textId="77777777" w:rsidR="00FA4226" w:rsidRPr="00CA2CC1" w:rsidRDefault="00FA4226" w:rsidP="0043303B">
      <w:pPr>
        <w:pStyle w:val="BodyText"/>
        <w:rPr>
          <w:rFonts w:cs="Calibri"/>
          <w:i/>
          <w:sz w:val="20"/>
        </w:rPr>
      </w:pPr>
    </w:p>
    <w:p w14:paraId="1C0D1A19" w14:textId="77777777" w:rsidR="00FA4226" w:rsidRPr="00CA2CC1" w:rsidRDefault="00FA4226" w:rsidP="0043303B">
      <w:pPr>
        <w:rPr>
          <w:rFonts w:cs="Calibri"/>
          <w:sz w:val="16"/>
        </w:rPr>
        <w:sectPr w:rsidR="00FA4226" w:rsidRPr="00CA2CC1" w:rsidSect="00E941A5">
          <w:pgSz w:w="11910" w:h="16840"/>
          <w:pgMar w:top="1134" w:right="1278" w:bottom="1134" w:left="1134" w:header="720" w:footer="720" w:gutter="0"/>
          <w:cols w:space="720"/>
        </w:sectPr>
      </w:pPr>
    </w:p>
    <w:p w14:paraId="2B8A2C50" w14:textId="77777777" w:rsidR="00E63587" w:rsidRPr="00CA2CC1" w:rsidRDefault="00E63587" w:rsidP="0043303B">
      <w:pPr>
        <w:rPr>
          <w:rFonts w:eastAsia="Times New Roman" w:cs="Calibri"/>
          <w:color w:val="231F20"/>
          <w:w w:val="105"/>
          <w:sz w:val="64"/>
          <w:szCs w:val="64"/>
        </w:rPr>
      </w:pPr>
      <w:bookmarkStart w:id="34" w:name="2022-23_financial_review"/>
      <w:bookmarkStart w:id="35" w:name="_bookmark16"/>
      <w:bookmarkEnd w:id="34"/>
      <w:bookmarkEnd w:id="35"/>
      <w:r w:rsidRPr="00CA2CC1">
        <w:rPr>
          <w:rFonts w:cs="Calibri"/>
          <w:color w:val="231F20"/>
          <w:w w:val="105"/>
        </w:rPr>
        <w:br w:type="page"/>
      </w:r>
    </w:p>
    <w:p w14:paraId="304FC068" w14:textId="3EB61106" w:rsidR="00FA4226" w:rsidRPr="00CA2CC1" w:rsidRDefault="00000000" w:rsidP="0043303B">
      <w:pPr>
        <w:pStyle w:val="Heading1"/>
        <w:spacing w:before="194"/>
        <w:rPr>
          <w:rFonts w:cs="Calibri"/>
        </w:rPr>
      </w:pPr>
      <w:r w:rsidRPr="00CA2CC1">
        <w:rPr>
          <w:rFonts w:cs="Calibri"/>
          <w:color w:val="231F20"/>
          <w:w w:val="105"/>
        </w:rPr>
        <w:lastRenderedPageBreak/>
        <w:t xml:space="preserve">2022-23 financial </w:t>
      </w:r>
      <w:r w:rsidRPr="00CA2CC1">
        <w:rPr>
          <w:rFonts w:cs="Calibri"/>
          <w:color w:val="231F20"/>
          <w:spacing w:val="-2"/>
          <w:w w:val="105"/>
        </w:rPr>
        <w:t>review</w:t>
      </w:r>
    </w:p>
    <w:p w14:paraId="4BE4E9D1" w14:textId="77777777" w:rsidR="00E63587" w:rsidRPr="00CA2CC1" w:rsidRDefault="00E63587" w:rsidP="0043303B">
      <w:pPr>
        <w:pStyle w:val="BodyText"/>
        <w:rPr>
          <w:rFonts w:cs="Calibri"/>
          <w:color w:val="414042"/>
        </w:rPr>
      </w:pPr>
    </w:p>
    <w:p w14:paraId="4C491FEB" w14:textId="65F961A7" w:rsidR="00FA4226" w:rsidRPr="00CA2CC1" w:rsidRDefault="00000000" w:rsidP="0043303B">
      <w:pPr>
        <w:pStyle w:val="BodyText"/>
        <w:rPr>
          <w:rFonts w:cs="Calibri"/>
        </w:rPr>
      </w:pPr>
      <w:r w:rsidRPr="00CA2CC1">
        <w:rPr>
          <w:rFonts w:cs="Calibri"/>
        </w:rPr>
        <w:t>Infrastructure Victoria is funded through annual appropriations and does not receive revenue outside of the government allocation. In financial year 2022–23</w:t>
      </w:r>
      <w:r w:rsidR="00E63587" w:rsidRPr="00CA2CC1">
        <w:rPr>
          <w:rFonts w:cs="Calibri"/>
        </w:rPr>
        <w:t xml:space="preserve"> </w:t>
      </w:r>
      <w:r w:rsidRPr="00CA2CC1">
        <w:rPr>
          <w:rFonts w:cs="Calibri"/>
        </w:rPr>
        <w:t>Infrastructure Victoria’s total expenditure was $9.9 million, higher than its annual appropriation by $54,000. The primary driver was adjustments to annual and long service leave liabilities, and some project spending where key milestones were brought forward from FY 23–24 into FY 22–23.</w:t>
      </w:r>
    </w:p>
    <w:p w14:paraId="4BA4AE28" w14:textId="77777777" w:rsidR="00A2202A" w:rsidRPr="00CA2CC1" w:rsidRDefault="00000000" w:rsidP="0043303B">
      <w:pPr>
        <w:pStyle w:val="BodyText"/>
        <w:rPr>
          <w:rFonts w:cs="Calibri"/>
        </w:rPr>
      </w:pPr>
      <w:r w:rsidRPr="00CA2CC1">
        <w:rPr>
          <w:rFonts w:cs="Calibri"/>
        </w:rPr>
        <w:t>As an independent advisory body, Infrastructure Victoria does not undertake or manage any capital projects or investment projects and has not provided any grants</w:t>
      </w:r>
      <w:r w:rsidR="006B2E68" w:rsidRPr="00CA2CC1">
        <w:rPr>
          <w:rFonts w:cs="Calibri"/>
        </w:rPr>
        <w:t xml:space="preserve"> </w:t>
      </w:r>
      <w:r w:rsidRPr="00CA2CC1">
        <w:rPr>
          <w:rFonts w:cs="Calibri"/>
        </w:rPr>
        <w:t>or transfer payments to companies or organisations in 2022-23.</w:t>
      </w:r>
    </w:p>
    <w:p w14:paraId="1433CF25" w14:textId="30C9E00A" w:rsidR="00FA4226" w:rsidRPr="00CA2CC1" w:rsidRDefault="00000000" w:rsidP="00916694">
      <w:pPr>
        <w:pStyle w:val="Heading3"/>
      </w:pPr>
      <w:r w:rsidRPr="00CA2CC1">
        <w:t xml:space="preserve">Financial position – balance </w:t>
      </w:r>
      <w:r w:rsidRPr="00CA2CC1">
        <w:rPr>
          <w:spacing w:val="-2"/>
        </w:rPr>
        <w:t>sheet</w:t>
      </w:r>
    </w:p>
    <w:p w14:paraId="25A34DB6" w14:textId="13DBA810" w:rsidR="00FA4226" w:rsidRPr="00CA2CC1" w:rsidRDefault="00000000" w:rsidP="0043303B">
      <w:pPr>
        <w:pStyle w:val="BodyText"/>
        <w:rPr>
          <w:rFonts w:cs="Calibri"/>
        </w:rPr>
      </w:pPr>
      <w:r w:rsidRPr="00CA2CC1">
        <w:rPr>
          <w:rFonts w:cs="Calibri"/>
        </w:rPr>
        <w:t>Total assets of Infrastructure Victoria decreased from</w:t>
      </w:r>
      <w:r w:rsidR="008C7DD1" w:rsidRPr="00CA2CC1">
        <w:rPr>
          <w:rFonts w:cs="Calibri"/>
        </w:rPr>
        <w:t xml:space="preserve"> </w:t>
      </w:r>
      <w:r w:rsidRPr="00CA2CC1">
        <w:rPr>
          <w:rFonts w:cs="Calibri"/>
        </w:rPr>
        <w:t>$5.7 million last year to $5.3 million this year, mainly due to the accumulated depreciation of the lease for the Infrastructure Victoria office at 140 William Street,</w:t>
      </w:r>
      <w:r w:rsidR="00F1599D" w:rsidRPr="00CA2CC1">
        <w:rPr>
          <w:rFonts w:cs="Calibri"/>
        </w:rPr>
        <w:t xml:space="preserve"> </w:t>
      </w:r>
      <w:r w:rsidRPr="00CA2CC1">
        <w:rPr>
          <w:rFonts w:cs="Calibri"/>
        </w:rPr>
        <w:t>Melbourne. The decrease in total liabilities from $4.7 million to $4.3 million, was due to the corresponding decrease in lease liability for the Infrastructure Victoria office.</w:t>
      </w:r>
    </w:p>
    <w:p w14:paraId="04E902A2" w14:textId="77777777" w:rsidR="00FA4226" w:rsidRPr="00CA2CC1" w:rsidRDefault="00FA4226" w:rsidP="0043303B">
      <w:pPr>
        <w:pStyle w:val="BodyText"/>
        <w:rPr>
          <w:rFonts w:cs="Calibri"/>
        </w:rPr>
      </w:pPr>
    </w:p>
    <w:p w14:paraId="7A16A736" w14:textId="77777777" w:rsidR="00FA4226" w:rsidRPr="00916694" w:rsidRDefault="00000000" w:rsidP="00916694">
      <w:pPr>
        <w:pStyle w:val="Heading3"/>
      </w:pPr>
      <w:r w:rsidRPr="00916694">
        <w:t>Cash flows</w:t>
      </w:r>
    </w:p>
    <w:p w14:paraId="4153C409" w14:textId="147DE09F" w:rsidR="00FA4226" w:rsidRPr="00CA2CC1" w:rsidRDefault="00000000" w:rsidP="0043303B">
      <w:pPr>
        <w:pStyle w:val="BodyText"/>
        <w:rPr>
          <w:rFonts w:cs="Calibri"/>
        </w:rPr>
      </w:pPr>
      <w:r w:rsidRPr="00CA2CC1">
        <w:rPr>
          <w:rFonts w:cs="Calibri"/>
        </w:rPr>
        <w:t>The net cash flows from operations were increased slightly to $0.4 million this year compared to the previous year’s</w:t>
      </w:r>
      <w:r w:rsidR="008C7DD1" w:rsidRPr="00CA2CC1">
        <w:rPr>
          <w:rFonts w:cs="Calibri"/>
        </w:rPr>
        <w:t xml:space="preserve"> </w:t>
      </w:r>
      <w:r w:rsidRPr="00CA2CC1">
        <w:rPr>
          <w:rFonts w:cs="Calibri"/>
        </w:rPr>
        <w:t>$0.3 million. This movement is mainly due to a repayment for a staff secondment to Breakthrough Victoria.</w:t>
      </w:r>
    </w:p>
    <w:p w14:paraId="45946DA1" w14:textId="77777777" w:rsidR="00FA4226" w:rsidRPr="00CA2CC1" w:rsidRDefault="00FA4226" w:rsidP="0043303B">
      <w:pPr>
        <w:pStyle w:val="BodyText"/>
        <w:rPr>
          <w:rFonts w:cs="Calibri"/>
        </w:rPr>
      </w:pPr>
    </w:p>
    <w:p w14:paraId="6A3E8397" w14:textId="77777777" w:rsidR="00FA4226" w:rsidRPr="00916694" w:rsidRDefault="00000000" w:rsidP="00916694">
      <w:pPr>
        <w:pStyle w:val="Heading3"/>
      </w:pPr>
      <w:r w:rsidRPr="00916694">
        <w:t>Subsequent events</w:t>
      </w:r>
    </w:p>
    <w:p w14:paraId="0DA460CB" w14:textId="0BBBDCC1" w:rsidR="00FA4226" w:rsidRPr="00CA2CC1" w:rsidRDefault="00000000" w:rsidP="0043303B">
      <w:pPr>
        <w:pStyle w:val="BodyText"/>
        <w:rPr>
          <w:rFonts w:cs="Calibri"/>
        </w:rPr>
      </w:pPr>
      <w:r w:rsidRPr="00CA2CC1">
        <w:rPr>
          <w:rFonts w:cs="Calibri"/>
        </w:rPr>
        <w:t>There</w:t>
      </w:r>
      <w:r w:rsidRPr="00CA2CC1">
        <w:rPr>
          <w:rFonts w:cs="Calibri"/>
          <w:spacing w:val="-6"/>
        </w:rPr>
        <w:t xml:space="preserve"> </w:t>
      </w:r>
      <w:r w:rsidRPr="00CA2CC1">
        <w:rPr>
          <w:rFonts w:cs="Calibri"/>
        </w:rPr>
        <w:t>were</w:t>
      </w:r>
      <w:r w:rsidRPr="00CA2CC1">
        <w:rPr>
          <w:rFonts w:cs="Calibri"/>
          <w:spacing w:val="-6"/>
        </w:rPr>
        <w:t xml:space="preserve"> </w:t>
      </w:r>
      <w:r w:rsidRPr="00CA2CC1">
        <w:rPr>
          <w:rFonts w:cs="Calibri"/>
        </w:rPr>
        <w:t>no</w:t>
      </w:r>
      <w:r w:rsidRPr="00CA2CC1">
        <w:rPr>
          <w:rFonts w:cs="Calibri"/>
          <w:spacing w:val="-6"/>
        </w:rPr>
        <w:t xml:space="preserve"> </w:t>
      </w:r>
      <w:r w:rsidRPr="00CA2CC1">
        <w:rPr>
          <w:rFonts w:cs="Calibri"/>
        </w:rPr>
        <w:t>events,</w:t>
      </w:r>
      <w:r w:rsidRPr="00CA2CC1">
        <w:rPr>
          <w:rFonts w:cs="Calibri"/>
          <w:spacing w:val="-6"/>
        </w:rPr>
        <w:t xml:space="preserve"> </w:t>
      </w:r>
      <w:r w:rsidRPr="00CA2CC1">
        <w:rPr>
          <w:rFonts w:cs="Calibri"/>
        </w:rPr>
        <w:t>subsequent</w:t>
      </w:r>
      <w:r w:rsidRPr="00CA2CC1">
        <w:rPr>
          <w:rFonts w:cs="Calibri"/>
          <w:spacing w:val="-6"/>
        </w:rPr>
        <w:t xml:space="preserve"> </w:t>
      </w:r>
      <w:r w:rsidRPr="00CA2CC1">
        <w:rPr>
          <w:rFonts w:cs="Calibri"/>
        </w:rPr>
        <w:t>to</w:t>
      </w:r>
      <w:r w:rsidRPr="00CA2CC1">
        <w:rPr>
          <w:rFonts w:cs="Calibri"/>
          <w:spacing w:val="-6"/>
        </w:rPr>
        <w:t xml:space="preserve"> </w:t>
      </w:r>
      <w:r w:rsidRPr="00CA2CC1">
        <w:rPr>
          <w:rFonts w:cs="Calibri"/>
        </w:rPr>
        <w:t>the</w:t>
      </w:r>
      <w:r w:rsidRPr="00CA2CC1">
        <w:rPr>
          <w:rFonts w:cs="Calibri"/>
          <w:spacing w:val="-6"/>
        </w:rPr>
        <w:t xml:space="preserve"> </w:t>
      </w:r>
      <w:r w:rsidRPr="00CA2CC1">
        <w:rPr>
          <w:rFonts w:cs="Calibri"/>
        </w:rPr>
        <w:t>reporting</w:t>
      </w:r>
      <w:r w:rsidRPr="00CA2CC1">
        <w:rPr>
          <w:rFonts w:cs="Calibri"/>
          <w:spacing w:val="-6"/>
        </w:rPr>
        <w:t xml:space="preserve"> </w:t>
      </w:r>
      <w:r w:rsidRPr="00CA2CC1">
        <w:rPr>
          <w:rFonts w:cs="Calibri"/>
        </w:rPr>
        <w:t>period and prior to the finalisation of this report, that had the potential to significantly impact the ongoing structure</w:t>
      </w:r>
      <w:r w:rsidR="008C7DD1" w:rsidRPr="00CA2CC1">
        <w:rPr>
          <w:rFonts w:cs="Calibri"/>
        </w:rPr>
        <w:t xml:space="preserve"> </w:t>
      </w:r>
      <w:r w:rsidRPr="00CA2CC1">
        <w:rPr>
          <w:rFonts w:cs="Calibri"/>
        </w:rPr>
        <w:t>and</w:t>
      </w:r>
      <w:r w:rsidRPr="00CA2CC1">
        <w:rPr>
          <w:rFonts w:cs="Calibri"/>
          <w:spacing w:val="-3"/>
        </w:rPr>
        <w:t xml:space="preserve"> </w:t>
      </w:r>
      <w:r w:rsidRPr="00CA2CC1">
        <w:rPr>
          <w:rFonts w:cs="Calibri"/>
        </w:rPr>
        <w:t>financial</w:t>
      </w:r>
      <w:r w:rsidRPr="00CA2CC1">
        <w:rPr>
          <w:rFonts w:cs="Calibri"/>
          <w:spacing w:val="-1"/>
        </w:rPr>
        <w:t xml:space="preserve"> </w:t>
      </w:r>
      <w:r w:rsidRPr="00CA2CC1">
        <w:rPr>
          <w:rFonts w:cs="Calibri"/>
        </w:rPr>
        <w:t>activities</w:t>
      </w:r>
      <w:r w:rsidRPr="00CA2CC1">
        <w:rPr>
          <w:rFonts w:cs="Calibri"/>
          <w:spacing w:val="-1"/>
        </w:rPr>
        <w:t xml:space="preserve"> </w:t>
      </w:r>
      <w:r w:rsidRPr="00CA2CC1">
        <w:rPr>
          <w:rFonts w:cs="Calibri"/>
        </w:rPr>
        <w:t>of</w:t>
      </w:r>
      <w:r w:rsidRPr="00CA2CC1">
        <w:rPr>
          <w:rFonts w:cs="Calibri"/>
          <w:spacing w:val="-1"/>
        </w:rPr>
        <w:t xml:space="preserve"> </w:t>
      </w:r>
      <w:r w:rsidRPr="00CA2CC1">
        <w:rPr>
          <w:rFonts w:cs="Calibri"/>
        </w:rPr>
        <w:t xml:space="preserve">Infrastructure </w:t>
      </w:r>
      <w:r w:rsidRPr="00CA2CC1">
        <w:rPr>
          <w:rFonts w:cs="Calibri"/>
          <w:spacing w:val="-2"/>
        </w:rPr>
        <w:t>Victoria.</w:t>
      </w:r>
    </w:p>
    <w:p w14:paraId="7621F1BB" w14:textId="77777777" w:rsidR="00FA4226" w:rsidRPr="00CA2CC1" w:rsidRDefault="00FA4226" w:rsidP="0043303B">
      <w:pPr>
        <w:pStyle w:val="BodyText"/>
        <w:rPr>
          <w:rFonts w:cs="Calibri"/>
        </w:rPr>
        <w:sectPr w:rsidR="00FA4226" w:rsidRPr="00CA2CC1" w:rsidSect="00E941A5">
          <w:type w:val="continuous"/>
          <w:pgSz w:w="11910" w:h="16840"/>
          <w:pgMar w:top="1134" w:right="1278" w:bottom="1134" w:left="1134" w:header="720" w:footer="720" w:gutter="0"/>
          <w:cols w:space="720"/>
        </w:sectPr>
      </w:pPr>
    </w:p>
    <w:p w14:paraId="4844326A" w14:textId="440D6FD3" w:rsidR="00FA4226" w:rsidRPr="00CA2CC1" w:rsidRDefault="00FA4226" w:rsidP="0043303B">
      <w:pPr>
        <w:pStyle w:val="BodyText"/>
        <w:rPr>
          <w:rFonts w:cs="Calibri"/>
          <w:sz w:val="16"/>
        </w:rPr>
        <w:sectPr w:rsidR="00FA4226" w:rsidRPr="00CA2CC1" w:rsidSect="00E941A5">
          <w:type w:val="continuous"/>
          <w:pgSz w:w="11910" w:h="16840"/>
          <w:pgMar w:top="1134" w:right="1278" w:bottom="1134" w:left="1134" w:header="720" w:footer="720" w:gutter="0"/>
          <w:cols w:space="720"/>
        </w:sectPr>
      </w:pPr>
    </w:p>
    <w:p w14:paraId="7B4EDAF4" w14:textId="21C86FCC" w:rsidR="00FA4226" w:rsidRPr="00CA2CC1" w:rsidRDefault="00000000" w:rsidP="0043303B">
      <w:pPr>
        <w:pStyle w:val="Heading1"/>
        <w:spacing w:before="171"/>
        <w:rPr>
          <w:rFonts w:cs="Calibri"/>
        </w:rPr>
      </w:pPr>
      <w:bookmarkStart w:id="36" w:name="Governance_and_organisational_structure"/>
      <w:bookmarkStart w:id="37" w:name="_bookmark17"/>
      <w:bookmarkEnd w:id="36"/>
      <w:bookmarkEnd w:id="37"/>
      <w:r w:rsidRPr="00CA2CC1">
        <w:rPr>
          <w:rFonts w:cs="Calibri"/>
          <w:color w:val="231F20"/>
          <w:w w:val="110"/>
        </w:rPr>
        <w:lastRenderedPageBreak/>
        <w:t xml:space="preserve">Governance and </w:t>
      </w:r>
      <w:r w:rsidR="00FC2DA4" w:rsidRPr="00CA2CC1">
        <w:rPr>
          <w:rFonts w:cs="Calibri"/>
          <w:color w:val="231F20"/>
        </w:rPr>
        <w:t>organisational</w:t>
      </w:r>
      <w:r w:rsidR="00FC2DA4" w:rsidRPr="00CA2CC1">
        <w:rPr>
          <w:rFonts w:cs="Calibri"/>
          <w:color w:val="231F20"/>
          <w:spacing w:val="25"/>
          <w:w w:val="150"/>
        </w:rPr>
        <w:t xml:space="preserve"> </w:t>
      </w:r>
      <w:r w:rsidRPr="00CA2CC1">
        <w:rPr>
          <w:rFonts w:cs="Calibri"/>
          <w:color w:val="231F20"/>
        </w:rPr>
        <w:t>structure</w:t>
      </w:r>
    </w:p>
    <w:p w14:paraId="2356D7B2" w14:textId="1208A2F7" w:rsidR="00FA4226" w:rsidRPr="00CA2CC1" w:rsidRDefault="00FA4226" w:rsidP="0043303B">
      <w:pPr>
        <w:pStyle w:val="BodyText"/>
        <w:rPr>
          <w:rFonts w:cs="Calibri"/>
          <w:sz w:val="20"/>
        </w:rPr>
      </w:pPr>
    </w:p>
    <w:p w14:paraId="559D9F54" w14:textId="77777777" w:rsidR="00FA4226" w:rsidRPr="00CA2CC1" w:rsidRDefault="00000000" w:rsidP="00BD0A55">
      <w:pPr>
        <w:pStyle w:val="Heading3"/>
        <w:rPr>
          <w:rFonts w:cs="Calibri"/>
        </w:rPr>
      </w:pPr>
      <w:r w:rsidRPr="00CA2CC1">
        <w:rPr>
          <w:rFonts w:cs="Calibri"/>
          <w:w w:val="110"/>
        </w:rPr>
        <w:t>Infrastructure</w:t>
      </w:r>
      <w:r w:rsidRPr="00CA2CC1">
        <w:rPr>
          <w:rFonts w:cs="Calibri"/>
          <w:spacing w:val="-30"/>
          <w:w w:val="110"/>
        </w:rPr>
        <w:t xml:space="preserve"> </w:t>
      </w:r>
      <w:r w:rsidRPr="00CA2CC1">
        <w:rPr>
          <w:rFonts w:cs="Calibri"/>
          <w:w w:val="110"/>
        </w:rPr>
        <w:t>Victoria</w:t>
      </w:r>
      <w:r w:rsidRPr="00CA2CC1">
        <w:rPr>
          <w:rFonts w:cs="Calibri"/>
          <w:spacing w:val="-17"/>
          <w:w w:val="110"/>
        </w:rPr>
        <w:t xml:space="preserve"> </w:t>
      </w:r>
      <w:r w:rsidRPr="00CA2CC1">
        <w:rPr>
          <w:rFonts w:cs="Calibri"/>
          <w:w w:val="110"/>
        </w:rPr>
        <w:t>is</w:t>
      </w:r>
      <w:r w:rsidRPr="00CA2CC1">
        <w:rPr>
          <w:rFonts w:cs="Calibri"/>
          <w:spacing w:val="-14"/>
          <w:w w:val="110"/>
        </w:rPr>
        <w:t xml:space="preserve"> </w:t>
      </w:r>
      <w:r w:rsidRPr="00CA2CC1">
        <w:rPr>
          <w:rFonts w:cs="Calibri"/>
          <w:w w:val="110"/>
        </w:rPr>
        <w:t>led</w:t>
      </w:r>
      <w:r w:rsidRPr="00CA2CC1">
        <w:rPr>
          <w:rFonts w:cs="Calibri"/>
          <w:spacing w:val="-12"/>
          <w:w w:val="110"/>
        </w:rPr>
        <w:t xml:space="preserve"> </w:t>
      </w:r>
      <w:r w:rsidRPr="00CA2CC1">
        <w:rPr>
          <w:rFonts w:cs="Calibri"/>
          <w:w w:val="110"/>
        </w:rPr>
        <w:t>by</w:t>
      </w:r>
      <w:r w:rsidRPr="00CA2CC1">
        <w:rPr>
          <w:rFonts w:cs="Calibri"/>
          <w:spacing w:val="-12"/>
          <w:w w:val="110"/>
        </w:rPr>
        <w:t xml:space="preserve"> </w:t>
      </w:r>
      <w:r w:rsidRPr="00CA2CC1">
        <w:rPr>
          <w:rFonts w:cs="Calibri"/>
          <w:w w:val="110"/>
        </w:rPr>
        <w:t>a</w:t>
      </w:r>
      <w:r w:rsidRPr="00CA2CC1">
        <w:rPr>
          <w:rFonts w:cs="Calibri"/>
          <w:spacing w:val="-12"/>
          <w:w w:val="110"/>
        </w:rPr>
        <w:t xml:space="preserve"> </w:t>
      </w:r>
      <w:r w:rsidRPr="00CA2CC1">
        <w:rPr>
          <w:rFonts w:cs="Calibri"/>
          <w:w w:val="110"/>
        </w:rPr>
        <w:t>board</w:t>
      </w:r>
      <w:r w:rsidRPr="00CA2CC1">
        <w:rPr>
          <w:rFonts w:cs="Calibri"/>
          <w:spacing w:val="-12"/>
          <w:w w:val="110"/>
        </w:rPr>
        <w:t xml:space="preserve"> </w:t>
      </w:r>
      <w:r w:rsidRPr="00CA2CC1">
        <w:rPr>
          <w:rFonts w:cs="Calibri"/>
          <w:w w:val="110"/>
        </w:rPr>
        <w:t>of</w:t>
      </w:r>
      <w:r w:rsidRPr="00CA2CC1">
        <w:rPr>
          <w:rFonts w:cs="Calibri"/>
          <w:spacing w:val="-12"/>
          <w:w w:val="110"/>
        </w:rPr>
        <w:t xml:space="preserve"> </w:t>
      </w:r>
      <w:r w:rsidRPr="00CA2CC1">
        <w:rPr>
          <w:rFonts w:cs="Calibri"/>
          <w:w w:val="110"/>
        </w:rPr>
        <w:t>7</w:t>
      </w:r>
      <w:r w:rsidRPr="00CA2CC1">
        <w:rPr>
          <w:rFonts w:cs="Calibri"/>
          <w:spacing w:val="-12"/>
          <w:w w:val="110"/>
        </w:rPr>
        <w:t xml:space="preserve"> </w:t>
      </w:r>
      <w:r w:rsidRPr="00CA2CC1">
        <w:rPr>
          <w:rFonts w:cs="Calibri"/>
          <w:w w:val="110"/>
        </w:rPr>
        <w:t>directors comprising 4 members from the private or non- government sectors, and 3 from the public sector.</w:t>
      </w:r>
    </w:p>
    <w:p w14:paraId="670741ED" w14:textId="77777777" w:rsidR="007524C1" w:rsidRPr="00CA2CC1" w:rsidRDefault="007524C1" w:rsidP="0043303B">
      <w:pPr>
        <w:pStyle w:val="BodyText"/>
        <w:rPr>
          <w:rFonts w:cs="Calibri"/>
        </w:rPr>
      </w:pPr>
    </w:p>
    <w:p w14:paraId="1AF6474A" w14:textId="10494C78" w:rsidR="00FA4226" w:rsidRPr="00916694" w:rsidRDefault="00000000" w:rsidP="0043303B">
      <w:pPr>
        <w:pStyle w:val="BodyText"/>
        <w:rPr>
          <w:rFonts w:cs="Calibri"/>
        </w:rPr>
      </w:pPr>
      <w:r w:rsidRPr="00916694">
        <w:rPr>
          <w:rFonts w:cs="Calibri"/>
        </w:rPr>
        <w:t>The directors of Infrastructure Victoria’s board perform their duties consistent</w:t>
      </w:r>
      <w:r w:rsidRPr="00916694">
        <w:rPr>
          <w:rFonts w:cs="Calibri"/>
          <w:spacing w:val="-4"/>
        </w:rPr>
        <w:t xml:space="preserve"> </w:t>
      </w:r>
      <w:r w:rsidRPr="00916694">
        <w:rPr>
          <w:rFonts w:cs="Calibri"/>
        </w:rPr>
        <w:t>with</w:t>
      </w:r>
      <w:r w:rsidRPr="00916694">
        <w:rPr>
          <w:rFonts w:cs="Calibri"/>
          <w:spacing w:val="-4"/>
        </w:rPr>
        <w:t xml:space="preserve"> </w:t>
      </w:r>
      <w:r w:rsidRPr="00916694">
        <w:rPr>
          <w:rFonts w:cs="Calibri"/>
        </w:rPr>
        <w:t>the</w:t>
      </w:r>
      <w:r w:rsidRPr="00916694">
        <w:rPr>
          <w:rFonts w:cs="Calibri"/>
          <w:spacing w:val="-4"/>
        </w:rPr>
        <w:t xml:space="preserve"> </w:t>
      </w:r>
      <w:r w:rsidRPr="00916694">
        <w:rPr>
          <w:rFonts w:cs="Calibri"/>
        </w:rPr>
        <w:t>standards</w:t>
      </w:r>
      <w:r w:rsidRPr="00916694">
        <w:rPr>
          <w:rFonts w:cs="Calibri"/>
          <w:spacing w:val="-4"/>
        </w:rPr>
        <w:t xml:space="preserve"> </w:t>
      </w:r>
      <w:r w:rsidRPr="00916694">
        <w:rPr>
          <w:rFonts w:cs="Calibri"/>
        </w:rPr>
        <w:t>set</w:t>
      </w:r>
      <w:r w:rsidRPr="00916694">
        <w:rPr>
          <w:rFonts w:cs="Calibri"/>
          <w:spacing w:val="-4"/>
        </w:rPr>
        <w:t xml:space="preserve"> </w:t>
      </w:r>
      <w:r w:rsidRPr="00916694">
        <w:rPr>
          <w:rFonts w:cs="Calibri"/>
        </w:rPr>
        <w:t>in</w:t>
      </w:r>
      <w:r w:rsidRPr="00916694">
        <w:rPr>
          <w:rFonts w:cs="Calibri"/>
          <w:spacing w:val="-4"/>
        </w:rPr>
        <w:t xml:space="preserve"> </w:t>
      </w:r>
      <w:r w:rsidRPr="00916694">
        <w:rPr>
          <w:rFonts w:cs="Calibri"/>
        </w:rPr>
        <w:t>the</w:t>
      </w:r>
      <w:r w:rsidRPr="00916694">
        <w:rPr>
          <w:rFonts w:cs="Calibri"/>
          <w:spacing w:val="-5"/>
        </w:rPr>
        <w:t xml:space="preserve"> </w:t>
      </w:r>
      <w:r w:rsidRPr="00916694">
        <w:rPr>
          <w:rFonts w:cs="Calibri"/>
          <w:i/>
        </w:rPr>
        <w:t>Code</w:t>
      </w:r>
      <w:r w:rsidRPr="00916694">
        <w:rPr>
          <w:rFonts w:cs="Calibri"/>
          <w:i/>
          <w:spacing w:val="-4"/>
        </w:rPr>
        <w:t xml:space="preserve"> </w:t>
      </w:r>
      <w:r w:rsidRPr="00916694">
        <w:rPr>
          <w:rFonts w:cs="Calibri"/>
          <w:i/>
        </w:rPr>
        <w:t>of</w:t>
      </w:r>
      <w:r w:rsidRPr="00916694">
        <w:rPr>
          <w:rFonts w:cs="Calibri"/>
          <w:i/>
          <w:spacing w:val="-4"/>
        </w:rPr>
        <w:t xml:space="preserve"> </w:t>
      </w:r>
      <w:r w:rsidRPr="00916694">
        <w:rPr>
          <w:rFonts w:cs="Calibri"/>
          <w:i/>
        </w:rPr>
        <w:t>Conduct</w:t>
      </w:r>
      <w:r w:rsidRPr="00916694">
        <w:rPr>
          <w:rFonts w:cs="Calibri"/>
          <w:i/>
          <w:spacing w:val="-4"/>
        </w:rPr>
        <w:t xml:space="preserve"> </w:t>
      </w:r>
      <w:r w:rsidRPr="00916694">
        <w:rPr>
          <w:rFonts w:cs="Calibri"/>
          <w:i/>
        </w:rPr>
        <w:t>for</w:t>
      </w:r>
      <w:r w:rsidRPr="00916694">
        <w:rPr>
          <w:rFonts w:cs="Calibri"/>
          <w:i/>
          <w:spacing w:val="-4"/>
        </w:rPr>
        <w:t xml:space="preserve"> </w:t>
      </w:r>
      <w:r w:rsidRPr="00916694">
        <w:rPr>
          <w:rFonts w:cs="Calibri"/>
          <w:i/>
        </w:rPr>
        <w:t xml:space="preserve">Directors of Victorian Public Entities </w:t>
      </w:r>
      <w:r w:rsidRPr="00916694">
        <w:rPr>
          <w:rFonts w:cs="Calibri"/>
        </w:rPr>
        <w:t xml:space="preserve">and the duties and values contained in the </w:t>
      </w:r>
      <w:r w:rsidRPr="00916694">
        <w:rPr>
          <w:rFonts w:cs="Calibri"/>
          <w:i/>
        </w:rPr>
        <w:t>Public Administration Act 2004</w:t>
      </w:r>
      <w:r w:rsidRPr="00916694">
        <w:rPr>
          <w:rFonts w:cs="Calibri"/>
        </w:rPr>
        <w:t>.</w:t>
      </w:r>
    </w:p>
    <w:p w14:paraId="4C652320" w14:textId="77777777" w:rsidR="00FA4226" w:rsidRPr="00916694" w:rsidRDefault="00FA4226" w:rsidP="0043303B">
      <w:pPr>
        <w:pStyle w:val="BodyText"/>
        <w:rPr>
          <w:rFonts w:cs="Calibri"/>
          <w:sz w:val="15"/>
        </w:rPr>
        <w:sectPr w:rsidR="00FA4226" w:rsidRPr="00916694" w:rsidSect="00E941A5">
          <w:pgSz w:w="11910" w:h="16840"/>
          <w:pgMar w:top="1134" w:right="1278" w:bottom="1134" w:left="1134" w:header="720" w:footer="720" w:gutter="0"/>
          <w:cols w:space="720"/>
        </w:sectPr>
      </w:pPr>
    </w:p>
    <w:p w14:paraId="7B70AC7E" w14:textId="77777777" w:rsidR="003524EC" w:rsidRPr="00916694" w:rsidRDefault="00000000" w:rsidP="0043303B">
      <w:pPr>
        <w:pStyle w:val="BodyText"/>
        <w:rPr>
          <w:rFonts w:cs="Calibri"/>
          <w:b/>
          <w:bCs/>
          <w:szCs w:val="22"/>
        </w:rPr>
      </w:pPr>
      <w:r w:rsidRPr="00916694">
        <w:rPr>
          <w:rFonts w:cs="Calibri"/>
          <w:b/>
          <w:bCs/>
          <w:szCs w:val="22"/>
        </w:rPr>
        <w:t>Jim</w:t>
      </w:r>
      <w:r w:rsidRPr="00916694">
        <w:rPr>
          <w:rFonts w:cs="Calibri"/>
          <w:b/>
          <w:bCs/>
          <w:spacing w:val="-14"/>
          <w:szCs w:val="22"/>
        </w:rPr>
        <w:t xml:space="preserve"> </w:t>
      </w:r>
      <w:r w:rsidRPr="00916694">
        <w:rPr>
          <w:rFonts w:cs="Calibri"/>
          <w:b/>
          <w:bCs/>
          <w:szCs w:val="22"/>
        </w:rPr>
        <w:t xml:space="preserve">Miller </w:t>
      </w:r>
    </w:p>
    <w:p w14:paraId="5F015F4F" w14:textId="2E61DD39" w:rsidR="00FA4226" w:rsidRPr="00916694" w:rsidRDefault="00000000" w:rsidP="0043303B">
      <w:pPr>
        <w:pStyle w:val="BodyText"/>
        <w:rPr>
          <w:rFonts w:cs="Calibri"/>
          <w:b/>
          <w:bCs/>
          <w:szCs w:val="22"/>
        </w:rPr>
      </w:pPr>
      <w:r w:rsidRPr="00916694">
        <w:rPr>
          <w:rFonts w:cs="Calibri"/>
          <w:b/>
          <w:bCs/>
          <w:spacing w:val="-2"/>
          <w:szCs w:val="22"/>
        </w:rPr>
        <w:t>Chair</w:t>
      </w:r>
    </w:p>
    <w:p w14:paraId="52B24DFD" w14:textId="77777777" w:rsidR="00FA4226" w:rsidRPr="00916694" w:rsidRDefault="00000000" w:rsidP="0043303B">
      <w:pPr>
        <w:pStyle w:val="BodyText"/>
        <w:rPr>
          <w:rFonts w:cs="Calibri"/>
          <w:szCs w:val="22"/>
        </w:rPr>
      </w:pPr>
      <w:r w:rsidRPr="00916694">
        <w:rPr>
          <w:rFonts w:cs="Calibri"/>
          <w:szCs w:val="22"/>
        </w:rPr>
        <w:t>Jim</w:t>
      </w:r>
      <w:r w:rsidRPr="00916694">
        <w:rPr>
          <w:rFonts w:cs="Calibri"/>
          <w:spacing w:val="-11"/>
          <w:szCs w:val="22"/>
        </w:rPr>
        <w:t xml:space="preserve"> </w:t>
      </w:r>
      <w:r w:rsidRPr="00916694">
        <w:rPr>
          <w:rFonts w:cs="Calibri"/>
          <w:szCs w:val="22"/>
        </w:rPr>
        <w:t>Miller</w:t>
      </w:r>
      <w:r w:rsidRPr="00916694">
        <w:rPr>
          <w:rFonts w:cs="Calibri"/>
          <w:spacing w:val="-11"/>
          <w:szCs w:val="22"/>
        </w:rPr>
        <w:t xml:space="preserve"> </w:t>
      </w:r>
      <w:r w:rsidRPr="00916694">
        <w:rPr>
          <w:rFonts w:cs="Calibri"/>
          <w:szCs w:val="22"/>
        </w:rPr>
        <w:t>chairs</w:t>
      </w:r>
      <w:r w:rsidRPr="00916694">
        <w:rPr>
          <w:rFonts w:cs="Calibri"/>
          <w:spacing w:val="-11"/>
          <w:szCs w:val="22"/>
        </w:rPr>
        <w:t xml:space="preserve"> </w:t>
      </w:r>
      <w:r w:rsidRPr="00916694">
        <w:rPr>
          <w:rFonts w:cs="Calibri"/>
          <w:szCs w:val="22"/>
        </w:rPr>
        <w:t>the</w:t>
      </w:r>
      <w:r w:rsidRPr="00916694">
        <w:rPr>
          <w:rFonts w:cs="Calibri"/>
          <w:spacing w:val="-11"/>
          <w:szCs w:val="22"/>
        </w:rPr>
        <w:t xml:space="preserve"> </w:t>
      </w:r>
      <w:r w:rsidRPr="00916694">
        <w:rPr>
          <w:rFonts w:cs="Calibri"/>
          <w:szCs w:val="22"/>
        </w:rPr>
        <w:t>Infrastructure Victoria board.</w:t>
      </w:r>
    </w:p>
    <w:p w14:paraId="08D9E9A2" w14:textId="26EF9938" w:rsidR="00FA4226" w:rsidRPr="00916694" w:rsidRDefault="00000000" w:rsidP="0043303B">
      <w:pPr>
        <w:pStyle w:val="BodyText"/>
        <w:rPr>
          <w:rFonts w:cs="Calibri"/>
          <w:szCs w:val="22"/>
        </w:rPr>
      </w:pPr>
      <w:r w:rsidRPr="00916694">
        <w:rPr>
          <w:rFonts w:cs="Calibri"/>
          <w:szCs w:val="22"/>
        </w:rPr>
        <w:t>Jim was Vice Chair at J.P. Morgan from 2018 to 2023 and Executive Director at Macquarie Capital from 1994 to 2015. With experience across a range of sectors, he has led</w:t>
      </w:r>
      <w:r w:rsidRPr="00916694">
        <w:rPr>
          <w:rFonts w:cs="Calibri"/>
          <w:spacing w:val="-8"/>
          <w:szCs w:val="22"/>
        </w:rPr>
        <w:t xml:space="preserve"> </w:t>
      </w:r>
      <w:r w:rsidRPr="00916694">
        <w:rPr>
          <w:rFonts w:cs="Calibri"/>
          <w:szCs w:val="22"/>
        </w:rPr>
        <w:t>over</w:t>
      </w:r>
      <w:r w:rsidRPr="00916694">
        <w:rPr>
          <w:rFonts w:cs="Calibri"/>
          <w:spacing w:val="-8"/>
          <w:szCs w:val="22"/>
        </w:rPr>
        <w:t xml:space="preserve"> </w:t>
      </w:r>
      <w:r w:rsidRPr="00916694">
        <w:rPr>
          <w:rFonts w:cs="Calibri"/>
          <w:szCs w:val="22"/>
        </w:rPr>
        <w:t>$200</w:t>
      </w:r>
      <w:r w:rsidRPr="00916694">
        <w:rPr>
          <w:rFonts w:cs="Calibri"/>
          <w:spacing w:val="-8"/>
          <w:szCs w:val="22"/>
        </w:rPr>
        <w:t xml:space="preserve"> </w:t>
      </w:r>
      <w:r w:rsidRPr="00916694">
        <w:rPr>
          <w:rFonts w:cs="Calibri"/>
          <w:szCs w:val="22"/>
        </w:rPr>
        <w:t>billion</w:t>
      </w:r>
      <w:r w:rsidRPr="00916694">
        <w:rPr>
          <w:rFonts w:cs="Calibri"/>
          <w:spacing w:val="-8"/>
          <w:szCs w:val="22"/>
        </w:rPr>
        <w:t xml:space="preserve"> </w:t>
      </w:r>
      <w:r w:rsidRPr="00916694">
        <w:rPr>
          <w:rFonts w:cs="Calibri"/>
          <w:szCs w:val="22"/>
        </w:rPr>
        <w:t>in</w:t>
      </w:r>
      <w:r w:rsidRPr="00916694">
        <w:rPr>
          <w:rFonts w:cs="Calibri"/>
          <w:spacing w:val="-8"/>
          <w:szCs w:val="22"/>
        </w:rPr>
        <w:t xml:space="preserve"> </w:t>
      </w:r>
      <w:r w:rsidRPr="00916694">
        <w:rPr>
          <w:rFonts w:cs="Calibri"/>
          <w:szCs w:val="22"/>
        </w:rPr>
        <w:t>transactions and worked with both government and private sector clients both as</w:t>
      </w:r>
      <w:r w:rsidR="00B96C19" w:rsidRPr="00916694">
        <w:rPr>
          <w:rFonts w:cs="Calibri"/>
          <w:szCs w:val="22"/>
        </w:rPr>
        <w:t xml:space="preserve"> </w:t>
      </w:r>
      <w:r w:rsidRPr="00916694">
        <w:rPr>
          <w:rFonts w:cs="Calibri"/>
          <w:szCs w:val="22"/>
        </w:rPr>
        <w:t xml:space="preserve">a principal and </w:t>
      </w:r>
      <w:r w:rsidRPr="00916694">
        <w:rPr>
          <w:rFonts w:cs="Calibri"/>
          <w:spacing w:val="-2"/>
          <w:szCs w:val="22"/>
        </w:rPr>
        <w:t>adviser.</w:t>
      </w:r>
    </w:p>
    <w:p w14:paraId="1698E77A" w14:textId="715E4DDC" w:rsidR="00B976AC" w:rsidRPr="00916694" w:rsidRDefault="00000000" w:rsidP="0043303B">
      <w:pPr>
        <w:pStyle w:val="BodyText"/>
        <w:rPr>
          <w:rFonts w:cs="Calibri"/>
          <w:szCs w:val="22"/>
        </w:rPr>
      </w:pPr>
      <w:r w:rsidRPr="00916694">
        <w:rPr>
          <w:rFonts w:cs="Calibri"/>
          <w:szCs w:val="22"/>
        </w:rPr>
        <w:t>Jim has extensive experience in infrastructure having worked in the areas of regulated assets, transport, digital, energy, utilities and resources and social infrastructure. He has both a</w:t>
      </w:r>
      <w:r w:rsidRPr="00916694">
        <w:rPr>
          <w:rFonts w:cs="Calibri"/>
          <w:spacing w:val="-8"/>
          <w:szCs w:val="22"/>
        </w:rPr>
        <w:t xml:space="preserve"> </w:t>
      </w:r>
      <w:r w:rsidRPr="00916694">
        <w:rPr>
          <w:rFonts w:cs="Calibri"/>
          <w:szCs w:val="22"/>
        </w:rPr>
        <w:t>Bachelor</w:t>
      </w:r>
      <w:r w:rsidRPr="00916694">
        <w:rPr>
          <w:rFonts w:cs="Calibri"/>
          <w:spacing w:val="-8"/>
          <w:szCs w:val="22"/>
        </w:rPr>
        <w:t xml:space="preserve"> </w:t>
      </w:r>
      <w:r w:rsidRPr="00916694">
        <w:rPr>
          <w:rFonts w:cs="Calibri"/>
          <w:szCs w:val="22"/>
        </w:rPr>
        <w:t>and</w:t>
      </w:r>
      <w:r w:rsidRPr="00916694">
        <w:rPr>
          <w:rFonts w:cs="Calibri"/>
          <w:spacing w:val="-8"/>
          <w:szCs w:val="22"/>
        </w:rPr>
        <w:t xml:space="preserve"> </w:t>
      </w:r>
      <w:r w:rsidRPr="00916694">
        <w:rPr>
          <w:rFonts w:cs="Calibri"/>
          <w:szCs w:val="22"/>
        </w:rPr>
        <w:t>Masters</w:t>
      </w:r>
      <w:r w:rsidRPr="00916694">
        <w:rPr>
          <w:rFonts w:cs="Calibri"/>
          <w:spacing w:val="-8"/>
          <w:szCs w:val="22"/>
        </w:rPr>
        <w:t xml:space="preserve"> </w:t>
      </w:r>
      <w:r w:rsidRPr="00916694">
        <w:rPr>
          <w:rFonts w:cs="Calibri"/>
          <w:szCs w:val="22"/>
        </w:rPr>
        <w:t>of</w:t>
      </w:r>
      <w:r w:rsidRPr="00916694">
        <w:rPr>
          <w:rFonts w:cs="Calibri"/>
          <w:spacing w:val="-8"/>
          <w:szCs w:val="22"/>
        </w:rPr>
        <w:t xml:space="preserve"> </w:t>
      </w:r>
      <w:r w:rsidRPr="00916694">
        <w:rPr>
          <w:rFonts w:cs="Calibri"/>
          <w:szCs w:val="22"/>
        </w:rPr>
        <w:t>Economics from Macquarie University. He is a Fellow of the Institute of Actuaries</w:t>
      </w:r>
      <w:r w:rsidR="00386EA7" w:rsidRPr="00916694">
        <w:rPr>
          <w:rFonts w:cs="Calibri"/>
          <w:szCs w:val="22"/>
        </w:rPr>
        <w:t xml:space="preserve"> </w:t>
      </w:r>
      <w:r w:rsidRPr="00916694">
        <w:rPr>
          <w:rFonts w:cs="Calibri"/>
          <w:szCs w:val="22"/>
        </w:rPr>
        <w:t xml:space="preserve">of </w:t>
      </w:r>
      <w:r w:rsidRPr="00916694">
        <w:rPr>
          <w:rFonts w:cs="Calibri"/>
          <w:spacing w:val="-2"/>
          <w:szCs w:val="22"/>
        </w:rPr>
        <w:t>Australia.</w:t>
      </w:r>
    </w:p>
    <w:p w14:paraId="3F9DEEA0" w14:textId="77777777" w:rsidR="003524EC" w:rsidRPr="00916694" w:rsidRDefault="00000000" w:rsidP="0043303B">
      <w:pPr>
        <w:pStyle w:val="BodyText"/>
        <w:rPr>
          <w:rFonts w:cs="Calibri"/>
          <w:b/>
          <w:bCs/>
          <w:szCs w:val="22"/>
        </w:rPr>
      </w:pPr>
      <w:r w:rsidRPr="00916694">
        <w:rPr>
          <w:rFonts w:cs="Calibri"/>
          <w:b/>
          <w:bCs/>
          <w:szCs w:val="22"/>
        </w:rPr>
        <w:t>Maria</w:t>
      </w:r>
      <w:r w:rsidRPr="00916694">
        <w:rPr>
          <w:rFonts w:cs="Calibri"/>
          <w:b/>
          <w:bCs/>
          <w:spacing w:val="-14"/>
          <w:szCs w:val="22"/>
        </w:rPr>
        <w:t xml:space="preserve"> </w:t>
      </w:r>
      <w:r w:rsidRPr="00916694">
        <w:rPr>
          <w:rFonts w:cs="Calibri"/>
          <w:b/>
          <w:bCs/>
          <w:szCs w:val="22"/>
        </w:rPr>
        <w:t>Wilton</w:t>
      </w:r>
      <w:r w:rsidRPr="00916694">
        <w:rPr>
          <w:rFonts w:cs="Calibri"/>
          <w:b/>
          <w:bCs/>
          <w:spacing w:val="-14"/>
          <w:szCs w:val="22"/>
        </w:rPr>
        <w:t xml:space="preserve"> </w:t>
      </w:r>
      <w:r w:rsidRPr="00916694">
        <w:rPr>
          <w:rFonts w:cs="Calibri"/>
          <w:b/>
          <w:bCs/>
          <w:szCs w:val="22"/>
        </w:rPr>
        <w:t xml:space="preserve">AM </w:t>
      </w:r>
    </w:p>
    <w:p w14:paraId="30FD45BD" w14:textId="7EE55940" w:rsidR="00FA4226" w:rsidRPr="00916694" w:rsidRDefault="00000000" w:rsidP="0043303B">
      <w:pPr>
        <w:pStyle w:val="BodyText"/>
        <w:rPr>
          <w:rFonts w:cs="Calibri"/>
          <w:b/>
          <w:bCs/>
          <w:szCs w:val="22"/>
        </w:rPr>
      </w:pPr>
      <w:r w:rsidRPr="00916694">
        <w:rPr>
          <w:rFonts w:cs="Calibri"/>
          <w:b/>
          <w:bCs/>
          <w:szCs w:val="22"/>
        </w:rPr>
        <w:t>Deputy Chair</w:t>
      </w:r>
    </w:p>
    <w:p w14:paraId="7F69273E" w14:textId="3C15DF17" w:rsidR="00FA4226" w:rsidRPr="00916694" w:rsidRDefault="00000000" w:rsidP="0043303B">
      <w:pPr>
        <w:pStyle w:val="BodyText"/>
        <w:rPr>
          <w:rFonts w:cs="Calibri"/>
          <w:szCs w:val="22"/>
        </w:rPr>
      </w:pPr>
      <w:r w:rsidRPr="00916694">
        <w:rPr>
          <w:rFonts w:cs="Calibri"/>
          <w:szCs w:val="22"/>
        </w:rPr>
        <w:t>Maria</w:t>
      </w:r>
      <w:r w:rsidRPr="00916694">
        <w:rPr>
          <w:rFonts w:cs="Calibri"/>
          <w:spacing w:val="-6"/>
          <w:szCs w:val="22"/>
        </w:rPr>
        <w:t xml:space="preserve"> </w:t>
      </w:r>
      <w:r w:rsidRPr="00916694">
        <w:rPr>
          <w:rFonts w:cs="Calibri"/>
          <w:szCs w:val="22"/>
        </w:rPr>
        <w:t>Wilton</w:t>
      </w:r>
      <w:r w:rsidRPr="00916694">
        <w:rPr>
          <w:rFonts w:cs="Calibri"/>
          <w:spacing w:val="-6"/>
          <w:szCs w:val="22"/>
        </w:rPr>
        <w:t xml:space="preserve"> </w:t>
      </w:r>
      <w:r w:rsidRPr="00916694">
        <w:rPr>
          <w:rFonts w:cs="Calibri"/>
          <w:szCs w:val="22"/>
        </w:rPr>
        <w:t>is</w:t>
      </w:r>
      <w:r w:rsidRPr="00916694">
        <w:rPr>
          <w:rFonts w:cs="Calibri"/>
          <w:spacing w:val="-6"/>
          <w:szCs w:val="22"/>
        </w:rPr>
        <w:t xml:space="preserve"> </w:t>
      </w:r>
      <w:r w:rsidRPr="00916694">
        <w:rPr>
          <w:rFonts w:cs="Calibri"/>
          <w:szCs w:val="22"/>
        </w:rPr>
        <w:t>deputy</w:t>
      </w:r>
      <w:r w:rsidRPr="00916694">
        <w:rPr>
          <w:rFonts w:cs="Calibri"/>
          <w:spacing w:val="-6"/>
          <w:szCs w:val="22"/>
        </w:rPr>
        <w:t xml:space="preserve"> </w:t>
      </w:r>
      <w:r w:rsidRPr="00916694">
        <w:rPr>
          <w:rFonts w:cs="Calibri"/>
          <w:szCs w:val="22"/>
        </w:rPr>
        <w:t>chair</w:t>
      </w:r>
      <w:r w:rsidRPr="00916694">
        <w:rPr>
          <w:rFonts w:cs="Calibri"/>
          <w:spacing w:val="-6"/>
          <w:szCs w:val="22"/>
        </w:rPr>
        <w:t xml:space="preserve"> </w:t>
      </w:r>
      <w:r w:rsidRPr="00916694">
        <w:rPr>
          <w:rFonts w:cs="Calibri"/>
          <w:szCs w:val="22"/>
        </w:rPr>
        <w:t>of</w:t>
      </w:r>
      <w:r w:rsidRPr="00916694">
        <w:rPr>
          <w:rFonts w:cs="Calibri"/>
          <w:spacing w:val="-6"/>
          <w:szCs w:val="22"/>
        </w:rPr>
        <w:t xml:space="preserve"> </w:t>
      </w:r>
      <w:r w:rsidRPr="00916694">
        <w:rPr>
          <w:rFonts w:cs="Calibri"/>
          <w:szCs w:val="22"/>
        </w:rPr>
        <w:t>the Infrastructure Victoria board. She is also chair of the</w:t>
      </w:r>
      <w:r w:rsidRPr="00916694">
        <w:rPr>
          <w:rFonts w:cs="Calibri"/>
          <w:spacing w:val="40"/>
          <w:szCs w:val="22"/>
        </w:rPr>
        <w:t xml:space="preserve"> </w:t>
      </w:r>
      <w:r w:rsidRPr="00916694">
        <w:rPr>
          <w:rFonts w:cs="Calibri"/>
          <w:szCs w:val="22"/>
        </w:rPr>
        <w:t xml:space="preserve">Audit and risk </w:t>
      </w:r>
      <w:r w:rsidRPr="00916694">
        <w:rPr>
          <w:rFonts w:cs="Calibri"/>
          <w:spacing w:val="-2"/>
          <w:szCs w:val="22"/>
        </w:rPr>
        <w:t>committee.</w:t>
      </w:r>
    </w:p>
    <w:p w14:paraId="00136F96" w14:textId="77777777" w:rsidR="00FA4226" w:rsidRPr="00916694" w:rsidRDefault="00000000" w:rsidP="0043303B">
      <w:pPr>
        <w:pStyle w:val="BodyText"/>
        <w:rPr>
          <w:rFonts w:cs="Calibri"/>
          <w:szCs w:val="22"/>
        </w:rPr>
      </w:pPr>
      <w:r w:rsidRPr="00916694">
        <w:rPr>
          <w:rFonts w:cs="Calibri"/>
          <w:szCs w:val="22"/>
        </w:rPr>
        <w:t>Maria’s experience in the investment industry spans thirty years and includes portfolio management and business roles. She is the Chair of Growth Farms and Spirit Super, as well as a Director of Victorian Funds Management Corporation, Confident Girls Foundation, and Dexus Wholesale Property Fund. She was formerly</w:t>
      </w:r>
      <w:r w:rsidRPr="00916694">
        <w:rPr>
          <w:rFonts w:cs="Calibri"/>
          <w:spacing w:val="-11"/>
          <w:szCs w:val="22"/>
        </w:rPr>
        <w:t xml:space="preserve"> </w:t>
      </w:r>
      <w:r w:rsidRPr="00916694">
        <w:rPr>
          <w:rFonts w:cs="Calibri"/>
          <w:szCs w:val="22"/>
        </w:rPr>
        <w:t>Managing</w:t>
      </w:r>
      <w:r w:rsidRPr="00916694">
        <w:rPr>
          <w:rFonts w:cs="Calibri"/>
          <w:spacing w:val="-11"/>
          <w:szCs w:val="22"/>
        </w:rPr>
        <w:t xml:space="preserve"> </w:t>
      </w:r>
      <w:r w:rsidRPr="00916694">
        <w:rPr>
          <w:rFonts w:cs="Calibri"/>
          <w:szCs w:val="22"/>
        </w:rPr>
        <w:t>Director</w:t>
      </w:r>
      <w:r w:rsidRPr="00916694">
        <w:rPr>
          <w:rFonts w:cs="Calibri"/>
          <w:spacing w:val="-11"/>
          <w:szCs w:val="22"/>
        </w:rPr>
        <w:t xml:space="preserve"> </w:t>
      </w:r>
      <w:r w:rsidRPr="00916694">
        <w:rPr>
          <w:rFonts w:cs="Calibri"/>
          <w:szCs w:val="22"/>
        </w:rPr>
        <w:t>and</w:t>
      </w:r>
      <w:r w:rsidRPr="00916694">
        <w:rPr>
          <w:rFonts w:cs="Calibri"/>
          <w:spacing w:val="-11"/>
          <w:szCs w:val="22"/>
        </w:rPr>
        <w:t xml:space="preserve"> </w:t>
      </w:r>
      <w:r w:rsidRPr="00916694">
        <w:rPr>
          <w:rFonts w:cs="Calibri"/>
          <w:szCs w:val="22"/>
        </w:rPr>
        <w:t xml:space="preserve">Chair of Franklin Templeton Investments </w:t>
      </w:r>
      <w:r w:rsidRPr="00916694">
        <w:rPr>
          <w:rFonts w:cs="Calibri"/>
          <w:spacing w:val="-2"/>
          <w:szCs w:val="22"/>
        </w:rPr>
        <w:t>Australia.</w:t>
      </w:r>
    </w:p>
    <w:p w14:paraId="589550E2" w14:textId="77777777" w:rsidR="00B976AC" w:rsidRPr="00916694" w:rsidRDefault="00000000" w:rsidP="0043303B">
      <w:pPr>
        <w:pStyle w:val="BodyText"/>
        <w:rPr>
          <w:rFonts w:cs="Calibri"/>
          <w:szCs w:val="22"/>
        </w:rPr>
      </w:pPr>
      <w:r w:rsidRPr="00916694">
        <w:rPr>
          <w:rFonts w:cs="Calibri"/>
          <w:szCs w:val="22"/>
        </w:rPr>
        <w:t>Maria</w:t>
      </w:r>
      <w:r w:rsidRPr="00916694">
        <w:rPr>
          <w:rFonts w:cs="Calibri"/>
          <w:spacing w:val="-8"/>
          <w:szCs w:val="22"/>
        </w:rPr>
        <w:t xml:space="preserve"> </w:t>
      </w:r>
      <w:r w:rsidRPr="00916694">
        <w:rPr>
          <w:rFonts w:cs="Calibri"/>
          <w:szCs w:val="22"/>
        </w:rPr>
        <w:t>holds</w:t>
      </w:r>
      <w:r w:rsidRPr="00916694">
        <w:rPr>
          <w:rFonts w:cs="Calibri"/>
          <w:spacing w:val="-8"/>
          <w:szCs w:val="22"/>
        </w:rPr>
        <w:t xml:space="preserve"> </w:t>
      </w:r>
      <w:r w:rsidRPr="00916694">
        <w:rPr>
          <w:rFonts w:cs="Calibri"/>
          <w:szCs w:val="22"/>
        </w:rPr>
        <w:t>a</w:t>
      </w:r>
      <w:r w:rsidRPr="00916694">
        <w:rPr>
          <w:rFonts w:cs="Calibri"/>
          <w:spacing w:val="-8"/>
          <w:szCs w:val="22"/>
        </w:rPr>
        <w:t xml:space="preserve"> </w:t>
      </w:r>
      <w:r w:rsidRPr="00916694">
        <w:rPr>
          <w:rFonts w:cs="Calibri"/>
          <w:szCs w:val="22"/>
        </w:rPr>
        <w:t>Bachelor</w:t>
      </w:r>
      <w:r w:rsidRPr="00916694">
        <w:rPr>
          <w:rFonts w:cs="Calibri"/>
          <w:spacing w:val="-8"/>
          <w:szCs w:val="22"/>
        </w:rPr>
        <w:t xml:space="preserve"> </w:t>
      </w:r>
      <w:r w:rsidRPr="00916694">
        <w:rPr>
          <w:rFonts w:cs="Calibri"/>
          <w:szCs w:val="22"/>
        </w:rPr>
        <w:t>of</w:t>
      </w:r>
      <w:r w:rsidRPr="00916694">
        <w:rPr>
          <w:rFonts w:cs="Calibri"/>
          <w:spacing w:val="-8"/>
          <w:szCs w:val="22"/>
        </w:rPr>
        <w:t xml:space="preserve"> </w:t>
      </w:r>
      <w:r w:rsidRPr="00916694">
        <w:rPr>
          <w:rFonts w:cs="Calibri"/>
          <w:szCs w:val="22"/>
        </w:rPr>
        <w:t>Economics from the University of Tasmania and is</w:t>
      </w:r>
      <w:r w:rsidRPr="00916694">
        <w:rPr>
          <w:rFonts w:cs="Calibri"/>
          <w:spacing w:val="-9"/>
          <w:szCs w:val="22"/>
        </w:rPr>
        <w:t xml:space="preserve"> </w:t>
      </w:r>
      <w:r w:rsidRPr="00916694">
        <w:rPr>
          <w:rFonts w:cs="Calibri"/>
          <w:szCs w:val="22"/>
        </w:rPr>
        <w:t>a</w:t>
      </w:r>
      <w:r w:rsidRPr="00916694">
        <w:rPr>
          <w:rFonts w:cs="Calibri"/>
          <w:spacing w:val="-9"/>
          <w:szCs w:val="22"/>
        </w:rPr>
        <w:t xml:space="preserve"> </w:t>
      </w:r>
      <w:r w:rsidRPr="00916694">
        <w:rPr>
          <w:rFonts w:cs="Calibri"/>
          <w:szCs w:val="22"/>
        </w:rPr>
        <w:t>Chartered</w:t>
      </w:r>
      <w:r w:rsidRPr="00916694">
        <w:rPr>
          <w:rFonts w:cs="Calibri"/>
          <w:spacing w:val="-9"/>
          <w:szCs w:val="22"/>
        </w:rPr>
        <w:t xml:space="preserve"> </w:t>
      </w:r>
      <w:r w:rsidRPr="00916694">
        <w:rPr>
          <w:rFonts w:cs="Calibri"/>
          <w:szCs w:val="22"/>
        </w:rPr>
        <w:t>Financial</w:t>
      </w:r>
      <w:r w:rsidRPr="00916694">
        <w:rPr>
          <w:rFonts w:cs="Calibri"/>
          <w:spacing w:val="-9"/>
          <w:szCs w:val="22"/>
        </w:rPr>
        <w:t xml:space="preserve"> </w:t>
      </w:r>
      <w:r w:rsidRPr="00916694">
        <w:rPr>
          <w:rFonts w:cs="Calibri"/>
          <w:szCs w:val="22"/>
        </w:rPr>
        <w:t>Analyst</w:t>
      </w:r>
      <w:r w:rsidRPr="00916694">
        <w:rPr>
          <w:rFonts w:cs="Calibri"/>
          <w:spacing w:val="-9"/>
          <w:szCs w:val="22"/>
        </w:rPr>
        <w:t xml:space="preserve"> </w:t>
      </w:r>
      <w:r w:rsidRPr="00916694">
        <w:rPr>
          <w:rFonts w:cs="Calibri"/>
          <w:szCs w:val="22"/>
        </w:rPr>
        <w:t>(CFA) charter</w:t>
      </w:r>
      <w:r w:rsidRPr="00916694">
        <w:rPr>
          <w:rFonts w:cs="Calibri"/>
          <w:spacing w:val="-11"/>
          <w:szCs w:val="22"/>
        </w:rPr>
        <w:t xml:space="preserve"> </w:t>
      </w:r>
      <w:r w:rsidRPr="00916694">
        <w:rPr>
          <w:rFonts w:cs="Calibri"/>
          <w:szCs w:val="22"/>
        </w:rPr>
        <w:t>holder.</w:t>
      </w:r>
      <w:r w:rsidRPr="00916694">
        <w:rPr>
          <w:rFonts w:cs="Calibri"/>
          <w:spacing w:val="-11"/>
          <w:szCs w:val="22"/>
        </w:rPr>
        <w:t xml:space="preserve"> </w:t>
      </w:r>
      <w:r w:rsidRPr="00916694">
        <w:rPr>
          <w:rFonts w:cs="Calibri"/>
          <w:szCs w:val="22"/>
        </w:rPr>
        <w:t>In</w:t>
      </w:r>
      <w:r w:rsidRPr="00916694">
        <w:rPr>
          <w:rFonts w:cs="Calibri"/>
          <w:spacing w:val="-11"/>
          <w:szCs w:val="22"/>
        </w:rPr>
        <w:t xml:space="preserve"> </w:t>
      </w:r>
      <w:r w:rsidRPr="00916694">
        <w:rPr>
          <w:rFonts w:cs="Calibri"/>
          <w:szCs w:val="22"/>
        </w:rPr>
        <w:t>January</w:t>
      </w:r>
      <w:r w:rsidRPr="00916694">
        <w:rPr>
          <w:rFonts w:cs="Calibri"/>
          <w:spacing w:val="-11"/>
          <w:szCs w:val="22"/>
        </w:rPr>
        <w:t xml:space="preserve"> </w:t>
      </w:r>
      <w:r w:rsidRPr="00916694">
        <w:rPr>
          <w:rFonts w:cs="Calibri"/>
          <w:szCs w:val="22"/>
        </w:rPr>
        <w:t>2019</w:t>
      </w:r>
      <w:r w:rsidRPr="00916694">
        <w:rPr>
          <w:rFonts w:cs="Calibri"/>
          <w:spacing w:val="-11"/>
          <w:szCs w:val="22"/>
        </w:rPr>
        <w:t xml:space="preserve"> </w:t>
      </w:r>
      <w:r w:rsidRPr="00916694">
        <w:rPr>
          <w:rFonts w:cs="Calibri"/>
          <w:szCs w:val="22"/>
        </w:rPr>
        <w:t>Maria was made a Member of the Order of Australia for service to business and finance and to the community.</w:t>
      </w:r>
    </w:p>
    <w:p w14:paraId="684142C0" w14:textId="6506FFEF" w:rsidR="00FA4226" w:rsidRPr="00916694" w:rsidRDefault="00000000" w:rsidP="0043303B">
      <w:pPr>
        <w:pStyle w:val="BodyText"/>
        <w:rPr>
          <w:rFonts w:cs="Calibri"/>
          <w:b/>
          <w:bCs/>
          <w:szCs w:val="22"/>
        </w:rPr>
      </w:pPr>
      <w:r w:rsidRPr="00916694">
        <w:rPr>
          <w:rFonts w:cs="Calibri"/>
          <w:b/>
          <w:bCs/>
          <w:szCs w:val="22"/>
        </w:rPr>
        <w:t>Professor</w:t>
      </w:r>
      <w:r w:rsidRPr="00916694">
        <w:rPr>
          <w:rFonts w:cs="Calibri"/>
          <w:b/>
          <w:bCs/>
          <w:spacing w:val="-6"/>
          <w:szCs w:val="22"/>
        </w:rPr>
        <w:t xml:space="preserve"> </w:t>
      </w:r>
      <w:r w:rsidRPr="00916694">
        <w:rPr>
          <w:rFonts w:cs="Calibri"/>
          <w:b/>
          <w:bCs/>
          <w:szCs w:val="22"/>
        </w:rPr>
        <w:t>Margaret</w:t>
      </w:r>
      <w:r w:rsidRPr="00916694">
        <w:rPr>
          <w:rFonts w:cs="Calibri"/>
          <w:b/>
          <w:bCs/>
          <w:spacing w:val="-4"/>
          <w:szCs w:val="22"/>
        </w:rPr>
        <w:t xml:space="preserve"> </w:t>
      </w:r>
      <w:r w:rsidRPr="00916694">
        <w:rPr>
          <w:rFonts w:cs="Calibri"/>
          <w:b/>
          <w:bCs/>
          <w:szCs w:val="22"/>
        </w:rPr>
        <w:t>Gardner</w:t>
      </w:r>
      <w:r w:rsidRPr="00916694">
        <w:rPr>
          <w:rFonts w:cs="Calibri"/>
          <w:b/>
          <w:bCs/>
          <w:spacing w:val="-4"/>
          <w:szCs w:val="22"/>
        </w:rPr>
        <w:t xml:space="preserve"> </w:t>
      </w:r>
      <w:r w:rsidRPr="00916694">
        <w:rPr>
          <w:rFonts w:cs="Calibri"/>
          <w:b/>
          <w:bCs/>
          <w:spacing w:val="-5"/>
          <w:szCs w:val="22"/>
        </w:rPr>
        <w:t>AC</w:t>
      </w:r>
    </w:p>
    <w:p w14:paraId="2AAA9F27" w14:textId="7FB01067" w:rsidR="00FA4226" w:rsidRPr="00916694" w:rsidRDefault="00000000" w:rsidP="0043303B">
      <w:pPr>
        <w:pStyle w:val="BodyText"/>
        <w:rPr>
          <w:rFonts w:cs="Calibri"/>
          <w:b/>
          <w:bCs/>
          <w:szCs w:val="22"/>
        </w:rPr>
      </w:pPr>
      <w:r w:rsidRPr="00916694">
        <w:rPr>
          <w:rFonts w:cs="Calibri"/>
          <w:b/>
          <w:bCs/>
          <w:szCs w:val="22"/>
        </w:rPr>
        <w:t xml:space="preserve">(until April </w:t>
      </w:r>
      <w:r w:rsidRPr="00916694">
        <w:rPr>
          <w:rFonts w:cs="Calibri"/>
          <w:b/>
          <w:bCs/>
          <w:spacing w:val="-2"/>
          <w:szCs w:val="22"/>
        </w:rPr>
        <w:t>2023)</w:t>
      </w:r>
    </w:p>
    <w:p w14:paraId="4FC01DD9" w14:textId="5E844743" w:rsidR="00FA4226" w:rsidRPr="00916694" w:rsidRDefault="00000000" w:rsidP="0043303B">
      <w:pPr>
        <w:pStyle w:val="BodyText"/>
        <w:rPr>
          <w:rFonts w:cs="Calibri"/>
          <w:szCs w:val="22"/>
        </w:rPr>
      </w:pPr>
      <w:r w:rsidRPr="00916694">
        <w:rPr>
          <w:rFonts w:cs="Calibri"/>
          <w:szCs w:val="22"/>
        </w:rPr>
        <w:t>Professor Margaret Gardner AC was the President and Vice Chancellor of Monash</w:t>
      </w:r>
      <w:r w:rsidRPr="00916694">
        <w:rPr>
          <w:rFonts w:cs="Calibri"/>
          <w:spacing w:val="-8"/>
          <w:szCs w:val="22"/>
        </w:rPr>
        <w:t xml:space="preserve"> </w:t>
      </w:r>
      <w:r w:rsidRPr="00916694">
        <w:rPr>
          <w:rFonts w:cs="Calibri"/>
          <w:szCs w:val="22"/>
        </w:rPr>
        <w:t>University</w:t>
      </w:r>
      <w:r w:rsidRPr="00916694">
        <w:rPr>
          <w:rFonts w:cs="Calibri"/>
          <w:spacing w:val="-8"/>
          <w:szCs w:val="22"/>
        </w:rPr>
        <w:t xml:space="preserve"> </w:t>
      </w:r>
      <w:r w:rsidRPr="00916694">
        <w:rPr>
          <w:rFonts w:cs="Calibri"/>
          <w:szCs w:val="22"/>
        </w:rPr>
        <w:t>from</w:t>
      </w:r>
      <w:r w:rsidRPr="00916694">
        <w:rPr>
          <w:rFonts w:cs="Calibri"/>
          <w:spacing w:val="-8"/>
          <w:szCs w:val="22"/>
        </w:rPr>
        <w:t xml:space="preserve"> </w:t>
      </w:r>
      <w:r w:rsidRPr="00916694">
        <w:rPr>
          <w:rFonts w:cs="Calibri"/>
          <w:szCs w:val="22"/>
        </w:rPr>
        <w:t>2014</w:t>
      </w:r>
      <w:r w:rsidRPr="00916694">
        <w:rPr>
          <w:rFonts w:cs="Calibri"/>
          <w:spacing w:val="-8"/>
          <w:szCs w:val="22"/>
        </w:rPr>
        <w:t xml:space="preserve"> </w:t>
      </w:r>
      <w:r w:rsidRPr="00916694">
        <w:rPr>
          <w:rFonts w:cs="Calibri"/>
          <w:szCs w:val="22"/>
        </w:rPr>
        <w:t>to</w:t>
      </w:r>
      <w:r w:rsidRPr="00916694">
        <w:rPr>
          <w:rFonts w:cs="Calibri"/>
          <w:spacing w:val="-8"/>
          <w:szCs w:val="22"/>
        </w:rPr>
        <w:t xml:space="preserve"> </w:t>
      </w:r>
      <w:r w:rsidRPr="00916694">
        <w:rPr>
          <w:rFonts w:cs="Calibri"/>
          <w:szCs w:val="22"/>
        </w:rPr>
        <w:t>2023. Prior to this Professor Gardner was</w:t>
      </w:r>
      <w:r w:rsidRPr="00916694">
        <w:rPr>
          <w:rFonts w:cs="Calibri"/>
          <w:spacing w:val="40"/>
          <w:szCs w:val="22"/>
        </w:rPr>
        <w:t xml:space="preserve"> </w:t>
      </w:r>
      <w:r w:rsidRPr="00916694">
        <w:rPr>
          <w:rFonts w:cs="Calibri"/>
          <w:szCs w:val="22"/>
        </w:rPr>
        <w:t>the Vice Chancellor and President</w:t>
      </w:r>
      <w:r w:rsidR="00064535" w:rsidRPr="00916694">
        <w:rPr>
          <w:rFonts w:cs="Calibri"/>
          <w:szCs w:val="22"/>
        </w:rPr>
        <w:t xml:space="preserve"> </w:t>
      </w:r>
      <w:r w:rsidRPr="00916694">
        <w:rPr>
          <w:rFonts w:cs="Calibri"/>
          <w:szCs w:val="22"/>
        </w:rPr>
        <w:t>of RMIT from April 2005 to August 2014. Professor Gardner was the Chair of Universities Australia and Chair</w:t>
      </w:r>
      <w:r w:rsidRPr="00916694">
        <w:rPr>
          <w:rFonts w:cs="Calibri"/>
          <w:spacing w:val="-1"/>
          <w:szCs w:val="22"/>
        </w:rPr>
        <w:t xml:space="preserve"> </w:t>
      </w:r>
      <w:r w:rsidRPr="00916694">
        <w:rPr>
          <w:rFonts w:cs="Calibri"/>
          <w:szCs w:val="22"/>
        </w:rPr>
        <w:t>of</w:t>
      </w:r>
      <w:r w:rsidRPr="00916694">
        <w:rPr>
          <w:rFonts w:cs="Calibri"/>
          <w:spacing w:val="-1"/>
          <w:szCs w:val="22"/>
        </w:rPr>
        <w:t xml:space="preserve"> </w:t>
      </w:r>
      <w:r w:rsidRPr="00916694">
        <w:rPr>
          <w:rFonts w:cs="Calibri"/>
          <w:szCs w:val="22"/>
        </w:rPr>
        <w:t>the</w:t>
      </w:r>
      <w:r w:rsidRPr="00916694">
        <w:rPr>
          <w:rFonts w:cs="Calibri"/>
          <w:spacing w:val="-1"/>
          <w:szCs w:val="22"/>
        </w:rPr>
        <w:t xml:space="preserve"> </w:t>
      </w:r>
      <w:r w:rsidRPr="00916694">
        <w:rPr>
          <w:rFonts w:cs="Calibri"/>
          <w:szCs w:val="22"/>
        </w:rPr>
        <w:t>Group</w:t>
      </w:r>
      <w:r w:rsidRPr="00916694">
        <w:rPr>
          <w:rFonts w:cs="Calibri"/>
          <w:spacing w:val="-1"/>
          <w:szCs w:val="22"/>
        </w:rPr>
        <w:t xml:space="preserve"> </w:t>
      </w:r>
      <w:r w:rsidRPr="00916694">
        <w:rPr>
          <w:rFonts w:cs="Calibri"/>
          <w:szCs w:val="22"/>
        </w:rPr>
        <w:t>of</w:t>
      </w:r>
      <w:r w:rsidRPr="00916694">
        <w:rPr>
          <w:rFonts w:cs="Calibri"/>
          <w:spacing w:val="-1"/>
          <w:szCs w:val="22"/>
        </w:rPr>
        <w:t xml:space="preserve"> </w:t>
      </w:r>
      <w:r w:rsidRPr="00916694">
        <w:rPr>
          <w:rFonts w:cs="Calibri"/>
          <w:szCs w:val="22"/>
        </w:rPr>
        <w:t>Eight,</w:t>
      </w:r>
      <w:r w:rsidRPr="00916694">
        <w:rPr>
          <w:rFonts w:cs="Calibri"/>
          <w:spacing w:val="-1"/>
          <w:szCs w:val="22"/>
        </w:rPr>
        <w:t xml:space="preserve"> </w:t>
      </w:r>
      <w:r w:rsidRPr="00916694">
        <w:rPr>
          <w:rFonts w:cs="Calibri"/>
          <w:szCs w:val="22"/>
        </w:rPr>
        <w:t>as</w:t>
      </w:r>
      <w:r w:rsidRPr="00916694">
        <w:rPr>
          <w:rFonts w:cs="Calibri"/>
          <w:spacing w:val="-1"/>
          <w:szCs w:val="22"/>
        </w:rPr>
        <w:t xml:space="preserve"> </w:t>
      </w:r>
      <w:r w:rsidRPr="00916694">
        <w:rPr>
          <w:rFonts w:cs="Calibri"/>
          <w:szCs w:val="22"/>
        </w:rPr>
        <w:t>well</w:t>
      </w:r>
      <w:r w:rsidRPr="00916694">
        <w:rPr>
          <w:rFonts w:cs="Calibri"/>
          <w:spacing w:val="-1"/>
          <w:szCs w:val="22"/>
        </w:rPr>
        <w:t xml:space="preserve"> </w:t>
      </w:r>
      <w:r w:rsidRPr="00916694">
        <w:rPr>
          <w:rFonts w:cs="Calibri"/>
          <w:szCs w:val="22"/>
        </w:rPr>
        <w:t>as a director of the Group of Eight and the</w:t>
      </w:r>
      <w:r w:rsidRPr="00916694">
        <w:rPr>
          <w:rFonts w:cs="Calibri"/>
          <w:spacing w:val="-7"/>
          <w:szCs w:val="22"/>
        </w:rPr>
        <w:t xml:space="preserve"> </w:t>
      </w:r>
      <w:r w:rsidRPr="00916694">
        <w:rPr>
          <w:rFonts w:cs="Calibri"/>
          <w:szCs w:val="22"/>
        </w:rPr>
        <w:t>Australia</w:t>
      </w:r>
      <w:r w:rsidRPr="00916694">
        <w:rPr>
          <w:rFonts w:cs="Calibri"/>
          <w:spacing w:val="-7"/>
          <w:szCs w:val="22"/>
        </w:rPr>
        <w:t xml:space="preserve"> </w:t>
      </w:r>
      <w:r w:rsidRPr="00916694">
        <w:rPr>
          <w:rFonts w:cs="Calibri"/>
          <w:szCs w:val="22"/>
        </w:rPr>
        <w:t>and</w:t>
      </w:r>
      <w:r w:rsidRPr="00916694">
        <w:rPr>
          <w:rFonts w:cs="Calibri"/>
          <w:spacing w:val="-7"/>
          <w:szCs w:val="22"/>
        </w:rPr>
        <w:t xml:space="preserve"> </w:t>
      </w:r>
      <w:r w:rsidRPr="00916694">
        <w:rPr>
          <w:rFonts w:cs="Calibri"/>
          <w:szCs w:val="22"/>
        </w:rPr>
        <w:t>New</w:t>
      </w:r>
      <w:r w:rsidRPr="00916694">
        <w:rPr>
          <w:rFonts w:cs="Calibri"/>
          <w:spacing w:val="-7"/>
          <w:szCs w:val="22"/>
        </w:rPr>
        <w:t xml:space="preserve"> </w:t>
      </w:r>
      <w:r w:rsidRPr="00916694">
        <w:rPr>
          <w:rFonts w:cs="Calibri"/>
          <w:szCs w:val="22"/>
        </w:rPr>
        <w:t>Zealand</w:t>
      </w:r>
      <w:r w:rsidRPr="00916694">
        <w:rPr>
          <w:rFonts w:cs="Calibri"/>
          <w:spacing w:val="-7"/>
          <w:szCs w:val="22"/>
        </w:rPr>
        <w:t xml:space="preserve"> </w:t>
      </w:r>
      <w:r w:rsidRPr="00916694">
        <w:rPr>
          <w:rFonts w:cs="Calibri"/>
          <w:szCs w:val="22"/>
        </w:rPr>
        <w:t>School of Government (ANZSOG). Professor Gardner has a first-class honours degree in economics and a PhD from the University of Sydney and held a Fulbright postdoctoral fellowship.</w:t>
      </w:r>
    </w:p>
    <w:p w14:paraId="1845DC23" w14:textId="77777777" w:rsidR="00FA4226" w:rsidRPr="00916694" w:rsidRDefault="00FA4226" w:rsidP="0043303B">
      <w:pPr>
        <w:pStyle w:val="BodyText"/>
        <w:rPr>
          <w:rFonts w:cs="Calibri"/>
          <w:szCs w:val="22"/>
        </w:rPr>
        <w:sectPr w:rsidR="00FA4226" w:rsidRPr="00916694" w:rsidSect="00E941A5">
          <w:type w:val="continuous"/>
          <w:pgSz w:w="11910" w:h="16840"/>
          <w:pgMar w:top="1134" w:right="1278" w:bottom="1134" w:left="1134" w:header="720" w:footer="720" w:gutter="0"/>
          <w:cols w:space="720"/>
        </w:sectPr>
      </w:pPr>
    </w:p>
    <w:p w14:paraId="48467ECD" w14:textId="77777777" w:rsidR="00FA4226" w:rsidRPr="00916694" w:rsidRDefault="00000000" w:rsidP="0043303B">
      <w:pPr>
        <w:pStyle w:val="BodyText"/>
        <w:rPr>
          <w:rFonts w:cs="Calibri"/>
          <w:b/>
          <w:bCs/>
          <w:szCs w:val="22"/>
        </w:rPr>
      </w:pPr>
      <w:r w:rsidRPr="00916694">
        <w:rPr>
          <w:rFonts w:cs="Calibri"/>
          <w:b/>
          <w:bCs/>
          <w:szCs w:val="22"/>
        </w:rPr>
        <w:t xml:space="preserve">Ann Sherry </w:t>
      </w:r>
      <w:r w:rsidRPr="00916694">
        <w:rPr>
          <w:rFonts w:cs="Calibri"/>
          <w:b/>
          <w:bCs/>
          <w:spacing w:val="-7"/>
          <w:szCs w:val="22"/>
        </w:rPr>
        <w:t>AO</w:t>
      </w:r>
    </w:p>
    <w:p w14:paraId="537B4C9F" w14:textId="77777777" w:rsidR="00FA4226" w:rsidRPr="00916694" w:rsidRDefault="00000000" w:rsidP="0043303B">
      <w:pPr>
        <w:pStyle w:val="BodyText"/>
        <w:rPr>
          <w:rFonts w:cs="Calibri"/>
          <w:b/>
          <w:bCs/>
          <w:szCs w:val="22"/>
        </w:rPr>
      </w:pPr>
      <w:r w:rsidRPr="00916694">
        <w:rPr>
          <w:rFonts w:cs="Calibri"/>
          <w:b/>
          <w:bCs/>
          <w:szCs w:val="22"/>
        </w:rPr>
        <w:t xml:space="preserve">(until September </w:t>
      </w:r>
      <w:r w:rsidRPr="00916694">
        <w:rPr>
          <w:rFonts w:cs="Calibri"/>
          <w:b/>
          <w:bCs/>
          <w:spacing w:val="-2"/>
          <w:szCs w:val="22"/>
        </w:rPr>
        <w:t>2022)</w:t>
      </w:r>
    </w:p>
    <w:p w14:paraId="32A76CBE" w14:textId="4F6E7285" w:rsidR="00FA4226" w:rsidRPr="00916694" w:rsidRDefault="00000000" w:rsidP="0043303B">
      <w:pPr>
        <w:pStyle w:val="BodyText"/>
        <w:rPr>
          <w:rFonts w:cs="Calibri"/>
          <w:szCs w:val="22"/>
        </w:rPr>
      </w:pPr>
      <w:r w:rsidRPr="00916694">
        <w:rPr>
          <w:rFonts w:cs="Calibri"/>
          <w:szCs w:val="22"/>
        </w:rPr>
        <w:t>Ann</w:t>
      </w:r>
      <w:r w:rsidRPr="00916694">
        <w:rPr>
          <w:rFonts w:cs="Calibri"/>
          <w:spacing w:val="-10"/>
          <w:szCs w:val="22"/>
        </w:rPr>
        <w:t xml:space="preserve"> </w:t>
      </w:r>
      <w:r w:rsidRPr="00916694">
        <w:rPr>
          <w:rFonts w:cs="Calibri"/>
          <w:szCs w:val="22"/>
        </w:rPr>
        <w:t>Sherry</w:t>
      </w:r>
      <w:r w:rsidRPr="00916694">
        <w:rPr>
          <w:rFonts w:cs="Calibri"/>
          <w:spacing w:val="-10"/>
          <w:szCs w:val="22"/>
        </w:rPr>
        <w:t xml:space="preserve"> </w:t>
      </w:r>
      <w:r w:rsidRPr="00916694">
        <w:rPr>
          <w:rFonts w:cs="Calibri"/>
          <w:szCs w:val="22"/>
        </w:rPr>
        <w:t>AO</w:t>
      </w:r>
      <w:r w:rsidRPr="00916694">
        <w:rPr>
          <w:rFonts w:cs="Calibri"/>
          <w:spacing w:val="-10"/>
          <w:szCs w:val="22"/>
        </w:rPr>
        <w:t xml:space="preserve"> </w:t>
      </w:r>
      <w:r w:rsidRPr="00916694">
        <w:rPr>
          <w:rFonts w:cs="Calibri"/>
          <w:szCs w:val="22"/>
        </w:rPr>
        <w:t>is</w:t>
      </w:r>
      <w:r w:rsidRPr="00916694">
        <w:rPr>
          <w:rFonts w:cs="Calibri"/>
          <w:spacing w:val="-10"/>
          <w:szCs w:val="22"/>
        </w:rPr>
        <w:t xml:space="preserve"> </w:t>
      </w:r>
      <w:r w:rsidRPr="00916694">
        <w:rPr>
          <w:rFonts w:cs="Calibri"/>
          <w:szCs w:val="22"/>
        </w:rPr>
        <w:t>one</w:t>
      </w:r>
      <w:r w:rsidRPr="00916694">
        <w:rPr>
          <w:rFonts w:cs="Calibri"/>
          <w:spacing w:val="-10"/>
          <w:szCs w:val="22"/>
        </w:rPr>
        <w:t xml:space="preserve"> </w:t>
      </w:r>
      <w:r w:rsidRPr="00916694">
        <w:rPr>
          <w:rFonts w:cs="Calibri"/>
          <w:szCs w:val="22"/>
        </w:rPr>
        <w:t>of</w:t>
      </w:r>
      <w:r w:rsidRPr="00916694">
        <w:rPr>
          <w:rFonts w:cs="Calibri"/>
          <w:spacing w:val="-10"/>
          <w:szCs w:val="22"/>
        </w:rPr>
        <w:t xml:space="preserve"> </w:t>
      </w:r>
      <w:r w:rsidRPr="00916694">
        <w:rPr>
          <w:rFonts w:cs="Calibri"/>
          <w:szCs w:val="22"/>
        </w:rPr>
        <w:t>Australia’s leading business executives with</w:t>
      </w:r>
      <w:r w:rsidR="00684049" w:rsidRPr="00916694">
        <w:rPr>
          <w:rFonts w:cs="Calibri"/>
          <w:szCs w:val="22"/>
        </w:rPr>
        <w:t xml:space="preserve"> </w:t>
      </w:r>
      <w:r w:rsidRPr="00916694">
        <w:rPr>
          <w:rFonts w:cs="Calibri"/>
          <w:szCs w:val="22"/>
        </w:rPr>
        <w:t>a career that spans government, banking</w:t>
      </w:r>
      <w:r w:rsidRPr="00916694">
        <w:rPr>
          <w:rFonts w:cs="Calibri"/>
          <w:spacing w:val="-8"/>
          <w:szCs w:val="22"/>
        </w:rPr>
        <w:t xml:space="preserve"> </w:t>
      </w:r>
      <w:r w:rsidRPr="00916694">
        <w:rPr>
          <w:rFonts w:cs="Calibri"/>
          <w:szCs w:val="22"/>
        </w:rPr>
        <w:t>and</w:t>
      </w:r>
      <w:r w:rsidRPr="00916694">
        <w:rPr>
          <w:rFonts w:cs="Calibri"/>
          <w:spacing w:val="-8"/>
          <w:szCs w:val="22"/>
        </w:rPr>
        <w:t xml:space="preserve"> </w:t>
      </w:r>
      <w:r w:rsidRPr="00916694">
        <w:rPr>
          <w:rFonts w:cs="Calibri"/>
          <w:szCs w:val="22"/>
        </w:rPr>
        <w:t>cruise</w:t>
      </w:r>
      <w:r w:rsidRPr="00916694">
        <w:rPr>
          <w:rFonts w:cs="Calibri"/>
          <w:spacing w:val="-8"/>
          <w:szCs w:val="22"/>
        </w:rPr>
        <w:t xml:space="preserve"> </w:t>
      </w:r>
      <w:r w:rsidRPr="00916694">
        <w:rPr>
          <w:rFonts w:cs="Calibri"/>
          <w:szCs w:val="22"/>
        </w:rPr>
        <w:t>tourism.</w:t>
      </w:r>
      <w:r w:rsidRPr="00916694">
        <w:rPr>
          <w:rFonts w:cs="Calibri"/>
          <w:spacing w:val="-8"/>
          <w:szCs w:val="22"/>
        </w:rPr>
        <w:t xml:space="preserve"> </w:t>
      </w:r>
      <w:r w:rsidRPr="00916694">
        <w:rPr>
          <w:rFonts w:cs="Calibri"/>
          <w:szCs w:val="22"/>
        </w:rPr>
        <w:t>She</w:t>
      </w:r>
      <w:r w:rsidRPr="00916694">
        <w:rPr>
          <w:rFonts w:cs="Calibri"/>
          <w:spacing w:val="-8"/>
          <w:szCs w:val="22"/>
        </w:rPr>
        <w:t xml:space="preserve"> </w:t>
      </w:r>
      <w:r w:rsidRPr="00916694">
        <w:rPr>
          <w:rFonts w:cs="Calibri"/>
          <w:szCs w:val="22"/>
        </w:rPr>
        <w:t>is also an active philanthropist.</w:t>
      </w:r>
    </w:p>
    <w:p w14:paraId="084D560C" w14:textId="77777777" w:rsidR="00F54286" w:rsidRPr="00916694" w:rsidRDefault="00000000" w:rsidP="0043303B">
      <w:pPr>
        <w:pStyle w:val="BodyText"/>
        <w:rPr>
          <w:rFonts w:cs="Calibri"/>
          <w:szCs w:val="22"/>
        </w:rPr>
      </w:pPr>
      <w:r w:rsidRPr="00916694">
        <w:rPr>
          <w:rFonts w:cs="Calibri"/>
          <w:szCs w:val="22"/>
        </w:rPr>
        <w:lastRenderedPageBreak/>
        <w:t>Ann</w:t>
      </w:r>
      <w:r w:rsidRPr="00916694">
        <w:rPr>
          <w:rFonts w:cs="Calibri"/>
          <w:spacing w:val="-7"/>
          <w:szCs w:val="22"/>
        </w:rPr>
        <w:t xml:space="preserve"> </w:t>
      </w:r>
      <w:r w:rsidRPr="00916694">
        <w:rPr>
          <w:rFonts w:cs="Calibri"/>
          <w:szCs w:val="22"/>
        </w:rPr>
        <w:t>is</w:t>
      </w:r>
      <w:r w:rsidRPr="00916694">
        <w:rPr>
          <w:rFonts w:cs="Calibri"/>
          <w:spacing w:val="-7"/>
          <w:szCs w:val="22"/>
        </w:rPr>
        <w:t xml:space="preserve"> </w:t>
      </w:r>
      <w:r w:rsidRPr="00916694">
        <w:rPr>
          <w:rFonts w:cs="Calibri"/>
          <w:szCs w:val="22"/>
        </w:rPr>
        <w:t>the</w:t>
      </w:r>
      <w:r w:rsidRPr="00916694">
        <w:rPr>
          <w:rFonts w:cs="Calibri"/>
          <w:spacing w:val="-7"/>
          <w:szCs w:val="22"/>
        </w:rPr>
        <w:t xml:space="preserve"> </w:t>
      </w:r>
      <w:r w:rsidRPr="00916694">
        <w:rPr>
          <w:rFonts w:cs="Calibri"/>
          <w:szCs w:val="22"/>
        </w:rPr>
        <w:t>Chair</w:t>
      </w:r>
      <w:r w:rsidRPr="00916694">
        <w:rPr>
          <w:rFonts w:cs="Calibri"/>
          <w:spacing w:val="-7"/>
          <w:szCs w:val="22"/>
        </w:rPr>
        <w:t xml:space="preserve"> </w:t>
      </w:r>
      <w:r w:rsidRPr="00916694">
        <w:rPr>
          <w:rFonts w:cs="Calibri"/>
          <w:szCs w:val="22"/>
        </w:rPr>
        <w:t>of</w:t>
      </w:r>
      <w:r w:rsidRPr="00916694">
        <w:rPr>
          <w:rFonts w:cs="Calibri"/>
          <w:spacing w:val="-7"/>
          <w:szCs w:val="22"/>
        </w:rPr>
        <w:t xml:space="preserve"> </w:t>
      </w:r>
      <w:r w:rsidRPr="00916694">
        <w:rPr>
          <w:rFonts w:cs="Calibri"/>
          <w:szCs w:val="22"/>
        </w:rPr>
        <w:t>UNICEF</w:t>
      </w:r>
      <w:r w:rsidRPr="00916694">
        <w:rPr>
          <w:rFonts w:cs="Calibri"/>
          <w:spacing w:val="-7"/>
          <w:szCs w:val="22"/>
        </w:rPr>
        <w:t xml:space="preserve"> </w:t>
      </w:r>
      <w:r w:rsidRPr="00916694">
        <w:rPr>
          <w:rFonts w:cs="Calibri"/>
          <w:szCs w:val="22"/>
        </w:rPr>
        <w:t>Australia, Enero Group, Port of Townsville and Queensland Airports Limited. She</w:t>
      </w:r>
      <w:r w:rsidR="00684049" w:rsidRPr="00916694">
        <w:rPr>
          <w:rFonts w:cs="Calibri"/>
          <w:szCs w:val="22"/>
        </w:rPr>
        <w:t xml:space="preserve"> </w:t>
      </w:r>
      <w:r w:rsidRPr="00916694">
        <w:rPr>
          <w:rFonts w:cs="Calibri"/>
          <w:szCs w:val="22"/>
        </w:rPr>
        <w:t>is the Chancellor of Queensland University of Technology and a non-executive</w:t>
      </w:r>
      <w:r w:rsidRPr="00916694">
        <w:rPr>
          <w:rFonts w:cs="Calibri"/>
          <w:spacing w:val="-13"/>
          <w:szCs w:val="22"/>
        </w:rPr>
        <w:t xml:space="preserve"> </w:t>
      </w:r>
      <w:r w:rsidRPr="00916694">
        <w:rPr>
          <w:rFonts w:cs="Calibri"/>
          <w:szCs w:val="22"/>
        </w:rPr>
        <w:t>director</w:t>
      </w:r>
      <w:r w:rsidRPr="00916694">
        <w:rPr>
          <w:rFonts w:cs="Calibri"/>
          <w:spacing w:val="-13"/>
          <w:szCs w:val="22"/>
        </w:rPr>
        <w:t xml:space="preserve"> </w:t>
      </w:r>
      <w:r w:rsidRPr="00916694">
        <w:rPr>
          <w:rFonts w:cs="Calibri"/>
          <w:szCs w:val="22"/>
        </w:rPr>
        <w:t>of</w:t>
      </w:r>
      <w:r w:rsidRPr="00916694">
        <w:rPr>
          <w:rFonts w:cs="Calibri"/>
          <w:spacing w:val="-12"/>
          <w:szCs w:val="22"/>
        </w:rPr>
        <w:t xml:space="preserve"> </w:t>
      </w:r>
      <w:r w:rsidRPr="00916694">
        <w:rPr>
          <w:rFonts w:cs="Calibri"/>
          <w:szCs w:val="22"/>
        </w:rPr>
        <w:t>National Australia Bank.</w:t>
      </w:r>
    </w:p>
    <w:p w14:paraId="7376B1A9" w14:textId="3045FED1" w:rsidR="00FA4226" w:rsidRPr="00916694" w:rsidRDefault="00000000" w:rsidP="0043303B">
      <w:pPr>
        <w:pStyle w:val="BodyText"/>
        <w:rPr>
          <w:rFonts w:cs="Calibri"/>
          <w:b/>
          <w:bCs/>
          <w:szCs w:val="22"/>
        </w:rPr>
      </w:pPr>
      <w:r w:rsidRPr="00916694">
        <w:rPr>
          <w:rFonts w:cs="Calibri"/>
          <w:b/>
          <w:bCs/>
          <w:szCs w:val="22"/>
        </w:rPr>
        <w:t>Jeremi</w:t>
      </w:r>
      <w:r w:rsidRPr="00916694">
        <w:rPr>
          <w:rFonts w:cs="Calibri"/>
          <w:b/>
          <w:bCs/>
          <w:spacing w:val="-4"/>
          <w:szCs w:val="22"/>
        </w:rPr>
        <w:t xml:space="preserve"> </w:t>
      </w:r>
      <w:r w:rsidRPr="00916694">
        <w:rPr>
          <w:rFonts w:cs="Calibri"/>
          <w:b/>
          <w:bCs/>
          <w:spacing w:val="-2"/>
          <w:szCs w:val="22"/>
        </w:rPr>
        <w:t>Moule</w:t>
      </w:r>
    </w:p>
    <w:p w14:paraId="2B8A8FF7" w14:textId="78B74A86" w:rsidR="00FA4226" w:rsidRPr="00916694" w:rsidRDefault="00000000" w:rsidP="0043303B">
      <w:pPr>
        <w:pStyle w:val="BodyText"/>
        <w:rPr>
          <w:rFonts w:cs="Calibri"/>
        </w:rPr>
      </w:pPr>
      <w:r w:rsidRPr="00916694">
        <w:rPr>
          <w:rFonts w:cs="Calibri"/>
        </w:rPr>
        <w:t>Jeremi</w:t>
      </w:r>
      <w:r w:rsidRPr="00916694">
        <w:rPr>
          <w:rFonts w:cs="Calibri"/>
          <w:spacing w:val="-11"/>
        </w:rPr>
        <w:t xml:space="preserve"> </w:t>
      </w:r>
      <w:r w:rsidRPr="00916694">
        <w:rPr>
          <w:rFonts w:cs="Calibri"/>
        </w:rPr>
        <w:t>was</w:t>
      </w:r>
      <w:r w:rsidRPr="00916694">
        <w:rPr>
          <w:rFonts w:cs="Calibri"/>
          <w:spacing w:val="-11"/>
        </w:rPr>
        <w:t xml:space="preserve"> </w:t>
      </w:r>
      <w:r w:rsidRPr="00916694">
        <w:rPr>
          <w:rFonts w:cs="Calibri"/>
        </w:rPr>
        <w:t>appointed</w:t>
      </w:r>
      <w:r w:rsidRPr="00916694">
        <w:rPr>
          <w:rFonts w:cs="Calibri"/>
          <w:spacing w:val="-11"/>
        </w:rPr>
        <w:t xml:space="preserve"> </w:t>
      </w:r>
      <w:r w:rsidRPr="00916694">
        <w:rPr>
          <w:rFonts w:cs="Calibri"/>
        </w:rPr>
        <w:t>as</w:t>
      </w:r>
      <w:r w:rsidRPr="00916694">
        <w:rPr>
          <w:rFonts w:cs="Calibri"/>
          <w:spacing w:val="-11"/>
        </w:rPr>
        <w:t xml:space="preserve"> </w:t>
      </w:r>
      <w:r w:rsidRPr="00916694">
        <w:rPr>
          <w:rFonts w:cs="Calibri"/>
        </w:rPr>
        <w:t>Secretary of the Department of Premier and Cabinet on 13 November 2020.</w:t>
      </w:r>
    </w:p>
    <w:p w14:paraId="7DC1BC09" w14:textId="77777777" w:rsidR="00FA4226" w:rsidRPr="00916694" w:rsidRDefault="00000000" w:rsidP="0043303B">
      <w:pPr>
        <w:pStyle w:val="BodyText"/>
        <w:rPr>
          <w:rFonts w:cs="Calibri"/>
        </w:rPr>
      </w:pPr>
      <w:r w:rsidRPr="00916694">
        <w:rPr>
          <w:rFonts w:cs="Calibri"/>
        </w:rPr>
        <w:t>Prior</w:t>
      </w:r>
      <w:r w:rsidRPr="00916694">
        <w:rPr>
          <w:rFonts w:cs="Calibri"/>
          <w:spacing w:val="-6"/>
        </w:rPr>
        <w:t xml:space="preserve"> </w:t>
      </w:r>
      <w:r w:rsidRPr="00916694">
        <w:rPr>
          <w:rFonts w:cs="Calibri"/>
        </w:rPr>
        <w:t>to</w:t>
      </w:r>
      <w:r w:rsidRPr="00916694">
        <w:rPr>
          <w:rFonts w:cs="Calibri"/>
          <w:spacing w:val="-6"/>
        </w:rPr>
        <w:t xml:space="preserve"> </w:t>
      </w:r>
      <w:r w:rsidRPr="00916694">
        <w:rPr>
          <w:rFonts w:cs="Calibri"/>
        </w:rPr>
        <w:t>this</w:t>
      </w:r>
      <w:r w:rsidRPr="00916694">
        <w:rPr>
          <w:rFonts w:cs="Calibri"/>
          <w:spacing w:val="-6"/>
        </w:rPr>
        <w:t xml:space="preserve"> </w:t>
      </w:r>
      <w:r w:rsidRPr="00916694">
        <w:rPr>
          <w:rFonts w:cs="Calibri"/>
        </w:rPr>
        <w:t>role,</w:t>
      </w:r>
      <w:r w:rsidRPr="00916694">
        <w:rPr>
          <w:rFonts w:cs="Calibri"/>
          <w:spacing w:val="-6"/>
        </w:rPr>
        <w:t xml:space="preserve"> </w:t>
      </w:r>
      <w:r w:rsidRPr="00916694">
        <w:rPr>
          <w:rFonts w:cs="Calibri"/>
        </w:rPr>
        <w:t>he</w:t>
      </w:r>
      <w:r w:rsidRPr="00916694">
        <w:rPr>
          <w:rFonts w:cs="Calibri"/>
          <w:spacing w:val="-6"/>
        </w:rPr>
        <w:t xml:space="preserve"> </w:t>
      </w:r>
      <w:r w:rsidRPr="00916694">
        <w:rPr>
          <w:rFonts w:cs="Calibri"/>
        </w:rPr>
        <w:t>was</w:t>
      </w:r>
      <w:r w:rsidRPr="00916694">
        <w:rPr>
          <w:rFonts w:cs="Calibri"/>
          <w:spacing w:val="-6"/>
        </w:rPr>
        <w:t xml:space="preserve"> </w:t>
      </w:r>
      <w:r w:rsidRPr="00916694">
        <w:rPr>
          <w:rFonts w:cs="Calibri"/>
        </w:rPr>
        <w:t>the</w:t>
      </w:r>
      <w:r w:rsidRPr="00916694">
        <w:rPr>
          <w:rFonts w:cs="Calibri"/>
          <w:spacing w:val="-6"/>
        </w:rPr>
        <w:t xml:space="preserve"> </w:t>
      </w:r>
      <w:r w:rsidRPr="00916694">
        <w:rPr>
          <w:rFonts w:cs="Calibri"/>
        </w:rPr>
        <w:t>Deputy Secretary, Governance, Policy and Coordination at the Department of Premier and Cabinet.</w:t>
      </w:r>
    </w:p>
    <w:p w14:paraId="198DC378" w14:textId="6C0F5C03" w:rsidR="00FA4226" w:rsidRPr="00916694" w:rsidRDefault="00000000" w:rsidP="0043303B">
      <w:pPr>
        <w:pStyle w:val="BodyText"/>
        <w:rPr>
          <w:rFonts w:cs="Calibri"/>
        </w:rPr>
      </w:pPr>
      <w:r w:rsidRPr="00916694">
        <w:rPr>
          <w:rFonts w:cs="Calibri"/>
        </w:rPr>
        <w:t>Jeremi has held various executive positions</w:t>
      </w:r>
      <w:r w:rsidRPr="00916694">
        <w:rPr>
          <w:rFonts w:cs="Calibri"/>
          <w:spacing w:val="-9"/>
        </w:rPr>
        <w:t xml:space="preserve"> </w:t>
      </w:r>
      <w:r w:rsidRPr="00916694">
        <w:rPr>
          <w:rFonts w:cs="Calibri"/>
        </w:rPr>
        <w:t>in</w:t>
      </w:r>
      <w:r w:rsidRPr="00916694">
        <w:rPr>
          <w:rFonts w:cs="Calibri"/>
          <w:spacing w:val="-9"/>
        </w:rPr>
        <w:t xml:space="preserve"> </w:t>
      </w:r>
      <w:r w:rsidRPr="00916694">
        <w:rPr>
          <w:rFonts w:cs="Calibri"/>
        </w:rPr>
        <w:t>the</w:t>
      </w:r>
      <w:r w:rsidRPr="00916694">
        <w:rPr>
          <w:rFonts w:cs="Calibri"/>
          <w:spacing w:val="-9"/>
        </w:rPr>
        <w:t xml:space="preserve"> </w:t>
      </w:r>
      <w:r w:rsidRPr="00916694">
        <w:rPr>
          <w:rFonts w:cs="Calibri"/>
        </w:rPr>
        <w:t>Victorian</w:t>
      </w:r>
      <w:r w:rsidRPr="00916694">
        <w:rPr>
          <w:rFonts w:cs="Calibri"/>
          <w:spacing w:val="-9"/>
        </w:rPr>
        <w:t xml:space="preserve"> </w:t>
      </w:r>
      <w:r w:rsidRPr="00916694">
        <w:rPr>
          <w:rFonts w:cs="Calibri"/>
        </w:rPr>
        <w:t>public</w:t>
      </w:r>
      <w:r w:rsidRPr="00916694">
        <w:rPr>
          <w:rFonts w:cs="Calibri"/>
          <w:spacing w:val="-9"/>
        </w:rPr>
        <w:t xml:space="preserve"> </w:t>
      </w:r>
      <w:r w:rsidRPr="00916694">
        <w:rPr>
          <w:rFonts w:cs="Calibri"/>
        </w:rPr>
        <w:t>service over a 17-year period, was the CEO</w:t>
      </w:r>
      <w:r w:rsidR="00B976AC" w:rsidRPr="00916694">
        <w:rPr>
          <w:rFonts w:cs="Calibri"/>
        </w:rPr>
        <w:t xml:space="preserve"> </w:t>
      </w:r>
      <w:r w:rsidRPr="00916694">
        <w:rPr>
          <w:rFonts w:cs="Calibri"/>
        </w:rPr>
        <w:t>of a registered training organisation and</w:t>
      </w:r>
      <w:r w:rsidRPr="00916694">
        <w:rPr>
          <w:rFonts w:cs="Calibri"/>
          <w:spacing w:val="-7"/>
        </w:rPr>
        <w:t xml:space="preserve"> </w:t>
      </w:r>
      <w:r w:rsidRPr="00916694">
        <w:rPr>
          <w:rFonts w:cs="Calibri"/>
        </w:rPr>
        <w:t>started</w:t>
      </w:r>
      <w:r w:rsidRPr="00916694">
        <w:rPr>
          <w:rFonts w:cs="Calibri"/>
          <w:spacing w:val="-7"/>
        </w:rPr>
        <w:t xml:space="preserve"> </w:t>
      </w:r>
      <w:r w:rsidRPr="00916694">
        <w:rPr>
          <w:rFonts w:cs="Calibri"/>
        </w:rPr>
        <w:t>his</w:t>
      </w:r>
      <w:r w:rsidRPr="00916694">
        <w:rPr>
          <w:rFonts w:cs="Calibri"/>
          <w:spacing w:val="-7"/>
        </w:rPr>
        <w:t xml:space="preserve"> </w:t>
      </w:r>
      <w:r w:rsidRPr="00916694">
        <w:rPr>
          <w:rFonts w:cs="Calibri"/>
        </w:rPr>
        <w:t>career</w:t>
      </w:r>
      <w:r w:rsidRPr="00916694">
        <w:rPr>
          <w:rFonts w:cs="Calibri"/>
          <w:spacing w:val="-7"/>
        </w:rPr>
        <w:t xml:space="preserve"> </w:t>
      </w:r>
      <w:r w:rsidRPr="00916694">
        <w:rPr>
          <w:rFonts w:cs="Calibri"/>
        </w:rPr>
        <w:t>as</w:t>
      </w:r>
      <w:r w:rsidRPr="00916694">
        <w:rPr>
          <w:rFonts w:cs="Calibri"/>
          <w:spacing w:val="-7"/>
        </w:rPr>
        <w:t xml:space="preserve"> </w:t>
      </w:r>
      <w:r w:rsidRPr="00916694">
        <w:rPr>
          <w:rFonts w:cs="Calibri"/>
        </w:rPr>
        <w:t>a</w:t>
      </w:r>
      <w:r w:rsidRPr="00916694">
        <w:rPr>
          <w:rFonts w:cs="Calibri"/>
          <w:spacing w:val="-7"/>
        </w:rPr>
        <w:t xml:space="preserve"> </w:t>
      </w:r>
      <w:r w:rsidRPr="00916694">
        <w:rPr>
          <w:rFonts w:cs="Calibri"/>
        </w:rPr>
        <w:t>journalist. He lives in Bendigo and has worked extensively in regional Victoria.</w:t>
      </w:r>
    </w:p>
    <w:p w14:paraId="3993D0CA" w14:textId="0F51EB8F" w:rsidR="00FA4226" w:rsidRPr="00916694" w:rsidRDefault="00000000" w:rsidP="0043303B">
      <w:pPr>
        <w:pStyle w:val="BodyText"/>
        <w:rPr>
          <w:rFonts w:cs="Calibri"/>
        </w:rPr>
      </w:pPr>
      <w:r w:rsidRPr="00916694">
        <w:rPr>
          <w:rFonts w:cs="Calibri"/>
        </w:rPr>
        <w:t>He</w:t>
      </w:r>
      <w:r w:rsidRPr="00916694">
        <w:rPr>
          <w:rFonts w:cs="Calibri"/>
          <w:spacing w:val="-7"/>
        </w:rPr>
        <w:t xml:space="preserve"> </w:t>
      </w:r>
      <w:r w:rsidRPr="00916694">
        <w:rPr>
          <w:rFonts w:cs="Calibri"/>
        </w:rPr>
        <w:t>holds</w:t>
      </w:r>
      <w:r w:rsidRPr="00916694">
        <w:rPr>
          <w:rFonts w:cs="Calibri"/>
          <w:spacing w:val="-7"/>
        </w:rPr>
        <w:t xml:space="preserve"> </w:t>
      </w:r>
      <w:r w:rsidRPr="00916694">
        <w:rPr>
          <w:rFonts w:cs="Calibri"/>
        </w:rPr>
        <w:t>a</w:t>
      </w:r>
      <w:r w:rsidRPr="00916694">
        <w:rPr>
          <w:rFonts w:cs="Calibri"/>
          <w:spacing w:val="-7"/>
        </w:rPr>
        <w:t xml:space="preserve"> </w:t>
      </w:r>
      <w:r w:rsidRPr="00916694">
        <w:rPr>
          <w:rFonts w:cs="Calibri"/>
        </w:rPr>
        <w:t>journalism</w:t>
      </w:r>
      <w:r w:rsidRPr="00916694">
        <w:rPr>
          <w:rFonts w:cs="Calibri"/>
          <w:spacing w:val="-7"/>
        </w:rPr>
        <w:t xml:space="preserve"> </w:t>
      </w:r>
      <w:r w:rsidRPr="00916694">
        <w:rPr>
          <w:rFonts w:cs="Calibri"/>
        </w:rPr>
        <w:t>degree</w:t>
      </w:r>
      <w:r w:rsidRPr="00916694">
        <w:rPr>
          <w:rFonts w:cs="Calibri"/>
          <w:spacing w:val="-7"/>
        </w:rPr>
        <w:t xml:space="preserve"> </w:t>
      </w:r>
      <w:r w:rsidRPr="00916694">
        <w:rPr>
          <w:rFonts w:cs="Calibri"/>
        </w:rPr>
        <w:t>from</w:t>
      </w:r>
      <w:r w:rsidRPr="00916694">
        <w:rPr>
          <w:rFonts w:cs="Calibri"/>
          <w:spacing w:val="-7"/>
        </w:rPr>
        <w:t xml:space="preserve"> </w:t>
      </w:r>
      <w:r w:rsidRPr="00916694">
        <w:rPr>
          <w:rFonts w:cs="Calibri"/>
        </w:rPr>
        <w:t>the University of South Australia and is a Graduate of the Australian Institute</w:t>
      </w:r>
      <w:r w:rsidR="00B976AC" w:rsidRPr="00916694">
        <w:rPr>
          <w:rFonts w:cs="Calibri"/>
        </w:rPr>
        <w:t xml:space="preserve"> </w:t>
      </w:r>
      <w:r w:rsidRPr="00916694">
        <w:rPr>
          <w:rFonts w:cs="Calibri"/>
        </w:rPr>
        <w:t xml:space="preserve">of Company </w:t>
      </w:r>
      <w:r w:rsidRPr="00916694">
        <w:rPr>
          <w:rFonts w:cs="Calibri"/>
          <w:spacing w:val="-2"/>
        </w:rPr>
        <w:t>Directors.</w:t>
      </w:r>
    </w:p>
    <w:p w14:paraId="76BDA7E0" w14:textId="67591D2C" w:rsidR="00FA4226" w:rsidRPr="00916694" w:rsidRDefault="00000000" w:rsidP="0043303B">
      <w:pPr>
        <w:pStyle w:val="BodyText"/>
        <w:rPr>
          <w:rFonts w:cs="Calibri"/>
          <w:b/>
          <w:bCs/>
          <w:szCs w:val="22"/>
        </w:rPr>
      </w:pPr>
      <w:r w:rsidRPr="00916694">
        <w:rPr>
          <w:rFonts w:cs="Calibri"/>
          <w:b/>
          <w:bCs/>
          <w:szCs w:val="22"/>
        </w:rPr>
        <w:t xml:space="preserve">David Martine </w:t>
      </w:r>
      <w:r w:rsidRPr="00916694">
        <w:rPr>
          <w:rFonts w:cs="Calibri"/>
          <w:b/>
          <w:bCs/>
          <w:spacing w:val="-5"/>
          <w:szCs w:val="22"/>
        </w:rPr>
        <w:t>PSM</w:t>
      </w:r>
    </w:p>
    <w:p w14:paraId="23149AB4" w14:textId="6751A633" w:rsidR="006F5103" w:rsidRPr="00916694" w:rsidRDefault="00000000" w:rsidP="0043303B">
      <w:pPr>
        <w:pStyle w:val="BodyText"/>
        <w:rPr>
          <w:rFonts w:cs="Calibri"/>
        </w:rPr>
      </w:pPr>
      <w:r w:rsidRPr="00916694">
        <w:rPr>
          <w:rFonts w:cs="Calibri"/>
        </w:rPr>
        <w:t>David Martine has been the Secretary of the Department of Treasury and Finance (DTF) since 2014. He leads the</w:t>
      </w:r>
      <w:r w:rsidRPr="00916694">
        <w:rPr>
          <w:rFonts w:cs="Calibri"/>
          <w:spacing w:val="-10"/>
        </w:rPr>
        <w:t xml:space="preserve"> </w:t>
      </w:r>
      <w:r w:rsidRPr="00916694">
        <w:rPr>
          <w:rFonts w:cs="Calibri"/>
        </w:rPr>
        <w:t>department</w:t>
      </w:r>
      <w:r w:rsidRPr="00916694">
        <w:rPr>
          <w:rFonts w:cs="Calibri"/>
          <w:spacing w:val="-10"/>
        </w:rPr>
        <w:t xml:space="preserve"> </w:t>
      </w:r>
      <w:r w:rsidRPr="00916694">
        <w:rPr>
          <w:rFonts w:cs="Calibri"/>
        </w:rPr>
        <w:t>in</w:t>
      </w:r>
      <w:r w:rsidRPr="00916694">
        <w:rPr>
          <w:rFonts w:cs="Calibri"/>
          <w:spacing w:val="-10"/>
        </w:rPr>
        <w:t xml:space="preserve"> </w:t>
      </w:r>
      <w:r w:rsidRPr="00916694">
        <w:rPr>
          <w:rFonts w:cs="Calibri"/>
        </w:rPr>
        <w:t>providing</w:t>
      </w:r>
      <w:r w:rsidRPr="00916694">
        <w:rPr>
          <w:rFonts w:cs="Calibri"/>
          <w:spacing w:val="-10"/>
        </w:rPr>
        <w:t xml:space="preserve"> </w:t>
      </w:r>
      <w:r w:rsidRPr="00916694">
        <w:rPr>
          <w:rFonts w:cs="Calibri"/>
        </w:rPr>
        <w:t>economic, policy and service delivery advice</w:t>
      </w:r>
      <w:r w:rsidR="00513A14" w:rsidRPr="00916694">
        <w:rPr>
          <w:rFonts w:cs="Calibri"/>
        </w:rPr>
        <w:t xml:space="preserve"> </w:t>
      </w:r>
      <w:r w:rsidRPr="00916694">
        <w:rPr>
          <w:rFonts w:cs="Calibri"/>
        </w:rPr>
        <w:t>to the Victorian Government. David is also a director of the Treasury Corporation</w:t>
      </w:r>
      <w:r w:rsidRPr="00916694">
        <w:rPr>
          <w:rFonts w:cs="Calibri"/>
          <w:spacing w:val="-8"/>
        </w:rPr>
        <w:t xml:space="preserve"> </w:t>
      </w:r>
      <w:r w:rsidRPr="00916694">
        <w:rPr>
          <w:rFonts w:cs="Calibri"/>
        </w:rPr>
        <w:t>of</w:t>
      </w:r>
      <w:r w:rsidRPr="00916694">
        <w:rPr>
          <w:rFonts w:cs="Calibri"/>
          <w:spacing w:val="-8"/>
        </w:rPr>
        <w:t xml:space="preserve"> </w:t>
      </w:r>
      <w:r w:rsidRPr="00916694">
        <w:rPr>
          <w:rFonts w:cs="Calibri"/>
        </w:rPr>
        <w:t>Victoria</w:t>
      </w:r>
      <w:r w:rsidRPr="00916694">
        <w:rPr>
          <w:rFonts w:cs="Calibri"/>
          <w:spacing w:val="-8"/>
        </w:rPr>
        <w:t xml:space="preserve"> </w:t>
      </w:r>
      <w:r w:rsidRPr="00916694">
        <w:rPr>
          <w:rFonts w:cs="Calibri"/>
        </w:rPr>
        <w:t>and</w:t>
      </w:r>
      <w:r w:rsidRPr="00916694">
        <w:rPr>
          <w:rFonts w:cs="Calibri"/>
          <w:spacing w:val="-8"/>
        </w:rPr>
        <w:t xml:space="preserve"> </w:t>
      </w:r>
      <w:r w:rsidRPr="00916694">
        <w:rPr>
          <w:rFonts w:cs="Calibri"/>
        </w:rPr>
        <w:t>Victorian</w:t>
      </w:r>
      <w:r w:rsidR="00513A14" w:rsidRPr="00916694">
        <w:rPr>
          <w:rFonts w:cs="Calibri"/>
        </w:rPr>
        <w:t xml:space="preserve"> </w:t>
      </w:r>
      <w:r w:rsidRPr="00916694">
        <w:rPr>
          <w:rFonts w:cs="Calibri"/>
        </w:rPr>
        <w:t>Funds</w:t>
      </w:r>
      <w:r w:rsidRPr="00916694">
        <w:rPr>
          <w:rFonts w:cs="Calibri"/>
          <w:spacing w:val="-11"/>
        </w:rPr>
        <w:t xml:space="preserve"> </w:t>
      </w:r>
      <w:r w:rsidRPr="00916694">
        <w:rPr>
          <w:rFonts w:cs="Calibri"/>
        </w:rPr>
        <w:t>Management</w:t>
      </w:r>
      <w:r w:rsidRPr="00916694">
        <w:rPr>
          <w:rFonts w:cs="Calibri"/>
          <w:spacing w:val="-11"/>
        </w:rPr>
        <w:t xml:space="preserve"> </w:t>
      </w:r>
      <w:r w:rsidRPr="00916694">
        <w:rPr>
          <w:rFonts w:cs="Calibri"/>
        </w:rPr>
        <w:t>Corporation.</w:t>
      </w:r>
      <w:r w:rsidRPr="00916694">
        <w:rPr>
          <w:rFonts w:cs="Calibri"/>
          <w:spacing w:val="-11"/>
        </w:rPr>
        <w:t xml:space="preserve"> </w:t>
      </w:r>
      <w:r w:rsidRPr="00916694">
        <w:rPr>
          <w:rFonts w:cs="Calibri"/>
        </w:rPr>
        <w:t>Prior to joining DTF, David held a number</w:t>
      </w:r>
      <w:r w:rsidR="00513A14" w:rsidRPr="00916694">
        <w:rPr>
          <w:rFonts w:cs="Calibri"/>
        </w:rPr>
        <w:t xml:space="preserve"> </w:t>
      </w:r>
      <w:r w:rsidRPr="00916694">
        <w:rPr>
          <w:rFonts w:cs="Calibri"/>
        </w:rPr>
        <w:t>of</w:t>
      </w:r>
      <w:r w:rsidRPr="00916694">
        <w:rPr>
          <w:rFonts w:cs="Calibri"/>
          <w:spacing w:val="-8"/>
        </w:rPr>
        <w:t xml:space="preserve"> </w:t>
      </w:r>
      <w:r w:rsidRPr="00916694">
        <w:rPr>
          <w:rFonts w:cs="Calibri"/>
        </w:rPr>
        <w:t>senior</w:t>
      </w:r>
      <w:r w:rsidRPr="00916694">
        <w:rPr>
          <w:rFonts w:cs="Calibri"/>
          <w:spacing w:val="-8"/>
        </w:rPr>
        <w:t xml:space="preserve"> </w:t>
      </w:r>
      <w:r w:rsidRPr="00916694">
        <w:rPr>
          <w:rFonts w:cs="Calibri"/>
        </w:rPr>
        <w:t>roles</w:t>
      </w:r>
      <w:r w:rsidRPr="00916694">
        <w:rPr>
          <w:rFonts w:cs="Calibri"/>
          <w:spacing w:val="-8"/>
        </w:rPr>
        <w:t xml:space="preserve"> </w:t>
      </w:r>
      <w:r w:rsidRPr="00916694">
        <w:rPr>
          <w:rFonts w:cs="Calibri"/>
        </w:rPr>
        <w:t>in</w:t>
      </w:r>
      <w:r w:rsidRPr="00916694">
        <w:rPr>
          <w:rFonts w:cs="Calibri"/>
          <w:spacing w:val="-8"/>
        </w:rPr>
        <w:t xml:space="preserve"> </w:t>
      </w:r>
      <w:r w:rsidRPr="00916694">
        <w:rPr>
          <w:rFonts w:cs="Calibri"/>
        </w:rPr>
        <w:t>the</w:t>
      </w:r>
      <w:r w:rsidRPr="00916694">
        <w:rPr>
          <w:rFonts w:cs="Calibri"/>
          <w:spacing w:val="-8"/>
        </w:rPr>
        <w:t xml:space="preserve"> </w:t>
      </w:r>
      <w:r w:rsidRPr="00916694">
        <w:rPr>
          <w:rFonts w:cs="Calibri"/>
        </w:rPr>
        <w:t>Commonwealth public sector, most recently as Deputy Secretary Aged Care in the</w:t>
      </w:r>
      <w:r w:rsidR="00513A14" w:rsidRPr="00916694">
        <w:rPr>
          <w:rFonts w:cs="Calibri"/>
        </w:rPr>
        <w:t xml:space="preserve"> </w:t>
      </w:r>
      <w:r w:rsidRPr="00916694">
        <w:rPr>
          <w:rFonts w:cs="Calibri"/>
        </w:rPr>
        <w:t>Department</w:t>
      </w:r>
      <w:r w:rsidRPr="00916694">
        <w:rPr>
          <w:rFonts w:cs="Calibri"/>
          <w:spacing w:val="-7"/>
        </w:rPr>
        <w:t xml:space="preserve"> </w:t>
      </w:r>
      <w:r w:rsidRPr="00916694">
        <w:rPr>
          <w:rFonts w:cs="Calibri"/>
        </w:rPr>
        <w:t>of</w:t>
      </w:r>
      <w:r w:rsidRPr="00916694">
        <w:rPr>
          <w:rFonts w:cs="Calibri"/>
          <w:spacing w:val="-7"/>
        </w:rPr>
        <w:t xml:space="preserve"> </w:t>
      </w:r>
      <w:r w:rsidRPr="00916694">
        <w:rPr>
          <w:rFonts w:cs="Calibri"/>
        </w:rPr>
        <w:t>Social</w:t>
      </w:r>
      <w:r w:rsidRPr="00916694">
        <w:rPr>
          <w:rFonts w:cs="Calibri"/>
          <w:spacing w:val="-7"/>
        </w:rPr>
        <w:t xml:space="preserve"> </w:t>
      </w:r>
      <w:r w:rsidRPr="00916694">
        <w:rPr>
          <w:rFonts w:cs="Calibri"/>
        </w:rPr>
        <w:t>Services.</w:t>
      </w:r>
      <w:r w:rsidRPr="00916694">
        <w:rPr>
          <w:rFonts w:cs="Calibri"/>
          <w:spacing w:val="-7"/>
        </w:rPr>
        <w:t xml:space="preserve"> </w:t>
      </w:r>
      <w:r w:rsidRPr="00916694">
        <w:rPr>
          <w:rFonts w:cs="Calibri"/>
        </w:rPr>
        <w:t>He</w:t>
      </w:r>
      <w:r w:rsidRPr="00916694">
        <w:rPr>
          <w:rFonts w:cs="Calibri"/>
          <w:spacing w:val="-7"/>
        </w:rPr>
        <w:t xml:space="preserve"> </w:t>
      </w:r>
      <w:r w:rsidRPr="00916694">
        <w:rPr>
          <w:rFonts w:cs="Calibri"/>
        </w:rPr>
        <w:t>has also worked for the Commonwealth Treasury and was Deputy Secretary, Budget Group in the Department of Finance and Deregulation. He has a Bachelor of Economics (Hons) from Monash University and a Master of Business Administration.</w:t>
      </w:r>
    </w:p>
    <w:p w14:paraId="687FA7DB" w14:textId="77777777" w:rsidR="006F5103" w:rsidRPr="00916694" w:rsidRDefault="006F5103" w:rsidP="0043303B">
      <w:pPr>
        <w:pStyle w:val="BodyText"/>
        <w:rPr>
          <w:rFonts w:cs="Calibri"/>
          <w:b/>
          <w:bCs/>
          <w:szCs w:val="22"/>
        </w:rPr>
      </w:pPr>
      <w:r w:rsidRPr="00916694">
        <w:rPr>
          <w:rFonts w:cs="Calibri"/>
          <w:b/>
          <w:bCs/>
          <w:szCs w:val="22"/>
        </w:rPr>
        <w:t xml:space="preserve">John Bradley </w:t>
      </w:r>
      <w:r w:rsidRPr="00916694">
        <w:rPr>
          <w:rFonts w:cs="Calibri"/>
          <w:b/>
          <w:bCs/>
          <w:spacing w:val="-5"/>
          <w:szCs w:val="22"/>
        </w:rPr>
        <w:t>PSM</w:t>
      </w:r>
    </w:p>
    <w:p w14:paraId="04576CCE" w14:textId="77777777" w:rsidR="006F5103" w:rsidRPr="00916694" w:rsidRDefault="006F5103" w:rsidP="0043303B">
      <w:pPr>
        <w:pStyle w:val="BodyText"/>
        <w:rPr>
          <w:rFonts w:cs="Calibri"/>
          <w:b/>
          <w:bCs/>
          <w:szCs w:val="22"/>
        </w:rPr>
      </w:pPr>
      <w:r w:rsidRPr="00916694">
        <w:rPr>
          <w:rFonts w:cs="Calibri"/>
          <w:b/>
          <w:bCs/>
          <w:szCs w:val="22"/>
        </w:rPr>
        <w:t xml:space="preserve">(until January </w:t>
      </w:r>
      <w:r w:rsidRPr="00916694">
        <w:rPr>
          <w:rFonts w:cs="Calibri"/>
          <w:b/>
          <w:bCs/>
          <w:spacing w:val="-2"/>
          <w:szCs w:val="22"/>
        </w:rPr>
        <w:t>2023)</w:t>
      </w:r>
    </w:p>
    <w:p w14:paraId="28F5D20F" w14:textId="77777777" w:rsidR="006F5103" w:rsidRPr="00916694" w:rsidRDefault="006F5103" w:rsidP="0043303B">
      <w:pPr>
        <w:pStyle w:val="BodyText"/>
        <w:rPr>
          <w:rFonts w:cs="Calibri"/>
          <w:szCs w:val="22"/>
        </w:rPr>
      </w:pPr>
      <w:r w:rsidRPr="00916694">
        <w:rPr>
          <w:rFonts w:cs="Calibri"/>
          <w:szCs w:val="22"/>
        </w:rPr>
        <w:t>John is the Secretary of the Department of Energy Environment and Climate Action and previously was Secretary of Department of Environment, Land, Water and Planning</w:t>
      </w:r>
      <w:r w:rsidRPr="00916694">
        <w:rPr>
          <w:rFonts w:cs="Calibri"/>
          <w:spacing w:val="-8"/>
          <w:szCs w:val="22"/>
        </w:rPr>
        <w:t xml:space="preserve"> </w:t>
      </w:r>
      <w:r w:rsidRPr="00916694">
        <w:rPr>
          <w:rFonts w:cs="Calibri"/>
          <w:szCs w:val="22"/>
        </w:rPr>
        <w:t>in</w:t>
      </w:r>
      <w:r w:rsidRPr="00916694">
        <w:rPr>
          <w:rFonts w:cs="Calibri"/>
          <w:spacing w:val="-8"/>
          <w:szCs w:val="22"/>
        </w:rPr>
        <w:t xml:space="preserve"> </w:t>
      </w:r>
      <w:r w:rsidRPr="00916694">
        <w:rPr>
          <w:rFonts w:cs="Calibri"/>
          <w:szCs w:val="22"/>
        </w:rPr>
        <w:t>the</w:t>
      </w:r>
      <w:r w:rsidRPr="00916694">
        <w:rPr>
          <w:rFonts w:cs="Calibri"/>
          <w:spacing w:val="-8"/>
          <w:szCs w:val="22"/>
        </w:rPr>
        <w:t xml:space="preserve"> </w:t>
      </w:r>
      <w:r w:rsidRPr="00916694">
        <w:rPr>
          <w:rFonts w:cs="Calibri"/>
          <w:szCs w:val="22"/>
        </w:rPr>
        <w:t>Victorian</w:t>
      </w:r>
      <w:r w:rsidRPr="00916694">
        <w:rPr>
          <w:rFonts w:cs="Calibri"/>
          <w:spacing w:val="-8"/>
          <w:szCs w:val="22"/>
        </w:rPr>
        <w:t xml:space="preserve"> </w:t>
      </w:r>
      <w:r w:rsidRPr="00916694">
        <w:rPr>
          <w:rFonts w:cs="Calibri"/>
          <w:szCs w:val="22"/>
        </w:rPr>
        <w:t>Government. Prior to this he was CEO of Energy Networks. He also served as CEO of the Queensland Water Commission</w:t>
      </w:r>
      <w:r w:rsidRPr="00916694">
        <w:rPr>
          <w:rFonts w:cs="Calibri"/>
          <w:spacing w:val="-13"/>
          <w:szCs w:val="22"/>
        </w:rPr>
        <w:t xml:space="preserve"> </w:t>
      </w:r>
      <w:r w:rsidRPr="00916694">
        <w:rPr>
          <w:rFonts w:cs="Calibri"/>
          <w:szCs w:val="22"/>
        </w:rPr>
        <w:t>and</w:t>
      </w:r>
      <w:r w:rsidRPr="00916694">
        <w:rPr>
          <w:rFonts w:cs="Calibri"/>
          <w:spacing w:val="-13"/>
          <w:szCs w:val="22"/>
        </w:rPr>
        <w:t xml:space="preserve"> </w:t>
      </w:r>
      <w:r w:rsidRPr="00916694">
        <w:rPr>
          <w:rFonts w:cs="Calibri"/>
          <w:szCs w:val="22"/>
        </w:rPr>
        <w:t>Director</w:t>
      </w:r>
      <w:r w:rsidRPr="00916694">
        <w:rPr>
          <w:rFonts w:cs="Calibri"/>
          <w:spacing w:val="-12"/>
          <w:szCs w:val="22"/>
        </w:rPr>
        <w:t xml:space="preserve"> </w:t>
      </w:r>
      <w:r w:rsidRPr="00916694">
        <w:rPr>
          <w:rFonts w:cs="Calibri"/>
          <w:szCs w:val="22"/>
        </w:rPr>
        <w:t>General of the Queensland Department of</w:t>
      </w:r>
      <w:r w:rsidRPr="00916694">
        <w:rPr>
          <w:rFonts w:cs="Calibri"/>
          <w:spacing w:val="-1"/>
          <w:szCs w:val="22"/>
        </w:rPr>
        <w:t xml:space="preserve"> </w:t>
      </w:r>
      <w:r w:rsidRPr="00916694">
        <w:rPr>
          <w:rFonts w:cs="Calibri"/>
          <w:szCs w:val="22"/>
        </w:rPr>
        <w:t>Environment</w:t>
      </w:r>
      <w:r w:rsidRPr="00916694">
        <w:rPr>
          <w:rFonts w:cs="Calibri"/>
          <w:spacing w:val="-1"/>
          <w:szCs w:val="22"/>
        </w:rPr>
        <w:t xml:space="preserve"> </w:t>
      </w:r>
      <w:r w:rsidRPr="00916694">
        <w:rPr>
          <w:rFonts w:cs="Calibri"/>
          <w:szCs w:val="22"/>
        </w:rPr>
        <w:t>and</w:t>
      </w:r>
      <w:r w:rsidRPr="00916694">
        <w:rPr>
          <w:rFonts w:cs="Calibri"/>
          <w:spacing w:val="-1"/>
          <w:szCs w:val="22"/>
        </w:rPr>
        <w:t xml:space="preserve"> </w:t>
      </w:r>
      <w:r w:rsidRPr="00916694">
        <w:rPr>
          <w:rFonts w:cs="Calibri"/>
          <w:szCs w:val="22"/>
        </w:rPr>
        <w:t>Resource Management</w:t>
      </w:r>
      <w:r w:rsidRPr="00916694">
        <w:rPr>
          <w:rFonts w:cs="Calibri"/>
          <w:spacing w:val="-13"/>
          <w:szCs w:val="22"/>
        </w:rPr>
        <w:t xml:space="preserve"> </w:t>
      </w:r>
      <w:r w:rsidRPr="00916694">
        <w:rPr>
          <w:rFonts w:cs="Calibri"/>
          <w:szCs w:val="22"/>
        </w:rPr>
        <w:t>and</w:t>
      </w:r>
      <w:r w:rsidRPr="00916694">
        <w:rPr>
          <w:rFonts w:cs="Calibri"/>
          <w:spacing w:val="-13"/>
          <w:szCs w:val="22"/>
        </w:rPr>
        <w:t xml:space="preserve"> </w:t>
      </w:r>
      <w:r w:rsidRPr="00916694">
        <w:rPr>
          <w:rFonts w:cs="Calibri"/>
          <w:szCs w:val="22"/>
        </w:rPr>
        <w:t>Department of Premier and Cabinet.</w:t>
      </w:r>
    </w:p>
    <w:p w14:paraId="79885E44" w14:textId="77777777" w:rsidR="006F5103" w:rsidRPr="00916694" w:rsidRDefault="006F5103" w:rsidP="0043303B">
      <w:pPr>
        <w:pStyle w:val="BodyText"/>
        <w:rPr>
          <w:rFonts w:cs="Calibri"/>
          <w:szCs w:val="22"/>
        </w:rPr>
      </w:pPr>
      <w:r w:rsidRPr="00916694">
        <w:rPr>
          <w:rFonts w:cs="Calibri"/>
          <w:szCs w:val="22"/>
        </w:rPr>
        <w:t>John holds an MBA from Queensland University of Technology and BA from the</w:t>
      </w:r>
      <w:r w:rsidRPr="00916694">
        <w:rPr>
          <w:rFonts w:cs="Calibri"/>
          <w:spacing w:val="-8"/>
          <w:szCs w:val="22"/>
        </w:rPr>
        <w:t xml:space="preserve"> </w:t>
      </w:r>
      <w:r w:rsidRPr="00916694">
        <w:rPr>
          <w:rFonts w:cs="Calibri"/>
          <w:szCs w:val="22"/>
        </w:rPr>
        <w:t>University</w:t>
      </w:r>
      <w:r w:rsidRPr="00916694">
        <w:rPr>
          <w:rFonts w:cs="Calibri"/>
          <w:spacing w:val="-8"/>
          <w:szCs w:val="22"/>
        </w:rPr>
        <w:t xml:space="preserve"> </w:t>
      </w:r>
      <w:r w:rsidRPr="00916694">
        <w:rPr>
          <w:rFonts w:cs="Calibri"/>
          <w:szCs w:val="22"/>
        </w:rPr>
        <w:t>of</w:t>
      </w:r>
      <w:r w:rsidRPr="00916694">
        <w:rPr>
          <w:rFonts w:cs="Calibri"/>
          <w:spacing w:val="-8"/>
          <w:szCs w:val="22"/>
        </w:rPr>
        <w:t xml:space="preserve"> </w:t>
      </w:r>
      <w:r w:rsidRPr="00916694">
        <w:rPr>
          <w:rFonts w:cs="Calibri"/>
          <w:szCs w:val="22"/>
        </w:rPr>
        <w:t>Queensland.</w:t>
      </w:r>
      <w:r w:rsidRPr="00916694">
        <w:rPr>
          <w:rFonts w:cs="Calibri"/>
          <w:spacing w:val="-8"/>
          <w:szCs w:val="22"/>
        </w:rPr>
        <w:t xml:space="preserve"> </w:t>
      </w:r>
      <w:r w:rsidRPr="00916694">
        <w:rPr>
          <w:rFonts w:cs="Calibri"/>
          <w:szCs w:val="22"/>
        </w:rPr>
        <w:t>He</w:t>
      </w:r>
      <w:r w:rsidRPr="00916694">
        <w:rPr>
          <w:rFonts w:cs="Calibri"/>
          <w:spacing w:val="-8"/>
          <w:szCs w:val="22"/>
        </w:rPr>
        <w:t xml:space="preserve"> </w:t>
      </w:r>
      <w:r w:rsidRPr="00916694">
        <w:rPr>
          <w:rFonts w:cs="Calibri"/>
          <w:szCs w:val="22"/>
        </w:rPr>
        <w:t>is</w:t>
      </w:r>
      <w:r w:rsidRPr="00916694">
        <w:rPr>
          <w:rFonts w:cs="Calibri"/>
          <w:spacing w:val="-8"/>
          <w:szCs w:val="22"/>
        </w:rPr>
        <w:t xml:space="preserve"> </w:t>
      </w:r>
      <w:r w:rsidRPr="00916694">
        <w:rPr>
          <w:rFonts w:cs="Calibri"/>
          <w:szCs w:val="22"/>
        </w:rPr>
        <w:t>the President of IPAA Victoria and serves on the Victorian Secretaries Board.</w:t>
      </w:r>
    </w:p>
    <w:p w14:paraId="3470DE68" w14:textId="6297C8DF" w:rsidR="006F5103" w:rsidRPr="00916694" w:rsidRDefault="006F5103" w:rsidP="0043303B">
      <w:pPr>
        <w:pStyle w:val="BodyText"/>
        <w:rPr>
          <w:rFonts w:cs="Calibri"/>
          <w:szCs w:val="22"/>
        </w:rPr>
      </w:pPr>
      <w:r w:rsidRPr="00916694">
        <w:rPr>
          <w:rFonts w:cs="Calibri"/>
          <w:szCs w:val="22"/>
        </w:rPr>
        <w:t>He is a Member of the Australian Institute of Company Directors and has previously served as a Director</w:t>
      </w:r>
      <w:r w:rsidRPr="00916694">
        <w:rPr>
          <w:rFonts w:cs="Calibri"/>
          <w:spacing w:val="40"/>
          <w:szCs w:val="22"/>
        </w:rPr>
        <w:t xml:space="preserve"> </w:t>
      </w:r>
      <w:r w:rsidRPr="00916694">
        <w:rPr>
          <w:rFonts w:cs="Calibri"/>
          <w:szCs w:val="22"/>
        </w:rPr>
        <w:t>on the Boards of the Australian Gas Industry</w:t>
      </w:r>
      <w:r w:rsidRPr="00916694">
        <w:rPr>
          <w:rFonts w:cs="Calibri"/>
          <w:spacing w:val="-13"/>
          <w:szCs w:val="22"/>
        </w:rPr>
        <w:t xml:space="preserve"> </w:t>
      </w:r>
      <w:r w:rsidRPr="00916694">
        <w:rPr>
          <w:rFonts w:cs="Calibri"/>
          <w:szCs w:val="22"/>
        </w:rPr>
        <w:t>Trust,</w:t>
      </w:r>
      <w:r w:rsidRPr="00916694">
        <w:rPr>
          <w:rFonts w:cs="Calibri"/>
          <w:spacing w:val="-13"/>
          <w:szCs w:val="22"/>
        </w:rPr>
        <w:t xml:space="preserve"> </w:t>
      </w:r>
      <w:r w:rsidRPr="00916694">
        <w:rPr>
          <w:rFonts w:cs="Calibri"/>
          <w:szCs w:val="22"/>
        </w:rPr>
        <w:t>Greening</w:t>
      </w:r>
      <w:r w:rsidRPr="00916694">
        <w:rPr>
          <w:rFonts w:cs="Calibri"/>
          <w:spacing w:val="-12"/>
          <w:szCs w:val="22"/>
        </w:rPr>
        <w:t xml:space="preserve"> </w:t>
      </w:r>
      <w:r w:rsidRPr="00916694">
        <w:rPr>
          <w:rFonts w:cs="Calibri"/>
          <w:szCs w:val="22"/>
        </w:rPr>
        <w:t>Australia</w:t>
      </w:r>
      <w:r w:rsidRPr="00916694">
        <w:rPr>
          <w:rFonts w:cs="Calibri"/>
          <w:spacing w:val="-13"/>
          <w:szCs w:val="22"/>
        </w:rPr>
        <w:t xml:space="preserve"> </w:t>
      </w:r>
      <w:r w:rsidRPr="00916694">
        <w:rPr>
          <w:rFonts w:cs="Calibri"/>
          <w:szCs w:val="22"/>
        </w:rPr>
        <w:t>Ltd, the Great Barrier Reef Marine Park Authority, the Australian and New Zealand School of Government, the Cape York Institute for Policy and Leadership, Families Responsibility Commission and on the University</w:t>
      </w:r>
      <w:r w:rsidR="00386EA7" w:rsidRPr="00916694">
        <w:rPr>
          <w:rFonts w:cs="Calibri"/>
          <w:szCs w:val="22"/>
        </w:rPr>
        <w:t xml:space="preserve"> </w:t>
      </w:r>
      <w:r w:rsidRPr="00916694">
        <w:rPr>
          <w:rFonts w:cs="Calibri"/>
          <w:szCs w:val="22"/>
        </w:rPr>
        <w:t xml:space="preserve">of Queensland </w:t>
      </w:r>
      <w:r w:rsidRPr="00916694">
        <w:rPr>
          <w:rFonts w:cs="Calibri"/>
          <w:spacing w:val="-2"/>
          <w:szCs w:val="22"/>
        </w:rPr>
        <w:t>Senate.</w:t>
      </w:r>
    </w:p>
    <w:p w14:paraId="69111026" w14:textId="77777777" w:rsidR="006F5103" w:rsidRPr="00916694" w:rsidRDefault="006F5103" w:rsidP="0043303B">
      <w:pPr>
        <w:pStyle w:val="BodyText"/>
        <w:rPr>
          <w:rFonts w:cs="Calibri"/>
          <w:b/>
          <w:bCs/>
          <w:szCs w:val="22"/>
        </w:rPr>
      </w:pPr>
      <w:r w:rsidRPr="00916694">
        <w:rPr>
          <w:rFonts w:cs="Calibri"/>
          <w:b/>
          <w:bCs/>
          <w:szCs w:val="22"/>
        </w:rPr>
        <w:t xml:space="preserve">Paul </w:t>
      </w:r>
      <w:r w:rsidRPr="00916694">
        <w:rPr>
          <w:rFonts w:cs="Calibri"/>
          <w:b/>
          <w:bCs/>
          <w:spacing w:val="-2"/>
          <w:szCs w:val="22"/>
        </w:rPr>
        <w:t>Younis</w:t>
      </w:r>
    </w:p>
    <w:p w14:paraId="4EA56FE0" w14:textId="77777777" w:rsidR="006F5103" w:rsidRPr="00916694" w:rsidRDefault="006F5103" w:rsidP="0043303B">
      <w:pPr>
        <w:pStyle w:val="BodyText"/>
        <w:rPr>
          <w:rFonts w:cs="Calibri"/>
          <w:b/>
          <w:bCs/>
          <w:szCs w:val="22"/>
        </w:rPr>
      </w:pPr>
      <w:r w:rsidRPr="00916694">
        <w:rPr>
          <w:rFonts w:cs="Calibri"/>
          <w:b/>
          <w:bCs/>
          <w:szCs w:val="22"/>
        </w:rPr>
        <w:t>(from</w:t>
      </w:r>
      <w:r w:rsidRPr="00916694">
        <w:rPr>
          <w:rFonts w:cs="Calibri"/>
          <w:b/>
          <w:bCs/>
          <w:spacing w:val="-2"/>
          <w:szCs w:val="22"/>
        </w:rPr>
        <w:t xml:space="preserve"> </w:t>
      </w:r>
      <w:r w:rsidRPr="00916694">
        <w:rPr>
          <w:rFonts w:cs="Calibri"/>
          <w:b/>
          <w:bCs/>
          <w:szCs w:val="22"/>
        </w:rPr>
        <w:t>January</w:t>
      </w:r>
      <w:r w:rsidRPr="00916694">
        <w:rPr>
          <w:rFonts w:cs="Calibri"/>
          <w:b/>
          <w:bCs/>
          <w:spacing w:val="-2"/>
          <w:szCs w:val="22"/>
        </w:rPr>
        <w:t xml:space="preserve"> 2023)</w:t>
      </w:r>
    </w:p>
    <w:p w14:paraId="3BC1B7B2" w14:textId="77777777" w:rsidR="006F5103" w:rsidRPr="00916694" w:rsidRDefault="006F5103" w:rsidP="0043303B">
      <w:pPr>
        <w:pStyle w:val="BodyText"/>
        <w:rPr>
          <w:rFonts w:cs="Calibri"/>
          <w:szCs w:val="22"/>
        </w:rPr>
      </w:pPr>
      <w:r w:rsidRPr="00916694">
        <w:rPr>
          <w:rFonts w:cs="Calibri"/>
          <w:szCs w:val="22"/>
        </w:rPr>
        <w:t>Paul Younis became Secretary of the Department</w:t>
      </w:r>
      <w:r w:rsidRPr="00916694">
        <w:rPr>
          <w:rFonts w:cs="Calibri"/>
          <w:spacing w:val="-13"/>
          <w:szCs w:val="22"/>
        </w:rPr>
        <w:t xml:space="preserve"> </w:t>
      </w:r>
      <w:r w:rsidRPr="00916694">
        <w:rPr>
          <w:rFonts w:cs="Calibri"/>
          <w:szCs w:val="22"/>
        </w:rPr>
        <w:t>of</w:t>
      </w:r>
      <w:r w:rsidRPr="00916694">
        <w:rPr>
          <w:rFonts w:cs="Calibri"/>
          <w:spacing w:val="-13"/>
          <w:szCs w:val="22"/>
        </w:rPr>
        <w:t xml:space="preserve"> </w:t>
      </w:r>
      <w:r w:rsidRPr="00916694">
        <w:rPr>
          <w:rFonts w:cs="Calibri"/>
          <w:szCs w:val="22"/>
        </w:rPr>
        <w:t>Transport</w:t>
      </w:r>
      <w:r w:rsidRPr="00916694">
        <w:rPr>
          <w:rFonts w:cs="Calibri"/>
          <w:spacing w:val="-12"/>
          <w:szCs w:val="22"/>
        </w:rPr>
        <w:t xml:space="preserve"> </w:t>
      </w:r>
      <w:r w:rsidRPr="00916694">
        <w:rPr>
          <w:rFonts w:cs="Calibri"/>
          <w:szCs w:val="22"/>
        </w:rPr>
        <w:t>and</w:t>
      </w:r>
      <w:r w:rsidRPr="00916694">
        <w:rPr>
          <w:rFonts w:cs="Calibri"/>
          <w:spacing w:val="-13"/>
          <w:szCs w:val="22"/>
        </w:rPr>
        <w:t xml:space="preserve"> </w:t>
      </w:r>
      <w:r w:rsidRPr="00916694">
        <w:rPr>
          <w:rFonts w:cs="Calibri"/>
          <w:szCs w:val="22"/>
        </w:rPr>
        <w:t xml:space="preserve">Planning in January 2023. He was previously Secretary of the Department of Transport until the departmental changes brought together Victoria’s transport, planning and land use </w:t>
      </w:r>
      <w:r w:rsidRPr="00916694">
        <w:rPr>
          <w:rFonts w:cs="Calibri"/>
          <w:spacing w:val="-2"/>
          <w:szCs w:val="22"/>
        </w:rPr>
        <w:t>functions.</w:t>
      </w:r>
    </w:p>
    <w:p w14:paraId="11B100E8" w14:textId="77777777" w:rsidR="006F5103" w:rsidRPr="00916694" w:rsidRDefault="006F5103" w:rsidP="0043303B">
      <w:pPr>
        <w:pStyle w:val="BodyText"/>
        <w:rPr>
          <w:rFonts w:cs="Calibri"/>
          <w:szCs w:val="22"/>
        </w:rPr>
      </w:pPr>
      <w:r w:rsidRPr="00916694">
        <w:rPr>
          <w:rFonts w:cs="Calibri"/>
          <w:szCs w:val="22"/>
        </w:rPr>
        <w:t>In 2019, he led the integration of</w:t>
      </w:r>
      <w:r w:rsidRPr="00916694">
        <w:rPr>
          <w:rFonts w:cs="Calibri"/>
          <w:spacing w:val="40"/>
          <w:szCs w:val="22"/>
        </w:rPr>
        <w:t xml:space="preserve"> </w:t>
      </w:r>
      <w:r w:rsidRPr="00916694">
        <w:rPr>
          <w:rFonts w:cs="Calibri"/>
          <w:szCs w:val="22"/>
        </w:rPr>
        <w:t>the transport portfolio into the new Department of Transport, bringing together</w:t>
      </w:r>
      <w:r w:rsidRPr="00916694">
        <w:rPr>
          <w:rFonts w:cs="Calibri"/>
          <w:spacing w:val="-13"/>
          <w:szCs w:val="22"/>
        </w:rPr>
        <w:t xml:space="preserve"> </w:t>
      </w:r>
      <w:r w:rsidRPr="00916694">
        <w:rPr>
          <w:rFonts w:cs="Calibri"/>
          <w:szCs w:val="22"/>
        </w:rPr>
        <w:t>the</w:t>
      </w:r>
      <w:r w:rsidRPr="00916694">
        <w:rPr>
          <w:rFonts w:cs="Calibri"/>
          <w:spacing w:val="-12"/>
          <w:szCs w:val="22"/>
        </w:rPr>
        <w:t xml:space="preserve"> </w:t>
      </w:r>
      <w:r w:rsidRPr="00916694">
        <w:rPr>
          <w:rFonts w:cs="Calibri"/>
          <w:szCs w:val="22"/>
        </w:rPr>
        <w:t>planning,</w:t>
      </w:r>
      <w:r w:rsidRPr="00916694">
        <w:rPr>
          <w:rFonts w:cs="Calibri"/>
          <w:spacing w:val="-13"/>
          <w:szCs w:val="22"/>
        </w:rPr>
        <w:t xml:space="preserve"> </w:t>
      </w:r>
      <w:r w:rsidRPr="00916694">
        <w:rPr>
          <w:rFonts w:cs="Calibri"/>
          <w:szCs w:val="22"/>
        </w:rPr>
        <w:t>management and delivery of all transport in one integrated department,</w:t>
      </w:r>
      <w:r w:rsidRPr="00916694">
        <w:rPr>
          <w:rFonts w:cs="Calibri"/>
          <w:spacing w:val="40"/>
          <w:szCs w:val="22"/>
        </w:rPr>
        <w:t xml:space="preserve"> </w:t>
      </w:r>
      <w:r w:rsidRPr="00916694">
        <w:rPr>
          <w:rFonts w:cs="Calibri"/>
          <w:szCs w:val="22"/>
        </w:rPr>
        <w:t>and</w:t>
      </w:r>
      <w:r w:rsidRPr="00916694">
        <w:rPr>
          <w:rFonts w:cs="Calibri"/>
          <w:spacing w:val="-8"/>
          <w:szCs w:val="22"/>
        </w:rPr>
        <w:t xml:space="preserve"> </w:t>
      </w:r>
      <w:r w:rsidRPr="00916694">
        <w:rPr>
          <w:rFonts w:cs="Calibri"/>
          <w:szCs w:val="22"/>
        </w:rPr>
        <w:t>overseeing</w:t>
      </w:r>
      <w:r w:rsidRPr="00916694">
        <w:rPr>
          <w:rFonts w:cs="Calibri"/>
          <w:spacing w:val="-8"/>
          <w:szCs w:val="22"/>
        </w:rPr>
        <w:t xml:space="preserve"> </w:t>
      </w:r>
      <w:r w:rsidRPr="00916694">
        <w:rPr>
          <w:rFonts w:cs="Calibri"/>
          <w:szCs w:val="22"/>
        </w:rPr>
        <w:t>the</w:t>
      </w:r>
      <w:r w:rsidRPr="00916694">
        <w:rPr>
          <w:rFonts w:cs="Calibri"/>
          <w:spacing w:val="-8"/>
          <w:szCs w:val="22"/>
        </w:rPr>
        <w:t xml:space="preserve"> </w:t>
      </w:r>
      <w:r w:rsidRPr="00916694">
        <w:rPr>
          <w:rFonts w:cs="Calibri"/>
          <w:szCs w:val="22"/>
        </w:rPr>
        <w:t>delivery</w:t>
      </w:r>
      <w:r w:rsidRPr="00916694">
        <w:rPr>
          <w:rFonts w:cs="Calibri"/>
          <w:spacing w:val="-8"/>
          <w:szCs w:val="22"/>
        </w:rPr>
        <w:t xml:space="preserve"> </w:t>
      </w:r>
      <w:r w:rsidRPr="00916694">
        <w:rPr>
          <w:rFonts w:cs="Calibri"/>
          <w:szCs w:val="22"/>
        </w:rPr>
        <w:t>of</w:t>
      </w:r>
      <w:r w:rsidRPr="00916694">
        <w:rPr>
          <w:rFonts w:cs="Calibri"/>
          <w:spacing w:val="-8"/>
          <w:szCs w:val="22"/>
        </w:rPr>
        <w:t xml:space="preserve"> </w:t>
      </w:r>
      <w:r w:rsidRPr="00916694">
        <w:rPr>
          <w:rFonts w:cs="Calibri"/>
          <w:szCs w:val="22"/>
        </w:rPr>
        <w:t>a record</w:t>
      </w:r>
      <w:r w:rsidRPr="00916694">
        <w:rPr>
          <w:rFonts w:cs="Calibri"/>
          <w:spacing w:val="-9"/>
          <w:szCs w:val="22"/>
        </w:rPr>
        <w:t xml:space="preserve"> </w:t>
      </w:r>
      <w:r w:rsidRPr="00916694">
        <w:rPr>
          <w:rFonts w:cs="Calibri"/>
          <w:szCs w:val="22"/>
        </w:rPr>
        <w:t>$90</w:t>
      </w:r>
      <w:r w:rsidRPr="00916694">
        <w:rPr>
          <w:rFonts w:cs="Calibri"/>
          <w:spacing w:val="-9"/>
          <w:szCs w:val="22"/>
        </w:rPr>
        <w:t xml:space="preserve"> </w:t>
      </w:r>
      <w:r w:rsidRPr="00916694">
        <w:rPr>
          <w:rFonts w:cs="Calibri"/>
          <w:szCs w:val="22"/>
        </w:rPr>
        <w:t>billion</w:t>
      </w:r>
      <w:r w:rsidRPr="00916694">
        <w:rPr>
          <w:rFonts w:cs="Calibri"/>
          <w:spacing w:val="-9"/>
          <w:szCs w:val="22"/>
        </w:rPr>
        <w:t xml:space="preserve"> </w:t>
      </w:r>
      <w:r w:rsidRPr="00916694">
        <w:rPr>
          <w:rFonts w:cs="Calibri"/>
          <w:szCs w:val="22"/>
        </w:rPr>
        <w:t>of</w:t>
      </w:r>
      <w:r w:rsidRPr="00916694">
        <w:rPr>
          <w:rFonts w:cs="Calibri"/>
          <w:spacing w:val="-9"/>
          <w:szCs w:val="22"/>
        </w:rPr>
        <w:t xml:space="preserve"> </w:t>
      </w:r>
      <w:r w:rsidRPr="00916694">
        <w:rPr>
          <w:rFonts w:cs="Calibri"/>
          <w:szCs w:val="22"/>
        </w:rPr>
        <w:t>new</w:t>
      </w:r>
      <w:r w:rsidRPr="00916694">
        <w:rPr>
          <w:rFonts w:cs="Calibri"/>
          <w:spacing w:val="-9"/>
          <w:szCs w:val="22"/>
        </w:rPr>
        <w:t xml:space="preserve"> </w:t>
      </w:r>
      <w:r w:rsidRPr="00916694">
        <w:rPr>
          <w:rFonts w:cs="Calibri"/>
          <w:szCs w:val="22"/>
        </w:rPr>
        <w:t>transport infrastructure across the State.</w:t>
      </w:r>
    </w:p>
    <w:p w14:paraId="19F6A909" w14:textId="2AD87FEE" w:rsidR="006F5103" w:rsidRPr="00916694" w:rsidRDefault="006F5103" w:rsidP="0043303B">
      <w:pPr>
        <w:pStyle w:val="BodyText"/>
        <w:rPr>
          <w:rFonts w:cs="Calibri"/>
          <w:szCs w:val="22"/>
        </w:rPr>
      </w:pPr>
      <w:r w:rsidRPr="00916694">
        <w:rPr>
          <w:rFonts w:cs="Calibri"/>
          <w:szCs w:val="22"/>
        </w:rPr>
        <w:t>Prior</w:t>
      </w:r>
      <w:r w:rsidRPr="00916694">
        <w:rPr>
          <w:rFonts w:cs="Calibri"/>
          <w:spacing w:val="-11"/>
          <w:szCs w:val="22"/>
        </w:rPr>
        <w:t xml:space="preserve"> </w:t>
      </w:r>
      <w:r w:rsidRPr="00916694">
        <w:rPr>
          <w:rFonts w:cs="Calibri"/>
          <w:szCs w:val="22"/>
        </w:rPr>
        <w:t>to</w:t>
      </w:r>
      <w:r w:rsidRPr="00916694">
        <w:rPr>
          <w:rFonts w:cs="Calibri"/>
          <w:spacing w:val="-11"/>
          <w:szCs w:val="22"/>
        </w:rPr>
        <w:t xml:space="preserve"> </w:t>
      </w:r>
      <w:r w:rsidRPr="00916694">
        <w:rPr>
          <w:rFonts w:cs="Calibri"/>
          <w:szCs w:val="22"/>
        </w:rPr>
        <w:t>the</w:t>
      </w:r>
      <w:r w:rsidRPr="00916694">
        <w:rPr>
          <w:rFonts w:cs="Calibri"/>
          <w:spacing w:val="-11"/>
          <w:szCs w:val="22"/>
        </w:rPr>
        <w:t xml:space="preserve"> </w:t>
      </w:r>
      <w:r w:rsidRPr="00916694">
        <w:rPr>
          <w:rFonts w:cs="Calibri"/>
          <w:szCs w:val="22"/>
        </w:rPr>
        <w:t>Department</w:t>
      </w:r>
      <w:r w:rsidRPr="00916694">
        <w:rPr>
          <w:rFonts w:cs="Calibri"/>
          <w:spacing w:val="-11"/>
          <w:szCs w:val="22"/>
        </w:rPr>
        <w:t xml:space="preserve"> </w:t>
      </w:r>
      <w:r w:rsidRPr="00916694">
        <w:rPr>
          <w:rFonts w:cs="Calibri"/>
          <w:szCs w:val="22"/>
        </w:rPr>
        <w:t>of</w:t>
      </w:r>
      <w:r w:rsidRPr="00916694">
        <w:rPr>
          <w:rFonts w:cs="Calibri"/>
          <w:spacing w:val="-11"/>
          <w:szCs w:val="22"/>
        </w:rPr>
        <w:t xml:space="preserve"> </w:t>
      </w:r>
      <w:r w:rsidRPr="00916694">
        <w:rPr>
          <w:rFonts w:cs="Calibri"/>
          <w:szCs w:val="22"/>
        </w:rPr>
        <w:t>Transport, Paul was CEO of Melbourne’s Brimbank City Council and regional Corangamite Shire. He has qualifications</w:t>
      </w:r>
      <w:r w:rsidRPr="00916694">
        <w:rPr>
          <w:rFonts w:cs="Calibri"/>
          <w:spacing w:val="-3"/>
          <w:szCs w:val="22"/>
        </w:rPr>
        <w:t xml:space="preserve"> </w:t>
      </w:r>
      <w:r w:rsidRPr="00916694">
        <w:rPr>
          <w:rFonts w:cs="Calibri"/>
          <w:szCs w:val="22"/>
        </w:rPr>
        <w:t>in</w:t>
      </w:r>
      <w:r w:rsidRPr="00916694">
        <w:rPr>
          <w:rFonts w:cs="Calibri"/>
          <w:spacing w:val="-3"/>
          <w:szCs w:val="22"/>
        </w:rPr>
        <w:t xml:space="preserve"> </w:t>
      </w:r>
      <w:r w:rsidRPr="00916694">
        <w:rPr>
          <w:rFonts w:cs="Calibri"/>
          <w:szCs w:val="22"/>
        </w:rPr>
        <w:t>engineering,</w:t>
      </w:r>
      <w:r w:rsidRPr="00916694">
        <w:rPr>
          <w:rFonts w:cs="Calibri"/>
          <w:spacing w:val="-3"/>
          <w:szCs w:val="22"/>
        </w:rPr>
        <w:t xml:space="preserve"> </w:t>
      </w:r>
      <w:r w:rsidRPr="00916694">
        <w:rPr>
          <w:rFonts w:cs="Calibri"/>
          <w:szCs w:val="22"/>
        </w:rPr>
        <w:t>law</w:t>
      </w:r>
      <w:r w:rsidRPr="00916694">
        <w:rPr>
          <w:rFonts w:cs="Calibri"/>
          <w:spacing w:val="-3"/>
          <w:szCs w:val="22"/>
        </w:rPr>
        <w:t xml:space="preserve"> </w:t>
      </w:r>
      <w:r w:rsidRPr="00916694">
        <w:rPr>
          <w:rFonts w:cs="Calibri"/>
          <w:szCs w:val="22"/>
        </w:rPr>
        <w:t xml:space="preserve">and </w:t>
      </w:r>
      <w:r w:rsidRPr="00916694">
        <w:rPr>
          <w:rFonts w:cs="Calibri"/>
          <w:spacing w:val="-2"/>
          <w:szCs w:val="22"/>
        </w:rPr>
        <w:t>business.</w:t>
      </w:r>
    </w:p>
    <w:p w14:paraId="26BF8980" w14:textId="77777777" w:rsidR="006F5103" w:rsidRPr="00916694" w:rsidRDefault="006F5103" w:rsidP="0043303B">
      <w:pPr>
        <w:pStyle w:val="BodyText"/>
        <w:rPr>
          <w:rFonts w:cs="Calibri"/>
          <w:b/>
          <w:bCs/>
          <w:szCs w:val="22"/>
        </w:rPr>
      </w:pPr>
      <w:r w:rsidRPr="00916694">
        <w:rPr>
          <w:rFonts w:cs="Calibri"/>
          <w:b/>
          <w:bCs/>
          <w:szCs w:val="22"/>
        </w:rPr>
        <w:t xml:space="preserve">Rebecca </w:t>
      </w:r>
      <w:r w:rsidRPr="00916694">
        <w:rPr>
          <w:rFonts w:cs="Calibri"/>
          <w:b/>
          <w:bCs/>
          <w:spacing w:val="-2"/>
          <w:szCs w:val="22"/>
        </w:rPr>
        <w:t>Casson</w:t>
      </w:r>
    </w:p>
    <w:p w14:paraId="1D0AB511" w14:textId="77777777" w:rsidR="006F5103" w:rsidRPr="00916694" w:rsidRDefault="006F5103" w:rsidP="0043303B">
      <w:pPr>
        <w:pStyle w:val="BodyText"/>
        <w:rPr>
          <w:rFonts w:cs="Calibri"/>
          <w:b/>
          <w:bCs/>
          <w:szCs w:val="22"/>
        </w:rPr>
      </w:pPr>
      <w:r w:rsidRPr="00916694">
        <w:rPr>
          <w:rFonts w:cs="Calibri"/>
          <w:b/>
          <w:bCs/>
          <w:szCs w:val="22"/>
        </w:rPr>
        <w:t>(from</w:t>
      </w:r>
      <w:r w:rsidRPr="00916694">
        <w:rPr>
          <w:rFonts w:cs="Calibri"/>
          <w:b/>
          <w:bCs/>
          <w:spacing w:val="-2"/>
          <w:szCs w:val="22"/>
        </w:rPr>
        <w:t xml:space="preserve"> </w:t>
      </w:r>
      <w:r w:rsidRPr="00916694">
        <w:rPr>
          <w:rFonts w:cs="Calibri"/>
          <w:b/>
          <w:bCs/>
          <w:szCs w:val="22"/>
        </w:rPr>
        <w:t>June</w:t>
      </w:r>
      <w:r w:rsidRPr="00916694">
        <w:rPr>
          <w:rFonts w:cs="Calibri"/>
          <w:b/>
          <w:bCs/>
          <w:spacing w:val="-2"/>
          <w:szCs w:val="22"/>
        </w:rPr>
        <w:t xml:space="preserve"> 2023)</w:t>
      </w:r>
    </w:p>
    <w:p w14:paraId="3ED0FE2E" w14:textId="77777777" w:rsidR="006F5103" w:rsidRPr="00916694" w:rsidRDefault="006F5103" w:rsidP="0043303B">
      <w:pPr>
        <w:pStyle w:val="BodyText"/>
        <w:rPr>
          <w:rFonts w:cs="Calibri"/>
          <w:szCs w:val="22"/>
        </w:rPr>
      </w:pPr>
      <w:r w:rsidRPr="00916694">
        <w:rPr>
          <w:rFonts w:cs="Calibri"/>
          <w:szCs w:val="22"/>
        </w:rPr>
        <w:t xml:space="preserve">Rebecca is a building and construction sector leader with significant experience spanning government, </w:t>
      </w:r>
      <w:r w:rsidRPr="00916694">
        <w:rPr>
          <w:rFonts w:cs="Calibri"/>
          <w:szCs w:val="22"/>
        </w:rPr>
        <w:lastRenderedPageBreak/>
        <w:t>industry, and the not- for-profit sector. She is Chairperson of the Victorian Government’s Building Industry Consultative Council, President of construction worker</w:t>
      </w:r>
      <w:r w:rsidRPr="00916694">
        <w:rPr>
          <w:rFonts w:cs="Calibri"/>
          <w:spacing w:val="-9"/>
          <w:szCs w:val="22"/>
        </w:rPr>
        <w:t xml:space="preserve"> </w:t>
      </w:r>
      <w:r w:rsidRPr="00916694">
        <w:rPr>
          <w:rFonts w:cs="Calibri"/>
          <w:szCs w:val="22"/>
        </w:rPr>
        <w:t>entitlement</w:t>
      </w:r>
      <w:r w:rsidRPr="00916694">
        <w:rPr>
          <w:rFonts w:cs="Calibri"/>
          <w:spacing w:val="-9"/>
          <w:szCs w:val="22"/>
        </w:rPr>
        <w:t xml:space="preserve"> </w:t>
      </w:r>
      <w:r w:rsidRPr="00916694">
        <w:rPr>
          <w:rFonts w:cs="Calibri"/>
          <w:szCs w:val="22"/>
        </w:rPr>
        <w:t>body</w:t>
      </w:r>
      <w:r w:rsidRPr="00916694">
        <w:rPr>
          <w:rFonts w:cs="Calibri"/>
          <w:spacing w:val="-9"/>
          <w:szCs w:val="22"/>
        </w:rPr>
        <w:t xml:space="preserve"> </w:t>
      </w:r>
      <w:r w:rsidRPr="00916694">
        <w:rPr>
          <w:rFonts w:cs="Calibri"/>
          <w:szCs w:val="22"/>
        </w:rPr>
        <w:t>Incolink</w:t>
      </w:r>
      <w:r w:rsidRPr="00916694">
        <w:rPr>
          <w:rFonts w:cs="Calibri"/>
          <w:spacing w:val="-9"/>
          <w:szCs w:val="22"/>
        </w:rPr>
        <w:t xml:space="preserve"> </w:t>
      </w:r>
      <w:r w:rsidRPr="00916694">
        <w:rPr>
          <w:rFonts w:cs="Calibri"/>
          <w:szCs w:val="22"/>
        </w:rPr>
        <w:t>and an advisory board member of the Victorian</w:t>
      </w:r>
      <w:r w:rsidRPr="00916694">
        <w:rPr>
          <w:rFonts w:cs="Calibri"/>
          <w:spacing w:val="-13"/>
          <w:szCs w:val="22"/>
        </w:rPr>
        <w:t xml:space="preserve"> </w:t>
      </w:r>
      <w:r w:rsidRPr="00916694">
        <w:rPr>
          <w:rFonts w:cs="Calibri"/>
          <w:szCs w:val="22"/>
        </w:rPr>
        <w:t>Skills</w:t>
      </w:r>
      <w:r w:rsidRPr="00916694">
        <w:rPr>
          <w:rFonts w:cs="Calibri"/>
          <w:spacing w:val="-12"/>
          <w:szCs w:val="22"/>
        </w:rPr>
        <w:t xml:space="preserve"> </w:t>
      </w:r>
      <w:r w:rsidRPr="00916694">
        <w:rPr>
          <w:rFonts w:cs="Calibri"/>
          <w:szCs w:val="22"/>
        </w:rPr>
        <w:t>Authority.</w:t>
      </w:r>
      <w:r w:rsidRPr="00916694">
        <w:rPr>
          <w:rFonts w:cs="Calibri"/>
          <w:spacing w:val="-13"/>
          <w:szCs w:val="22"/>
        </w:rPr>
        <w:t xml:space="preserve"> </w:t>
      </w:r>
      <w:r w:rsidRPr="00916694">
        <w:rPr>
          <w:rFonts w:cs="Calibri"/>
          <w:szCs w:val="22"/>
        </w:rPr>
        <w:t>Rebecca</w:t>
      </w:r>
      <w:r w:rsidRPr="00916694">
        <w:rPr>
          <w:rFonts w:cs="Calibri"/>
          <w:spacing w:val="-12"/>
          <w:szCs w:val="22"/>
        </w:rPr>
        <w:t xml:space="preserve"> </w:t>
      </w:r>
      <w:r w:rsidRPr="00916694">
        <w:rPr>
          <w:rFonts w:cs="Calibri"/>
          <w:szCs w:val="22"/>
        </w:rPr>
        <w:t xml:space="preserve">was previously CEO of Master Builders Victoria and the Committee for </w:t>
      </w:r>
      <w:r w:rsidRPr="00916694">
        <w:rPr>
          <w:rFonts w:cs="Calibri"/>
          <w:spacing w:val="-2"/>
          <w:szCs w:val="22"/>
        </w:rPr>
        <w:t>Geelong.</w:t>
      </w:r>
    </w:p>
    <w:p w14:paraId="72B3FC9B" w14:textId="77777777" w:rsidR="006F5103" w:rsidRPr="00916694" w:rsidRDefault="006F5103" w:rsidP="0043303B">
      <w:pPr>
        <w:pStyle w:val="BodyText"/>
        <w:rPr>
          <w:rFonts w:cs="Calibri"/>
          <w:szCs w:val="22"/>
        </w:rPr>
      </w:pPr>
      <w:r w:rsidRPr="00916694">
        <w:rPr>
          <w:rFonts w:cs="Calibri"/>
          <w:szCs w:val="22"/>
        </w:rPr>
        <w:t>She has held a range of board and</w:t>
      </w:r>
      <w:r w:rsidRPr="00916694">
        <w:rPr>
          <w:rFonts w:cs="Calibri"/>
          <w:spacing w:val="-13"/>
          <w:szCs w:val="22"/>
        </w:rPr>
        <w:t xml:space="preserve"> </w:t>
      </w:r>
      <w:r w:rsidRPr="00916694">
        <w:rPr>
          <w:rFonts w:cs="Calibri"/>
          <w:szCs w:val="22"/>
        </w:rPr>
        <w:t>advisory</w:t>
      </w:r>
      <w:r w:rsidRPr="00916694">
        <w:rPr>
          <w:rFonts w:cs="Calibri"/>
          <w:spacing w:val="-12"/>
          <w:szCs w:val="22"/>
        </w:rPr>
        <w:t xml:space="preserve"> </w:t>
      </w:r>
      <w:r w:rsidRPr="00916694">
        <w:rPr>
          <w:rFonts w:cs="Calibri"/>
          <w:szCs w:val="22"/>
        </w:rPr>
        <w:t>positions</w:t>
      </w:r>
      <w:r w:rsidRPr="00916694">
        <w:rPr>
          <w:rFonts w:cs="Calibri"/>
          <w:spacing w:val="-13"/>
          <w:szCs w:val="22"/>
        </w:rPr>
        <w:t xml:space="preserve"> </w:t>
      </w:r>
      <w:r w:rsidRPr="00916694">
        <w:rPr>
          <w:rFonts w:cs="Calibri"/>
          <w:szCs w:val="22"/>
        </w:rPr>
        <w:t>throughout her career in Australia, the United Kingdom, Europe, and the USA.</w:t>
      </w:r>
    </w:p>
    <w:p w14:paraId="7DEEB499" w14:textId="77777777" w:rsidR="006F5103" w:rsidRPr="00916694" w:rsidRDefault="006F5103" w:rsidP="0043303B">
      <w:pPr>
        <w:pStyle w:val="BodyText"/>
        <w:rPr>
          <w:rFonts w:cs="Calibri"/>
          <w:szCs w:val="22"/>
        </w:rPr>
      </w:pPr>
      <w:r w:rsidRPr="00916694">
        <w:rPr>
          <w:rFonts w:cs="Calibri"/>
          <w:szCs w:val="22"/>
        </w:rPr>
        <w:t>Rebecca</w:t>
      </w:r>
      <w:r w:rsidRPr="00916694">
        <w:rPr>
          <w:rFonts w:cs="Calibri"/>
          <w:spacing w:val="-8"/>
          <w:szCs w:val="22"/>
        </w:rPr>
        <w:t xml:space="preserve"> </w:t>
      </w:r>
      <w:r w:rsidRPr="00916694">
        <w:rPr>
          <w:rFonts w:cs="Calibri"/>
          <w:szCs w:val="22"/>
        </w:rPr>
        <w:t>holds</w:t>
      </w:r>
      <w:r w:rsidRPr="00916694">
        <w:rPr>
          <w:rFonts w:cs="Calibri"/>
          <w:spacing w:val="-8"/>
          <w:szCs w:val="22"/>
        </w:rPr>
        <w:t xml:space="preserve"> </w:t>
      </w:r>
      <w:r w:rsidRPr="00916694">
        <w:rPr>
          <w:rFonts w:cs="Calibri"/>
          <w:szCs w:val="22"/>
        </w:rPr>
        <w:t>a</w:t>
      </w:r>
      <w:r w:rsidRPr="00916694">
        <w:rPr>
          <w:rFonts w:cs="Calibri"/>
          <w:spacing w:val="-8"/>
          <w:szCs w:val="22"/>
        </w:rPr>
        <w:t xml:space="preserve"> </w:t>
      </w:r>
      <w:r w:rsidRPr="00916694">
        <w:rPr>
          <w:rFonts w:cs="Calibri"/>
          <w:szCs w:val="22"/>
        </w:rPr>
        <w:t>Masters</w:t>
      </w:r>
      <w:r w:rsidRPr="00916694">
        <w:rPr>
          <w:rFonts w:cs="Calibri"/>
          <w:spacing w:val="-8"/>
          <w:szCs w:val="22"/>
        </w:rPr>
        <w:t xml:space="preserve"> </w:t>
      </w:r>
      <w:r w:rsidRPr="00916694">
        <w:rPr>
          <w:rFonts w:cs="Calibri"/>
          <w:szCs w:val="22"/>
        </w:rPr>
        <w:t>degree</w:t>
      </w:r>
      <w:r w:rsidRPr="00916694">
        <w:rPr>
          <w:rFonts w:cs="Calibri"/>
          <w:spacing w:val="-8"/>
          <w:szCs w:val="22"/>
        </w:rPr>
        <w:t xml:space="preserve"> </w:t>
      </w:r>
      <w:r w:rsidRPr="00916694">
        <w:rPr>
          <w:rFonts w:cs="Calibri"/>
          <w:szCs w:val="22"/>
        </w:rPr>
        <w:t>in Politics and Government from the University of Kent.</w:t>
      </w:r>
    </w:p>
    <w:p w14:paraId="4993602C" w14:textId="77777777" w:rsidR="006F5103" w:rsidRPr="00916694" w:rsidRDefault="006F5103" w:rsidP="0043303B">
      <w:pPr>
        <w:pStyle w:val="BodyText"/>
        <w:rPr>
          <w:rFonts w:cs="Calibri"/>
          <w:szCs w:val="22"/>
        </w:rPr>
        <w:sectPr w:rsidR="006F5103" w:rsidRPr="00916694" w:rsidSect="00E941A5">
          <w:type w:val="continuous"/>
          <w:pgSz w:w="11910" w:h="16840"/>
          <w:pgMar w:top="1134" w:right="1278" w:bottom="1134" w:left="1134" w:header="720" w:footer="720" w:gutter="0"/>
          <w:cols w:space="720"/>
        </w:sectPr>
      </w:pPr>
    </w:p>
    <w:p w14:paraId="35DD44F0" w14:textId="77777777" w:rsidR="006F5103" w:rsidRPr="00916694" w:rsidRDefault="006F5103" w:rsidP="0043303B">
      <w:pPr>
        <w:pStyle w:val="BodyText"/>
        <w:rPr>
          <w:rFonts w:cs="Calibri"/>
          <w:b/>
          <w:bCs/>
          <w:szCs w:val="22"/>
        </w:rPr>
      </w:pPr>
      <w:r w:rsidRPr="00916694">
        <w:rPr>
          <w:rFonts w:cs="Calibri"/>
          <w:b/>
          <w:bCs/>
          <w:szCs w:val="22"/>
        </w:rPr>
        <w:t>Jonathan</w:t>
      </w:r>
      <w:r w:rsidRPr="00916694">
        <w:rPr>
          <w:rFonts w:cs="Calibri"/>
          <w:b/>
          <w:bCs/>
          <w:spacing w:val="-2"/>
          <w:szCs w:val="22"/>
        </w:rPr>
        <w:t xml:space="preserve"> Spear</w:t>
      </w:r>
    </w:p>
    <w:p w14:paraId="04AA7392" w14:textId="77777777" w:rsidR="006F5103" w:rsidRPr="00916694" w:rsidRDefault="006F5103" w:rsidP="0043303B">
      <w:pPr>
        <w:pStyle w:val="BodyText"/>
        <w:rPr>
          <w:rFonts w:cs="Calibri"/>
          <w:b/>
          <w:bCs/>
          <w:szCs w:val="22"/>
        </w:rPr>
      </w:pPr>
      <w:r w:rsidRPr="00916694">
        <w:rPr>
          <w:rFonts w:cs="Calibri"/>
          <w:b/>
          <w:bCs/>
          <w:szCs w:val="22"/>
        </w:rPr>
        <w:t xml:space="preserve">Chief Executive </w:t>
      </w:r>
      <w:r w:rsidRPr="00916694">
        <w:rPr>
          <w:rFonts w:cs="Calibri"/>
          <w:b/>
          <w:bCs/>
          <w:spacing w:val="-2"/>
          <w:szCs w:val="22"/>
        </w:rPr>
        <w:t>Officer</w:t>
      </w:r>
    </w:p>
    <w:p w14:paraId="1A206D5A" w14:textId="77777777" w:rsidR="006F5103" w:rsidRPr="00916694" w:rsidRDefault="006F5103" w:rsidP="0043303B">
      <w:pPr>
        <w:pStyle w:val="BodyText"/>
        <w:rPr>
          <w:rFonts w:cs="Calibri"/>
          <w:szCs w:val="22"/>
        </w:rPr>
      </w:pPr>
      <w:r w:rsidRPr="00916694">
        <w:rPr>
          <w:rFonts w:cs="Calibri"/>
          <w:szCs w:val="22"/>
        </w:rPr>
        <w:t>Dr</w:t>
      </w:r>
      <w:r w:rsidRPr="00916694">
        <w:rPr>
          <w:rFonts w:cs="Calibri"/>
          <w:spacing w:val="-10"/>
          <w:szCs w:val="22"/>
        </w:rPr>
        <w:t xml:space="preserve"> </w:t>
      </w:r>
      <w:r w:rsidRPr="00916694">
        <w:rPr>
          <w:rFonts w:cs="Calibri"/>
          <w:szCs w:val="22"/>
        </w:rPr>
        <w:t>Jonathan</w:t>
      </w:r>
      <w:r w:rsidRPr="00916694">
        <w:rPr>
          <w:rFonts w:cs="Calibri"/>
          <w:spacing w:val="-10"/>
          <w:szCs w:val="22"/>
        </w:rPr>
        <w:t xml:space="preserve"> </w:t>
      </w:r>
      <w:r w:rsidRPr="00916694">
        <w:rPr>
          <w:rFonts w:cs="Calibri"/>
          <w:szCs w:val="22"/>
        </w:rPr>
        <w:t>Spear</w:t>
      </w:r>
      <w:r w:rsidRPr="00916694">
        <w:rPr>
          <w:rFonts w:cs="Calibri"/>
          <w:spacing w:val="-10"/>
          <w:szCs w:val="22"/>
        </w:rPr>
        <w:t xml:space="preserve"> </w:t>
      </w:r>
      <w:r w:rsidRPr="00916694">
        <w:rPr>
          <w:rFonts w:cs="Calibri"/>
          <w:szCs w:val="22"/>
        </w:rPr>
        <w:t>is</w:t>
      </w:r>
      <w:r w:rsidRPr="00916694">
        <w:rPr>
          <w:rFonts w:cs="Calibri"/>
          <w:spacing w:val="-10"/>
          <w:szCs w:val="22"/>
        </w:rPr>
        <w:t xml:space="preserve"> </w:t>
      </w:r>
      <w:r w:rsidRPr="00916694">
        <w:rPr>
          <w:rFonts w:cs="Calibri"/>
          <w:szCs w:val="22"/>
        </w:rPr>
        <w:t>Infrastructure Victoria’s Chief Executive Officer.</w:t>
      </w:r>
    </w:p>
    <w:p w14:paraId="690FC9D8" w14:textId="77777777" w:rsidR="006F5103" w:rsidRPr="00916694" w:rsidRDefault="006F5103" w:rsidP="0043303B">
      <w:pPr>
        <w:pStyle w:val="BodyText"/>
        <w:rPr>
          <w:rFonts w:cs="Calibri"/>
          <w:szCs w:val="22"/>
        </w:rPr>
      </w:pPr>
      <w:r w:rsidRPr="00916694">
        <w:rPr>
          <w:rFonts w:cs="Calibri"/>
          <w:szCs w:val="22"/>
        </w:rPr>
        <w:t>Previously the organisation’s Deputy Chief Executive, Chief Operating Officer and General Counsel, Jonathan has led Infrastructure Victoria’s work on Victoria’s 30-year infrastructure strategy, research program</w:t>
      </w:r>
      <w:r w:rsidRPr="00916694">
        <w:rPr>
          <w:rFonts w:cs="Calibri"/>
          <w:spacing w:val="-11"/>
          <w:szCs w:val="22"/>
        </w:rPr>
        <w:t xml:space="preserve"> </w:t>
      </w:r>
      <w:r w:rsidRPr="00916694">
        <w:rPr>
          <w:rFonts w:cs="Calibri"/>
          <w:szCs w:val="22"/>
        </w:rPr>
        <w:t>and</w:t>
      </w:r>
      <w:r w:rsidRPr="00916694">
        <w:rPr>
          <w:rFonts w:cs="Calibri"/>
          <w:spacing w:val="-11"/>
          <w:szCs w:val="22"/>
        </w:rPr>
        <w:t xml:space="preserve"> </w:t>
      </w:r>
      <w:r w:rsidRPr="00916694">
        <w:rPr>
          <w:rFonts w:cs="Calibri"/>
          <w:szCs w:val="22"/>
        </w:rPr>
        <w:t>provision</w:t>
      </w:r>
      <w:r w:rsidRPr="00916694">
        <w:rPr>
          <w:rFonts w:cs="Calibri"/>
          <w:spacing w:val="-11"/>
          <w:szCs w:val="22"/>
        </w:rPr>
        <w:t xml:space="preserve"> </w:t>
      </w:r>
      <w:r w:rsidRPr="00916694">
        <w:rPr>
          <w:rFonts w:cs="Calibri"/>
          <w:szCs w:val="22"/>
        </w:rPr>
        <w:t>of</w:t>
      </w:r>
      <w:r w:rsidRPr="00916694">
        <w:rPr>
          <w:rFonts w:cs="Calibri"/>
          <w:spacing w:val="-11"/>
          <w:szCs w:val="22"/>
        </w:rPr>
        <w:t xml:space="preserve"> </w:t>
      </w:r>
      <w:r w:rsidRPr="00916694">
        <w:rPr>
          <w:rFonts w:cs="Calibri"/>
          <w:szCs w:val="22"/>
        </w:rPr>
        <w:t>independent advice to the Victorian Government.</w:t>
      </w:r>
    </w:p>
    <w:p w14:paraId="1DBF4D7F" w14:textId="77777777" w:rsidR="006F5103" w:rsidRPr="00916694" w:rsidRDefault="006F5103" w:rsidP="0043303B">
      <w:pPr>
        <w:pStyle w:val="BodyText"/>
        <w:rPr>
          <w:rFonts w:cs="Calibri"/>
          <w:szCs w:val="22"/>
        </w:rPr>
      </w:pPr>
      <w:r w:rsidRPr="00916694">
        <w:rPr>
          <w:rFonts w:cs="Calibri"/>
          <w:szCs w:val="22"/>
        </w:rPr>
        <w:t>Before joining Infrastructure Victoria during its establishment in 2015, Jonathan held senior leadership, policy,</w:t>
      </w:r>
      <w:r w:rsidRPr="00916694">
        <w:rPr>
          <w:rFonts w:cs="Calibri"/>
          <w:spacing w:val="-10"/>
          <w:szCs w:val="22"/>
        </w:rPr>
        <w:t xml:space="preserve"> </w:t>
      </w:r>
      <w:r w:rsidRPr="00916694">
        <w:rPr>
          <w:rFonts w:cs="Calibri"/>
          <w:szCs w:val="22"/>
        </w:rPr>
        <w:t>strategy</w:t>
      </w:r>
      <w:r w:rsidRPr="00916694">
        <w:rPr>
          <w:rFonts w:cs="Calibri"/>
          <w:spacing w:val="-10"/>
          <w:szCs w:val="22"/>
        </w:rPr>
        <w:t xml:space="preserve"> </w:t>
      </w:r>
      <w:r w:rsidRPr="00916694">
        <w:rPr>
          <w:rFonts w:cs="Calibri"/>
          <w:szCs w:val="22"/>
        </w:rPr>
        <w:t>and</w:t>
      </w:r>
      <w:r w:rsidRPr="00916694">
        <w:rPr>
          <w:rFonts w:cs="Calibri"/>
          <w:spacing w:val="-10"/>
          <w:szCs w:val="22"/>
        </w:rPr>
        <w:t xml:space="preserve"> </w:t>
      </w:r>
      <w:r w:rsidRPr="00916694">
        <w:rPr>
          <w:rFonts w:cs="Calibri"/>
          <w:szCs w:val="22"/>
        </w:rPr>
        <w:t>legal</w:t>
      </w:r>
      <w:r w:rsidRPr="00916694">
        <w:rPr>
          <w:rFonts w:cs="Calibri"/>
          <w:spacing w:val="-10"/>
          <w:szCs w:val="22"/>
        </w:rPr>
        <w:t xml:space="preserve"> </w:t>
      </w:r>
      <w:r w:rsidRPr="00916694">
        <w:rPr>
          <w:rFonts w:cs="Calibri"/>
          <w:szCs w:val="22"/>
        </w:rPr>
        <w:t>roles</w:t>
      </w:r>
      <w:r w:rsidRPr="00916694">
        <w:rPr>
          <w:rFonts w:cs="Calibri"/>
          <w:spacing w:val="-10"/>
          <w:szCs w:val="22"/>
        </w:rPr>
        <w:t xml:space="preserve"> </w:t>
      </w:r>
      <w:r w:rsidRPr="00916694">
        <w:rPr>
          <w:rFonts w:cs="Calibri"/>
          <w:szCs w:val="22"/>
        </w:rPr>
        <w:t>with</w:t>
      </w:r>
      <w:r w:rsidRPr="00916694">
        <w:rPr>
          <w:rFonts w:cs="Calibri"/>
          <w:spacing w:val="-10"/>
          <w:szCs w:val="22"/>
        </w:rPr>
        <w:t xml:space="preserve"> </w:t>
      </w:r>
      <w:r w:rsidRPr="00916694">
        <w:rPr>
          <w:rFonts w:cs="Calibri"/>
          <w:szCs w:val="22"/>
        </w:rPr>
        <w:t>the Victorian Government Department of Premier and Cabinet, Department of Justice, Victoria Police and Slater and Gordon Lawyers.</w:t>
      </w:r>
    </w:p>
    <w:p w14:paraId="2B489575" w14:textId="6D9DFAAD" w:rsidR="006F5103" w:rsidRPr="00916694" w:rsidRDefault="006F5103" w:rsidP="0043303B">
      <w:pPr>
        <w:pStyle w:val="BodyText"/>
        <w:rPr>
          <w:rFonts w:cs="Calibri"/>
          <w:szCs w:val="22"/>
        </w:rPr>
      </w:pPr>
      <w:r w:rsidRPr="00916694">
        <w:rPr>
          <w:rFonts w:cs="Calibri"/>
          <w:szCs w:val="22"/>
        </w:rPr>
        <w:t>Jonathan holds a Doctor of Philosophy in History, Executive Master of Public Administration, Master of Laws, Bachelor of Laws</w:t>
      </w:r>
      <w:r w:rsidRPr="00916694">
        <w:rPr>
          <w:rFonts w:cs="Calibri"/>
          <w:spacing w:val="-4"/>
          <w:szCs w:val="22"/>
        </w:rPr>
        <w:t xml:space="preserve"> </w:t>
      </w:r>
      <w:r w:rsidRPr="00916694">
        <w:rPr>
          <w:rFonts w:cs="Calibri"/>
          <w:szCs w:val="22"/>
        </w:rPr>
        <w:t>(Honours)</w:t>
      </w:r>
      <w:r w:rsidRPr="00916694">
        <w:rPr>
          <w:rFonts w:cs="Calibri"/>
          <w:spacing w:val="-4"/>
          <w:szCs w:val="22"/>
        </w:rPr>
        <w:t xml:space="preserve"> </w:t>
      </w:r>
      <w:r w:rsidRPr="00916694">
        <w:rPr>
          <w:rFonts w:cs="Calibri"/>
          <w:szCs w:val="22"/>
        </w:rPr>
        <w:t>and</w:t>
      </w:r>
      <w:r w:rsidRPr="00916694">
        <w:rPr>
          <w:rFonts w:cs="Calibri"/>
          <w:spacing w:val="-4"/>
          <w:szCs w:val="22"/>
        </w:rPr>
        <w:t xml:space="preserve"> </w:t>
      </w:r>
      <w:r w:rsidRPr="00916694">
        <w:rPr>
          <w:rFonts w:cs="Calibri"/>
          <w:szCs w:val="22"/>
        </w:rPr>
        <w:t>Bachelor</w:t>
      </w:r>
      <w:r w:rsidRPr="00916694">
        <w:rPr>
          <w:rFonts w:cs="Calibri"/>
          <w:spacing w:val="-4"/>
          <w:szCs w:val="22"/>
        </w:rPr>
        <w:t xml:space="preserve"> </w:t>
      </w:r>
      <w:r w:rsidRPr="00916694">
        <w:rPr>
          <w:rFonts w:cs="Calibri"/>
          <w:szCs w:val="22"/>
        </w:rPr>
        <w:t>of Arts</w:t>
      </w:r>
      <w:r w:rsidRPr="00916694">
        <w:rPr>
          <w:rFonts w:cs="Calibri"/>
          <w:spacing w:val="-6"/>
          <w:szCs w:val="22"/>
        </w:rPr>
        <w:t xml:space="preserve"> </w:t>
      </w:r>
      <w:r w:rsidRPr="00916694">
        <w:rPr>
          <w:rFonts w:cs="Calibri"/>
          <w:szCs w:val="22"/>
        </w:rPr>
        <w:t>(Honours).</w:t>
      </w:r>
      <w:r w:rsidRPr="00916694">
        <w:rPr>
          <w:rFonts w:cs="Calibri"/>
          <w:spacing w:val="-6"/>
          <w:szCs w:val="22"/>
        </w:rPr>
        <w:t xml:space="preserve"> </w:t>
      </w:r>
      <w:r w:rsidRPr="00916694">
        <w:rPr>
          <w:rFonts w:cs="Calibri"/>
          <w:szCs w:val="22"/>
        </w:rPr>
        <w:t>He</w:t>
      </w:r>
      <w:r w:rsidRPr="00916694">
        <w:rPr>
          <w:rFonts w:cs="Calibri"/>
          <w:spacing w:val="-7"/>
          <w:szCs w:val="22"/>
        </w:rPr>
        <w:t xml:space="preserve"> </w:t>
      </w:r>
      <w:r w:rsidRPr="00916694">
        <w:rPr>
          <w:rFonts w:cs="Calibri"/>
          <w:szCs w:val="22"/>
        </w:rPr>
        <w:t>is</w:t>
      </w:r>
      <w:r w:rsidRPr="00916694">
        <w:rPr>
          <w:rFonts w:cs="Calibri"/>
          <w:spacing w:val="-6"/>
          <w:szCs w:val="22"/>
        </w:rPr>
        <w:t xml:space="preserve"> </w:t>
      </w:r>
      <w:r w:rsidRPr="00916694">
        <w:rPr>
          <w:rFonts w:cs="Calibri"/>
          <w:szCs w:val="22"/>
        </w:rPr>
        <w:t>also</w:t>
      </w:r>
      <w:r w:rsidRPr="00916694">
        <w:rPr>
          <w:rFonts w:cs="Calibri"/>
          <w:spacing w:val="-6"/>
          <w:szCs w:val="22"/>
        </w:rPr>
        <w:t xml:space="preserve"> </w:t>
      </w:r>
      <w:r w:rsidRPr="00916694">
        <w:rPr>
          <w:rFonts w:cs="Calibri"/>
          <w:szCs w:val="22"/>
        </w:rPr>
        <w:t>a</w:t>
      </w:r>
      <w:r w:rsidRPr="00916694">
        <w:rPr>
          <w:rFonts w:cs="Calibri"/>
          <w:spacing w:val="-7"/>
          <w:szCs w:val="22"/>
        </w:rPr>
        <w:t xml:space="preserve"> </w:t>
      </w:r>
      <w:r w:rsidRPr="00916694">
        <w:rPr>
          <w:rFonts w:cs="Calibri"/>
          <w:szCs w:val="22"/>
        </w:rPr>
        <w:t>legal practitioner, a graduate of the Australian Institute of Company Directors and the Williamson Community Leadership Program, and Deputy</w:t>
      </w:r>
      <w:r w:rsidRPr="00916694">
        <w:rPr>
          <w:rFonts w:cs="Calibri"/>
          <w:spacing w:val="-2"/>
          <w:szCs w:val="22"/>
        </w:rPr>
        <w:t xml:space="preserve"> </w:t>
      </w:r>
      <w:r w:rsidRPr="00916694">
        <w:rPr>
          <w:rFonts w:cs="Calibri"/>
          <w:szCs w:val="22"/>
        </w:rPr>
        <w:t>Chair</w:t>
      </w:r>
      <w:r w:rsidRPr="00916694">
        <w:rPr>
          <w:rFonts w:cs="Calibri"/>
          <w:spacing w:val="1"/>
          <w:szCs w:val="22"/>
        </w:rPr>
        <w:t xml:space="preserve"> </w:t>
      </w:r>
      <w:r w:rsidRPr="00916694">
        <w:rPr>
          <w:rFonts w:cs="Calibri"/>
          <w:szCs w:val="22"/>
        </w:rPr>
        <w:t>of the</w:t>
      </w:r>
      <w:r w:rsidRPr="00916694">
        <w:rPr>
          <w:rFonts w:cs="Calibri"/>
          <w:spacing w:val="1"/>
          <w:szCs w:val="22"/>
        </w:rPr>
        <w:t xml:space="preserve"> </w:t>
      </w:r>
      <w:r w:rsidRPr="00916694">
        <w:rPr>
          <w:rFonts w:cs="Calibri"/>
          <w:szCs w:val="22"/>
        </w:rPr>
        <w:t>Melbourne</w:t>
      </w:r>
      <w:r w:rsidRPr="00916694">
        <w:rPr>
          <w:rFonts w:cs="Calibri"/>
          <w:spacing w:val="1"/>
          <w:szCs w:val="22"/>
        </w:rPr>
        <w:t xml:space="preserve"> </w:t>
      </w:r>
      <w:r w:rsidRPr="00916694">
        <w:rPr>
          <w:rFonts w:cs="Calibri"/>
          <w:spacing w:val="-2"/>
          <w:szCs w:val="22"/>
        </w:rPr>
        <w:t>Forum.</w:t>
      </w:r>
    </w:p>
    <w:p w14:paraId="1A9A6F7D" w14:textId="77777777" w:rsidR="00EA2D42" w:rsidRPr="00916694" w:rsidRDefault="00EA2D42" w:rsidP="0043303B">
      <w:pPr>
        <w:pStyle w:val="BodyText"/>
        <w:rPr>
          <w:rFonts w:cs="Calibri"/>
          <w:b/>
          <w:bCs/>
          <w:szCs w:val="22"/>
        </w:rPr>
      </w:pPr>
      <w:r w:rsidRPr="00916694">
        <w:rPr>
          <w:rFonts w:cs="Calibri"/>
          <w:b/>
          <w:bCs/>
          <w:szCs w:val="22"/>
        </w:rPr>
        <w:t xml:space="preserve">Allison </w:t>
      </w:r>
      <w:r w:rsidRPr="00916694">
        <w:rPr>
          <w:rFonts w:cs="Calibri"/>
          <w:b/>
          <w:bCs/>
          <w:spacing w:val="-2"/>
          <w:szCs w:val="22"/>
        </w:rPr>
        <w:t>Stewart</w:t>
      </w:r>
    </w:p>
    <w:p w14:paraId="31B3DAEA" w14:textId="77777777" w:rsidR="00EA2D42" w:rsidRPr="00916694" w:rsidRDefault="00EA2D42" w:rsidP="0043303B">
      <w:pPr>
        <w:pStyle w:val="BodyText"/>
        <w:rPr>
          <w:rFonts w:cs="Calibri"/>
          <w:b/>
          <w:bCs/>
          <w:szCs w:val="22"/>
        </w:rPr>
      </w:pPr>
      <w:r w:rsidRPr="00916694">
        <w:rPr>
          <w:rFonts w:cs="Calibri"/>
          <w:b/>
          <w:bCs/>
          <w:szCs w:val="22"/>
        </w:rPr>
        <w:t xml:space="preserve">Deputy Chief </w:t>
      </w:r>
      <w:r w:rsidRPr="00916694">
        <w:rPr>
          <w:rFonts w:cs="Calibri"/>
          <w:b/>
          <w:bCs/>
          <w:spacing w:val="-2"/>
          <w:szCs w:val="22"/>
        </w:rPr>
        <w:t>Executive</w:t>
      </w:r>
    </w:p>
    <w:p w14:paraId="5BE207F1" w14:textId="77777777" w:rsidR="00EA2D42" w:rsidRPr="00916694" w:rsidRDefault="00EA2D42" w:rsidP="0043303B">
      <w:pPr>
        <w:pStyle w:val="BodyText"/>
        <w:rPr>
          <w:rFonts w:cs="Calibri"/>
          <w:szCs w:val="22"/>
        </w:rPr>
      </w:pPr>
      <w:r w:rsidRPr="00916694">
        <w:rPr>
          <w:rFonts w:cs="Calibri"/>
          <w:szCs w:val="22"/>
        </w:rPr>
        <w:t>Dr</w:t>
      </w:r>
      <w:r w:rsidRPr="00916694">
        <w:rPr>
          <w:rFonts w:cs="Calibri"/>
          <w:spacing w:val="-10"/>
          <w:szCs w:val="22"/>
        </w:rPr>
        <w:t xml:space="preserve"> </w:t>
      </w:r>
      <w:r w:rsidRPr="00916694">
        <w:rPr>
          <w:rFonts w:cs="Calibri"/>
          <w:szCs w:val="22"/>
        </w:rPr>
        <w:t>Allison</w:t>
      </w:r>
      <w:r w:rsidRPr="00916694">
        <w:rPr>
          <w:rFonts w:cs="Calibri"/>
          <w:spacing w:val="-10"/>
          <w:szCs w:val="22"/>
        </w:rPr>
        <w:t xml:space="preserve"> </w:t>
      </w:r>
      <w:r w:rsidRPr="00916694">
        <w:rPr>
          <w:rFonts w:cs="Calibri"/>
          <w:szCs w:val="22"/>
        </w:rPr>
        <w:t>Stewart</w:t>
      </w:r>
      <w:r w:rsidRPr="00916694">
        <w:rPr>
          <w:rFonts w:cs="Calibri"/>
          <w:spacing w:val="-10"/>
          <w:szCs w:val="22"/>
        </w:rPr>
        <w:t xml:space="preserve"> </w:t>
      </w:r>
      <w:r w:rsidRPr="00916694">
        <w:rPr>
          <w:rFonts w:cs="Calibri"/>
          <w:szCs w:val="22"/>
        </w:rPr>
        <w:t>is</w:t>
      </w:r>
      <w:r w:rsidRPr="00916694">
        <w:rPr>
          <w:rFonts w:cs="Calibri"/>
          <w:spacing w:val="-10"/>
          <w:szCs w:val="22"/>
        </w:rPr>
        <w:t xml:space="preserve"> </w:t>
      </w:r>
      <w:r w:rsidRPr="00916694">
        <w:rPr>
          <w:rFonts w:cs="Calibri"/>
          <w:szCs w:val="22"/>
        </w:rPr>
        <w:t>Infrastructure Victoria’s Deputy CEO.</w:t>
      </w:r>
    </w:p>
    <w:p w14:paraId="09578697" w14:textId="77777777" w:rsidR="00EA2D42" w:rsidRPr="00916694" w:rsidRDefault="00EA2D42" w:rsidP="0043303B">
      <w:pPr>
        <w:pStyle w:val="BodyText"/>
        <w:rPr>
          <w:rFonts w:cs="Calibri"/>
          <w:szCs w:val="22"/>
        </w:rPr>
      </w:pPr>
      <w:r w:rsidRPr="00916694">
        <w:rPr>
          <w:rFonts w:cs="Calibri"/>
          <w:szCs w:val="22"/>
        </w:rPr>
        <w:t>Allison is an experienced capital projects leader, strategist, academic and management consultant specialising in infrastructure and energy.</w:t>
      </w:r>
      <w:r w:rsidRPr="00916694">
        <w:rPr>
          <w:rFonts w:cs="Calibri"/>
          <w:spacing w:val="-11"/>
          <w:szCs w:val="22"/>
        </w:rPr>
        <w:t xml:space="preserve"> </w:t>
      </w:r>
      <w:r w:rsidRPr="00916694">
        <w:rPr>
          <w:rFonts w:cs="Calibri"/>
          <w:szCs w:val="22"/>
        </w:rPr>
        <w:t>She</w:t>
      </w:r>
      <w:r w:rsidRPr="00916694">
        <w:rPr>
          <w:rFonts w:cs="Calibri"/>
          <w:spacing w:val="-11"/>
          <w:szCs w:val="22"/>
        </w:rPr>
        <w:t xml:space="preserve"> </w:t>
      </w:r>
      <w:r w:rsidRPr="00916694">
        <w:rPr>
          <w:rFonts w:cs="Calibri"/>
          <w:szCs w:val="22"/>
        </w:rPr>
        <w:t>has</w:t>
      </w:r>
      <w:r w:rsidRPr="00916694">
        <w:rPr>
          <w:rFonts w:cs="Calibri"/>
          <w:spacing w:val="-11"/>
          <w:szCs w:val="22"/>
        </w:rPr>
        <w:t xml:space="preserve"> </w:t>
      </w:r>
      <w:r w:rsidRPr="00916694">
        <w:rPr>
          <w:rFonts w:cs="Calibri"/>
          <w:szCs w:val="22"/>
        </w:rPr>
        <w:t>worked</w:t>
      </w:r>
      <w:r w:rsidRPr="00916694">
        <w:rPr>
          <w:rFonts w:cs="Calibri"/>
          <w:spacing w:val="-11"/>
          <w:szCs w:val="22"/>
        </w:rPr>
        <w:t xml:space="preserve"> </w:t>
      </w:r>
      <w:r w:rsidRPr="00916694">
        <w:rPr>
          <w:rFonts w:cs="Calibri"/>
          <w:szCs w:val="22"/>
        </w:rPr>
        <w:t>as</w:t>
      </w:r>
      <w:r w:rsidRPr="00916694">
        <w:rPr>
          <w:rFonts w:cs="Calibri"/>
          <w:spacing w:val="-11"/>
          <w:szCs w:val="22"/>
        </w:rPr>
        <w:t xml:space="preserve"> </w:t>
      </w:r>
      <w:r w:rsidRPr="00916694">
        <w:rPr>
          <w:rFonts w:cs="Calibri"/>
          <w:szCs w:val="22"/>
        </w:rPr>
        <w:t>an</w:t>
      </w:r>
      <w:r w:rsidRPr="00916694">
        <w:rPr>
          <w:rFonts w:cs="Calibri"/>
          <w:spacing w:val="-11"/>
          <w:szCs w:val="22"/>
        </w:rPr>
        <w:t xml:space="preserve"> </w:t>
      </w:r>
      <w:r w:rsidRPr="00916694">
        <w:rPr>
          <w:rFonts w:cs="Calibri"/>
          <w:szCs w:val="22"/>
        </w:rPr>
        <w:t>industry practitioner, academic, consultant,</w:t>
      </w:r>
      <w:r w:rsidRPr="00916694">
        <w:rPr>
          <w:rFonts w:cs="Calibri"/>
          <w:spacing w:val="40"/>
          <w:szCs w:val="22"/>
        </w:rPr>
        <w:t xml:space="preserve"> </w:t>
      </w:r>
      <w:r w:rsidRPr="00916694">
        <w:rPr>
          <w:rFonts w:cs="Calibri"/>
          <w:szCs w:val="22"/>
        </w:rPr>
        <w:t>and</w:t>
      </w:r>
      <w:r w:rsidRPr="00916694">
        <w:rPr>
          <w:rFonts w:cs="Calibri"/>
          <w:spacing w:val="-5"/>
          <w:szCs w:val="22"/>
        </w:rPr>
        <w:t xml:space="preserve"> </w:t>
      </w:r>
      <w:r w:rsidRPr="00916694">
        <w:rPr>
          <w:rFonts w:cs="Calibri"/>
          <w:szCs w:val="22"/>
        </w:rPr>
        <w:t>civil</w:t>
      </w:r>
      <w:r w:rsidRPr="00916694">
        <w:rPr>
          <w:rFonts w:cs="Calibri"/>
          <w:spacing w:val="-5"/>
          <w:szCs w:val="22"/>
        </w:rPr>
        <w:t xml:space="preserve"> </w:t>
      </w:r>
      <w:r w:rsidRPr="00916694">
        <w:rPr>
          <w:rFonts w:cs="Calibri"/>
          <w:szCs w:val="22"/>
        </w:rPr>
        <w:t>servant</w:t>
      </w:r>
      <w:r w:rsidRPr="00916694">
        <w:rPr>
          <w:rFonts w:cs="Calibri"/>
          <w:spacing w:val="-5"/>
          <w:szCs w:val="22"/>
        </w:rPr>
        <w:t xml:space="preserve"> </w:t>
      </w:r>
      <w:r w:rsidRPr="00916694">
        <w:rPr>
          <w:rFonts w:cs="Calibri"/>
          <w:szCs w:val="22"/>
        </w:rPr>
        <w:t>in</w:t>
      </w:r>
      <w:r w:rsidRPr="00916694">
        <w:rPr>
          <w:rFonts w:cs="Calibri"/>
          <w:spacing w:val="-5"/>
          <w:szCs w:val="22"/>
        </w:rPr>
        <w:t xml:space="preserve"> </w:t>
      </w:r>
      <w:r w:rsidRPr="00916694">
        <w:rPr>
          <w:rFonts w:cs="Calibri"/>
          <w:szCs w:val="22"/>
        </w:rPr>
        <w:t>jurisdictions</w:t>
      </w:r>
      <w:r w:rsidRPr="00916694">
        <w:rPr>
          <w:rFonts w:cs="Calibri"/>
          <w:spacing w:val="-5"/>
          <w:szCs w:val="22"/>
        </w:rPr>
        <w:t xml:space="preserve"> </w:t>
      </w:r>
      <w:r w:rsidRPr="00916694">
        <w:rPr>
          <w:rFonts w:cs="Calibri"/>
          <w:szCs w:val="22"/>
        </w:rPr>
        <w:t>around the</w:t>
      </w:r>
      <w:r w:rsidRPr="00916694">
        <w:rPr>
          <w:rFonts w:cs="Calibri"/>
          <w:spacing w:val="-13"/>
          <w:szCs w:val="22"/>
        </w:rPr>
        <w:t xml:space="preserve"> </w:t>
      </w:r>
      <w:r w:rsidRPr="00916694">
        <w:rPr>
          <w:rFonts w:cs="Calibri"/>
          <w:szCs w:val="22"/>
        </w:rPr>
        <w:t>world</w:t>
      </w:r>
      <w:r w:rsidRPr="00916694">
        <w:rPr>
          <w:rFonts w:cs="Calibri"/>
          <w:spacing w:val="-13"/>
          <w:szCs w:val="22"/>
        </w:rPr>
        <w:t xml:space="preserve"> </w:t>
      </w:r>
      <w:r w:rsidRPr="00916694">
        <w:rPr>
          <w:rFonts w:cs="Calibri"/>
          <w:szCs w:val="22"/>
        </w:rPr>
        <w:t>including</w:t>
      </w:r>
      <w:r w:rsidRPr="00916694">
        <w:rPr>
          <w:rFonts w:cs="Calibri"/>
          <w:spacing w:val="-12"/>
          <w:szCs w:val="22"/>
        </w:rPr>
        <w:t xml:space="preserve"> </w:t>
      </w:r>
      <w:r w:rsidRPr="00916694">
        <w:rPr>
          <w:rFonts w:cs="Calibri"/>
          <w:szCs w:val="22"/>
        </w:rPr>
        <w:t>Australia,</w:t>
      </w:r>
      <w:r w:rsidRPr="00916694">
        <w:rPr>
          <w:rFonts w:cs="Calibri"/>
          <w:spacing w:val="-13"/>
          <w:szCs w:val="22"/>
        </w:rPr>
        <w:t xml:space="preserve"> </w:t>
      </w:r>
      <w:r w:rsidRPr="00916694">
        <w:rPr>
          <w:rFonts w:cs="Calibri"/>
          <w:szCs w:val="22"/>
        </w:rPr>
        <w:t>Tanzania, Canada, and the United Kingdom.</w:t>
      </w:r>
    </w:p>
    <w:p w14:paraId="7DD300C1" w14:textId="77777777" w:rsidR="00EA2D42" w:rsidRPr="00916694" w:rsidRDefault="00EA2D42" w:rsidP="0043303B">
      <w:pPr>
        <w:pStyle w:val="BodyText"/>
        <w:rPr>
          <w:rFonts w:cs="Calibri"/>
          <w:szCs w:val="22"/>
        </w:rPr>
      </w:pPr>
      <w:r w:rsidRPr="00916694">
        <w:rPr>
          <w:rFonts w:cs="Calibri"/>
          <w:szCs w:val="22"/>
        </w:rPr>
        <w:t>Prior</w:t>
      </w:r>
      <w:r w:rsidRPr="00916694">
        <w:rPr>
          <w:rFonts w:cs="Calibri"/>
          <w:spacing w:val="-10"/>
          <w:szCs w:val="22"/>
        </w:rPr>
        <w:t xml:space="preserve"> </w:t>
      </w:r>
      <w:r w:rsidRPr="00916694">
        <w:rPr>
          <w:rFonts w:cs="Calibri"/>
          <w:szCs w:val="22"/>
        </w:rPr>
        <w:t>to</w:t>
      </w:r>
      <w:r w:rsidRPr="00916694">
        <w:rPr>
          <w:rFonts w:cs="Calibri"/>
          <w:spacing w:val="-10"/>
          <w:szCs w:val="22"/>
        </w:rPr>
        <w:t xml:space="preserve"> </w:t>
      </w:r>
      <w:r w:rsidRPr="00916694">
        <w:rPr>
          <w:rFonts w:cs="Calibri"/>
          <w:szCs w:val="22"/>
        </w:rPr>
        <w:t>joining</w:t>
      </w:r>
      <w:r w:rsidRPr="00916694">
        <w:rPr>
          <w:rFonts w:cs="Calibri"/>
          <w:spacing w:val="-10"/>
          <w:szCs w:val="22"/>
        </w:rPr>
        <w:t xml:space="preserve"> </w:t>
      </w:r>
      <w:r w:rsidRPr="00916694">
        <w:rPr>
          <w:rFonts w:cs="Calibri"/>
          <w:szCs w:val="22"/>
        </w:rPr>
        <w:t>Infrastructure</w:t>
      </w:r>
      <w:r w:rsidRPr="00916694">
        <w:rPr>
          <w:rFonts w:cs="Calibri"/>
          <w:spacing w:val="-10"/>
          <w:szCs w:val="22"/>
        </w:rPr>
        <w:t xml:space="preserve"> </w:t>
      </w:r>
      <w:r w:rsidRPr="00916694">
        <w:rPr>
          <w:rFonts w:cs="Calibri"/>
          <w:szCs w:val="22"/>
        </w:rPr>
        <w:t>Victoria, Allison was an executive at the Suburban Rail Loop Authority,</w:t>
      </w:r>
    </w:p>
    <w:p w14:paraId="43DE72FC" w14:textId="34A758F2" w:rsidR="00EA2D42" w:rsidRPr="00916694" w:rsidRDefault="00EA2D42" w:rsidP="0043303B">
      <w:pPr>
        <w:pStyle w:val="BodyText"/>
        <w:rPr>
          <w:rFonts w:cs="Calibri"/>
          <w:szCs w:val="22"/>
        </w:rPr>
      </w:pPr>
      <w:r w:rsidRPr="00916694">
        <w:rPr>
          <w:rFonts w:cs="Calibri"/>
          <w:szCs w:val="22"/>
        </w:rPr>
        <w:t>Victoria’s largest integrated land use</w:t>
      </w:r>
      <w:r w:rsidRPr="00916694">
        <w:rPr>
          <w:rFonts w:cs="Calibri"/>
          <w:spacing w:val="-8"/>
          <w:szCs w:val="22"/>
        </w:rPr>
        <w:t xml:space="preserve"> </w:t>
      </w:r>
      <w:r w:rsidRPr="00916694">
        <w:rPr>
          <w:rFonts w:cs="Calibri"/>
          <w:szCs w:val="22"/>
        </w:rPr>
        <w:t>and</w:t>
      </w:r>
      <w:r w:rsidRPr="00916694">
        <w:rPr>
          <w:rFonts w:cs="Calibri"/>
          <w:spacing w:val="-8"/>
          <w:szCs w:val="22"/>
        </w:rPr>
        <w:t xml:space="preserve"> </w:t>
      </w:r>
      <w:r w:rsidRPr="00916694">
        <w:rPr>
          <w:rFonts w:cs="Calibri"/>
          <w:szCs w:val="22"/>
        </w:rPr>
        <w:t>transport</w:t>
      </w:r>
      <w:r w:rsidRPr="00916694">
        <w:rPr>
          <w:rFonts w:cs="Calibri"/>
          <w:spacing w:val="-8"/>
          <w:szCs w:val="22"/>
        </w:rPr>
        <w:t xml:space="preserve"> </w:t>
      </w:r>
      <w:r w:rsidRPr="00916694">
        <w:rPr>
          <w:rFonts w:cs="Calibri"/>
          <w:szCs w:val="22"/>
        </w:rPr>
        <w:t>project.</w:t>
      </w:r>
      <w:r w:rsidRPr="00916694">
        <w:rPr>
          <w:rFonts w:cs="Calibri"/>
          <w:spacing w:val="-8"/>
          <w:szCs w:val="22"/>
        </w:rPr>
        <w:t xml:space="preserve"> </w:t>
      </w:r>
      <w:r w:rsidRPr="00916694">
        <w:rPr>
          <w:rFonts w:cs="Calibri"/>
          <w:szCs w:val="22"/>
        </w:rPr>
        <w:t>She</w:t>
      </w:r>
      <w:r w:rsidRPr="00916694">
        <w:rPr>
          <w:rFonts w:cs="Calibri"/>
          <w:spacing w:val="-8"/>
          <w:szCs w:val="22"/>
        </w:rPr>
        <w:t xml:space="preserve"> </w:t>
      </w:r>
      <w:r w:rsidRPr="00916694">
        <w:rPr>
          <w:rFonts w:cs="Calibri"/>
          <w:szCs w:val="22"/>
        </w:rPr>
        <w:t>also</w:t>
      </w:r>
      <w:r w:rsidR="003524EC" w:rsidRPr="00916694">
        <w:rPr>
          <w:rFonts w:cs="Calibri"/>
          <w:szCs w:val="22"/>
        </w:rPr>
        <w:t xml:space="preserve"> </w:t>
      </w:r>
      <w:r w:rsidRPr="00916694">
        <w:rPr>
          <w:rFonts w:cs="Calibri"/>
          <w:szCs w:val="22"/>
        </w:rPr>
        <w:t>previously</w:t>
      </w:r>
      <w:r w:rsidRPr="00916694">
        <w:rPr>
          <w:rFonts w:cs="Calibri"/>
          <w:spacing w:val="-13"/>
          <w:szCs w:val="22"/>
        </w:rPr>
        <w:t xml:space="preserve"> </w:t>
      </w:r>
      <w:r w:rsidRPr="00916694">
        <w:rPr>
          <w:rFonts w:cs="Calibri"/>
          <w:szCs w:val="22"/>
        </w:rPr>
        <w:t>led</w:t>
      </w:r>
      <w:r w:rsidRPr="00916694">
        <w:rPr>
          <w:rFonts w:cs="Calibri"/>
          <w:spacing w:val="-13"/>
          <w:szCs w:val="22"/>
        </w:rPr>
        <w:t xml:space="preserve"> </w:t>
      </w:r>
      <w:r w:rsidRPr="00916694">
        <w:rPr>
          <w:rFonts w:cs="Calibri"/>
          <w:szCs w:val="22"/>
        </w:rPr>
        <w:t>Infrastructure</w:t>
      </w:r>
      <w:r w:rsidRPr="00916694">
        <w:rPr>
          <w:rFonts w:cs="Calibri"/>
          <w:spacing w:val="-12"/>
          <w:szCs w:val="22"/>
        </w:rPr>
        <w:t xml:space="preserve"> </w:t>
      </w:r>
      <w:r w:rsidRPr="00916694">
        <w:rPr>
          <w:rFonts w:cs="Calibri"/>
          <w:szCs w:val="22"/>
        </w:rPr>
        <w:t>Victoria’s research into the infrastructure required to enable automated and zero emissions vehicles.</w:t>
      </w:r>
    </w:p>
    <w:p w14:paraId="47EDFADF" w14:textId="77777777" w:rsidR="00EA2D42" w:rsidRPr="00916694" w:rsidRDefault="00EA2D42" w:rsidP="0043303B">
      <w:pPr>
        <w:pStyle w:val="BodyText"/>
        <w:rPr>
          <w:rFonts w:cs="Calibri"/>
          <w:szCs w:val="22"/>
        </w:rPr>
      </w:pPr>
      <w:r w:rsidRPr="00916694">
        <w:rPr>
          <w:rFonts w:cs="Calibri"/>
          <w:szCs w:val="22"/>
        </w:rPr>
        <w:t>Allison holds Doctor of Philosophy in Management and Master of Science degrees</w:t>
      </w:r>
      <w:r w:rsidRPr="00916694">
        <w:rPr>
          <w:rFonts w:cs="Calibri"/>
          <w:spacing w:val="-10"/>
          <w:szCs w:val="22"/>
        </w:rPr>
        <w:t xml:space="preserve"> </w:t>
      </w:r>
      <w:r w:rsidRPr="00916694">
        <w:rPr>
          <w:rFonts w:cs="Calibri"/>
          <w:szCs w:val="22"/>
        </w:rPr>
        <w:t>from</w:t>
      </w:r>
      <w:r w:rsidRPr="00916694">
        <w:rPr>
          <w:rFonts w:cs="Calibri"/>
          <w:spacing w:val="-10"/>
          <w:szCs w:val="22"/>
        </w:rPr>
        <w:t xml:space="preserve"> </w:t>
      </w:r>
      <w:r w:rsidRPr="00916694">
        <w:rPr>
          <w:rFonts w:cs="Calibri"/>
          <w:szCs w:val="22"/>
        </w:rPr>
        <w:t>the</w:t>
      </w:r>
      <w:r w:rsidRPr="00916694">
        <w:rPr>
          <w:rFonts w:cs="Calibri"/>
          <w:spacing w:val="-10"/>
          <w:szCs w:val="22"/>
        </w:rPr>
        <w:t xml:space="preserve"> </w:t>
      </w:r>
      <w:r w:rsidRPr="00916694">
        <w:rPr>
          <w:rFonts w:cs="Calibri"/>
          <w:szCs w:val="22"/>
        </w:rPr>
        <w:t>University</w:t>
      </w:r>
      <w:r w:rsidRPr="00916694">
        <w:rPr>
          <w:rFonts w:cs="Calibri"/>
          <w:spacing w:val="-10"/>
          <w:szCs w:val="22"/>
        </w:rPr>
        <w:t xml:space="preserve"> </w:t>
      </w:r>
      <w:r w:rsidRPr="00916694">
        <w:rPr>
          <w:rFonts w:cs="Calibri"/>
          <w:szCs w:val="22"/>
        </w:rPr>
        <w:t>of</w:t>
      </w:r>
      <w:r w:rsidRPr="00916694">
        <w:rPr>
          <w:rFonts w:cs="Calibri"/>
          <w:spacing w:val="-10"/>
          <w:szCs w:val="22"/>
        </w:rPr>
        <w:t xml:space="preserve"> </w:t>
      </w:r>
      <w:r w:rsidRPr="00916694">
        <w:rPr>
          <w:rFonts w:cs="Calibri"/>
          <w:szCs w:val="22"/>
        </w:rPr>
        <w:t>Oxford, and a Bachelor of Commerce degree from McGill University. She is also a graduate of the Australian Institute of Company Directors.</w:t>
      </w:r>
    </w:p>
    <w:p w14:paraId="5BA15DBC" w14:textId="77777777" w:rsidR="003524EC" w:rsidRPr="00916694" w:rsidRDefault="00EA2D42" w:rsidP="0043303B">
      <w:pPr>
        <w:pStyle w:val="BodyText"/>
        <w:rPr>
          <w:rFonts w:cs="Calibri"/>
          <w:b/>
          <w:bCs/>
          <w:szCs w:val="22"/>
        </w:rPr>
      </w:pPr>
      <w:r w:rsidRPr="00916694">
        <w:rPr>
          <w:rFonts w:cs="Calibri"/>
          <w:b/>
          <w:bCs/>
          <w:szCs w:val="22"/>
        </w:rPr>
        <w:t xml:space="preserve">Mandy Frostick </w:t>
      </w:r>
    </w:p>
    <w:p w14:paraId="0FBE283D" w14:textId="6E7362C7" w:rsidR="00EA2D42" w:rsidRPr="00916694" w:rsidRDefault="00EA2D42" w:rsidP="0043303B">
      <w:pPr>
        <w:pStyle w:val="BodyText"/>
        <w:rPr>
          <w:rFonts w:cs="Calibri"/>
          <w:b/>
          <w:bCs/>
          <w:szCs w:val="22"/>
        </w:rPr>
      </w:pPr>
      <w:r w:rsidRPr="00916694">
        <w:rPr>
          <w:rFonts w:cs="Calibri"/>
          <w:b/>
          <w:bCs/>
          <w:szCs w:val="22"/>
        </w:rPr>
        <w:t>Executive Director Communications</w:t>
      </w:r>
      <w:r w:rsidRPr="00916694">
        <w:rPr>
          <w:rFonts w:cs="Calibri"/>
          <w:b/>
          <w:bCs/>
          <w:spacing w:val="-14"/>
          <w:szCs w:val="22"/>
        </w:rPr>
        <w:t xml:space="preserve"> </w:t>
      </w:r>
      <w:r w:rsidRPr="00916694">
        <w:rPr>
          <w:rFonts w:cs="Calibri"/>
          <w:b/>
          <w:bCs/>
          <w:szCs w:val="22"/>
        </w:rPr>
        <w:t xml:space="preserve">and </w:t>
      </w:r>
      <w:r w:rsidRPr="00916694">
        <w:rPr>
          <w:rFonts w:cs="Calibri"/>
          <w:b/>
          <w:bCs/>
          <w:spacing w:val="-2"/>
          <w:szCs w:val="22"/>
        </w:rPr>
        <w:t>Engagement</w:t>
      </w:r>
    </w:p>
    <w:p w14:paraId="0D1A5CDE" w14:textId="77777777" w:rsidR="00EA2D42" w:rsidRPr="00916694" w:rsidRDefault="00EA2D42" w:rsidP="0043303B">
      <w:pPr>
        <w:pStyle w:val="BodyText"/>
        <w:rPr>
          <w:rFonts w:cs="Calibri"/>
          <w:szCs w:val="22"/>
        </w:rPr>
      </w:pPr>
      <w:r w:rsidRPr="00916694">
        <w:rPr>
          <w:rFonts w:cs="Calibri"/>
          <w:szCs w:val="22"/>
        </w:rPr>
        <w:t>Mandy</w:t>
      </w:r>
      <w:r w:rsidRPr="00916694">
        <w:rPr>
          <w:rFonts w:cs="Calibri"/>
          <w:spacing w:val="-13"/>
          <w:szCs w:val="22"/>
        </w:rPr>
        <w:t xml:space="preserve"> </w:t>
      </w:r>
      <w:r w:rsidRPr="00916694">
        <w:rPr>
          <w:rFonts w:cs="Calibri"/>
          <w:szCs w:val="22"/>
        </w:rPr>
        <w:t>Frostick</w:t>
      </w:r>
      <w:r w:rsidRPr="00916694">
        <w:rPr>
          <w:rFonts w:cs="Calibri"/>
          <w:spacing w:val="-13"/>
          <w:szCs w:val="22"/>
        </w:rPr>
        <w:t xml:space="preserve"> </w:t>
      </w:r>
      <w:r w:rsidRPr="00916694">
        <w:rPr>
          <w:rFonts w:cs="Calibri"/>
          <w:szCs w:val="22"/>
        </w:rPr>
        <w:t>leads</w:t>
      </w:r>
      <w:r w:rsidRPr="00916694">
        <w:rPr>
          <w:rFonts w:cs="Calibri"/>
          <w:spacing w:val="-12"/>
          <w:szCs w:val="22"/>
        </w:rPr>
        <w:t xml:space="preserve"> </w:t>
      </w:r>
      <w:r w:rsidRPr="00916694">
        <w:rPr>
          <w:rFonts w:cs="Calibri"/>
          <w:szCs w:val="22"/>
        </w:rPr>
        <w:t xml:space="preserve">Infrastructure Victoria’s communications and engagement functions including strategic counsel, stakeholder relations, community engagement, media relations, brand and digital </w:t>
      </w:r>
      <w:r w:rsidRPr="00916694">
        <w:rPr>
          <w:rFonts w:cs="Calibri"/>
          <w:spacing w:val="-2"/>
          <w:szCs w:val="22"/>
        </w:rPr>
        <w:t>activity.</w:t>
      </w:r>
    </w:p>
    <w:p w14:paraId="3194ACE7" w14:textId="4D5E7051" w:rsidR="00EA2D42" w:rsidRPr="00916694" w:rsidRDefault="00EA2D42" w:rsidP="0043303B">
      <w:pPr>
        <w:pStyle w:val="BodyText"/>
        <w:rPr>
          <w:rFonts w:cs="Calibri"/>
          <w:szCs w:val="22"/>
        </w:rPr>
      </w:pPr>
      <w:r w:rsidRPr="00916694">
        <w:rPr>
          <w:rFonts w:cs="Calibri"/>
          <w:szCs w:val="22"/>
        </w:rPr>
        <w:t>Mandy has extensive consulting experience across a broad range</w:t>
      </w:r>
      <w:r w:rsidRPr="00916694">
        <w:rPr>
          <w:rFonts w:cs="Calibri"/>
          <w:spacing w:val="40"/>
          <w:szCs w:val="22"/>
        </w:rPr>
        <w:t xml:space="preserve"> </w:t>
      </w:r>
      <w:r w:rsidRPr="00916694">
        <w:rPr>
          <w:rFonts w:cs="Calibri"/>
          <w:szCs w:val="22"/>
        </w:rPr>
        <w:t>of</w:t>
      </w:r>
      <w:r w:rsidRPr="00916694">
        <w:rPr>
          <w:rFonts w:cs="Calibri"/>
          <w:spacing w:val="-9"/>
          <w:szCs w:val="22"/>
        </w:rPr>
        <w:t xml:space="preserve"> </w:t>
      </w:r>
      <w:r w:rsidRPr="00916694">
        <w:rPr>
          <w:rFonts w:cs="Calibri"/>
          <w:szCs w:val="22"/>
        </w:rPr>
        <w:t>industry</w:t>
      </w:r>
      <w:r w:rsidRPr="00916694">
        <w:rPr>
          <w:rFonts w:cs="Calibri"/>
          <w:spacing w:val="-9"/>
          <w:szCs w:val="22"/>
        </w:rPr>
        <w:t xml:space="preserve"> </w:t>
      </w:r>
      <w:r w:rsidRPr="00916694">
        <w:rPr>
          <w:rFonts w:cs="Calibri"/>
          <w:szCs w:val="22"/>
        </w:rPr>
        <w:t>sectors</w:t>
      </w:r>
      <w:r w:rsidRPr="00916694">
        <w:rPr>
          <w:rFonts w:cs="Calibri"/>
          <w:spacing w:val="-9"/>
          <w:szCs w:val="22"/>
        </w:rPr>
        <w:t xml:space="preserve"> </w:t>
      </w:r>
      <w:r w:rsidRPr="00916694">
        <w:rPr>
          <w:rFonts w:cs="Calibri"/>
          <w:szCs w:val="22"/>
        </w:rPr>
        <w:t>including</w:t>
      </w:r>
      <w:r w:rsidRPr="00916694">
        <w:rPr>
          <w:rFonts w:cs="Calibri"/>
          <w:spacing w:val="-9"/>
          <w:szCs w:val="22"/>
        </w:rPr>
        <w:t xml:space="preserve"> </w:t>
      </w:r>
      <w:r w:rsidRPr="00916694">
        <w:rPr>
          <w:rFonts w:cs="Calibri"/>
          <w:szCs w:val="22"/>
        </w:rPr>
        <w:t>health,</w:t>
      </w:r>
      <w:r w:rsidR="003524EC" w:rsidRPr="00916694">
        <w:rPr>
          <w:rFonts w:cs="Calibri"/>
          <w:szCs w:val="22"/>
        </w:rPr>
        <w:t xml:space="preserve"> </w:t>
      </w:r>
      <w:r w:rsidRPr="00916694">
        <w:rPr>
          <w:rFonts w:cs="Calibri"/>
          <w:szCs w:val="22"/>
        </w:rPr>
        <w:t>energy,</w:t>
      </w:r>
      <w:r w:rsidRPr="00916694">
        <w:rPr>
          <w:rFonts w:cs="Calibri"/>
          <w:spacing w:val="-13"/>
          <w:szCs w:val="22"/>
        </w:rPr>
        <w:t xml:space="preserve"> </w:t>
      </w:r>
      <w:r w:rsidRPr="00916694">
        <w:rPr>
          <w:rFonts w:cs="Calibri"/>
          <w:szCs w:val="22"/>
        </w:rPr>
        <w:t>resources,</w:t>
      </w:r>
      <w:r w:rsidRPr="00916694">
        <w:rPr>
          <w:rFonts w:cs="Calibri"/>
          <w:spacing w:val="-13"/>
          <w:szCs w:val="22"/>
        </w:rPr>
        <w:t xml:space="preserve"> </w:t>
      </w:r>
      <w:r w:rsidRPr="00916694">
        <w:rPr>
          <w:rFonts w:cs="Calibri"/>
          <w:szCs w:val="22"/>
        </w:rPr>
        <w:t>finance,</w:t>
      </w:r>
      <w:r w:rsidRPr="00916694">
        <w:rPr>
          <w:rFonts w:cs="Calibri"/>
          <w:spacing w:val="-12"/>
          <w:szCs w:val="22"/>
        </w:rPr>
        <w:t xml:space="preserve"> </w:t>
      </w:r>
      <w:r w:rsidRPr="00916694">
        <w:rPr>
          <w:rFonts w:cs="Calibri"/>
          <w:szCs w:val="22"/>
        </w:rPr>
        <w:t>technology and government. She has also held senior leadership positions with</w:t>
      </w:r>
      <w:r w:rsidRPr="00916694">
        <w:rPr>
          <w:rFonts w:cs="Calibri"/>
          <w:spacing w:val="-13"/>
          <w:szCs w:val="22"/>
        </w:rPr>
        <w:t xml:space="preserve"> </w:t>
      </w:r>
      <w:r w:rsidRPr="00916694">
        <w:rPr>
          <w:rFonts w:cs="Calibri"/>
          <w:szCs w:val="22"/>
        </w:rPr>
        <w:t>some</w:t>
      </w:r>
      <w:r w:rsidRPr="00916694">
        <w:rPr>
          <w:rFonts w:cs="Calibri"/>
          <w:spacing w:val="-13"/>
          <w:szCs w:val="22"/>
        </w:rPr>
        <w:t xml:space="preserve"> </w:t>
      </w:r>
      <w:r w:rsidRPr="00916694">
        <w:rPr>
          <w:rFonts w:cs="Calibri"/>
          <w:szCs w:val="22"/>
        </w:rPr>
        <w:t>of</w:t>
      </w:r>
      <w:r w:rsidRPr="00916694">
        <w:rPr>
          <w:rFonts w:cs="Calibri"/>
          <w:spacing w:val="-12"/>
          <w:szCs w:val="22"/>
        </w:rPr>
        <w:t xml:space="preserve"> </w:t>
      </w:r>
      <w:r w:rsidRPr="00916694">
        <w:rPr>
          <w:rFonts w:cs="Calibri"/>
          <w:szCs w:val="22"/>
        </w:rPr>
        <w:t>Victoria’s</w:t>
      </w:r>
      <w:r w:rsidRPr="00916694">
        <w:rPr>
          <w:rFonts w:cs="Calibri"/>
          <w:spacing w:val="-13"/>
          <w:szCs w:val="22"/>
        </w:rPr>
        <w:t xml:space="preserve"> </w:t>
      </w:r>
      <w:r w:rsidRPr="00916694">
        <w:rPr>
          <w:rFonts w:cs="Calibri"/>
          <w:szCs w:val="22"/>
        </w:rPr>
        <w:t>best-known organisations including WorkSafe, City</w:t>
      </w:r>
      <w:r w:rsidRPr="00916694">
        <w:rPr>
          <w:rFonts w:cs="Calibri"/>
          <w:spacing w:val="-11"/>
          <w:szCs w:val="22"/>
        </w:rPr>
        <w:t xml:space="preserve"> </w:t>
      </w:r>
      <w:r w:rsidRPr="00916694">
        <w:rPr>
          <w:rFonts w:cs="Calibri"/>
          <w:szCs w:val="22"/>
        </w:rPr>
        <w:t>of</w:t>
      </w:r>
      <w:r w:rsidRPr="00916694">
        <w:rPr>
          <w:rFonts w:cs="Calibri"/>
          <w:spacing w:val="-11"/>
          <w:szCs w:val="22"/>
        </w:rPr>
        <w:t xml:space="preserve"> </w:t>
      </w:r>
      <w:r w:rsidRPr="00916694">
        <w:rPr>
          <w:rFonts w:cs="Calibri"/>
          <w:szCs w:val="22"/>
        </w:rPr>
        <w:t>Melbourne,</w:t>
      </w:r>
      <w:r w:rsidRPr="00916694">
        <w:rPr>
          <w:rFonts w:cs="Calibri"/>
          <w:spacing w:val="-11"/>
          <w:szCs w:val="22"/>
        </w:rPr>
        <w:t xml:space="preserve"> </w:t>
      </w:r>
      <w:r w:rsidRPr="00916694">
        <w:rPr>
          <w:rFonts w:cs="Calibri"/>
          <w:szCs w:val="22"/>
        </w:rPr>
        <w:t>the</w:t>
      </w:r>
      <w:r w:rsidRPr="00916694">
        <w:rPr>
          <w:rFonts w:cs="Calibri"/>
          <w:spacing w:val="-11"/>
          <w:szCs w:val="22"/>
        </w:rPr>
        <w:t xml:space="preserve"> </w:t>
      </w:r>
      <w:r w:rsidRPr="00916694">
        <w:rPr>
          <w:rFonts w:cs="Calibri"/>
          <w:szCs w:val="22"/>
        </w:rPr>
        <w:t>Royal</w:t>
      </w:r>
      <w:r w:rsidRPr="00916694">
        <w:rPr>
          <w:rFonts w:cs="Calibri"/>
          <w:spacing w:val="-11"/>
          <w:szCs w:val="22"/>
        </w:rPr>
        <w:t xml:space="preserve"> </w:t>
      </w:r>
      <w:r w:rsidRPr="00916694">
        <w:rPr>
          <w:rFonts w:cs="Calibri"/>
          <w:szCs w:val="22"/>
        </w:rPr>
        <w:t>Women’s Hospital and BHP.</w:t>
      </w:r>
    </w:p>
    <w:p w14:paraId="2FB9DA48" w14:textId="3E0F36A1" w:rsidR="00EA2D42" w:rsidRPr="00916694" w:rsidRDefault="00EA2D42" w:rsidP="0043303B">
      <w:pPr>
        <w:pStyle w:val="BodyText"/>
        <w:rPr>
          <w:rFonts w:cs="Calibri"/>
          <w:szCs w:val="22"/>
        </w:rPr>
        <w:sectPr w:rsidR="00EA2D42" w:rsidRPr="00916694" w:rsidSect="00E941A5">
          <w:type w:val="continuous"/>
          <w:pgSz w:w="11910" w:h="16840"/>
          <w:pgMar w:top="1134" w:right="1278" w:bottom="1134" w:left="1134" w:header="720" w:footer="720" w:gutter="0"/>
          <w:cols w:space="720"/>
        </w:sectPr>
      </w:pPr>
      <w:r w:rsidRPr="00916694">
        <w:rPr>
          <w:rFonts w:cs="Calibri"/>
          <w:szCs w:val="22"/>
        </w:rPr>
        <w:t>Mandy is a graduate member of the</w:t>
      </w:r>
      <w:r w:rsidRPr="00916694">
        <w:rPr>
          <w:rFonts w:cs="Calibri"/>
          <w:spacing w:val="-8"/>
          <w:szCs w:val="22"/>
        </w:rPr>
        <w:t xml:space="preserve"> </w:t>
      </w:r>
      <w:r w:rsidRPr="00916694">
        <w:rPr>
          <w:rFonts w:cs="Calibri"/>
          <w:szCs w:val="22"/>
        </w:rPr>
        <w:t>Australian</w:t>
      </w:r>
      <w:r w:rsidRPr="00916694">
        <w:rPr>
          <w:rFonts w:cs="Calibri"/>
          <w:spacing w:val="-9"/>
          <w:szCs w:val="22"/>
        </w:rPr>
        <w:t xml:space="preserve"> </w:t>
      </w:r>
      <w:r w:rsidRPr="00916694">
        <w:rPr>
          <w:rFonts w:cs="Calibri"/>
          <w:szCs w:val="22"/>
        </w:rPr>
        <w:t>Institute</w:t>
      </w:r>
      <w:r w:rsidRPr="00916694">
        <w:rPr>
          <w:rFonts w:cs="Calibri"/>
          <w:spacing w:val="-8"/>
          <w:szCs w:val="22"/>
        </w:rPr>
        <w:t xml:space="preserve"> </w:t>
      </w:r>
      <w:r w:rsidRPr="00916694">
        <w:rPr>
          <w:rFonts w:cs="Calibri"/>
          <w:szCs w:val="22"/>
        </w:rPr>
        <w:t>of</w:t>
      </w:r>
      <w:r w:rsidRPr="00916694">
        <w:rPr>
          <w:rFonts w:cs="Calibri"/>
          <w:spacing w:val="-9"/>
          <w:szCs w:val="22"/>
        </w:rPr>
        <w:t xml:space="preserve"> </w:t>
      </w:r>
      <w:r w:rsidRPr="00916694">
        <w:rPr>
          <w:rFonts w:cs="Calibri"/>
          <w:szCs w:val="22"/>
        </w:rPr>
        <w:t>Company Directors</w:t>
      </w:r>
      <w:r w:rsidRPr="00916694">
        <w:rPr>
          <w:rFonts w:cs="Calibri"/>
          <w:spacing w:val="-3"/>
          <w:szCs w:val="22"/>
        </w:rPr>
        <w:t xml:space="preserve"> </w:t>
      </w:r>
      <w:r w:rsidRPr="00916694">
        <w:rPr>
          <w:rFonts w:cs="Calibri"/>
          <w:szCs w:val="22"/>
        </w:rPr>
        <w:t>and</w:t>
      </w:r>
      <w:r w:rsidRPr="00916694">
        <w:rPr>
          <w:rFonts w:cs="Calibri"/>
          <w:spacing w:val="-3"/>
          <w:szCs w:val="22"/>
        </w:rPr>
        <w:t xml:space="preserve"> </w:t>
      </w:r>
      <w:r w:rsidRPr="00916694">
        <w:rPr>
          <w:rFonts w:cs="Calibri"/>
          <w:szCs w:val="22"/>
        </w:rPr>
        <w:t>was</w:t>
      </w:r>
      <w:r w:rsidRPr="00916694">
        <w:rPr>
          <w:rFonts w:cs="Calibri"/>
          <w:spacing w:val="-3"/>
          <w:szCs w:val="22"/>
        </w:rPr>
        <w:t xml:space="preserve"> </w:t>
      </w:r>
      <w:r w:rsidRPr="00916694">
        <w:rPr>
          <w:rFonts w:cs="Calibri"/>
          <w:szCs w:val="22"/>
        </w:rPr>
        <w:t>a</w:t>
      </w:r>
      <w:r w:rsidRPr="00916694">
        <w:rPr>
          <w:rFonts w:cs="Calibri"/>
          <w:spacing w:val="-3"/>
          <w:szCs w:val="22"/>
        </w:rPr>
        <w:t xml:space="preserve"> </w:t>
      </w:r>
      <w:r w:rsidRPr="00916694">
        <w:rPr>
          <w:rFonts w:cs="Calibri"/>
          <w:szCs w:val="22"/>
        </w:rPr>
        <w:t xml:space="preserve">non-executive director of the Royal Women’s </w:t>
      </w:r>
      <w:r w:rsidRPr="00916694">
        <w:rPr>
          <w:rFonts w:cs="Calibri"/>
          <w:spacing w:val="-2"/>
          <w:szCs w:val="22"/>
        </w:rPr>
        <w:t>Hospita</w:t>
      </w:r>
    </w:p>
    <w:p w14:paraId="4A04875E" w14:textId="77777777" w:rsidR="00EA2D42" w:rsidRPr="00916694" w:rsidRDefault="00EA2D42" w:rsidP="0043303B">
      <w:pPr>
        <w:pStyle w:val="BodyText"/>
        <w:rPr>
          <w:rFonts w:cs="Calibri"/>
          <w:b/>
          <w:bCs/>
          <w:szCs w:val="22"/>
        </w:rPr>
      </w:pPr>
      <w:r w:rsidRPr="00916694">
        <w:rPr>
          <w:rFonts w:cs="Calibri"/>
          <w:b/>
          <w:bCs/>
          <w:szCs w:val="22"/>
        </w:rPr>
        <w:t xml:space="preserve">Peter </w:t>
      </w:r>
      <w:r w:rsidRPr="00916694">
        <w:rPr>
          <w:rFonts w:cs="Calibri"/>
          <w:b/>
          <w:bCs/>
          <w:spacing w:val="-2"/>
          <w:szCs w:val="22"/>
        </w:rPr>
        <w:t>Kartsidimas</w:t>
      </w:r>
    </w:p>
    <w:p w14:paraId="2ACA0973" w14:textId="77777777" w:rsidR="00EA2D42" w:rsidRPr="00916694" w:rsidRDefault="00EA2D42" w:rsidP="0043303B">
      <w:pPr>
        <w:pStyle w:val="BodyText"/>
        <w:rPr>
          <w:rFonts w:cs="Calibri"/>
          <w:b/>
          <w:bCs/>
          <w:szCs w:val="22"/>
        </w:rPr>
      </w:pPr>
      <w:r w:rsidRPr="00916694">
        <w:rPr>
          <w:rFonts w:cs="Calibri"/>
          <w:b/>
          <w:bCs/>
          <w:szCs w:val="22"/>
        </w:rPr>
        <w:t>Director</w:t>
      </w:r>
      <w:r w:rsidRPr="00916694">
        <w:rPr>
          <w:rFonts w:cs="Calibri"/>
          <w:b/>
          <w:bCs/>
          <w:spacing w:val="-3"/>
          <w:szCs w:val="22"/>
        </w:rPr>
        <w:t xml:space="preserve"> </w:t>
      </w:r>
      <w:r w:rsidRPr="00916694">
        <w:rPr>
          <w:rFonts w:cs="Calibri"/>
          <w:b/>
          <w:bCs/>
          <w:szCs w:val="22"/>
        </w:rPr>
        <w:t>Research</w:t>
      </w:r>
      <w:r w:rsidRPr="00916694">
        <w:rPr>
          <w:rFonts w:cs="Calibri"/>
          <w:b/>
          <w:bCs/>
          <w:spacing w:val="-3"/>
          <w:szCs w:val="22"/>
        </w:rPr>
        <w:t xml:space="preserve"> </w:t>
      </w:r>
      <w:r w:rsidRPr="00916694">
        <w:rPr>
          <w:rFonts w:cs="Calibri"/>
          <w:b/>
          <w:bCs/>
          <w:szCs w:val="22"/>
        </w:rPr>
        <w:t>and</w:t>
      </w:r>
      <w:r w:rsidRPr="00916694">
        <w:rPr>
          <w:rFonts w:cs="Calibri"/>
          <w:b/>
          <w:bCs/>
          <w:spacing w:val="-2"/>
          <w:szCs w:val="22"/>
        </w:rPr>
        <w:t xml:space="preserve"> Policy</w:t>
      </w:r>
    </w:p>
    <w:p w14:paraId="23D954A0" w14:textId="77777777" w:rsidR="00EA2D42" w:rsidRPr="00916694" w:rsidRDefault="00EA2D42" w:rsidP="0043303B">
      <w:pPr>
        <w:pStyle w:val="BodyText"/>
        <w:rPr>
          <w:rFonts w:cs="Calibri"/>
          <w:szCs w:val="22"/>
        </w:rPr>
      </w:pPr>
      <w:r w:rsidRPr="00916694">
        <w:rPr>
          <w:rFonts w:cs="Calibri"/>
          <w:szCs w:val="22"/>
        </w:rPr>
        <w:lastRenderedPageBreak/>
        <w:t>Peter</w:t>
      </w:r>
      <w:r w:rsidRPr="00916694">
        <w:rPr>
          <w:rFonts w:cs="Calibri"/>
          <w:spacing w:val="-13"/>
          <w:szCs w:val="22"/>
        </w:rPr>
        <w:t xml:space="preserve"> </w:t>
      </w:r>
      <w:r w:rsidRPr="00916694">
        <w:rPr>
          <w:rFonts w:cs="Calibri"/>
          <w:szCs w:val="22"/>
        </w:rPr>
        <w:t>Kartsidimas</w:t>
      </w:r>
      <w:r w:rsidRPr="00916694">
        <w:rPr>
          <w:rFonts w:cs="Calibri"/>
          <w:spacing w:val="-13"/>
          <w:szCs w:val="22"/>
        </w:rPr>
        <w:t xml:space="preserve"> </w:t>
      </w:r>
      <w:r w:rsidRPr="00916694">
        <w:rPr>
          <w:rFonts w:cs="Calibri"/>
          <w:szCs w:val="22"/>
        </w:rPr>
        <w:t>leads</w:t>
      </w:r>
      <w:r w:rsidRPr="00916694">
        <w:rPr>
          <w:rFonts w:cs="Calibri"/>
          <w:spacing w:val="-12"/>
          <w:szCs w:val="22"/>
        </w:rPr>
        <w:t xml:space="preserve"> </w:t>
      </w:r>
      <w:r w:rsidRPr="00916694">
        <w:rPr>
          <w:rFonts w:cs="Calibri"/>
          <w:szCs w:val="22"/>
        </w:rPr>
        <w:t>Infrastructure Victoria’s research in areas such as transport</w:t>
      </w:r>
      <w:r w:rsidRPr="00916694">
        <w:rPr>
          <w:rFonts w:cs="Calibri"/>
          <w:spacing w:val="-1"/>
          <w:szCs w:val="22"/>
        </w:rPr>
        <w:t xml:space="preserve"> </w:t>
      </w:r>
      <w:r w:rsidRPr="00916694">
        <w:rPr>
          <w:rFonts w:cs="Calibri"/>
          <w:szCs w:val="22"/>
        </w:rPr>
        <w:t>and</w:t>
      </w:r>
      <w:r w:rsidRPr="00916694">
        <w:rPr>
          <w:rFonts w:cs="Calibri"/>
          <w:spacing w:val="-1"/>
          <w:szCs w:val="22"/>
        </w:rPr>
        <w:t xml:space="preserve"> </w:t>
      </w:r>
      <w:r w:rsidRPr="00916694">
        <w:rPr>
          <w:rFonts w:cs="Calibri"/>
          <w:szCs w:val="22"/>
        </w:rPr>
        <w:t>infrastructure</w:t>
      </w:r>
      <w:r w:rsidRPr="00916694">
        <w:rPr>
          <w:rFonts w:cs="Calibri"/>
          <w:spacing w:val="-1"/>
          <w:szCs w:val="22"/>
        </w:rPr>
        <w:t xml:space="preserve"> </w:t>
      </w:r>
      <w:r w:rsidRPr="00916694">
        <w:rPr>
          <w:rFonts w:cs="Calibri"/>
          <w:szCs w:val="22"/>
        </w:rPr>
        <w:t>planning.</w:t>
      </w:r>
    </w:p>
    <w:p w14:paraId="63903B6A" w14:textId="77777777" w:rsidR="00EA2D42" w:rsidRPr="00916694" w:rsidRDefault="00EA2D42" w:rsidP="0043303B">
      <w:pPr>
        <w:pStyle w:val="BodyText"/>
        <w:rPr>
          <w:rFonts w:cs="Calibri"/>
          <w:szCs w:val="22"/>
        </w:rPr>
      </w:pPr>
      <w:r w:rsidRPr="00916694">
        <w:rPr>
          <w:rFonts w:cs="Calibri"/>
          <w:szCs w:val="22"/>
        </w:rPr>
        <w:t>He has more than 2 decades’ experience</w:t>
      </w:r>
      <w:r w:rsidRPr="00916694">
        <w:rPr>
          <w:rFonts w:cs="Calibri"/>
          <w:spacing w:val="-11"/>
          <w:szCs w:val="22"/>
        </w:rPr>
        <w:t xml:space="preserve"> </w:t>
      </w:r>
      <w:r w:rsidRPr="00916694">
        <w:rPr>
          <w:rFonts w:cs="Calibri"/>
          <w:szCs w:val="22"/>
        </w:rPr>
        <w:t>working</w:t>
      </w:r>
      <w:r w:rsidRPr="00916694">
        <w:rPr>
          <w:rFonts w:cs="Calibri"/>
          <w:spacing w:val="-11"/>
          <w:szCs w:val="22"/>
        </w:rPr>
        <w:t xml:space="preserve"> </w:t>
      </w:r>
      <w:r w:rsidRPr="00916694">
        <w:rPr>
          <w:rFonts w:cs="Calibri"/>
          <w:szCs w:val="22"/>
        </w:rPr>
        <w:t>across</w:t>
      </w:r>
      <w:r w:rsidRPr="00916694">
        <w:rPr>
          <w:rFonts w:cs="Calibri"/>
          <w:spacing w:val="-11"/>
          <w:szCs w:val="22"/>
        </w:rPr>
        <w:t xml:space="preserve"> </w:t>
      </w:r>
      <w:r w:rsidRPr="00916694">
        <w:rPr>
          <w:rFonts w:cs="Calibri"/>
          <w:szCs w:val="22"/>
        </w:rPr>
        <w:t>public</w:t>
      </w:r>
      <w:r w:rsidRPr="00916694">
        <w:rPr>
          <w:rFonts w:cs="Calibri"/>
          <w:spacing w:val="-11"/>
          <w:szCs w:val="22"/>
        </w:rPr>
        <w:t xml:space="preserve"> </w:t>
      </w:r>
      <w:r w:rsidRPr="00916694">
        <w:rPr>
          <w:rFonts w:cs="Calibri"/>
          <w:szCs w:val="22"/>
        </w:rPr>
        <w:t>and private sectors in the planning and design of infrastructure projects, as well as undertaking public policy and advocacy activities.</w:t>
      </w:r>
    </w:p>
    <w:p w14:paraId="2F4441AD" w14:textId="77777777" w:rsidR="00EA2D42" w:rsidRPr="00916694" w:rsidRDefault="00EA2D42" w:rsidP="0043303B">
      <w:pPr>
        <w:pStyle w:val="BodyText"/>
        <w:rPr>
          <w:rFonts w:cs="Calibri"/>
          <w:szCs w:val="22"/>
        </w:rPr>
      </w:pPr>
      <w:r w:rsidRPr="00916694">
        <w:rPr>
          <w:rFonts w:cs="Calibri"/>
          <w:szCs w:val="22"/>
        </w:rPr>
        <w:t>Peter</w:t>
      </w:r>
      <w:r w:rsidRPr="00916694">
        <w:rPr>
          <w:rFonts w:cs="Calibri"/>
          <w:spacing w:val="-8"/>
          <w:szCs w:val="22"/>
        </w:rPr>
        <w:t xml:space="preserve"> </w:t>
      </w:r>
      <w:r w:rsidRPr="00916694">
        <w:rPr>
          <w:rFonts w:cs="Calibri"/>
          <w:szCs w:val="22"/>
        </w:rPr>
        <w:t>holds</w:t>
      </w:r>
      <w:r w:rsidRPr="00916694">
        <w:rPr>
          <w:rFonts w:cs="Calibri"/>
          <w:spacing w:val="-8"/>
          <w:szCs w:val="22"/>
        </w:rPr>
        <w:t xml:space="preserve"> </w:t>
      </w:r>
      <w:r w:rsidRPr="00916694">
        <w:rPr>
          <w:rFonts w:cs="Calibri"/>
          <w:szCs w:val="22"/>
        </w:rPr>
        <w:t>a</w:t>
      </w:r>
      <w:r w:rsidRPr="00916694">
        <w:rPr>
          <w:rFonts w:cs="Calibri"/>
          <w:spacing w:val="-8"/>
          <w:szCs w:val="22"/>
        </w:rPr>
        <w:t xml:space="preserve"> </w:t>
      </w:r>
      <w:r w:rsidRPr="00916694">
        <w:rPr>
          <w:rFonts w:cs="Calibri"/>
          <w:szCs w:val="22"/>
        </w:rPr>
        <w:t>Bachelor</w:t>
      </w:r>
      <w:r w:rsidRPr="00916694">
        <w:rPr>
          <w:rFonts w:cs="Calibri"/>
          <w:spacing w:val="-8"/>
          <w:szCs w:val="22"/>
        </w:rPr>
        <w:t xml:space="preserve"> </w:t>
      </w:r>
      <w:r w:rsidRPr="00916694">
        <w:rPr>
          <w:rFonts w:cs="Calibri"/>
          <w:szCs w:val="22"/>
        </w:rPr>
        <w:t>of</w:t>
      </w:r>
      <w:r w:rsidRPr="00916694">
        <w:rPr>
          <w:rFonts w:cs="Calibri"/>
          <w:spacing w:val="-8"/>
          <w:szCs w:val="22"/>
        </w:rPr>
        <w:t xml:space="preserve"> </w:t>
      </w:r>
      <w:r w:rsidRPr="00916694">
        <w:rPr>
          <w:rFonts w:cs="Calibri"/>
          <w:szCs w:val="22"/>
        </w:rPr>
        <w:t>Engineering (Civil) and has held several volunteer leadership roles including Australian Institute of Traffic Planning and Management State President and National Chair of the Transport Modelling Network.</w:t>
      </w:r>
    </w:p>
    <w:p w14:paraId="68986076" w14:textId="77777777" w:rsidR="00EA2D42" w:rsidRPr="00916694" w:rsidRDefault="00EA2D42" w:rsidP="0043303B">
      <w:pPr>
        <w:pStyle w:val="BodyText"/>
        <w:rPr>
          <w:rFonts w:cs="Calibri"/>
          <w:b/>
          <w:bCs/>
          <w:szCs w:val="22"/>
        </w:rPr>
      </w:pPr>
      <w:r w:rsidRPr="00916694">
        <w:rPr>
          <w:rFonts w:cs="Calibri"/>
          <w:b/>
          <w:bCs/>
          <w:szCs w:val="22"/>
        </w:rPr>
        <w:t>Llewellyn</w:t>
      </w:r>
      <w:r w:rsidRPr="00916694">
        <w:rPr>
          <w:rFonts w:cs="Calibri"/>
          <w:b/>
          <w:bCs/>
          <w:spacing w:val="-2"/>
          <w:szCs w:val="22"/>
        </w:rPr>
        <w:t xml:space="preserve"> Reynders</w:t>
      </w:r>
    </w:p>
    <w:p w14:paraId="38B98E2C" w14:textId="77777777" w:rsidR="00EA2D42" w:rsidRPr="00916694" w:rsidRDefault="00EA2D42" w:rsidP="0043303B">
      <w:pPr>
        <w:pStyle w:val="BodyText"/>
        <w:rPr>
          <w:rFonts w:cs="Calibri"/>
          <w:b/>
          <w:bCs/>
          <w:szCs w:val="22"/>
        </w:rPr>
      </w:pPr>
      <w:r w:rsidRPr="00916694">
        <w:rPr>
          <w:rFonts w:cs="Calibri"/>
          <w:b/>
          <w:bCs/>
          <w:szCs w:val="22"/>
        </w:rPr>
        <w:t>Director</w:t>
      </w:r>
      <w:r w:rsidRPr="00916694">
        <w:rPr>
          <w:rFonts w:cs="Calibri"/>
          <w:b/>
          <w:bCs/>
          <w:spacing w:val="-3"/>
          <w:szCs w:val="22"/>
        </w:rPr>
        <w:t xml:space="preserve"> </w:t>
      </w:r>
      <w:r w:rsidRPr="00916694">
        <w:rPr>
          <w:rFonts w:cs="Calibri"/>
          <w:b/>
          <w:bCs/>
          <w:szCs w:val="22"/>
        </w:rPr>
        <w:t>Research</w:t>
      </w:r>
      <w:r w:rsidRPr="00916694">
        <w:rPr>
          <w:rFonts w:cs="Calibri"/>
          <w:b/>
          <w:bCs/>
          <w:spacing w:val="-3"/>
          <w:szCs w:val="22"/>
        </w:rPr>
        <w:t xml:space="preserve"> </w:t>
      </w:r>
      <w:r w:rsidRPr="00916694">
        <w:rPr>
          <w:rFonts w:cs="Calibri"/>
          <w:b/>
          <w:bCs/>
          <w:szCs w:val="22"/>
        </w:rPr>
        <w:t>and</w:t>
      </w:r>
      <w:r w:rsidRPr="00916694">
        <w:rPr>
          <w:rFonts w:cs="Calibri"/>
          <w:b/>
          <w:bCs/>
          <w:spacing w:val="-2"/>
          <w:szCs w:val="22"/>
        </w:rPr>
        <w:t xml:space="preserve"> Policy</w:t>
      </w:r>
    </w:p>
    <w:p w14:paraId="418FF8C3" w14:textId="77777777" w:rsidR="00EA2D42" w:rsidRPr="00916694" w:rsidRDefault="00EA2D42" w:rsidP="0043303B">
      <w:pPr>
        <w:pStyle w:val="BodyText"/>
        <w:rPr>
          <w:rFonts w:cs="Calibri"/>
          <w:szCs w:val="22"/>
        </w:rPr>
      </w:pPr>
      <w:r w:rsidRPr="00916694">
        <w:rPr>
          <w:rFonts w:cs="Calibri"/>
          <w:szCs w:val="22"/>
        </w:rPr>
        <w:t>Llewellyn Reynders leads Infrastructure Victoria’s research in areas such as urban productivity, housing,</w:t>
      </w:r>
      <w:r w:rsidRPr="00916694">
        <w:rPr>
          <w:rFonts w:cs="Calibri"/>
          <w:spacing w:val="-8"/>
          <w:szCs w:val="22"/>
        </w:rPr>
        <w:t xml:space="preserve"> </w:t>
      </w:r>
      <w:r w:rsidRPr="00916694">
        <w:rPr>
          <w:rFonts w:cs="Calibri"/>
          <w:szCs w:val="22"/>
        </w:rPr>
        <w:t>social</w:t>
      </w:r>
      <w:r w:rsidRPr="00916694">
        <w:rPr>
          <w:rFonts w:cs="Calibri"/>
          <w:spacing w:val="-8"/>
          <w:szCs w:val="22"/>
        </w:rPr>
        <w:t xml:space="preserve"> </w:t>
      </w:r>
      <w:r w:rsidRPr="00916694">
        <w:rPr>
          <w:rFonts w:cs="Calibri"/>
          <w:szCs w:val="22"/>
        </w:rPr>
        <w:t>equity</w:t>
      </w:r>
      <w:r w:rsidRPr="00916694">
        <w:rPr>
          <w:rFonts w:cs="Calibri"/>
          <w:spacing w:val="-8"/>
          <w:szCs w:val="22"/>
        </w:rPr>
        <w:t xml:space="preserve"> </w:t>
      </w:r>
      <w:r w:rsidRPr="00916694">
        <w:rPr>
          <w:rFonts w:cs="Calibri"/>
          <w:szCs w:val="22"/>
        </w:rPr>
        <w:t>and</w:t>
      </w:r>
      <w:r w:rsidRPr="00916694">
        <w:rPr>
          <w:rFonts w:cs="Calibri"/>
          <w:spacing w:val="-8"/>
          <w:szCs w:val="22"/>
        </w:rPr>
        <w:t xml:space="preserve"> </w:t>
      </w:r>
      <w:r w:rsidRPr="00916694">
        <w:rPr>
          <w:rFonts w:cs="Calibri"/>
          <w:szCs w:val="22"/>
        </w:rPr>
        <w:t>the</w:t>
      </w:r>
      <w:r w:rsidRPr="00916694">
        <w:rPr>
          <w:rFonts w:cs="Calibri"/>
          <w:spacing w:val="-8"/>
          <w:szCs w:val="22"/>
        </w:rPr>
        <w:t xml:space="preserve"> </w:t>
      </w:r>
      <w:r w:rsidRPr="00916694">
        <w:rPr>
          <w:rFonts w:cs="Calibri"/>
          <w:szCs w:val="22"/>
        </w:rPr>
        <w:t>impact of climate change on infrastructure.</w:t>
      </w:r>
    </w:p>
    <w:p w14:paraId="4B473551" w14:textId="77777777" w:rsidR="00EA2D42" w:rsidRPr="00916694" w:rsidRDefault="00EA2D42" w:rsidP="0043303B">
      <w:pPr>
        <w:pStyle w:val="BodyText"/>
        <w:rPr>
          <w:rFonts w:cs="Calibri"/>
          <w:szCs w:val="22"/>
        </w:rPr>
      </w:pPr>
      <w:r w:rsidRPr="00916694">
        <w:rPr>
          <w:rFonts w:cs="Calibri"/>
          <w:szCs w:val="22"/>
        </w:rPr>
        <w:t>Llewellyn</w:t>
      </w:r>
      <w:r w:rsidRPr="00916694">
        <w:rPr>
          <w:rFonts w:cs="Calibri"/>
          <w:spacing w:val="-13"/>
          <w:szCs w:val="22"/>
        </w:rPr>
        <w:t xml:space="preserve"> </w:t>
      </w:r>
      <w:r w:rsidRPr="00916694">
        <w:rPr>
          <w:rFonts w:cs="Calibri"/>
          <w:szCs w:val="22"/>
        </w:rPr>
        <w:t>joined</w:t>
      </w:r>
      <w:r w:rsidRPr="00916694">
        <w:rPr>
          <w:rFonts w:cs="Calibri"/>
          <w:spacing w:val="-13"/>
          <w:szCs w:val="22"/>
        </w:rPr>
        <w:t xml:space="preserve"> </w:t>
      </w:r>
      <w:r w:rsidRPr="00916694">
        <w:rPr>
          <w:rFonts w:cs="Calibri"/>
          <w:szCs w:val="22"/>
        </w:rPr>
        <w:t>Infrastructure</w:t>
      </w:r>
      <w:r w:rsidRPr="00916694">
        <w:rPr>
          <w:rFonts w:cs="Calibri"/>
          <w:spacing w:val="-12"/>
          <w:szCs w:val="22"/>
        </w:rPr>
        <w:t xml:space="preserve"> </w:t>
      </w:r>
      <w:r w:rsidRPr="00916694">
        <w:rPr>
          <w:rFonts w:cs="Calibri"/>
          <w:szCs w:val="22"/>
        </w:rPr>
        <w:t>Victoria as the Manager, Strategy and Policy, coordinating the development of recommendations for projects, policies and reforms and the delivery of Victoria’s infrastructure strategy 2021–2051.</w:t>
      </w:r>
      <w:r w:rsidRPr="00916694">
        <w:rPr>
          <w:rFonts w:cs="Calibri"/>
          <w:spacing w:val="-6"/>
          <w:szCs w:val="22"/>
        </w:rPr>
        <w:t xml:space="preserve"> </w:t>
      </w:r>
      <w:r w:rsidRPr="00916694">
        <w:rPr>
          <w:rFonts w:cs="Calibri"/>
          <w:szCs w:val="22"/>
        </w:rPr>
        <w:t>Llewellyn</w:t>
      </w:r>
      <w:r w:rsidRPr="00916694">
        <w:rPr>
          <w:rFonts w:cs="Calibri"/>
          <w:spacing w:val="-6"/>
          <w:szCs w:val="22"/>
        </w:rPr>
        <w:t xml:space="preserve"> </w:t>
      </w:r>
      <w:r w:rsidRPr="00916694">
        <w:rPr>
          <w:rFonts w:cs="Calibri"/>
          <w:szCs w:val="22"/>
        </w:rPr>
        <w:t>was</w:t>
      </w:r>
      <w:r w:rsidRPr="00916694">
        <w:rPr>
          <w:rFonts w:cs="Calibri"/>
          <w:spacing w:val="-6"/>
          <w:szCs w:val="22"/>
        </w:rPr>
        <w:t xml:space="preserve"> </w:t>
      </w:r>
      <w:r w:rsidRPr="00916694">
        <w:rPr>
          <w:rFonts w:cs="Calibri"/>
          <w:szCs w:val="22"/>
        </w:rPr>
        <w:t xml:space="preserve">previously policy manager at the Victorian Council of Social Service and has held leadership and policy roles in other government and not-for-profit </w:t>
      </w:r>
      <w:r w:rsidRPr="00916694">
        <w:rPr>
          <w:rFonts w:cs="Calibri"/>
          <w:spacing w:val="-2"/>
          <w:szCs w:val="22"/>
        </w:rPr>
        <w:t>organisations.</w:t>
      </w:r>
    </w:p>
    <w:p w14:paraId="05D55486" w14:textId="77777777" w:rsidR="00EA2D42" w:rsidRPr="00916694" w:rsidRDefault="00EA2D42" w:rsidP="0043303B">
      <w:pPr>
        <w:pStyle w:val="BodyText"/>
        <w:rPr>
          <w:rFonts w:cs="Calibri"/>
          <w:szCs w:val="22"/>
        </w:rPr>
      </w:pPr>
      <w:r w:rsidRPr="00916694">
        <w:rPr>
          <w:rFonts w:cs="Calibri"/>
          <w:szCs w:val="22"/>
        </w:rPr>
        <w:t>He</w:t>
      </w:r>
      <w:r w:rsidRPr="00916694">
        <w:rPr>
          <w:rFonts w:cs="Calibri"/>
          <w:spacing w:val="-7"/>
          <w:szCs w:val="22"/>
        </w:rPr>
        <w:t xml:space="preserve"> </w:t>
      </w:r>
      <w:r w:rsidRPr="00916694">
        <w:rPr>
          <w:rFonts w:cs="Calibri"/>
          <w:szCs w:val="22"/>
        </w:rPr>
        <w:t>holds</w:t>
      </w:r>
      <w:r w:rsidRPr="00916694">
        <w:rPr>
          <w:rFonts w:cs="Calibri"/>
          <w:spacing w:val="-7"/>
          <w:szCs w:val="22"/>
        </w:rPr>
        <w:t xml:space="preserve"> </w:t>
      </w:r>
      <w:r w:rsidRPr="00916694">
        <w:rPr>
          <w:rFonts w:cs="Calibri"/>
          <w:szCs w:val="22"/>
        </w:rPr>
        <w:t>a</w:t>
      </w:r>
      <w:r w:rsidRPr="00916694">
        <w:rPr>
          <w:rFonts w:cs="Calibri"/>
          <w:spacing w:val="-7"/>
          <w:szCs w:val="22"/>
        </w:rPr>
        <w:t xml:space="preserve"> </w:t>
      </w:r>
      <w:r w:rsidRPr="00916694">
        <w:rPr>
          <w:rFonts w:cs="Calibri"/>
          <w:szCs w:val="22"/>
        </w:rPr>
        <w:t>Master</w:t>
      </w:r>
      <w:r w:rsidRPr="00916694">
        <w:rPr>
          <w:rFonts w:cs="Calibri"/>
          <w:spacing w:val="-7"/>
          <w:szCs w:val="22"/>
        </w:rPr>
        <w:t xml:space="preserve"> </w:t>
      </w:r>
      <w:r w:rsidRPr="00916694">
        <w:rPr>
          <w:rFonts w:cs="Calibri"/>
          <w:szCs w:val="22"/>
        </w:rPr>
        <w:t>of</w:t>
      </w:r>
      <w:r w:rsidRPr="00916694">
        <w:rPr>
          <w:rFonts w:cs="Calibri"/>
          <w:spacing w:val="-7"/>
          <w:szCs w:val="22"/>
        </w:rPr>
        <w:t xml:space="preserve"> </w:t>
      </w:r>
      <w:r w:rsidRPr="00916694">
        <w:rPr>
          <w:rFonts w:cs="Calibri"/>
          <w:szCs w:val="22"/>
        </w:rPr>
        <w:t>Social</w:t>
      </w:r>
      <w:r w:rsidRPr="00916694">
        <w:rPr>
          <w:rFonts w:cs="Calibri"/>
          <w:spacing w:val="-7"/>
          <w:szCs w:val="22"/>
        </w:rPr>
        <w:t xml:space="preserve"> </w:t>
      </w:r>
      <w:r w:rsidRPr="00916694">
        <w:rPr>
          <w:rFonts w:cs="Calibri"/>
          <w:szCs w:val="22"/>
        </w:rPr>
        <w:t>Policy from the University of Melbourne, and a Bachelor of Economics</w:t>
      </w:r>
    </w:p>
    <w:p w14:paraId="641841F7" w14:textId="77777777" w:rsidR="00EA2D42" w:rsidRPr="00916694" w:rsidRDefault="00EA2D42" w:rsidP="0043303B">
      <w:pPr>
        <w:pStyle w:val="BodyText"/>
        <w:rPr>
          <w:rFonts w:cs="Calibri"/>
          <w:szCs w:val="22"/>
        </w:rPr>
      </w:pPr>
      <w:r w:rsidRPr="00916694">
        <w:rPr>
          <w:rFonts w:cs="Calibri"/>
          <w:szCs w:val="22"/>
        </w:rPr>
        <w:t>and</w:t>
      </w:r>
      <w:r w:rsidRPr="00916694">
        <w:rPr>
          <w:rFonts w:cs="Calibri"/>
          <w:spacing w:val="-9"/>
          <w:szCs w:val="22"/>
        </w:rPr>
        <w:t xml:space="preserve"> </w:t>
      </w:r>
      <w:r w:rsidRPr="00916694">
        <w:rPr>
          <w:rFonts w:cs="Calibri"/>
          <w:szCs w:val="22"/>
        </w:rPr>
        <w:t>Bachelor</w:t>
      </w:r>
      <w:r w:rsidRPr="00916694">
        <w:rPr>
          <w:rFonts w:cs="Calibri"/>
          <w:spacing w:val="-9"/>
          <w:szCs w:val="22"/>
        </w:rPr>
        <w:t xml:space="preserve"> </w:t>
      </w:r>
      <w:r w:rsidRPr="00916694">
        <w:rPr>
          <w:rFonts w:cs="Calibri"/>
          <w:szCs w:val="22"/>
        </w:rPr>
        <w:t>of</w:t>
      </w:r>
      <w:r w:rsidRPr="00916694">
        <w:rPr>
          <w:rFonts w:cs="Calibri"/>
          <w:spacing w:val="-9"/>
          <w:szCs w:val="22"/>
        </w:rPr>
        <w:t xml:space="preserve"> </w:t>
      </w:r>
      <w:r w:rsidRPr="00916694">
        <w:rPr>
          <w:rFonts w:cs="Calibri"/>
          <w:szCs w:val="22"/>
        </w:rPr>
        <w:t>Science</w:t>
      </w:r>
      <w:r w:rsidRPr="00916694">
        <w:rPr>
          <w:rFonts w:cs="Calibri"/>
          <w:spacing w:val="-9"/>
          <w:szCs w:val="22"/>
        </w:rPr>
        <w:t xml:space="preserve"> </w:t>
      </w:r>
      <w:r w:rsidRPr="00916694">
        <w:rPr>
          <w:rFonts w:cs="Calibri"/>
          <w:szCs w:val="22"/>
        </w:rPr>
        <w:t>from</w:t>
      </w:r>
      <w:r w:rsidRPr="00916694">
        <w:rPr>
          <w:rFonts w:cs="Calibri"/>
          <w:spacing w:val="-9"/>
          <w:szCs w:val="22"/>
        </w:rPr>
        <w:t xml:space="preserve"> </w:t>
      </w:r>
      <w:r w:rsidRPr="00916694">
        <w:rPr>
          <w:rFonts w:cs="Calibri"/>
          <w:szCs w:val="22"/>
        </w:rPr>
        <w:t>the Australian National University.</w:t>
      </w:r>
    </w:p>
    <w:p w14:paraId="610440A5" w14:textId="77777777" w:rsidR="003524EC" w:rsidRPr="00916694" w:rsidRDefault="00EA2D42" w:rsidP="0043303B">
      <w:pPr>
        <w:pStyle w:val="BodyText"/>
        <w:rPr>
          <w:rFonts w:cs="Calibri"/>
          <w:b/>
          <w:bCs/>
          <w:szCs w:val="22"/>
        </w:rPr>
      </w:pPr>
      <w:r w:rsidRPr="00916694">
        <w:rPr>
          <w:rFonts w:cs="Calibri"/>
          <w:b/>
          <w:bCs/>
          <w:szCs w:val="22"/>
        </w:rPr>
        <w:t xml:space="preserve">Victoria Thaine </w:t>
      </w:r>
    </w:p>
    <w:p w14:paraId="61919F26" w14:textId="3B23A1D5" w:rsidR="00EA2D42" w:rsidRPr="00916694" w:rsidRDefault="00EA2D42" w:rsidP="0043303B">
      <w:pPr>
        <w:pStyle w:val="BodyText"/>
        <w:rPr>
          <w:rFonts w:cs="Calibri"/>
          <w:b/>
          <w:bCs/>
          <w:szCs w:val="22"/>
        </w:rPr>
      </w:pPr>
      <w:r w:rsidRPr="00916694">
        <w:rPr>
          <w:rFonts w:cs="Calibri"/>
          <w:b/>
          <w:bCs/>
          <w:spacing w:val="-2"/>
          <w:szCs w:val="22"/>
        </w:rPr>
        <w:t>Director,</w:t>
      </w:r>
      <w:r w:rsidRPr="00916694">
        <w:rPr>
          <w:rFonts w:cs="Calibri"/>
          <w:b/>
          <w:bCs/>
          <w:spacing w:val="-12"/>
          <w:szCs w:val="22"/>
        </w:rPr>
        <w:t xml:space="preserve"> </w:t>
      </w:r>
      <w:r w:rsidRPr="00916694">
        <w:rPr>
          <w:rFonts w:cs="Calibri"/>
          <w:b/>
          <w:bCs/>
          <w:spacing w:val="-2"/>
          <w:szCs w:val="22"/>
        </w:rPr>
        <w:t>Corporate</w:t>
      </w:r>
      <w:r w:rsidRPr="00916694">
        <w:rPr>
          <w:rFonts w:cs="Calibri"/>
          <w:b/>
          <w:bCs/>
          <w:szCs w:val="22"/>
        </w:rPr>
        <w:t xml:space="preserve">&amp; People and </w:t>
      </w:r>
      <w:r w:rsidRPr="00916694">
        <w:rPr>
          <w:rFonts w:cs="Calibri"/>
          <w:b/>
          <w:bCs/>
          <w:spacing w:val="-2"/>
          <w:szCs w:val="22"/>
        </w:rPr>
        <w:t>Culture</w:t>
      </w:r>
    </w:p>
    <w:p w14:paraId="725C292B" w14:textId="171C7E3D" w:rsidR="00EA2D42" w:rsidRPr="00916694" w:rsidRDefault="00EA2D42" w:rsidP="0043303B">
      <w:pPr>
        <w:pStyle w:val="BodyText"/>
        <w:rPr>
          <w:rFonts w:cs="Calibri"/>
          <w:szCs w:val="22"/>
        </w:rPr>
      </w:pPr>
      <w:r w:rsidRPr="00916694">
        <w:rPr>
          <w:rFonts w:cs="Calibri"/>
          <w:szCs w:val="22"/>
        </w:rPr>
        <w:t>Victoria Thaine is Infrastructure Victoria’s Director Corporate &amp; People</w:t>
      </w:r>
      <w:r w:rsidRPr="00916694">
        <w:rPr>
          <w:rFonts w:cs="Calibri"/>
          <w:spacing w:val="-8"/>
          <w:szCs w:val="22"/>
        </w:rPr>
        <w:t xml:space="preserve"> </w:t>
      </w:r>
      <w:r w:rsidRPr="00916694">
        <w:rPr>
          <w:rFonts w:cs="Calibri"/>
          <w:szCs w:val="22"/>
        </w:rPr>
        <w:t>and</w:t>
      </w:r>
      <w:r w:rsidRPr="00916694">
        <w:rPr>
          <w:rFonts w:cs="Calibri"/>
          <w:spacing w:val="-8"/>
          <w:szCs w:val="22"/>
        </w:rPr>
        <w:t xml:space="preserve"> </w:t>
      </w:r>
      <w:r w:rsidRPr="00916694">
        <w:rPr>
          <w:rFonts w:cs="Calibri"/>
          <w:szCs w:val="22"/>
        </w:rPr>
        <w:t>Culture,</w:t>
      </w:r>
      <w:r w:rsidRPr="00916694">
        <w:rPr>
          <w:rFonts w:cs="Calibri"/>
          <w:spacing w:val="-8"/>
          <w:szCs w:val="22"/>
        </w:rPr>
        <w:t xml:space="preserve"> </w:t>
      </w:r>
      <w:r w:rsidRPr="00916694">
        <w:rPr>
          <w:rFonts w:cs="Calibri"/>
          <w:szCs w:val="22"/>
        </w:rPr>
        <w:t>leading</w:t>
      </w:r>
      <w:r w:rsidRPr="00916694">
        <w:rPr>
          <w:rFonts w:cs="Calibri"/>
          <w:spacing w:val="-8"/>
          <w:szCs w:val="22"/>
        </w:rPr>
        <w:t xml:space="preserve"> </w:t>
      </w:r>
      <w:r w:rsidRPr="00916694">
        <w:rPr>
          <w:rFonts w:cs="Calibri"/>
          <w:szCs w:val="22"/>
        </w:rPr>
        <w:t xml:space="preserve">the delivery of operational </w:t>
      </w:r>
      <w:r w:rsidRPr="00916694">
        <w:rPr>
          <w:rFonts w:cs="Calibri"/>
          <w:spacing w:val="-2"/>
          <w:szCs w:val="22"/>
        </w:rPr>
        <w:t>functions</w:t>
      </w:r>
      <w:r w:rsidR="003524EC" w:rsidRPr="00916694">
        <w:rPr>
          <w:rFonts w:cs="Calibri"/>
          <w:spacing w:val="-2"/>
          <w:szCs w:val="22"/>
        </w:rPr>
        <w:t xml:space="preserve"> </w:t>
      </w:r>
      <w:r w:rsidRPr="00916694">
        <w:rPr>
          <w:rFonts w:cs="Calibri"/>
          <w:szCs w:val="22"/>
        </w:rPr>
        <w:t>including</w:t>
      </w:r>
      <w:r w:rsidRPr="00916694">
        <w:rPr>
          <w:rFonts w:cs="Calibri"/>
          <w:spacing w:val="-13"/>
          <w:szCs w:val="22"/>
        </w:rPr>
        <w:t xml:space="preserve"> </w:t>
      </w:r>
      <w:r w:rsidRPr="00916694">
        <w:rPr>
          <w:rFonts w:cs="Calibri"/>
          <w:szCs w:val="22"/>
        </w:rPr>
        <w:t>procurement,</w:t>
      </w:r>
      <w:r w:rsidRPr="00916694">
        <w:rPr>
          <w:rFonts w:cs="Calibri"/>
          <w:spacing w:val="-13"/>
          <w:szCs w:val="22"/>
        </w:rPr>
        <w:t xml:space="preserve"> </w:t>
      </w:r>
      <w:r w:rsidRPr="00916694">
        <w:rPr>
          <w:rFonts w:cs="Calibri"/>
          <w:szCs w:val="22"/>
        </w:rPr>
        <w:t>budgeting</w:t>
      </w:r>
      <w:r w:rsidRPr="00916694">
        <w:rPr>
          <w:rFonts w:cs="Calibri"/>
          <w:spacing w:val="-12"/>
          <w:szCs w:val="22"/>
        </w:rPr>
        <w:t xml:space="preserve"> </w:t>
      </w:r>
      <w:r w:rsidRPr="00916694">
        <w:rPr>
          <w:rFonts w:cs="Calibri"/>
          <w:szCs w:val="22"/>
        </w:rPr>
        <w:t>and governance. She is also responsible for designing and implementing key organisational culture initiatives.</w:t>
      </w:r>
    </w:p>
    <w:p w14:paraId="54A44AC2" w14:textId="77777777" w:rsidR="00EA2D42" w:rsidRPr="00916694" w:rsidRDefault="00EA2D42" w:rsidP="0043303B">
      <w:pPr>
        <w:pStyle w:val="BodyText"/>
        <w:rPr>
          <w:rFonts w:cs="Calibri"/>
          <w:szCs w:val="22"/>
        </w:rPr>
      </w:pPr>
      <w:r w:rsidRPr="00916694">
        <w:rPr>
          <w:rFonts w:cs="Calibri"/>
          <w:szCs w:val="22"/>
        </w:rPr>
        <w:t>Prior</w:t>
      </w:r>
      <w:r w:rsidRPr="00916694">
        <w:rPr>
          <w:rFonts w:cs="Calibri"/>
          <w:spacing w:val="-9"/>
          <w:szCs w:val="22"/>
        </w:rPr>
        <w:t xml:space="preserve"> </w:t>
      </w:r>
      <w:r w:rsidRPr="00916694">
        <w:rPr>
          <w:rFonts w:cs="Calibri"/>
          <w:szCs w:val="22"/>
        </w:rPr>
        <w:t>to</w:t>
      </w:r>
      <w:r w:rsidRPr="00916694">
        <w:rPr>
          <w:rFonts w:cs="Calibri"/>
          <w:spacing w:val="-9"/>
          <w:szCs w:val="22"/>
        </w:rPr>
        <w:t xml:space="preserve"> </w:t>
      </w:r>
      <w:r w:rsidRPr="00916694">
        <w:rPr>
          <w:rFonts w:cs="Calibri"/>
          <w:szCs w:val="22"/>
        </w:rPr>
        <w:t>joining</w:t>
      </w:r>
      <w:r w:rsidRPr="00916694">
        <w:rPr>
          <w:rFonts w:cs="Calibri"/>
          <w:spacing w:val="-9"/>
          <w:szCs w:val="22"/>
        </w:rPr>
        <w:t xml:space="preserve"> </w:t>
      </w:r>
      <w:r w:rsidRPr="00916694">
        <w:rPr>
          <w:rFonts w:cs="Calibri"/>
          <w:szCs w:val="22"/>
        </w:rPr>
        <w:t>Infrastructure</w:t>
      </w:r>
      <w:r w:rsidRPr="00916694">
        <w:rPr>
          <w:rFonts w:cs="Calibri"/>
          <w:spacing w:val="-9"/>
          <w:szCs w:val="22"/>
        </w:rPr>
        <w:t xml:space="preserve"> </w:t>
      </w:r>
      <w:r w:rsidRPr="00916694">
        <w:rPr>
          <w:rFonts w:cs="Calibri"/>
          <w:szCs w:val="22"/>
        </w:rPr>
        <w:t>Victoria, Victoria worked across a variety of government agencies, including in large departments, central agencies and private ministerial offices.</w:t>
      </w:r>
    </w:p>
    <w:p w14:paraId="3962E5AD" w14:textId="2D01F958" w:rsidR="00EA2D42" w:rsidRPr="00916694" w:rsidRDefault="00EA2D42" w:rsidP="0043303B">
      <w:pPr>
        <w:pStyle w:val="BodyText"/>
        <w:rPr>
          <w:rFonts w:cs="Calibri"/>
          <w:szCs w:val="22"/>
        </w:rPr>
        <w:sectPr w:rsidR="00EA2D42" w:rsidRPr="00916694" w:rsidSect="00E941A5">
          <w:type w:val="continuous"/>
          <w:pgSz w:w="11910" w:h="16840"/>
          <w:pgMar w:top="1134" w:right="1278" w:bottom="1134" w:left="1134" w:header="720" w:footer="720" w:gutter="0"/>
          <w:cols w:space="720"/>
        </w:sectPr>
      </w:pPr>
      <w:r w:rsidRPr="00916694">
        <w:rPr>
          <w:rFonts w:cs="Calibri"/>
          <w:szCs w:val="22"/>
        </w:rPr>
        <w:t>Victoria is a certified organisational coach,</w:t>
      </w:r>
      <w:r w:rsidRPr="00916694">
        <w:rPr>
          <w:rFonts w:cs="Calibri"/>
          <w:spacing w:val="-9"/>
          <w:szCs w:val="22"/>
        </w:rPr>
        <w:t xml:space="preserve"> </w:t>
      </w:r>
      <w:r w:rsidRPr="00916694">
        <w:rPr>
          <w:rFonts w:cs="Calibri"/>
          <w:szCs w:val="22"/>
        </w:rPr>
        <w:t>holds</w:t>
      </w:r>
      <w:r w:rsidRPr="00916694">
        <w:rPr>
          <w:rFonts w:cs="Calibri"/>
          <w:spacing w:val="-9"/>
          <w:szCs w:val="22"/>
        </w:rPr>
        <w:t xml:space="preserve"> </w:t>
      </w:r>
      <w:r w:rsidRPr="00916694">
        <w:rPr>
          <w:rFonts w:cs="Calibri"/>
          <w:szCs w:val="22"/>
        </w:rPr>
        <w:t>a</w:t>
      </w:r>
      <w:r w:rsidRPr="00916694">
        <w:rPr>
          <w:rFonts w:cs="Calibri"/>
          <w:spacing w:val="-9"/>
          <w:szCs w:val="22"/>
        </w:rPr>
        <w:t xml:space="preserve"> </w:t>
      </w:r>
      <w:r w:rsidRPr="00916694">
        <w:rPr>
          <w:rFonts w:cs="Calibri"/>
          <w:szCs w:val="22"/>
        </w:rPr>
        <w:t>Graduate</w:t>
      </w:r>
      <w:r w:rsidRPr="00916694">
        <w:rPr>
          <w:rFonts w:cs="Calibri"/>
          <w:spacing w:val="-9"/>
          <w:szCs w:val="22"/>
        </w:rPr>
        <w:t xml:space="preserve"> </w:t>
      </w:r>
      <w:r w:rsidRPr="00916694">
        <w:rPr>
          <w:rFonts w:cs="Calibri"/>
          <w:szCs w:val="22"/>
        </w:rPr>
        <w:t>Certificate in Business Administration and is a graduate of the Australian Institute of Company Directors course.</w:t>
      </w:r>
    </w:p>
    <w:p w14:paraId="1CA1250E" w14:textId="77777777" w:rsidR="00FA4226" w:rsidRPr="00CA2CC1" w:rsidRDefault="00FA4226" w:rsidP="0043303B">
      <w:pPr>
        <w:rPr>
          <w:rFonts w:cs="Calibri"/>
          <w:sz w:val="20"/>
        </w:rPr>
        <w:sectPr w:rsidR="00FA4226" w:rsidRPr="00CA2CC1" w:rsidSect="00E941A5">
          <w:pgSz w:w="11910" w:h="16840"/>
          <w:pgMar w:top="1134" w:right="1278" w:bottom="1134" w:left="1134" w:header="720" w:footer="720" w:gutter="0"/>
          <w:cols w:space="720"/>
        </w:sectPr>
      </w:pPr>
    </w:p>
    <w:p w14:paraId="3DA2B6AC" w14:textId="02825433" w:rsidR="00FA4226" w:rsidRPr="00916694" w:rsidRDefault="00000000" w:rsidP="00916694">
      <w:pPr>
        <w:pStyle w:val="Heading3"/>
      </w:pPr>
      <w:bookmarkStart w:id="38" w:name="Organisational_structure"/>
      <w:bookmarkStart w:id="39" w:name="_bookmark18"/>
      <w:bookmarkEnd w:id="38"/>
      <w:bookmarkEnd w:id="39"/>
      <w:r w:rsidRPr="00916694">
        <w:t>Organisational structure</w:t>
      </w:r>
    </w:p>
    <w:p w14:paraId="2646BEA0" w14:textId="3DDD35AD" w:rsidR="00EA2D42" w:rsidRPr="00CA2CC1" w:rsidRDefault="00000000" w:rsidP="0043303B">
      <w:pPr>
        <w:pStyle w:val="BodyText"/>
        <w:rPr>
          <w:rFonts w:cs="Calibri"/>
          <w:color w:val="34AFC8"/>
          <w:spacing w:val="-2"/>
        </w:rPr>
      </w:pPr>
      <w:r w:rsidRPr="00CA2CC1">
        <w:rPr>
          <w:rFonts w:cs="Calibri"/>
        </w:rPr>
        <w:t>Infrastructure Victoria is managed within three groups: Communication</w:t>
      </w:r>
      <w:r w:rsidRPr="00CA2CC1">
        <w:rPr>
          <w:rFonts w:cs="Calibri"/>
          <w:spacing w:val="-11"/>
        </w:rPr>
        <w:t xml:space="preserve"> </w:t>
      </w:r>
      <w:r w:rsidRPr="00CA2CC1">
        <w:rPr>
          <w:rFonts w:cs="Calibri"/>
        </w:rPr>
        <w:t>and</w:t>
      </w:r>
      <w:r w:rsidRPr="00CA2CC1">
        <w:rPr>
          <w:rFonts w:cs="Calibri"/>
          <w:spacing w:val="-11"/>
        </w:rPr>
        <w:t xml:space="preserve"> </w:t>
      </w:r>
      <w:r w:rsidRPr="00CA2CC1">
        <w:rPr>
          <w:rFonts w:cs="Calibri"/>
        </w:rPr>
        <w:t>Engagement,</w:t>
      </w:r>
      <w:r w:rsidRPr="00CA2CC1">
        <w:rPr>
          <w:rFonts w:cs="Calibri"/>
          <w:spacing w:val="-11"/>
        </w:rPr>
        <w:t xml:space="preserve"> </w:t>
      </w:r>
      <w:r w:rsidRPr="00CA2CC1">
        <w:rPr>
          <w:rFonts w:cs="Calibri"/>
        </w:rPr>
        <w:t>Research</w:t>
      </w:r>
      <w:r w:rsidRPr="00CA2CC1">
        <w:rPr>
          <w:rFonts w:cs="Calibri"/>
          <w:spacing w:val="-11"/>
        </w:rPr>
        <w:t xml:space="preserve"> </w:t>
      </w:r>
      <w:r w:rsidRPr="00CA2CC1">
        <w:rPr>
          <w:rFonts w:cs="Calibri"/>
        </w:rPr>
        <w:t>and</w:t>
      </w:r>
      <w:r w:rsidRPr="00CA2CC1">
        <w:rPr>
          <w:rFonts w:cs="Calibri"/>
          <w:spacing w:val="-11"/>
        </w:rPr>
        <w:t xml:space="preserve"> </w:t>
      </w:r>
      <w:r w:rsidRPr="00CA2CC1">
        <w:rPr>
          <w:rFonts w:cs="Calibri"/>
        </w:rPr>
        <w:t>Policy, and Corporate, People &amp; Culture.</w:t>
      </w:r>
      <w:r w:rsidR="00EA2D42" w:rsidRPr="00CA2CC1">
        <w:rPr>
          <w:rFonts w:cs="Calibri"/>
          <w:color w:val="34AFC8"/>
          <w:spacing w:val="-2"/>
        </w:rPr>
        <w:t xml:space="preserve"> </w:t>
      </w:r>
    </w:p>
    <w:p w14:paraId="3AD5E38F" w14:textId="77777777" w:rsidR="00FA4226" w:rsidRPr="00CA2CC1" w:rsidRDefault="00FA4226" w:rsidP="0043303B">
      <w:pPr>
        <w:pStyle w:val="BodyText"/>
        <w:rPr>
          <w:rFonts w:cs="Calibri"/>
          <w:sz w:val="16"/>
        </w:rPr>
      </w:pPr>
    </w:p>
    <w:p w14:paraId="6E71C52D" w14:textId="2272821D" w:rsidR="00AB690E" w:rsidRPr="00CA2CC1" w:rsidRDefault="00AB690E" w:rsidP="0043303B">
      <w:pPr>
        <w:pStyle w:val="BodyText"/>
        <w:rPr>
          <w:rFonts w:cs="Calibri"/>
          <w:sz w:val="16"/>
        </w:rPr>
        <w:sectPr w:rsidR="00AB690E" w:rsidRPr="00CA2CC1" w:rsidSect="00E941A5">
          <w:type w:val="continuous"/>
          <w:pgSz w:w="11910" w:h="16840"/>
          <w:pgMar w:top="1134" w:right="1278" w:bottom="1134" w:left="1134" w:header="720" w:footer="720" w:gutter="0"/>
          <w:cols w:space="720"/>
        </w:sectPr>
      </w:pPr>
      <w:r w:rsidRPr="00CA2CC1">
        <w:rPr>
          <w:rFonts w:cs="Calibri"/>
          <w:noProof/>
          <w:sz w:val="16"/>
        </w:rPr>
        <w:drawing>
          <wp:inline distT="0" distB="0" distL="0" distR="0" wp14:anchorId="1DF666C2" wp14:editId="5217CF23">
            <wp:extent cx="6031230" cy="4358005"/>
            <wp:effectExtent l="0" t="0" r="1270" b="0"/>
            <wp:docPr id="1354324929" name="Picture 1" descr="A diagram of company organiz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324929" name="Picture 1" descr="A diagram of company organization&#10;&#10;Description automatically generated with medium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031230" cy="4358005"/>
                    </a:xfrm>
                    <a:prstGeom prst="rect">
                      <a:avLst/>
                    </a:prstGeom>
                  </pic:spPr>
                </pic:pic>
              </a:graphicData>
            </a:graphic>
          </wp:inline>
        </w:drawing>
      </w:r>
    </w:p>
    <w:p w14:paraId="0E2C51D8" w14:textId="77777777" w:rsidR="003843B6" w:rsidRPr="00CA2CC1" w:rsidRDefault="003843B6" w:rsidP="0043303B">
      <w:pPr>
        <w:pStyle w:val="Heading3"/>
        <w:spacing w:before="36"/>
        <w:rPr>
          <w:rFonts w:cs="Calibri"/>
          <w:color w:val="34AFC8"/>
        </w:rPr>
      </w:pPr>
    </w:p>
    <w:p w14:paraId="4E113D51" w14:textId="7DB7C5CD" w:rsidR="00FA4226" w:rsidRPr="003375C9" w:rsidRDefault="00000000" w:rsidP="003375C9">
      <w:pPr>
        <w:pStyle w:val="Heading3"/>
      </w:pPr>
      <w:r w:rsidRPr="003375C9">
        <w:t>Conflicts of Interest or Duties</w:t>
      </w:r>
    </w:p>
    <w:p w14:paraId="31BDCB34" w14:textId="6980292B" w:rsidR="00FA4226" w:rsidRPr="00CA2CC1" w:rsidRDefault="00000000" w:rsidP="0043303B">
      <w:pPr>
        <w:pStyle w:val="BodyText"/>
        <w:spacing w:before="88"/>
        <w:rPr>
          <w:rFonts w:cs="Calibri"/>
        </w:rPr>
      </w:pPr>
      <w:r w:rsidRPr="00CA2CC1">
        <w:rPr>
          <w:rFonts w:cs="Calibri"/>
          <w:color w:val="414042"/>
        </w:rPr>
        <w:t>Infrastructure</w:t>
      </w:r>
      <w:r w:rsidRPr="00CA2CC1">
        <w:rPr>
          <w:rFonts w:cs="Calibri"/>
          <w:color w:val="414042"/>
          <w:spacing w:val="-9"/>
        </w:rPr>
        <w:t xml:space="preserve"> </w:t>
      </w:r>
      <w:r w:rsidRPr="00CA2CC1">
        <w:rPr>
          <w:rFonts w:cs="Calibri"/>
          <w:color w:val="414042"/>
        </w:rPr>
        <w:t>Victoria’s</w:t>
      </w:r>
      <w:r w:rsidRPr="00CA2CC1">
        <w:rPr>
          <w:rFonts w:cs="Calibri"/>
          <w:color w:val="414042"/>
          <w:spacing w:val="-9"/>
        </w:rPr>
        <w:t xml:space="preserve"> </w:t>
      </w:r>
      <w:r w:rsidRPr="00CA2CC1">
        <w:rPr>
          <w:rFonts w:cs="Calibri"/>
          <w:color w:val="414042"/>
        </w:rPr>
        <w:t>Conflicts</w:t>
      </w:r>
      <w:r w:rsidRPr="00CA2CC1">
        <w:rPr>
          <w:rFonts w:cs="Calibri"/>
          <w:color w:val="414042"/>
          <w:spacing w:val="-9"/>
        </w:rPr>
        <w:t xml:space="preserve"> </w:t>
      </w:r>
      <w:r w:rsidRPr="00CA2CC1">
        <w:rPr>
          <w:rFonts w:cs="Calibri"/>
          <w:color w:val="414042"/>
        </w:rPr>
        <w:t>of</w:t>
      </w:r>
      <w:r w:rsidRPr="00CA2CC1">
        <w:rPr>
          <w:rFonts w:cs="Calibri"/>
          <w:color w:val="414042"/>
          <w:spacing w:val="-9"/>
        </w:rPr>
        <w:t xml:space="preserve"> </w:t>
      </w:r>
      <w:r w:rsidRPr="00CA2CC1">
        <w:rPr>
          <w:rFonts w:cs="Calibri"/>
          <w:color w:val="414042"/>
        </w:rPr>
        <w:t>Interest</w:t>
      </w:r>
      <w:r w:rsidRPr="00CA2CC1">
        <w:rPr>
          <w:rFonts w:cs="Calibri"/>
          <w:color w:val="414042"/>
          <w:spacing w:val="-9"/>
        </w:rPr>
        <w:t xml:space="preserve"> </w:t>
      </w:r>
      <w:r w:rsidRPr="00CA2CC1">
        <w:rPr>
          <w:rFonts w:cs="Calibri"/>
          <w:color w:val="414042"/>
        </w:rPr>
        <w:t>or</w:t>
      </w:r>
      <w:r w:rsidRPr="00CA2CC1">
        <w:rPr>
          <w:rFonts w:cs="Calibri"/>
          <w:color w:val="414042"/>
          <w:spacing w:val="-9"/>
        </w:rPr>
        <w:t xml:space="preserve"> </w:t>
      </w:r>
      <w:r w:rsidRPr="00CA2CC1">
        <w:rPr>
          <w:rFonts w:cs="Calibri"/>
          <w:color w:val="414042"/>
        </w:rPr>
        <w:t>Duties</w:t>
      </w:r>
      <w:r w:rsidRPr="00CA2CC1">
        <w:rPr>
          <w:rFonts w:cs="Calibri"/>
          <w:color w:val="414042"/>
          <w:spacing w:val="-9"/>
        </w:rPr>
        <w:t xml:space="preserve"> </w:t>
      </w:r>
      <w:r w:rsidRPr="00CA2CC1">
        <w:rPr>
          <w:rFonts w:cs="Calibri"/>
          <w:color w:val="414042"/>
        </w:rPr>
        <w:t>policy sets out the board’s obligations in relation to managing conflicts of interest or duties. The policy ensures there is</w:t>
      </w:r>
      <w:r w:rsidR="00EE2915" w:rsidRPr="00CA2CC1">
        <w:rPr>
          <w:rFonts w:cs="Calibri"/>
        </w:rPr>
        <w:t xml:space="preserve"> </w:t>
      </w:r>
      <w:r w:rsidRPr="00CA2CC1">
        <w:rPr>
          <w:rFonts w:cs="Calibri"/>
          <w:color w:val="414042"/>
        </w:rPr>
        <w:t>a clear, transparent and accountable process in place for directors to manage conflicts of interest or duties. The policy fulfils Infrastructure Victoria’s legislative obligations regarding</w:t>
      </w:r>
      <w:r w:rsidRPr="00CA2CC1">
        <w:rPr>
          <w:rFonts w:cs="Calibri"/>
          <w:color w:val="414042"/>
          <w:spacing w:val="-6"/>
        </w:rPr>
        <w:t xml:space="preserve"> </w:t>
      </w:r>
      <w:r w:rsidRPr="00CA2CC1">
        <w:rPr>
          <w:rFonts w:cs="Calibri"/>
          <w:color w:val="414042"/>
        </w:rPr>
        <w:t>conflicts</w:t>
      </w:r>
      <w:r w:rsidRPr="00CA2CC1">
        <w:rPr>
          <w:rFonts w:cs="Calibri"/>
          <w:color w:val="414042"/>
          <w:spacing w:val="-6"/>
        </w:rPr>
        <w:t xml:space="preserve"> </w:t>
      </w:r>
      <w:r w:rsidRPr="00CA2CC1">
        <w:rPr>
          <w:rFonts w:cs="Calibri"/>
          <w:color w:val="414042"/>
        </w:rPr>
        <w:t>of</w:t>
      </w:r>
      <w:r w:rsidRPr="00CA2CC1">
        <w:rPr>
          <w:rFonts w:cs="Calibri"/>
          <w:color w:val="414042"/>
          <w:spacing w:val="-6"/>
        </w:rPr>
        <w:t xml:space="preserve"> </w:t>
      </w:r>
      <w:r w:rsidRPr="00CA2CC1">
        <w:rPr>
          <w:rFonts w:cs="Calibri"/>
          <w:color w:val="414042"/>
        </w:rPr>
        <w:t>interest</w:t>
      </w:r>
      <w:r w:rsidRPr="00CA2CC1">
        <w:rPr>
          <w:rFonts w:cs="Calibri"/>
          <w:color w:val="414042"/>
          <w:spacing w:val="-6"/>
        </w:rPr>
        <w:t xml:space="preserve"> </w:t>
      </w:r>
      <w:r w:rsidRPr="00CA2CC1">
        <w:rPr>
          <w:rFonts w:cs="Calibri"/>
          <w:color w:val="414042"/>
        </w:rPr>
        <w:t>or</w:t>
      </w:r>
      <w:r w:rsidRPr="00CA2CC1">
        <w:rPr>
          <w:rFonts w:cs="Calibri"/>
          <w:color w:val="414042"/>
          <w:spacing w:val="-6"/>
        </w:rPr>
        <w:t xml:space="preserve"> </w:t>
      </w:r>
      <w:r w:rsidRPr="00CA2CC1">
        <w:rPr>
          <w:rFonts w:cs="Calibri"/>
          <w:color w:val="414042"/>
        </w:rPr>
        <w:t>duties</w:t>
      </w:r>
      <w:r w:rsidRPr="00CA2CC1">
        <w:rPr>
          <w:rFonts w:cs="Calibri"/>
          <w:color w:val="414042"/>
          <w:spacing w:val="-6"/>
        </w:rPr>
        <w:t xml:space="preserve"> </w:t>
      </w:r>
      <w:r w:rsidRPr="00CA2CC1">
        <w:rPr>
          <w:rFonts w:cs="Calibri"/>
          <w:color w:val="414042"/>
        </w:rPr>
        <w:t>under</w:t>
      </w:r>
      <w:r w:rsidRPr="00CA2CC1">
        <w:rPr>
          <w:rFonts w:cs="Calibri"/>
          <w:color w:val="414042"/>
          <w:spacing w:val="-6"/>
        </w:rPr>
        <w:t xml:space="preserve"> </w:t>
      </w:r>
      <w:r w:rsidRPr="00CA2CC1">
        <w:rPr>
          <w:rFonts w:cs="Calibri"/>
          <w:color w:val="414042"/>
        </w:rPr>
        <w:t>both</w:t>
      </w:r>
      <w:r w:rsidRPr="00CA2CC1">
        <w:rPr>
          <w:rFonts w:cs="Calibri"/>
          <w:color w:val="414042"/>
          <w:spacing w:val="-6"/>
        </w:rPr>
        <w:t xml:space="preserve"> </w:t>
      </w:r>
      <w:r w:rsidRPr="00CA2CC1">
        <w:rPr>
          <w:rFonts w:cs="Calibri"/>
          <w:color w:val="414042"/>
        </w:rPr>
        <w:t xml:space="preserve">section 81 of the </w:t>
      </w:r>
      <w:r w:rsidRPr="00CA2CC1">
        <w:rPr>
          <w:rFonts w:cs="Calibri"/>
          <w:i/>
          <w:color w:val="414042"/>
        </w:rPr>
        <w:t xml:space="preserve">Public Administration Act 2004 </w:t>
      </w:r>
      <w:r w:rsidRPr="00CA2CC1">
        <w:rPr>
          <w:rFonts w:cs="Calibri"/>
          <w:color w:val="414042"/>
        </w:rPr>
        <w:t xml:space="preserve">and section 26 of the </w:t>
      </w:r>
      <w:r w:rsidRPr="00CA2CC1">
        <w:rPr>
          <w:rFonts w:cs="Calibri"/>
          <w:i/>
          <w:color w:val="414042"/>
        </w:rPr>
        <w:t>Infrastructure Victoria Act 2015</w:t>
      </w:r>
      <w:r w:rsidRPr="00CA2CC1">
        <w:rPr>
          <w:rFonts w:cs="Calibri"/>
          <w:color w:val="414042"/>
        </w:rPr>
        <w:t>. Under these Acts, Infrastructure Victoria must report any details of a conflict of interest disclosed by a director in a financial year.</w:t>
      </w:r>
    </w:p>
    <w:p w14:paraId="592957E4" w14:textId="77777777" w:rsidR="00FA4226" w:rsidRPr="00CA2CC1" w:rsidRDefault="00000000" w:rsidP="0043303B">
      <w:pPr>
        <w:pStyle w:val="BodyText"/>
        <w:spacing w:before="108"/>
        <w:rPr>
          <w:rFonts w:cs="Calibri"/>
        </w:rPr>
      </w:pPr>
      <w:r w:rsidRPr="00CA2CC1">
        <w:rPr>
          <w:rFonts w:cs="Calibri"/>
          <w:color w:val="414042"/>
        </w:rPr>
        <w:t>To avoid any actual or perceived conflict of interest, David Martine,</w:t>
      </w:r>
      <w:r w:rsidRPr="00CA2CC1">
        <w:rPr>
          <w:rFonts w:cs="Calibri"/>
          <w:color w:val="414042"/>
          <w:spacing w:val="-3"/>
        </w:rPr>
        <w:t xml:space="preserve"> </w:t>
      </w:r>
      <w:r w:rsidRPr="00CA2CC1">
        <w:rPr>
          <w:rFonts w:cs="Calibri"/>
          <w:color w:val="414042"/>
        </w:rPr>
        <w:t>Jeremi</w:t>
      </w:r>
      <w:r w:rsidRPr="00CA2CC1">
        <w:rPr>
          <w:rFonts w:cs="Calibri"/>
          <w:color w:val="414042"/>
          <w:spacing w:val="-3"/>
        </w:rPr>
        <w:t xml:space="preserve"> </w:t>
      </w:r>
      <w:r w:rsidRPr="00CA2CC1">
        <w:rPr>
          <w:rFonts w:cs="Calibri"/>
          <w:color w:val="414042"/>
        </w:rPr>
        <w:t>Moule</w:t>
      </w:r>
      <w:r w:rsidRPr="00CA2CC1">
        <w:rPr>
          <w:rFonts w:cs="Calibri"/>
          <w:color w:val="414042"/>
          <w:spacing w:val="-3"/>
        </w:rPr>
        <w:t xml:space="preserve"> </w:t>
      </w:r>
      <w:r w:rsidRPr="00CA2CC1">
        <w:rPr>
          <w:rFonts w:cs="Calibri"/>
          <w:color w:val="414042"/>
        </w:rPr>
        <w:t>and</w:t>
      </w:r>
      <w:r w:rsidRPr="00CA2CC1">
        <w:rPr>
          <w:rFonts w:cs="Calibri"/>
          <w:color w:val="414042"/>
          <w:spacing w:val="-3"/>
        </w:rPr>
        <w:t xml:space="preserve"> </w:t>
      </w:r>
      <w:r w:rsidRPr="00CA2CC1">
        <w:rPr>
          <w:rFonts w:cs="Calibri"/>
          <w:color w:val="414042"/>
        </w:rPr>
        <w:t>John</w:t>
      </w:r>
      <w:r w:rsidRPr="00CA2CC1">
        <w:rPr>
          <w:rFonts w:cs="Calibri"/>
          <w:color w:val="414042"/>
          <w:spacing w:val="-3"/>
        </w:rPr>
        <w:t xml:space="preserve"> </w:t>
      </w:r>
      <w:r w:rsidRPr="00CA2CC1">
        <w:rPr>
          <w:rFonts w:cs="Calibri"/>
          <w:color w:val="414042"/>
        </w:rPr>
        <w:t>Bradley</w:t>
      </w:r>
      <w:r w:rsidRPr="00CA2CC1">
        <w:rPr>
          <w:rFonts w:cs="Calibri"/>
          <w:color w:val="414042"/>
          <w:spacing w:val="-3"/>
        </w:rPr>
        <w:t xml:space="preserve"> </w:t>
      </w:r>
      <w:r w:rsidRPr="00CA2CC1">
        <w:rPr>
          <w:rFonts w:cs="Calibri"/>
          <w:color w:val="414042"/>
        </w:rPr>
        <w:t>were</w:t>
      </w:r>
      <w:r w:rsidRPr="00CA2CC1">
        <w:rPr>
          <w:rFonts w:cs="Calibri"/>
          <w:color w:val="414042"/>
          <w:spacing w:val="-3"/>
        </w:rPr>
        <w:t xml:space="preserve"> </w:t>
      </w:r>
      <w:r w:rsidRPr="00CA2CC1">
        <w:rPr>
          <w:rFonts w:cs="Calibri"/>
          <w:color w:val="414042"/>
        </w:rPr>
        <w:t>not</w:t>
      </w:r>
      <w:r w:rsidRPr="00CA2CC1">
        <w:rPr>
          <w:rFonts w:cs="Calibri"/>
          <w:color w:val="414042"/>
          <w:spacing w:val="-3"/>
        </w:rPr>
        <w:t xml:space="preserve"> </w:t>
      </w:r>
      <w:r w:rsidRPr="00CA2CC1">
        <w:rPr>
          <w:rFonts w:cs="Calibri"/>
          <w:color w:val="414042"/>
        </w:rPr>
        <w:t>provided with papers considering Infrastructure Victoria’s annual assessment of the Victorian Government’s priorities and progress in meeting Victoria’s infrastructure needs at a meeting of the board on 15 September 2022. Jeremi</w:t>
      </w:r>
      <w:r w:rsidRPr="00CA2CC1">
        <w:rPr>
          <w:rFonts w:cs="Calibri"/>
          <w:color w:val="414042"/>
          <w:spacing w:val="40"/>
        </w:rPr>
        <w:t xml:space="preserve"> </w:t>
      </w:r>
      <w:r w:rsidRPr="00CA2CC1">
        <w:rPr>
          <w:rFonts w:cs="Calibri"/>
          <w:color w:val="414042"/>
        </w:rPr>
        <w:t>Moule</w:t>
      </w:r>
      <w:r w:rsidRPr="00CA2CC1">
        <w:rPr>
          <w:rFonts w:cs="Calibri"/>
          <w:color w:val="414042"/>
          <w:spacing w:val="-5"/>
        </w:rPr>
        <w:t xml:space="preserve"> </w:t>
      </w:r>
      <w:r w:rsidRPr="00CA2CC1">
        <w:rPr>
          <w:rFonts w:cs="Calibri"/>
          <w:color w:val="414042"/>
        </w:rPr>
        <w:t>and</w:t>
      </w:r>
      <w:r w:rsidRPr="00CA2CC1">
        <w:rPr>
          <w:rFonts w:cs="Calibri"/>
          <w:color w:val="414042"/>
          <w:spacing w:val="-5"/>
        </w:rPr>
        <w:t xml:space="preserve"> </w:t>
      </w:r>
      <w:r w:rsidRPr="00CA2CC1">
        <w:rPr>
          <w:rFonts w:cs="Calibri"/>
          <w:color w:val="414042"/>
        </w:rPr>
        <w:t>John</w:t>
      </w:r>
      <w:r w:rsidRPr="00CA2CC1">
        <w:rPr>
          <w:rFonts w:cs="Calibri"/>
          <w:color w:val="414042"/>
          <w:spacing w:val="-5"/>
        </w:rPr>
        <w:t xml:space="preserve"> </w:t>
      </w:r>
      <w:r w:rsidRPr="00CA2CC1">
        <w:rPr>
          <w:rFonts w:cs="Calibri"/>
          <w:color w:val="414042"/>
        </w:rPr>
        <w:t>Bradley</w:t>
      </w:r>
      <w:r w:rsidRPr="00CA2CC1">
        <w:rPr>
          <w:rFonts w:cs="Calibri"/>
          <w:color w:val="414042"/>
          <w:spacing w:val="-5"/>
        </w:rPr>
        <w:t xml:space="preserve"> </w:t>
      </w:r>
      <w:r w:rsidRPr="00CA2CC1">
        <w:rPr>
          <w:rFonts w:cs="Calibri"/>
          <w:color w:val="414042"/>
        </w:rPr>
        <w:t>attended</w:t>
      </w:r>
      <w:r w:rsidRPr="00CA2CC1">
        <w:rPr>
          <w:rFonts w:cs="Calibri"/>
          <w:color w:val="414042"/>
          <w:spacing w:val="-5"/>
        </w:rPr>
        <w:t xml:space="preserve"> </w:t>
      </w:r>
      <w:r w:rsidRPr="00CA2CC1">
        <w:rPr>
          <w:rFonts w:cs="Calibri"/>
          <w:color w:val="414042"/>
        </w:rPr>
        <w:t>the</w:t>
      </w:r>
      <w:r w:rsidRPr="00CA2CC1">
        <w:rPr>
          <w:rFonts w:cs="Calibri"/>
          <w:color w:val="414042"/>
          <w:spacing w:val="-5"/>
        </w:rPr>
        <w:t xml:space="preserve"> </w:t>
      </w:r>
      <w:r w:rsidRPr="00CA2CC1">
        <w:rPr>
          <w:rFonts w:cs="Calibri"/>
          <w:color w:val="414042"/>
        </w:rPr>
        <w:t>meeting</w:t>
      </w:r>
      <w:r w:rsidRPr="00CA2CC1">
        <w:rPr>
          <w:rFonts w:cs="Calibri"/>
          <w:color w:val="414042"/>
          <w:spacing w:val="-5"/>
        </w:rPr>
        <w:t xml:space="preserve"> </w:t>
      </w:r>
      <w:r w:rsidRPr="00CA2CC1">
        <w:rPr>
          <w:rFonts w:cs="Calibri"/>
          <w:color w:val="414042"/>
        </w:rPr>
        <w:t>but</w:t>
      </w:r>
      <w:r w:rsidRPr="00CA2CC1">
        <w:rPr>
          <w:rFonts w:cs="Calibri"/>
          <w:color w:val="414042"/>
          <w:spacing w:val="-5"/>
        </w:rPr>
        <w:t xml:space="preserve"> </w:t>
      </w:r>
      <w:r w:rsidRPr="00CA2CC1">
        <w:rPr>
          <w:rFonts w:cs="Calibri"/>
          <w:color w:val="414042"/>
        </w:rPr>
        <w:t>excused themselves from the discussion.</w:t>
      </w:r>
    </w:p>
    <w:p w14:paraId="66048EF9" w14:textId="5AC5DDEA" w:rsidR="00FA4226" w:rsidRPr="00CA2CC1" w:rsidRDefault="00000000" w:rsidP="0043303B">
      <w:pPr>
        <w:pStyle w:val="BodyText"/>
        <w:spacing w:before="111"/>
        <w:rPr>
          <w:rFonts w:cs="Calibri"/>
        </w:rPr>
      </w:pPr>
      <w:r w:rsidRPr="00CA2CC1">
        <w:rPr>
          <w:rFonts w:cs="Calibri"/>
          <w:color w:val="414042"/>
        </w:rPr>
        <w:t>To avoid any actual or perceived conflict of interest, David Martine took part in discussions but not decision making</w:t>
      </w:r>
      <w:r w:rsidRPr="00CA2CC1">
        <w:rPr>
          <w:rFonts w:cs="Calibri"/>
          <w:color w:val="414042"/>
          <w:spacing w:val="-4"/>
        </w:rPr>
        <w:t xml:space="preserve"> </w:t>
      </w:r>
      <w:r w:rsidRPr="00CA2CC1">
        <w:rPr>
          <w:rFonts w:cs="Calibri"/>
          <w:color w:val="414042"/>
        </w:rPr>
        <w:t>on</w:t>
      </w:r>
      <w:r w:rsidRPr="00CA2CC1">
        <w:rPr>
          <w:rFonts w:cs="Calibri"/>
          <w:color w:val="414042"/>
          <w:spacing w:val="-3"/>
        </w:rPr>
        <w:t xml:space="preserve"> </w:t>
      </w:r>
      <w:r w:rsidRPr="00CA2CC1">
        <w:rPr>
          <w:rFonts w:cs="Calibri"/>
          <w:color w:val="414042"/>
        </w:rPr>
        <w:t>aspects</w:t>
      </w:r>
      <w:r w:rsidRPr="00CA2CC1">
        <w:rPr>
          <w:rFonts w:cs="Calibri"/>
          <w:color w:val="414042"/>
          <w:spacing w:val="-3"/>
        </w:rPr>
        <w:t xml:space="preserve"> </w:t>
      </w:r>
      <w:r w:rsidRPr="00CA2CC1">
        <w:rPr>
          <w:rFonts w:cs="Calibri"/>
          <w:color w:val="414042"/>
        </w:rPr>
        <w:t>of</w:t>
      </w:r>
      <w:r w:rsidRPr="00CA2CC1">
        <w:rPr>
          <w:rFonts w:cs="Calibri"/>
          <w:color w:val="414042"/>
          <w:spacing w:val="-4"/>
        </w:rPr>
        <w:t xml:space="preserve"> </w:t>
      </w:r>
      <w:r w:rsidRPr="00CA2CC1">
        <w:rPr>
          <w:rFonts w:cs="Calibri"/>
          <w:color w:val="414042"/>
        </w:rPr>
        <w:t>Infrastructure</w:t>
      </w:r>
      <w:r w:rsidRPr="00CA2CC1">
        <w:rPr>
          <w:rFonts w:cs="Calibri"/>
          <w:color w:val="414042"/>
          <w:spacing w:val="-3"/>
        </w:rPr>
        <w:t xml:space="preserve"> </w:t>
      </w:r>
      <w:r w:rsidRPr="00CA2CC1">
        <w:rPr>
          <w:rFonts w:cs="Calibri"/>
          <w:color w:val="414042"/>
        </w:rPr>
        <w:t>Victoria’s</w:t>
      </w:r>
      <w:r w:rsidRPr="00CA2CC1">
        <w:rPr>
          <w:rFonts w:cs="Calibri"/>
          <w:color w:val="414042"/>
          <w:spacing w:val="-3"/>
        </w:rPr>
        <w:t xml:space="preserve"> </w:t>
      </w:r>
      <w:r w:rsidRPr="00CA2CC1">
        <w:rPr>
          <w:rFonts w:cs="Calibri"/>
          <w:color w:val="414042"/>
        </w:rPr>
        <w:t>Our</w:t>
      </w:r>
      <w:r w:rsidRPr="00CA2CC1">
        <w:rPr>
          <w:rFonts w:cs="Calibri"/>
          <w:color w:val="414042"/>
          <w:spacing w:val="-3"/>
        </w:rPr>
        <w:t xml:space="preserve"> </w:t>
      </w:r>
      <w:r w:rsidRPr="00CA2CC1">
        <w:rPr>
          <w:rFonts w:cs="Calibri"/>
          <w:color w:val="414042"/>
          <w:spacing w:val="-4"/>
        </w:rPr>
        <w:t>home</w:t>
      </w:r>
      <w:r w:rsidR="00EE2915" w:rsidRPr="00CA2CC1">
        <w:rPr>
          <w:rFonts w:cs="Calibri"/>
        </w:rPr>
        <w:t xml:space="preserve"> </w:t>
      </w:r>
      <w:r w:rsidRPr="00CA2CC1">
        <w:rPr>
          <w:rFonts w:cs="Calibri"/>
          <w:color w:val="414042"/>
        </w:rPr>
        <w:t>choices research that related to his departmental secretary responsibilities</w:t>
      </w:r>
      <w:r w:rsidRPr="00CA2CC1">
        <w:rPr>
          <w:rFonts w:cs="Calibri"/>
          <w:color w:val="414042"/>
          <w:spacing w:val="-5"/>
        </w:rPr>
        <w:t xml:space="preserve"> </w:t>
      </w:r>
      <w:r w:rsidRPr="00CA2CC1">
        <w:rPr>
          <w:rFonts w:cs="Calibri"/>
          <w:color w:val="414042"/>
        </w:rPr>
        <w:t>at</w:t>
      </w:r>
      <w:r w:rsidRPr="00CA2CC1">
        <w:rPr>
          <w:rFonts w:cs="Calibri"/>
          <w:color w:val="414042"/>
          <w:spacing w:val="-5"/>
        </w:rPr>
        <w:t xml:space="preserve"> </w:t>
      </w:r>
      <w:r w:rsidRPr="00CA2CC1">
        <w:rPr>
          <w:rFonts w:cs="Calibri"/>
          <w:color w:val="414042"/>
        </w:rPr>
        <w:t>a</w:t>
      </w:r>
      <w:r w:rsidRPr="00CA2CC1">
        <w:rPr>
          <w:rFonts w:cs="Calibri"/>
          <w:color w:val="414042"/>
          <w:spacing w:val="-5"/>
        </w:rPr>
        <w:t xml:space="preserve"> </w:t>
      </w:r>
      <w:r w:rsidRPr="00CA2CC1">
        <w:rPr>
          <w:rFonts w:cs="Calibri"/>
          <w:color w:val="414042"/>
        </w:rPr>
        <w:t>meeting</w:t>
      </w:r>
      <w:r w:rsidRPr="00CA2CC1">
        <w:rPr>
          <w:rFonts w:cs="Calibri"/>
          <w:color w:val="414042"/>
          <w:spacing w:val="-5"/>
        </w:rPr>
        <w:t xml:space="preserve"> </w:t>
      </w:r>
      <w:r w:rsidRPr="00CA2CC1">
        <w:rPr>
          <w:rFonts w:cs="Calibri"/>
          <w:color w:val="414042"/>
        </w:rPr>
        <w:t>of</w:t>
      </w:r>
      <w:r w:rsidRPr="00CA2CC1">
        <w:rPr>
          <w:rFonts w:cs="Calibri"/>
          <w:color w:val="414042"/>
          <w:spacing w:val="-5"/>
        </w:rPr>
        <w:t xml:space="preserve"> </w:t>
      </w:r>
      <w:r w:rsidRPr="00CA2CC1">
        <w:rPr>
          <w:rFonts w:cs="Calibri"/>
          <w:color w:val="414042"/>
        </w:rPr>
        <w:t>the</w:t>
      </w:r>
      <w:r w:rsidRPr="00CA2CC1">
        <w:rPr>
          <w:rFonts w:cs="Calibri"/>
          <w:color w:val="414042"/>
          <w:spacing w:val="-5"/>
        </w:rPr>
        <w:t xml:space="preserve"> </w:t>
      </w:r>
      <w:r w:rsidRPr="00CA2CC1">
        <w:rPr>
          <w:rFonts w:cs="Calibri"/>
          <w:color w:val="414042"/>
        </w:rPr>
        <w:t>board</w:t>
      </w:r>
      <w:r w:rsidRPr="00CA2CC1">
        <w:rPr>
          <w:rFonts w:cs="Calibri"/>
          <w:color w:val="414042"/>
          <w:spacing w:val="-5"/>
        </w:rPr>
        <w:t xml:space="preserve"> </w:t>
      </w:r>
      <w:r w:rsidRPr="00CA2CC1">
        <w:rPr>
          <w:rFonts w:cs="Calibri"/>
          <w:color w:val="414042"/>
        </w:rPr>
        <w:t>on</w:t>
      </w:r>
      <w:r w:rsidRPr="00CA2CC1">
        <w:rPr>
          <w:rFonts w:cs="Calibri"/>
          <w:color w:val="414042"/>
          <w:spacing w:val="-5"/>
        </w:rPr>
        <w:t xml:space="preserve"> </w:t>
      </w:r>
      <w:r w:rsidRPr="00CA2CC1">
        <w:rPr>
          <w:rFonts w:cs="Calibri"/>
          <w:color w:val="414042"/>
        </w:rPr>
        <w:t>16</w:t>
      </w:r>
      <w:r w:rsidRPr="00CA2CC1">
        <w:rPr>
          <w:rFonts w:cs="Calibri"/>
          <w:color w:val="414042"/>
          <w:spacing w:val="-5"/>
        </w:rPr>
        <w:t xml:space="preserve"> </w:t>
      </w:r>
      <w:r w:rsidRPr="00CA2CC1">
        <w:rPr>
          <w:rFonts w:cs="Calibri"/>
          <w:color w:val="414042"/>
        </w:rPr>
        <w:t>March</w:t>
      </w:r>
      <w:r w:rsidRPr="00CA2CC1">
        <w:rPr>
          <w:rFonts w:cs="Calibri"/>
          <w:color w:val="414042"/>
          <w:spacing w:val="-5"/>
        </w:rPr>
        <w:t xml:space="preserve"> </w:t>
      </w:r>
      <w:r w:rsidRPr="00CA2CC1">
        <w:rPr>
          <w:rFonts w:cs="Calibri"/>
          <w:color w:val="414042"/>
        </w:rPr>
        <w:t>2023.</w:t>
      </w:r>
    </w:p>
    <w:p w14:paraId="57EDC637" w14:textId="77777777" w:rsidR="00FA4226" w:rsidRPr="00CA2CC1" w:rsidRDefault="00000000" w:rsidP="0043303B">
      <w:pPr>
        <w:pStyle w:val="BodyText"/>
        <w:spacing w:before="114"/>
        <w:jc w:val="both"/>
        <w:rPr>
          <w:rFonts w:cs="Calibri"/>
        </w:rPr>
      </w:pPr>
      <w:r w:rsidRPr="00CA2CC1">
        <w:rPr>
          <w:rFonts w:cs="Calibri"/>
          <w:color w:val="414042"/>
        </w:rPr>
        <w:t>To</w:t>
      </w:r>
      <w:r w:rsidRPr="00CA2CC1">
        <w:rPr>
          <w:rFonts w:cs="Calibri"/>
          <w:color w:val="414042"/>
          <w:spacing w:val="-2"/>
        </w:rPr>
        <w:t xml:space="preserve"> </w:t>
      </w:r>
      <w:r w:rsidRPr="00CA2CC1">
        <w:rPr>
          <w:rFonts w:cs="Calibri"/>
          <w:color w:val="414042"/>
        </w:rPr>
        <w:t>avoid</w:t>
      </w:r>
      <w:r w:rsidRPr="00CA2CC1">
        <w:rPr>
          <w:rFonts w:cs="Calibri"/>
          <w:color w:val="414042"/>
          <w:spacing w:val="-2"/>
        </w:rPr>
        <w:t xml:space="preserve"> </w:t>
      </w:r>
      <w:r w:rsidRPr="00CA2CC1">
        <w:rPr>
          <w:rFonts w:cs="Calibri"/>
          <w:color w:val="414042"/>
        </w:rPr>
        <w:t>any</w:t>
      </w:r>
      <w:r w:rsidRPr="00CA2CC1">
        <w:rPr>
          <w:rFonts w:cs="Calibri"/>
          <w:color w:val="414042"/>
          <w:spacing w:val="-2"/>
        </w:rPr>
        <w:t xml:space="preserve"> </w:t>
      </w:r>
      <w:r w:rsidRPr="00CA2CC1">
        <w:rPr>
          <w:rFonts w:cs="Calibri"/>
          <w:color w:val="414042"/>
        </w:rPr>
        <w:t>actual</w:t>
      </w:r>
      <w:r w:rsidRPr="00CA2CC1">
        <w:rPr>
          <w:rFonts w:cs="Calibri"/>
          <w:color w:val="414042"/>
          <w:spacing w:val="-2"/>
        </w:rPr>
        <w:t xml:space="preserve"> </w:t>
      </w:r>
      <w:r w:rsidRPr="00CA2CC1">
        <w:rPr>
          <w:rFonts w:cs="Calibri"/>
          <w:color w:val="414042"/>
        </w:rPr>
        <w:t>or</w:t>
      </w:r>
      <w:r w:rsidRPr="00CA2CC1">
        <w:rPr>
          <w:rFonts w:cs="Calibri"/>
          <w:color w:val="414042"/>
          <w:spacing w:val="-2"/>
        </w:rPr>
        <w:t xml:space="preserve"> </w:t>
      </w:r>
      <w:r w:rsidRPr="00CA2CC1">
        <w:rPr>
          <w:rFonts w:cs="Calibri"/>
          <w:color w:val="414042"/>
        </w:rPr>
        <w:t>perceived</w:t>
      </w:r>
      <w:r w:rsidRPr="00CA2CC1">
        <w:rPr>
          <w:rFonts w:cs="Calibri"/>
          <w:color w:val="414042"/>
          <w:spacing w:val="-2"/>
        </w:rPr>
        <w:t xml:space="preserve"> </w:t>
      </w:r>
      <w:r w:rsidRPr="00CA2CC1">
        <w:rPr>
          <w:rFonts w:cs="Calibri"/>
          <w:color w:val="414042"/>
        </w:rPr>
        <w:t>conflict</w:t>
      </w:r>
      <w:r w:rsidRPr="00CA2CC1">
        <w:rPr>
          <w:rFonts w:cs="Calibri"/>
          <w:color w:val="414042"/>
          <w:spacing w:val="-2"/>
        </w:rPr>
        <w:t xml:space="preserve"> </w:t>
      </w:r>
      <w:r w:rsidRPr="00CA2CC1">
        <w:rPr>
          <w:rFonts w:cs="Calibri"/>
          <w:color w:val="414042"/>
        </w:rPr>
        <w:t>of</w:t>
      </w:r>
      <w:r w:rsidRPr="00CA2CC1">
        <w:rPr>
          <w:rFonts w:cs="Calibri"/>
          <w:color w:val="414042"/>
          <w:spacing w:val="-2"/>
        </w:rPr>
        <w:t xml:space="preserve"> </w:t>
      </w:r>
      <w:r w:rsidRPr="00CA2CC1">
        <w:rPr>
          <w:rFonts w:cs="Calibri"/>
          <w:color w:val="414042"/>
        </w:rPr>
        <w:t>interest,</w:t>
      </w:r>
      <w:r w:rsidRPr="00CA2CC1">
        <w:rPr>
          <w:rFonts w:cs="Calibri"/>
          <w:color w:val="414042"/>
          <w:spacing w:val="-2"/>
        </w:rPr>
        <w:t xml:space="preserve"> </w:t>
      </w:r>
      <w:r w:rsidRPr="00CA2CC1">
        <w:rPr>
          <w:rFonts w:cs="Calibri"/>
          <w:color w:val="414042"/>
        </w:rPr>
        <w:t>Paul Younis took part in discussions but not decision making on</w:t>
      </w:r>
      <w:r w:rsidRPr="00CA2CC1">
        <w:rPr>
          <w:rFonts w:cs="Calibri"/>
          <w:color w:val="414042"/>
          <w:spacing w:val="-10"/>
        </w:rPr>
        <w:t xml:space="preserve"> </w:t>
      </w:r>
      <w:r w:rsidRPr="00CA2CC1">
        <w:rPr>
          <w:rFonts w:cs="Calibri"/>
          <w:color w:val="414042"/>
        </w:rPr>
        <w:t>Infrastructure</w:t>
      </w:r>
      <w:r w:rsidRPr="00CA2CC1">
        <w:rPr>
          <w:rFonts w:cs="Calibri"/>
          <w:color w:val="414042"/>
          <w:spacing w:val="-10"/>
        </w:rPr>
        <w:t xml:space="preserve"> </w:t>
      </w:r>
      <w:r w:rsidRPr="00CA2CC1">
        <w:rPr>
          <w:rFonts w:cs="Calibri"/>
          <w:color w:val="414042"/>
        </w:rPr>
        <w:t>Victoria’s</w:t>
      </w:r>
      <w:r w:rsidRPr="00CA2CC1">
        <w:rPr>
          <w:rFonts w:cs="Calibri"/>
          <w:color w:val="414042"/>
          <w:spacing w:val="-10"/>
        </w:rPr>
        <w:t xml:space="preserve"> </w:t>
      </w:r>
      <w:r w:rsidRPr="00CA2CC1">
        <w:rPr>
          <w:rFonts w:cs="Calibri"/>
          <w:color w:val="414042"/>
        </w:rPr>
        <w:t>Our</w:t>
      </w:r>
      <w:r w:rsidRPr="00CA2CC1">
        <w:rPr>
          <w:rFonts w:cs="Calibri"/>
          <w:color w:val="414042"/>
          <w:spacing w:val="-10"/>
        </w:rPr>
        <w:t xml:space="preserve"> </w:t>
      </w:r>
      <w:r w:rsidRPr="00CA2CC1">
        <w:rPr>
          <w:rFonts w:cs="Calibri"/>
          <w:color w:val="414042"/>
        </w:rPr>
        <w:t>home</w:t>
      </w:r>
      <w:r w:rsidRPr="00CA2CC1">
        <w:rPr>
          <w:rFonts w:cs="Calibri"/>
          <w:color w:val="414042"/>
          <w:spacing w:val="-10"/>
        </w:rPr>
        <w:t xml:space="preserve"> </w:t>
      </w:r>
      <w:r w:rsidRPr="00CA2CC1">
        <w:rPr>
          <w:rFonts w:cs="Calibri"/>
          <w:color w:val="414042"/>
        </w:rPr>
        <w:t>choices</w:t>
      </w:r>
      <w:r w:rsidRPr="00CA2CC1">
        <w:rPr>
          <w:rFonts w:cs="Calibri"/>
          <w:color w:val="414042"/>
          <w:spacing w:val="-10"/>
        </w:rPr>
        <w:t xml:space="preserve"> </w:t>
      </w:r>
      <w:r w:rsidRPr="00CA2CC1">
        <w:rPr>
          <w:rFonts w:cs="Calibri"/>
          <w:color w:val="414042"/>
        </w:rPr>
        <w:t>research</w:t>
      </w:r>
      <w:r w:rsidRPr="00CA2CC1">
        <w:rPr>
          <w:rFonts w:cs="Calibri"/>
          <w:color w:val="414042"/>
          <w:spacing w:val="-10"/>
        </w:rPr>
        <w:t xml:space="preserve"> </w:t>
      </w:r>
      <w:r w:rsidRPr="00CA2CC1">
        <w:rPr>
          <w:rFonts w:cs="Calibri"/>
          <w:color w:val="414042"/>
        </w:rPr>
        <w:t>at a meeting of the board on 16 March 2023.</w:t>
      </w:r>
    </w:p>
    <w:p w14:paraId="21C3DF19" w14:textId="77777777" w:rsidR="00040874" w:rsidRPr="00CA2CC1" w:rsidRDefault="00000000" w:rsidP="0043303B">
      <w:pPr>
        <w:pStyle w:val="BodyText"/>
        <w:spacing w:before="116"/>
        <w:rPr>
          <w:rFonts w:cs="Calibri"/>
        </w:rPr>
      </w:pPr>
      <w:r w:rsidRPr="00CA2CC1">
        <w:rPr>
          <w:rFonts w:cs="Calibri"/>
          <w:color w:val="414042"/>
        </w:rPr>
        <w:lastRenderedPageBreak/>
        <w:t>To avoid any actual or perceived conflict of interest, it was agreed at meeting of the board on 22 June 2023, that David</w:t>
      </w:r>
      <w:r w:rsidRPr="00CA2CC1">
        <w:rPr>
          <w:rFonts w:cs="Calibri"/>
          <w:color w:val="414042"/>
          <w:spacing w:val="-6"/>
        </w:rPr>
        <w:t xml:space="preserve"> </w:t>
      </w:r>
      <w:r w:rsidRPr="00CA2CC1">
        <w:rPr>
          <w:rFonts w:cs="Calibri"/>
          <w:color w:val="414042"/>
        </w:rPr>
        <w:t>Martine</w:t>
      </w:r>
      <w:r w:rsidRPr="00CA2CC1">
        <w:rPr>
          <w:rFonts w:cs="Calibri"/>
          <w:color w:val="414042"/>
          <w:spacing w:val="-6"/>
        </w:rPr>
        <w:t xml:space="preserve"> </w:t>
      </w:r>
      <w:r w:rsidRPr="00CA2CC1">
        <w:rPr>
          <w:rFonts w:cs="Calibri"/>
          <w:color w:val="414042"/>
        </w:rPr>
        <w:t>and</w:t>
      </w:r>
      <w:r w:rsidRPr="00CA2CC1">
        <w:rPr>
          <w:rFonts w:cs="Calibri"/>
          <w:color w:val="414042"/>
          <w:spacing w:val="-6"/>
        </w:rPr>
        <w:t xml:space="preserve"> </w:t>
      </w:r>
      <w:r w:rsidRPr="00CA2CC1">
        <w:rPr>
          <w:rFonts w:cs="Calibri"/>
          <w:color w:val="414042"/>
        </w:rPr>
        <w:t>Paul</w:t>
      </w:r>
      <w:r w:rsidRPr="00CA2CC1">
        <w:rPr>
          <w:rFonts w:cs="Calibri"/>
          <w:color w:val="414042"/>
          <w:spacing w:val="-6"/>
        </w:rPr>
        <w:t xml:space="preserve"> </w:t>
      </w:r>
      <w:r w:rsidRPr="00CA2CC1">
        <w:rPr>
          <w:rFonts w:cs="Calibri"/>
          <w:color w:val="414042"/>
        </w:rPr>
        <w:t>Younis</w:t>
      </w:r>
      <w:r w:rsidRPr="00CA2CC1">
        <w:rPr>
          <w:rFonts w:cs="Calibri"/>
          <w:color w:val="414042"/>
          <w:spacing w:val="-6"/>
        </w:rPr>
        <w:t xml:space="preserve"> </w:t>
      </w:r>
      <w:r w:rsidRPr="00CA2CC1">
        <w:rPr>
          <w:rFonts w:cs="Calibri"/>
          <w:color w:val="414042"/>
        </w:rPr>
        <w:t>take</w:t>
      </w:r>
      <w:r w:rsidRPr="00CA2CC1">
        <w:rPr>
          <w:rFonts w:cs="Calibri"/>
          <w:color w:val="414042"/>
          <w:spacing w:val="-6"/>
        </w:rPr>
        <w:t xml:space="preserve"> </w:t>
      </w:r>
      <w:r w:rsidRPr="00CA2CC1">
        <w:rPr>
          <w:rFonts w:cs="Calibri"/>
          <w:color w:val="414042"/>
        </w:rPr>
        <w:t>part</w:t>
      </w:r>
      <w:r w:rsidRPr="00CA2CC1">
        <w:rPr>
          <w:rFonts w:cs="Calibri"/>
          <w:color w:val="414042"/>
          <w:spacing w:val="-6"/>
        </w:rPr>
        <w:t xml:space="preserve"> </w:t>
      </w:r>
      <w:r w:rsidRPr="00CA2CC1">
        <w:rPr>
          <w:rFonts w:cs="Calibri"/>
          <w:color w:val="414042"/>
        </w:rPr>
        <w:t>in</w:t>
      </w:r>
      <w:r w:rsidRPr="00CA2CC1">
        <w:rPr>
          <w:rFonts w:cs="Calibri"/>
          <w:color w:val="414042"/>
          <w:spacing w:val="-6"/>
        </w:rPr>
        <w:t xml:space="preserve"> </w:t>
      </w:r>
      <w:r w:rsidRPr="00CA2CC1">
        <w:rPr>
          <w:rFonts w:cs="Calibri"/>
          <w:color w:val="414042"/>
        </w:rPr>
        <w:t>discussions</w:t>
      </w:r>
      <w:r w:rsidRPr="00CA2CC1">
        <w:rPr>
          <w:rFonts w:cs="Calibri"/>
          <w:color w:val="414042"/>
          <w:spacing w:val="-6"/>
        </w:rPr>
        <w:t xml:space="preserve"> </w:t>
      </w:r>
      <w:r w:rsidRPr="00CA2CC1">
        <w:rPr>
          <w:rFonts w:cs="Calibri"/>
          <w:color w:val="414042"/>
        </w:rPr>
        <w:t>but not decision making on</w:t>
      </w:r>
      <w:r w:rsidR="00EE2915" w:rsidRPr="00CA2CC1">
        <w:rPr>
          <w:rFonts w:cs="Calibri"/>
          <w:color w:val="414042"/>
        </w:rPr>
        <w:t xml:space="preserve"> </w:t>
      </w:r>
      <w:r w:rsidRPr="00CA2CC1">
        <w:rPr>
          <w:rFonts w:cs="Calibri"/>
          <w:color w:val="414042"/>
        </w:rPr>
        <w:t>Infrastructure Victoria’s Request for advice on opportunities to reduce greenhouse gas emissions of Victorian Government infrastructure.</w:t>
      </w:r>
    </w:p>
    <w:p w14:paraId="62E751E8" w14:textId="72529207" w:rsidR="00FA4226" w:rsidRPr="00CA2CC1" w:rsidRDefault="00000000" w:rsidP="003375C9">
      <w:pPr>
        <w:pStyle w:val="Heading4"/>
      </w:pPr>
      <w:r w:rsidRPr="00CA2CC1">
        <w:t xml:space="preserve">Audit and risk </w:t>
      </w:r>
      <w:r w:rsidRPr="00CA2CC1">
        <w:rPr>
          <w:spacing w:val="-2"/>
        </w:rPr>
        <w:t>committee</w:t>
      </w:r>
    </w:p>
    <w:p w14:paraId="5F3E1D1A" w14:textId="77777777" w:rsidR="00FA4226" w:rsidRPr="00CA2CC1" w:rsidRDefault="00000000" w:rsidP="0043303B">
      <w:pPr>
        <w:pStyle w:val="BodyText"/>
        <w:spacing w:before="88"/>
        <w:rPr>
          <w:rFonts w:cs="Calibri"/>
        </w:rPr>
      </w:pPr>
      <w:r w:rsidRPr="00CA2CC1">
        <w:rPr>
          <w:rFonts w:cs="Calibri"/>
          <w:color w:val="414042"/>
        </w:rPr>
        <w:t>The</w:t>
      </w:r>
      <w:r w:rsidRPr="00CA2CC1">
        <w:rPr>
          <w:rFonts w:cs="Calibri"/>
          <w:color w:val="414042"/>
          <w:spacing w:val="-5"/>
        </w:rPr>
        <w:t xml:space="preserve"> </w:t>
      </w:r>
      <w:r w:rsidRPr="00CA2CC1">
        <w:rPr>
          <w:rFonts w:cs="Calibri"/>
          <w:color w:val="414042"/>
        </w:rPr>
        <w:t>Audit</w:t>
      </w:r>
      <w:r w:rsidRPr="00CA2CC1">
        <w:rPr>
          <w:rFonts w:cs="Calibri"/>
          <w:color w:val="414042"/>
          <w:spacing w:val="-5"/>
        </w:rPr>
        <w:t xml:space="preserve"> </w:t>
      </w:r>
      <w:r w:rsidRPr="00CA2CC1">
        <w:rPr>
          <w:rFonts w:cs="Calibri"/>
          <w:color w:val="414042"/>
        </w:rPr>
        <w:t>and</w:t>
      </w:r>
      <w:r w:rsidRPr="00CA2CC1">
        <w:rPr>
          <w:rFonts w:cs="Calibri"/>
          <w:color w:val="414042"/>
          <w:spacing w:val="-5"/>
        </w:rPr>
        <w:t xml:space="preserve"> </w:t>
      </w:r>
      <w:r w:rsidRPr="00CA2CC1">
        <w:rPr>
          <w:rFonts w:cs="Calibri"/>
          <w:color w:val="414042"/>
        </w:rPr>
        <w:t>risk</w:t>
      </w:r>
      <w:r w:rsidRPr="00CA2CC1">
        <w:rPr>
          <w:rFonts w:cs="Calibri"/>
          <w:color w:val="414042"/>
          <w:spacing w:val="-5"/>
        </w:rPr>
        <w:t xml:space="preserve"> </w:t>
      </w:r>
      <w:r w:rsidRPr="00CA2CC1">
        <w:rPr>
          <w:rFonts w:cs="Calibri"/>
          <w:color w:val="414042"/>
        </w:rPr>
        <w:t>committee</w:t>
      </w:r>
      <w:r w:rsidRPr="00CA2CC1">
        <w:rPr>
          <w:rFonts w:cs="Calibri"/>
          <w:color w:val="414042"/>
          <w:spacing w:val="-5"/>
        </w:rPr>
        <w:t xml:space="preserve"> </w:t>
      </w:r>
      <w:r w:rsidRPr="00CA2CC1">
        <w:rPr>
          <w:rFonts w:cs="Calibri"/>
          <w:color w:val="414042"/>
        </w:rPr>
        <w:t>comprises</w:t>
      </w:r>
      <w:r w:rsidRPr="00CA2CC1">
        <w:rPr>
          <w:rFonts w:cs="Calibri"/>
          <w:color w:val="414042"/>
          <w:spacing w:val="-5"/>
        </w:rPr>
        <w:t xml:space="preserve"> </w:t>
      </w:r>
      <w:r w:rsidRPr="00CA2CC1">
        <w:rPr>
          <w:rFonts w:cs="Calibri"/>
          <w:color w:val="414042"/>
        </w:rPr>
        <w:t>the</w:t>
      </w:r>
      <w:r w:rsidRPr="00CA2CC1">
        <w:rPr>
          <w:rFonts w:cs="Calibri"/>
          <w:color w:val="414042"/>
          <w:spacing w:val="-5"/>
        </w:rPr>
        <w:t xml:space="preserve"> </w:t>
      </w:r>
      <w:r w:rsidRPr="00CA2CC1">
        <w:rPr>
          <w:rFonts w:cs="Calibri"/>
          <w:color w:val="414042"/>
        </w:rPr>
        <w:t xml:space="preserve">following </w:t>
      </w:r>
      <w:r w:rsidRPr="00CA2CC1">
        <w:rPr>
          <w:rFonts w:cs="Calibri"/>
          <w:color w:val="414042"/>
          <w:spacing w:val="-2"/>
        </w:rPr>
        <w:t>members:</w:t>
      </w:r>
    </w:p>
    <w:p w14:paraId="6CEF56E5" w14:textId="77777777" w:rsidR="00FA4226" w:rsidRPr="00CA2CC1" w:rsidRDefault="00000000" w:rsidP="0043303B">
      <w:pPr>
        <w:pStyle w:val="BodyText"/>
        <w:numPr>
          <w:ilvl w:val="0"/>
          <w:numId w:val="46"/>
        </w:numPr>
        <w:rPr>
          <w:rFonts w:cs="Calibri"/>
        </w:rPr>
      </w:pPr>
      <w:r w:rsidRPr="00CA2CC1">
        <w:rPr>
          <w:rFonts w:cs="Calibri"/>
        </w:rPr>
        <w:t>Maria</w:t>
      </w:r>
      <w:r w:rsidRPr="00CA2CC1">
        <w:rPr>
          <w:rFonts w:cs="Calibri"/>
          <w:spacing w:val="1"/>
        </w:rPr>
        <w:t xml:space="preserve"> </w:t>
      </w:r>
      <w:r w:rsidRPr="00CA2CC1">
        <w:rPr>
          <w:rFonts w:cs="Calibri"/>
        </w:rPr>
        <w:t>Wilton</w:t>
      </w:r>
      <w:r w:rsidRPr="00CA2CC1">
        <w:rPr>
          <w:rFonts w:cs="Calibri"/>
          <w:spacing w:val="1"/>
        </w:rPr>
        <w:t xml:space="preserve"> </w:t>
      </w:r>
      <w:r w:rsidRPr="00CA2CC1">
        <w:rPr>
          <w:rFonts w:cs="Calibri"/>
        </w:rPr>
        <w:t>–</w:t>
      </w:r>
      <w:r w:rsidRPr="00CA2CC1">
        <w:rPr>
          <w:rFonts w:cs="Calibri"/>
          <w:spacing w:val="2"/>
        </w:rPr>
        <w:t xml:space="preserve"> </w:t>
      </w:r>
      <w:r w:rsidRPr="00CA2CC1">
        <w:rPr>
          <w:rFonts w:cs="Calibri"/>
          <w:spacing w:val="-4"/>
        </w:rPr>
        <w:t>Chair</w:t>
      </w:r>
    </w:p>
    <w:p w14:paraId="34E570F9" w14:textId="77777777" w:rsidR="00FA4226" w:rsidRPr="00CA2CC1" w:rsidRDefault="00000000" w:rsidP="0043303B">
      <w:pPr>
        <w:pStyle w:val="BodyText"/>
        <w:numPr>
          <w:ilvl w:val="0"/>
          <w:numId w:val="46"/>
        </w:numPr>
        <w:rPr>
          <w:rFonts w:cs="Calibri"/>
        </w:rPr>
      </w:pPr>
      <w:r w:rsidRPr="00CA2CC1">
        <w:rPr>
          <w:rFonts w:cs="Calibri"/>
        </w:rPr>
        <w:t xml:space="preserve">David Martine – </w:t>
      </w:r>
      <w:r w:rsidRPr="00CA2CC1">
        <w:rPr>
          <w:rFonts w:cs="Calibri"/>
          <w:spacing w:val="-2"/>
        </w:rPr>
        <w:t>Member</w:t>
      </w:r>
    </w:p>
    <w:p w14:paraId="612BDBF1" w14:textId="77777777" w:rsidR="00FA4226" w:rsidRPr="00CA2CC1" w:rsidRDefault="00000000" w:rsidP="0043303B">
      <w:pPr>
        <w:pStyle w:val="BodyText"/>
        <w:numPr>
          <w:ilvl w:val="0"/>
          <w:numId w:val="46"/>
        </w:numPr>
        <w:rPr>
          <w:rFonts w:cs="Calibri"/>
        </w:rPr>
      </w:pPr>
      <w:r w:rsidRPr="00CA2CC1">
        <w:rPr>
          <w:rFonts w:cs="Calibri"/>
        </w:rPr>
        <w:t>Trish</w:t>
      </w:r>
      <w:r w:rsidRPr="00CA2CC1">
        <w:rPr>
          <w:rFonts w:cs="Calibri"/>
          <w:spacing w:val="-7"/>
        </w:rPr>
        <w:t xml:space="preserve"> </w:t>
      </w:r>
      <w:r w:rsidRPr="00CA2CC1">
        <w:rPr>
          <w:rFonts w:cs="Calibri"/>
        </w:rPr>
        <w:t>Donohue</w:t>
      </w:r>
      <w:r w:rsidRPr="00CA2CC1">
        <w:rPr>
          <w:rFonts w:cs="Calibri"/>
          <w:spacing w:val="-4"/>
        </w:rPr>
        <w:t xml:space="preserve"> </w:t>
      </w:r>
      <w:r w:rsidRPr="00CA2CC1">
        <w:rPr>
          <w:rFonts w:cs="Calibri"/>
        </w:rPr>
        <w:t>–</w:t>
      </w:r>
      <w:r w:rsidRPr="00CA2CC1">
        <w:rPr>
          <w:rFonts w:cs="Calibri"/>
          <w:spacing w:val="-4"/>
        </w:rPr>
        <w:t xml:space="preserve"> </w:t>
      </w:r>
      <w:r w:rsidRPr="00CA2CC1">
        <w:rPr>
          <w:rFonts w:cs="Calibri"/>
        </w:rPr>
        <w:t>Independent</w:t>
      </w:r>
      <w:r w:rsidRPr="00CA2CC1">
        <w:rPr>
          <w:rFonts w:cs="Calibri"/>
          <w:spacing w:val="-4"/>
        </w:rPr>
        <w:t xml:space="preserve"> </w:t>
      </w:r>
      <w:r w:rsidRPr="00CA2CC1">
        <w:rPr>
          <w:rFonts w:cs="Calibri"/>
          <w:spacing w:val="-2"/>
        </w:rPr>
        <w:t>member</w:t>
      </w:r>
    </w:p>
    <w:p w14:paraId="6AA1A46F" w14:textId="77777777" w:rsidR="00FA4226" w:rsidRPr="00CA2CC1" w:rsidRDefault="00000000" w:rsidP="0043303B">
      <w:pPr>
        <w:pStyle w:val="BodyText"/>
        <w:spacing w:before="118"/>
        <w:rPr>
          <w:rFonts w:cs="Calibri"/>
        </w:rPr>
      </w:pPr>
      <w:r w:rsidRPr="00CA2CC1">
        <w:rPr>
          <w:rFonts w:cs="Calibri"/>
          <w:color w:val="414042"/>
        </w:rPr>
        <w:t>Trish has worked in the investment, finance and superannuation sectors for over 30 years. She held the executive</w:t>
      </w:r>
      <w:r w:rsidRPr="00CA2CC1">
        <w:rPr>
          <w:rFonts w:cs="Calibri"/>
          <w:color w:val="414042"/>
          <w:spacing w:val="-3"/>
        </w:rPr>
        <w:t xml:space="preserve"> </w:t>
      </w:r>
      <w:r w:rsidRPr="00CA2CC1">
        <w:rPr>
          <w:rFonts w:cs="Calibri"/>
          <w:color w:val="414042"/>
        </w:rPr>
        <w:t>investment</w:t>
      </w:r>
      <w:r w:rsidRPr="00CA2CC1">
        <w:rPr>
          <w:rFonts w:cs="Calibri"/>
          <w:color w:val="414042"/>
          <w:spacing w:val="-3"/>
        </w:rPr>
        <w:t xml:space="preserve"> </w:t>
      </w:r>
      <w:r w:rsidRPr="00CA2CC1">
        <w:rPr>
          <w:rFonts w:cs="Calibri"/>
          <w:color w:val="414042"/>
        </w:rPr>
        <w:t>role</w:t>
      </w:r>
      <w:r w:rsidRPr="00CA2CC1">
        <w:rPr>
          <w:rFonts w:cs="Calibri"/>
          <w:color w:val="414042"/>
          <w:spacing w:val="-3"/>
        </w:rPr>
        <w:t xml:space="preserve"> </w:t>
      </w:r>
      <w:r w:rsidRPr="00CA2CC1">
        <w:rPr>
          <w:rFonts w:cs="Calibri"/>
          <w:color w:val="414042"/>
        </w:rPr>
        <w:t>at</w:t>
      </w:r>
      <w:r w:rsidRPr="00CA2CC1">
        <w:rPr>
          <w:rFonts w:cs="Calibri"/>
          <w:color w:val="414042"/>
          <w:spacing w:val="-3"/>
        </w:rPr>
        <w:t xml:space="preserve"> </w:t>
      </w:r>
      <w:r w:rsidRPr="00CA2CC1">
        <w:rPr>
          <w:rFonts w:cs="Calibri"/>
          <w:color w:val="414042"/>
        </w:rPr>
        <w:t>Cbus</w:t>
      </w:r>
      <w:r w:rsidRPr="00CA2CC1">
        <w:rPr>
          <w:rFonts w:cs="Calibri"/>
          <w:color w:val="414042"/>
          <w:spacing w:val="-3"/>
        </w:rPr>
        <w:t xml:space="preserve"> </w:t>
      </w:r>
      <w:r w:rsidRPr="00CA2CC1">
        <w:rPr>
          <w:rFonts w:cs="Calibri"/>
          <w:color w:val="414042"/>
        </w:rPr>
        <w:t>superannuation</w:t>
      </w:r>
      <w:r w:rsidRPr="00CA2CC1">
        <w:rPr>
          <w:rFonts w:cs="Calibri"/>
          <w:color w:val="414042"/>
          <w:spacing w:val="-3"/>
        </w:rPr>
        <w:t xml:space="preserve"> </w:t>
      </w:r>
      <w:r w:rsidRPr="00CA2CC1">
        <w:rPr>
          <w:rFonts w:cs="Calibri"/>
          <w:color w:val="414042"/>
        </w:rPr>
        <w:t>fund</w:t>
      </w:r>
      <w:r w:rsidRPr="00CA2CC1">
        <w:rPr>
          <w:rFonts w:cs="Calibri"/>
          <w:color w:val="414042"/>
          <w:spacing w:val="-3"/>
        </w:rPr>
        <w:t xml:space="preserve"> </w:t>
      </w:r>
      <w:r w:rsidRPr="00CA2CC1">
        <w:rPr>
          <w:rFonts w:cs="Calibri"/>
          <w:color w:val="414042"/>
        </w:rPr>
        <w:t>from 2000 to 2018 managing the assets under management which grew from $2 billion to over $40 billion over that time and invested across all major asset classes. Trish’s non- executive director roles have included directorships on the boards of Tasplan Superannuation Fund and the Australian Council of Superannuation Investors. Trish holds a Bachelor of</w:t>
      </w:r>
      <w:r w:rsidRPr="00CA2CC1">
        <w:rPr>
          <w:rFonts w:cs="Calibri"/>
          <w:color w:val="414042"/>
          <w:spacing w:val="-6"/>
        </w:rPr>
        <w:t xml:space="preserve"> </w:t>
      </w:r>
      <w:r w:rsidRPr="00CA2CC1">
        <w:rPr>
          <w:rFonts w:cs="Calibri"/>
          <w:color w:val="414042"/>
        </w:rPr>
        <w:t>Science</w:t>
      </w:r>
      <w:r w:rsidRPr="00CA2CC1">
        <w:rPr>
          <w:rFonts w:cs="Calibri"/>
          <w:color w:val="414042"/>
          <w:spacing w:val="-6"/>
        </w:rPr>
        <w:t xml:space="preserve"> </w:t>
      </w:r>
      <w:r w:rsidRPr="00CA2CC1">
        <w:rPr>
          <w:rFonts w:cs="Calibri"/>
          <w:color w:val="414042"/>
        </w:rPr>
        <w:t>from</w:t>
      </w:r>
      <w:r w:rsidRPr="00CA2CC1">
        <w:rPr>
          <w:rFonts w:cs="Calibri"/>
          <w:color w:val="414042"/>
          <w:spacing w:val="-6"/>
        </w:rPr>
        <w:t xml:space="preserve"> </w:t>
      </w:r>
      <w:r w:rsidRPr="00CA2CC1">
        <w:rPr>
          <w:rFonts w:cs="Calibri"/>
          <w:color w:val="414042"/>
        </w:rPr>
        <w:t>Melbourne</w:t>
      </w:r>
      <w:r w:rsidRPr="00CA2CC1">
        <w:rPr>
          <w:rFonts w:cs="Calibri"/>
          <w:color w:val="414042"/>
          <w:spacing w:val="-6"/>
        </w:rPr>
        <w:t xml:space="preserve"> </w:t>
      </w:r>
      <w:r w:rsidRPr="00CA2CC1">
        <w:rPr>
          <w:rFonts w:cs="Calibri"/>
          <w:color w:val="414042"/>
        </w:rPr>
        <w:t>University,</w:t>
      </w:r>
      <w:r w:rsidRPr="00CA2CC1">
        <w:rPr>
          <w:rFonts w:cs="Calibri"/>
          <w:color w:val="414042"/>
          <w:spacing w:val="-6"/>
        </w:rPr>
        <w:t xml:space="preserve"> </w:t>
      </w:r>
      <w:r w:rsidRPr="00CA2CC1">
        <w:rPr>
          <w:rFonts w:cs="Calibri"/>
          <w:color w:val="414042"/>
        </w:rPr>
        <w:t>and</w:t>
      </w:r>
      <w:r w:rsidRPr="00CA2CC1">
        <w:rPr>
          <w:rFonts w:cs="Calibri"/>
          <w:color w:val="414042"/>
          <w:spacing w:val="-6"/>
        </w:rPr>
        <w:t xml:space="preserve"> </w:t>
      </w:r>
      <w:r w:rsidRPr="00CA2CC1">
        <w:rPr>
          <w:rFonts w:cs="Calibri"/>
          <w:color w:val="414042"/>
        </w:rPr>
        <w:t>is</w:t>
      </w:r>
      <w:r w:rsidRPr="00CA2CC1">
        <w:rPr>
          <w:rFonts w:cs="Calibri"/>
          <w:color w:val="414042"/>
          <w:spacing w:val="-6"/>
        </w:rPr>
        <w:t xml:space="preserve"> </w:t>
      </w:r>
      <w:r w:rsidRPr="00CA2CC1">
        <w:rPr>
          <w:rFonts w:cs="Calibri"/>
          <w:color w:val="414042"/>
        </w:rPr>
        <w:t>an</w:t>
      </w:r>
      <w:r w:rsidRPr="00CA2CC1">
        <w:rPr>
          <w:rFonts w:cs="Calibri"/>
          <w:color w:val="414042"/>
          <w:spacing w:val="-6"/>
        </w:rPr>
        <w:t xml:space="preserve"> </w:t>
      </w:r>
      <w:r w:rsidRPr="00CA2CC1">
        <w:rPr>
          <w:rFonts w:cs="Calibri"/>
          <w:color w:val="414042"/>
        </w:rPr>
        <w:t>Associate</w:t>
      </w:r>
      <w:r w:rsidRPr="00CA2CC1">
        <w:rPr>
          <w:rFonts w:cs="Calibri"/>
          <w:color w:val="414042"/>
          <w:spacing w:val="-6"/>
        </w:rPr>
        <w:t xml:space="preserve"> </w:t>
      </w:r>
      <w:r w:rsidRPr="00CA2CC1">
        <w:rPr>
          <w:rFonts w:cs="Calibri"/>
          <w:color w:val="414042"/>
        </w:rPr>
        <w:t>of the Institute of Actuaries Australia and a graduate from the Australian Institute of Company Directors.</w:t>
      </w:r>
    </w:p>
    <w:p w14:paraId="562E2824" w14:textId="77777777" w:rsidR="00FA4226" w:rsidRPr="00CA2CC1" w:rsidRDefault="00000000" w:rsidP="0043303B">
      <w:pPr>
        <w:pStyle w:val="BodyText"/>
        <w:spacing w:before="100"/>
        <w:rPr>
          <w:rFonts w:cs="Calibri"/>
        </w:rPr>
      </w:pPr>
      <w:r w:rsidRPr="00CA2CC1">
        <w:rPr>
          <w:rFonts w:cs="Calibri"/>
          <w:color w:val="414042"/>
        </w:rPr>
        <w:t>The</w:t>
      </w:r>
      <w:r w:rsidRPr="00CA2CC1">
        <w:rPr>
          <w:rFonts w:cs="Calibri"/>
          <w:color w:val="414042"/>
          <w:spacing w:val="-1"/>
        </w:rPr>
        <w:t xml:space="preserve"> </w:t>
      </w:r>
      <w:r w:rsidRPr="00CA2CC1">
        <w:rPr>
          <w:rFonts w:cs="Calibri"/>
          <w:color w:val="414042"/>
        </w:rPr>
        <w:t>main</w:t>
      </w:r>
      <w:r w:rsidRPr="00CA2CC1">
        <w:rPr>
          <w:rFonts w:cs="Calibri"/>
          <w:color w:val="414042"/>
          <w:spacing w:val="-1"/>
        </w:rPr>
        <w:t xml:space="preserve"> </w:t>
      </w:r>
      <w:r w:rsidRPr="00CA2CC1">
        <w:rPr>
          <w:rFonts w:cs="Calibri"/>
          <w:color w:val="414042"/>
        </w:rPr>
        <w:t>responsibilities</w:t>
      </w:r>
      <w:r w:rsidRPr="00CA2CC1">
        <w:rPr>
          <w:rFonts w:cs="Calibri"/>
          <w:color w:val="414042"/>
          <w:spacing w:val="-1"/>
        </w:rPr>
        <w:t xml:space="preserve"> </w:t>
      </w:r>
      <w:r w:rsidRPr="00CA2CC1">
        <w:rPr>
          <w:rFonts w:cs="Calibri"/>
          <w:color w:val="414042"/>
        </w:rPr>
        <w:t>of</w:t>
      </w:r>
      <w:r w:rsidRPr="00CA2CC1">
        <w:rPr>
          <w:rFonts w:cs="Calibri"/>
          <w:color w:val="414042"/>
          <w:spacing w:val="-1"/>
        </w:rPr>
        <w:t xml:space="preserve"> </w:t>
      </w:r>
      <w:r w:rsidRPr="00CA2CC1">
        <w:rPr>
          <w:rFonts w:cs="Calibri"/>
          <w:color w:val="414042"/>
        </w:rPr>
        <w:t>the</w:t>
      </w:r>
      <w:r w:rsidRPr="00CA2CC1">
        <w:rPr>
          <w:rFonts w:cs="Calibri"/>
          <w:color w:val="414042"/>
          <w:spacing w:val="-1"/>
        </w:rPr>
        <w:t xml:space="preserve"> </w:t>
      </w:r>
      <w:r w:rsidRPr="00CA2CC1">
        <w:rPr>
          <w:rFonts w:cs="Calibri"/>
          <w:color w:val="414042"/>
        </w:rPr>
        <w:t>audit</w:t>
      </w:r>
      <w:r w:rsidRPr="00CA2CC1">
        <w:rPr>
          <w:rFonts w:cs="Calibri"/>
          <w:color w:val="414042"/>
          <w:spacing w:val="-1"/>
        </w:rPr>
        <w:t xml:space="preserve"> </w:t>
      </w:r>
      <w:r w:rsidRPr="00CA2CC1">
        <w:rPr>
          <w:rFonts w:cs="Calibri"/>
          <w:color w:val="414042"/>
        </w:rPr>
        <w:t>committee</w:t>
      </w:r>
      <w:r w:rsidRPr="00CA2CC1">
        <w:rPr>
          <w:rFonts w:cs="Calibri"/>
          <w:color w:val="414042"/>
          <w:spacing w:val="-1"/>
        </w:rPr>
        <w:t xml:space="preserve"> </w:t>
      </w:r>
      <w:r w:rsidRPr="00CA2CC1">
        <w:rPr>
          <w:rFonts w:cs="Calibri"/>
          <w:color w:val="414042"/>
        </w:rPr>
        <w:t>are</w:t>
      </w:r>
      <w:r w:rsidRPr="00CA2CC1">
        <w:rPr>
          <w:rFonts w:cs="Calibri"/>
          <w:color w:val="414042"/>
          <w:spacing w:val="-1"/>
        </w:rPr>
        <w:t xml:space="preserve"> </w:t>
      </w:r>
      <w:r w:rsidRPr="00CA2CC1">
        <w:rPr>
          <w:rFonts w:cs="Calibri"/>
          <w:color w:val="414042"/>
          <w:spacing w:val="-5"/>
        </w:rPr>
        <w:t>to:</w:t>
      </w:r>
    </w:p>
    <w:p w14:paraId="43C6C38C" w14:textId="77777777" w:rsidR="00FA4226" w:rsidRPr="00CA2CC1" w:rsidRDefault="00000000" w:rsidP="0043303B">
      <w:pPr>
        <w:pStyle w:val="BodyText"/>
        <w:numPr>
          <w:ilvl w:val="0"/>
          <w:numId w:val="41"/>
        </w:numPr>
        <w:rPr>
          <w:rFonts w:cs="Calibri"/>
        </w:rPr>
      </w:pPr>
      <w:r w:rsidRPr="00CA2CC1">
        <w:rPr>
          <w:rFonts w:cs="Calibri"/>
        </w:rPr>
        <w:t>review the annual report and all other financial information published by Infrastructure Victoria</w:t>
      </w:r>
    </w:p>
    <w:p w14:paraId="3B489CDD" w14:textId="77777777" w:rsidR="00FA4226" w:rsidRPr="00CA2CC1" w:rsidRDefault="00000000" w:rsidP="0043303B">
      <w:pPr>
        <w:pStyle w:val="BodyText"/>
        <w:numPr>
          <w:ilvl w:val="0"/>
          <w:numId w:val="41"/>
        </w:numPr>
        <w:rPr>
          <w:rFonts w:cs="Calibri"/>
        </w:rPr>
      </w:pPr>
      <w:r w:rsidRPr="00CA2CC1">
        <w:rPr>
          <w:rFonts w:cs="Calibri"/>
        </w:rPr>
        <w:t>assist in reviewing the effectiveness of the internal control environment covering:</w:t>
      </w:r>
    </w:p>
    <w:p w14:paraId="6BB69D4E" w14:textId="77777777" w:rsidR="00FA4226" w:rsidRPr="00CA2CC1" w:rsidRDefault="00000000" w:rsidP="0043303B">
      <w:pPr>
        <w:pStyle w:val="BodyText"/>
        <w:numPr>
          <w:ilvl w:val="0"/>
          <w:numId w:val="43"/>
        </w:numPr>
        <w:rPr>
          <w:rFonts w:cs="Calibri"/>
        </w:rPr>
      </w:pPr>
      <w:r w:rsidRPr="00CA2CC1">
        <w:rPr>
          <w:rFonts w:cs="Calibri"/>
        </w:rPr>
        <w:t>effectiveness</w:t>
      </w:r>
      <w:r w:rsidRPr="00CA2CC1">
        <w:rPr>
          <w:rFonts w:cs="Calibri"/>
          <w:spacing w:val="-1"/>
        </w:rPr>
        <w:t xml:space="preserve"> </w:t>
      </w:r>
      <w:r w:rsidRPr="00CA2CC1">
        <w:rPr>
          <w:rFonts w:cs="Calibri"/>
        </w:rPr>
        <w:t>and</w:t>
      </w:r>
      <w:r w:rsidRPr="00CA2CC1">
        <w:rPr>
          <w:rFonts w:cs="Calibri"/>
          <w:spacing w:val="-1"/>
        </w:rPr>
        <w:t xml:space="preserve"> </w:t>
      </w:r>
      <w:r w:rsidRPr="00CA2CC1">
        <w:rPr>
          <w:rFonts w:cs="Calibri"/>
        </w:rPr>
        <w:t>efficiency</w:t>
      </w:r>
      <w:r w:rsidRPr="00CA2CC1">
        <w:rPr>
          <w:rFonts w:cs="Calibri"/>
          <w:spacing w:val="-1"/>
        </w:rPr>
        <w:t xml:space="preserve"> </w:t>
      </w:r>
      <w:r w:rsidRPr="00CA2CC1">
        <w:rPr>
          <w:rFonts w:cs="Calibri"/>
        </w:rPr>
        <w:t>of</w:t>
      </w:r>
      <w:r w:rsidRPr="00CA2CC1">
        <w:rPr>
          <w:rFonts w:cs="Calibri"/>
          <w:spacing w:val="-1"/>
        </w:rPr>
        <w:t xml:space="preserve"> </w:t>
      </w:r>
      <w:r w:rsidRPr="00CA2CC1">
        <w:rPr>
          <w:rFonts w:cs="Calibri"/>
          <w:spacing w:val="-2"/>
        </w:rPr>
        <w:t>operations</w:t>
      </w:r>
    </w:p>
    <w:p w14:paraId="57BD9D10" w14:textId="77777777" w:rsidR="00FA4226" w:rsidRPr="00CA2CC1" w:rsidRDefault="00000000" w:rsidP="0043303B">
      <w:pPr>
        <w:pStyle w:val="BodyText"/>
        <w:numPr>
          <w:ilvl w:val="0"/>
          <w:numId w:val="43"/>
        </w:numPr>
        <w:rPr>
          <w:rFonts w:cs="Calibri"/>
        </w:rPr>
      </w:pPr>
      <w:r w:rsidRPr="00CA2CC1">
        <w:rPr>
          <w:rFonts w:cs="Calibri"/>
        </w:rPr>
        <w:t>reliability</w:t>
      </w:r>
      <w:r w:rsidRPr="00CA2CC1">
        <w:rPr>
          <w:rFonts w:cs="Calibri"/>
          <w:spacing w:val="-4"/>
        </w:rPr>
        <w:t xml:space="preserve"> </w:t>
      </w:r>
      <w:r w:rsidRPr="00CA2CC1">
        <w:rPr>
          <w:rFonts w:cs="Calibri"/>
        </w:rPr>
        <w:t>of</w:t>
      </w:r>
      <w:r w:rsidRPr="00CA2CC1">
        <w:rPr>
          <w:rFonts w:cs="Calibri"/>
          <w:spacing w:val="-2"/>
        </w:rPr>
        <w:t xml:space="preserve"> </w:t>
      </w:r>
      <w:r w:rsidRPr="00CA2CC1">
        <w:rPr>
          <w:rFonts w:cs="Calibri"/>
        </w:rPr>
        <w:t>financial</w:t>
      </w:r>
      <w:r w:rsidRPr="00CA2CC1">
        <w:rPr>
          <w:rFonts w:cs="Calibri"/>
          <w:spacing w:val="-2"/>
        </w:rPr>
        <w:t xml:space="preserve"> </w:t>
      </w:r>
      <w:r w:rsidRPr="00CA2CC1">
        <w:rPr>
          <w:rFonts w:cs="Calibri"/>
        </w:rPr>
        <w:t>reporting</w:t>
      </w:r>
      <w:r w:rsidRPr="00CA2CC1">
        <w:rPr>
          <w:rFonts w:cs="Calibri"/>
          <w:spacing w:val="-2"/>
        </w:rPr>
        <w:t xml:space="preserve"> </w:t>
      </w:r>
      <w:r w:rsidRPr="00CA2CC1">
        <w:rPr>
          <w:rFonts w:cs="Calibri"/>
          <w:spacing w:val="-5"/>
        </w:rPr>
        <w:t>and</w:t>
      </w:r>
    </w:p>
    <w:p w14:paraId="203F6607" w14:textId="77777777" w:rsidR="00FA4226" w:rsidRPr="00CA2CC1" w:rsidRDefault="00000000" w:rsidP="0043303B">
      <w:pPr>
        <w:pStyle w:val="BodyText"/>
        <w:numPr>
          <w:ilvl w:val="0"/>
          <w:numId w:val="43"/>
        </w:numPr>
        <w:rPr>
          <w:rFonts w:cs="Calibri"/>
        </w:rPr>
      </w:pPr>
      <w:r w:rsidRPr="00CA2CC1">
        <w:rPr>
          <w:rFonts w:cs="Calibri"/>
        </w:rPr>
        <w:t xml:space="preserve">compliance with applicable laws and </w:t>
      </w:r>
      <w:r w:rsidRPr="00CA2CC1">
        <w:rPr>
          <w:rFonts w:cs="Calibri"/>
          <w:spacing w:val="-2"/>
        </w:rPr>
        <w:t>regulations</w:t>
      </w:r>
    </w:p>
    <w:p w14:paraId="3B39CDA5" w14:textId="77777777" w:rsidR="00FA4226" w:rsidRPr="00CA2CC1" w:rsidRDefault="00000000" w:rsidP="0043303B">
      <w:pPr>
        <w:pStyle w:val="BodyText"/>
        <w:numPr>
          <w:ilvl w:val="0"/>
          <w:numId w:val="45"/>
        </w:numPr>
        <w:rPr>
          <w:rFonts w:cs="Calibri"/>
        </w:rPr>
      </w:pPr>
      <w:r w:rsidRPr="00CA2CC1">
        <w:rPr>
          <w:rFonts w:cs="Calibri"/>
        </w:rPr>
        <w:t>determine the scope of the internal audit function and ensure</w:t>
      </w:r>
      <w:r w:rsidRPr="00CA2CC1">
        <w:rPr>
          <w:rFonts w:cs="Calibri"/>
          <w:spacing w:val="-10"/>
        </w:rPr>
        <w:t xml:space="preserve"> </w:t>
      </w:r>
      <w:r w:rsidRPr="00CA2CC1">
        <w:rPr>
          <w:rFonts w:cs="Calibri"/>
        </w:rPr>
        <w:t>its</w:t>
      </w:r>
      <w:r w:rsidRPr="00CA2CC1">
        <w:rPr>
          <w:rFonts w:cs="Calibri"/>
          <w:spacing w:val="-10"/>
        </w:rPr>
        <w:t xml:space="preserve"> </w:t>
      </w:r>
      <w:r w:rsidRPr="00CA2CC1">
        <w:rPr>
          <w:rFonts w:cs="Calibri"/>
        </w:rPr>
        <w:t>resources</w:t>
      </w:r>
      <w:r w:rsidRPr="00CA2CC1">
        <w:rPr>
          <w:rFonts w:cs="Calibri"/>
          <w:spacing w:val="-10"/>
        </w:rPr>
        <w:t xml:space="preserve"> </w:t>
      </w:r>
      <w:r w:rsidRPr="00CA2CC1">
        <w:rPr>
          <w:rFonts w:cs="Calibri"/>
        </w:rPr>
        <w:t>are</w:t>
      </w:r>
      <w:r w:rsidRPr="00CA2CC1">
        <w:rPr>
          <w:rFonts w:cs="Calibri"/>
          <w:spacing w:val="-10"/>
        </w:rPr>
        <w:t xml:space="preserve"> </w:t>
      </w:r>
      <w:r w:rsidRPr="00CA2CC1">
        <w:rPr>
          <w:rFonts w:cs="Calibri"/>
        </w:rPr>
        <w:t>adequate</w:t>
      </w:r>
      <w:r w:rsidRPr="00CA2CC1">
        <w:rPr>
          <w:rFonts w:cs="Calibri"/>
          <w:spacing w:val="-10"/>
        </w:rPr>
        <w:t xml:space="preserve"> </w:t>
      </w:r>
      <w:r w:rsidRPr="00CA2CC1">
        <w:rPr>
          <w:rFonts w:cs="Calibri"/>
        </w:rPr>
        <w:t>and</w:t>
      </w:r>
      <w:r w:rsidRPr="00CA2CC1">
        <w:rPr>
          <w:rFonts w:cs="Calibri"/>
          <w:spacing w:val="-10"/>
        </w:rPr>
        <w:t xml:space="preserve"> </w:t>
      </w:r>
      <w:r w:rsidRPr="00CA2CC1">
        <w:rPr>
          <w:rFonts w:cs="Calibri"/>
        </w:rPr>
        <w:t>used</w:t>
      </w:r>
      <w:r w:rsidRPr="00CA2CC1">
        <w:rPr>
          <w:rFonts w:cs="Calibri"/>
          <w:spacing w:val="-10"/>
        </w:rPr>
        <w:t xml:space="preserve"> </w:t>
      </w:r>
      <w:r w:rsidRPr="00CA2CC1">
        <w:rPr>
          <w:rFonts w:cs="Calibri"/>
        </w:rPr>
        <w:t>effectively, including coordination with external auditors</w:t>
      </w:r>
    </w:p>
    <w:p w14:paraId="33930823" w14:textId="77777777" w:rsidR="00FA4226" w:rsidRPr="00CA2CC1" w:rsidRDefault="00000000" w:rsidP="0043303B">
      <w:pPr>
        <w:pStyle w:val="BodyText"/>
        <w:numPr>
          <w:ilvl w:val="0"/>
          <w:numId w:val="45"/>
        </w:numPr>
        <w:rPr>
          <w:rFonts w:cs="Calibri"/>
        </w:rPr>
      </w:pPr>
      <w:r w:rsidRPr="00CA2CC1">
        <w:rPr>
          <w:rFonts w:cs="Calibri"/>
        </w:rPr>
        <w:t>maintain</w:t>
      </w:r>
      <w:r w:rsidRPr="00CA2CC1">
        <w:rPr>
          <w:rFonts w:cs="Calibri"/>
          <w:spacing w:val="-1"/>
        </w:rPr>
        <w:t xml:space="preserve"> </w:t>
      </w:r>
      <w:r w:rsidRPr="00CA2CC1">
        <w:rPr>
          <w:rFonts w:cs="Calibri"/>
        </w:rPr>
        <w:t xml:space="preserve">effective communication with external </w:t>
      </w:r>
      <w:r w:rsidRPr="00CA2CC1">
        <w:rPr>
          <w:rFonts w:cs="Calibri"/>
          <w:spacing w:val="-2"/>
        </w:rPr>
        <w:t>auditors</w:t>
      </w:r>
    </w:p>
    <w:p w14:paraId="2AABEE59" w14:textId="77777777" w:rsidR="00FA4226" w:rsidRPr="00CA2CC1" w:rsidRDefault="00000000" w:rsidP="0043303B">
      <w:pPr>
        <w:pStyle w:val="BodyText"/>
        <w:numPr>
          <w:ilvl w:val="0"/>
          <w:numId w:val="45"/>
        </w:numPr>
        <w:rPr>
          <w:rFonts w:cs="Calibri"/>
        </w:rPr>
      </w:pPr>
      <w:r w:rsidRPr="00CA2CC1">
        <w:rPr>
          <w:rFonts w:cs="Calibri"/>
        </w:rPr>
        <w:t>consider recommendations made by internal and external</w:t>
      </w:r>
      <w:r w:rsidRPr="00CA2CC1">
        <w:rPr>
          <w:rFonts w:cs="Calibri"/>
          <w:spacing w:val="-6"/>
        </w:rPr>
        <w:t xml:space="preserve"> </w:t>
      </w:r>
      <w:r w:rsidRPr="00CA2CC1">
        <w:rPr>
          <w:rFonts w:cs="Calibri"/>
        </w:rPr>
        <w:t>auditors</w:t>
      </w:r>
      <w:r w:rsidRPr="00CA2CC1">
        <w:rPr>
          <w:rFonts w:cs="Calibri"/>
          <w:spacing w:val="-6"/>
        </w:rPr>
        <w:t xml:space="preserve"> </w:t>
      </w:r>
      <w:r w:rsidRPr="00CA2CC1">
        <w:rPr>
          <w:rFonts w:cs="Calibri"/>
        </w:rPr>
        <w:t>and</w:t>
      </w:r>
      <w:r w:rsidRPr="00CA2CC1">
        <w:rPr>
          <w:rFonts w:cs="Calibri"/>
          <w:spacing w:val="-6"/>
        </w:rPr>
        <w:t xml:space="preserve"> </w:t>
      </w:r>
      <w:r w:rsidRPr="00CA2CC1">
        <w:rPr>
          <w:rFonts w:cs="Calibri"/>
        </w:rPr>
        <w:t>review</w:t>
      </w:r>
      <w:r w:rsidRPr="00CA2CC1">
        <w:rPr>
          <w:rFonts w:cs="Calibri"/>
          <w:spacing w:val="-6"/>
        </w:rPr>
        <w:t xml:space="preserve"> </w:t>
      </w:r>
      <w:r w:rsidRPr="00CA2CC1">
        <w:rPr>
          <w:rFonts w:cs="Calibri"/>
        </w:rPr>
        <w:t>the</w:t>
      </w:r>
      <w:r w:rsidRPr="00CA2CC1">
        <w:rPr>
          <w:rFonts w:cs="Calibri"/>
          <w:spacing w:val="-6"/>
        </w:rPr>
        <w:t xml:space="preserve"> </w:t>
      </w:r>
      <w:r w:rsidRPr="00CA2CC1">
        <w:rPr>
          <w:rFonts w:cs="Calibri"/>
        </w:rPr>
        <w:t>implementation</w:t>
      </w:r>
      <w:r w:rsidRPr="00CA2CC1">
        <w:rPr>
          <w:rFonts w:cs="Calibri"/>
          <w:spacing w:val="-6"/>
        </w:rPr>
        <w:t xml:space="preserve"> </w:t>
      </w:r>
      <w:r w:rsidRPr="00CA2CC1">
        <w:rPr>
          <w:rFonts w:cs="Calibri"/>
        </w:rPr>
        <w:t>of actions to resolve issues raised and</w:t>
      </w:r>
    </w:p>
    <w:p w14:paraId="20E398B0" w14:textId="77777777" w:rsidR="00FA4226" w:rsidRPr="00CA2CC1" w:rsidRDefault="00000000" w:rsidP="0043303B">
      <w:pPr>
        <w:pStyle w:val="BodyText"/>
        <w:numPr>
          <w:ilvl w:val="0"/>
          <w:numId w:val="45"/>
        </w:numPr>
        <w:rPr>
          <w:rFonts w:cs="Calibri"/>
        </w:rPr>
      </w:pPr>
      <w:r w:rsidRPr="00CA2CC1">
        <w:rPr>
          <w:rFonts w:cs="Calibri"/>
        </w:rPr>
        <w:t>oversee</w:t>
      </w:r>
      <w:r w:rsidRPr="00CA2CC1">
        <w:rPr>
          <w:rFonts w:cs="Calibri"/>
          <w:spacing w:val="-6"/>
        </w:rPr>
        <w:t xml:space="preserve"> </w:t>
      </w:r>
      <w:r w:rsidRPr="00CA2CC1">
        <w:rPr>
          <w:rFonts w:cs="Calibri"/>
        </w:rPr>
        <w:t>the</w:t>
      </w:r>
      <w:r w:rsidRPr="00CA2CC1">
        <w:rPr>
          <w:rFonts w:cs="Calibri"/>
          <w:spacing w:val="-6"/>
        </w:rPr>
        <w:t xml:space="preserve"> </w:t>
      </w:r>
      <w:r w:rsidRPr="00CA2CC1">
        <w:rPr>
          <w:rFonts w:cs="Calibri"/>
        </w:rPr>
        <w:t>effective</w:t>
      </w:r>
      <w:r w:rsidRPr="00CA2CC1">
        <w:rPr>
          <w:rFonts w:cs="Calibri"/>
          <w:spacing w:val="-6"/>
        </w:rPr>
        <w:t xml:space="preserve"> </w:t>
      </w:r>
      <w:r w:rsidRPr="00CA2CC1">
        <w:rPr>
          <w:rFonts w:cs="Calibri"/>
        </w:rPr>
        <w:t>operation</w:t>
      </w:r>
      <w:r w:rsidRPr="00CA2CC1">
        <w:rPr>
          <w:rFonts w:cs="Calibri"/>
          <w:spacing w:val="-6"/>
        </w:rPr>
        <w:t xml:space="preserve"> </w:t>
      </w:r>
      <w:r w:rsidRPr="00CA2CC1">
        <w:rPr>
          <w:rFonts w:cs="Calibri"/>
        </w:rPr>
        <w:t>of</w:t>
      </w:r>
      <w:r w:rsidRPr="00CA2CC1">
        <w:rPr>
          <w:rFonts w:cs="Calibri"/>
          <w:spacing w:val="-6"/>
        </w:rPr>
        <w:t xml:space="preserve"> </w:t>
      </w:r>
      <w:r w:rsidRPr="00CA2CC1">
        <w:rPr>
          <w:rFonts w:cs="Calibri"/>
        </w:rPr>
        <w:t>the</w:t>
      </w:r>
      <w:r w:rsidRPr="00CA2CC1">
        <w:rPr>
          <w:rFonts w:cs="Calibri"/>
          <w:spacing w:val="-6"/>
        </w:rPr>
        <w:t xml:space="preserve"> </w:t>
      </w:r>
      <w:r w:rsidRPr="00CA2CC1">
        <w:rPr>
          <w:rFonts w:cs="Calibri"/>
        </w:rPr>
        <w:t>risk</w:t>
      </w:r>
      <w:r w:rsidRPr="00CA2CC1">
        <w:rPr>
          <w:rFonts w:cs="Calibri"/>
          <w:spacing w:val="-6"/>
        </w:rPr>
        <w:t xml:space="preserve"> </w:t>
      </w:r>
      <w:r w:rsidRPr="00CA2CC1">
        <w:rPr>
          <w:rFonts w:cs="Calibri"/>
        </w:rPr>
        <w:t xml:space="preserve">management </w:t>
      </w:r>
      <w:r w:rsidRPr="00CA2CC1">
        <w:rPr>
          <w:rFonts w:cs="Calibri"/>
          <w:spacing w:val="-2"/>
        </w:rPr>
        <w:t>framework.</w:t>
      </w:r>
    </w:p>
    <w:p w14:paraId="56654EEF" w14:textId="77777777" w:rsidR="00FA4226" w:rsidRPr="00CA2CC1" w:rsidRDefault="00000000" w:rsidP="0043303B">
      <w:pPr>
        <w:pStyle w:val="BodyText"/>
        <w:spacing w:before="112"/>
        <w:rPr>
          <w:rFonts w:cs="Calibri"/>
        </w:rPr>
      </w:pPr>
      <w:r w:rsidRPr="00CA2CC1">
        <w:rPr>
          <w:rFonts w:cs="Calibri"/>
          <w:color w:val="414042"/>
        </w:rPr>
        <w:t>The committee met 4 times in 2022-</w:t>
      </w:r>
      <w:r w:rsidRPr="00CA2CC1">
        <w:rPr>
          <w:rFonts w:cs="Calibri"/>
          <w:color w:val="414042"/>
          <w:spacing w:val="-2"/>
        </w:rPr>
        <w:t>2023.</w:t>
      </w:r>
    </w:p>
    <w:p w14:paraId="5221181E" w14:textId="77777777" w:rsidR="00B033C8" w:rsidRPr="00CA2CC1" w:rsidRDefault="00B033C8" w:rsidP="0043303B">
      <w:pPr>
        <w:pStyle w:val="BodyText"/>
        <w:rPr>
          <w:rFonts w:cs="Calibri"/>
        </w:rPr>
      </w:pPr>
    </w:p>
    <w:p w14:paraId="6BE75A94" w14:textId="2C9102B1" w:rsidR="00FA4226" w:rsidRPr="003375C9" w:rsidRDefault="00000000" w:rsidP="003375C9">
      <w:pPr>
        <w:pStyle w:val="Heading3"/>
      </w:pPr>
      <w:r w:rsidRPr="003375C9">
        <w:t>Occupational health and safety</w:t>
      </w:r>
    </w:p>
    <w:p w14:paraId="258ADA0D" w14:textId="77777777" w:rsidR="00FA4226" w:rsidRPr="00CA2CC1" w:rsidRDefault="00000000" w:rsidP="0043303B">
      <w:pPr>
        <w:pStyle w:val="BodyText"/>
        <w:spacing w:before="88"/>
        <w:rPr>
          <w:rFonts w:cs="Calibri"/>
        </w:rPr>
      </w:pPr>
      <w:r w:rsidRPr="00CA2CC1">
        <w:rPr>
          <w:rFonts w:cs="Calibri"/>
          <w:color w:val="414042"/>
        </w:rPr>
        <w:t>Infrastructure</w:t>
      </w:r>
      <w:r w:rsidRPr="00CA2CC1">
        <w:rPr>
          <w:rFonts w:cs="Calibri"/>
          <w:color w:val="414042"/>
          <w:spacing w:val="-7"/>
        </w:rPr>
        <w:t xml:space="preserve"> </w:t>
      </w:r>
      <w:r w:rsidRPr="00CA2CC1">
        <w:rPr>
          <w:rFonts w:cs="Calibri"/>
          <w:color w:val="414042"/>
        </w:rPr>
        <w:t>Victoria</w:t>
      </w:r>
      <w:r w:rsidRPr="00CA2CC1">
        <w:rPr>
          <w:rFonts w:cs="Calibri"/>
          <w:color w:val="414042"/>
          <w:spacing w:val="-7"/>
        </w:rPr>
        <w:t xml:space="preserve"> </w:t>
      </w:r>
      <w:r w:rsidRPr="00CA2CC1">
        <w:rPr>
          <w:rFonts w:cs="Calibri"/>
          <w:color w:val="414042"/>
        </w:rPr>
        <w:t>maintains</w:t>
      </w:r>
      <w:r w:rsidRPr="00CA2CC1">
        <w:rPr>
          <w:rFonts w:cs="Calibri"/>
          <w:color w:val="414042"/>
          <w:spacing w:val="-7"/>
        </w:rPr>
        <w:t xml:space="preserve"> </w:t>
      </w:r>
      <w:r w:rsidRPr="00CA2CC1">
        <w:rPr>
          <w:rFonts w:cs="Calibri"/>
          <w:color w:val="414042"/>
        </w:rPr>
        <w:t>a</w:t>
      </w:r>
      <w:r w:rsidRPr="00CA2CC1">
        <w:rPr>
          <w:rFonts w:cs="Calibri"/>
          <w:color w:val="414042"/>
          <w:spacing w:val="-7"/>
        </w:rPr>
        <w:t xml:space="preserve"> </w:t>
      </w:r>
      <w:r w:rsidRPr="00CA2CC1">
        <w:rPr>
          <w:rFonts w:cs="Calibri"/>
          <w:color w:val="414042"/>
        </w:rPr>
        <w:t>policy</w:t>
      </w:r>
      <w:r w:rsidRPr="00CA2CC1">
        <w:rPr>
          <w:rFonts w:cs="Calibri"/>
          <w:color w:val="414042"/>
          <w:spacing w:val="-7"/>
        </w:rPr>
        <w:t xml:space="preserve"> </w:t>
      </w:r>
      <w:r w:rsidRPr="00CA2CC1">
        <w:rPr>
          <w:rFonts w:cs="Calibri"/>
          <w:color w:val="414042"/>
        </w:rPr>
        <w:t>on</w:t>
      </w:r>
      <w:r w:rsidRPr="00CA2CC1">
        <w:rPr>
          <w:rFonts w:cs="Calibri"/>
          <w:color w:val="414042"/>
          <w:spacing w:val="-7"/>
        </w:rPr>
        <w:t xml:space="preserve"> </w:t>
      </w:r>
      <w:r w:rsidRPr="00CA2CC1">
        <w:rPr>
          <w:rFonts w:cs="Calibri"/>
          <w:color w:val="414042"/>
        </w:rPr>
        <w:t>Occupational Health and Safety (OH&amp;S). There were no reportable incidents relating to OH&amp;S in 2022–2023.</w:t>
      </w:r>
    </w:p>
    <w:p w14:paraId="5ADBE8FB" w14:textId="77777777" w:rsidR="00FA4226" w:rsidRPr="00CA2CC1" w:rsidRDefault="00FA4226" w:rsidP="0043303B">
      <w:pPr>
        <w:pStyle w:val="BodyText"/>
        <w:spacing w:before="5"/>
        <w:rPr>
          <w:rFonts w:cs="Calibri"/>
          <w:sz w:val="27"/>
        </w:rPr>
      </w:pPr>
    </w:p>
    <w:p w14:paraId="4185D13B" w14:textId="77777777" w:rsidR="00FA4226" w:rsidRPr="003375C9" w:rsidRDefault="00000000" w:rsidP="003375C9">
      <w:pPr>
        <w:pStyle w:val="Heading3"/>
      </w:pPr>
      <w:r w:rsidRPr="003375C9">
        <w:t>Employment and conduct principles</w:t>
      </w:r>
    </w:p>
    <w:p w14:paraId="45B89B6D" w14:textId="77777777" w:rsidR="00FA4226" w:rsidRPr="00CA2CC1" w:rsidRDefault="00000000" w:rsidP="0043303B">
      <w:pPr>
        <w:pStyle w:val="BodyText"/>
        <w:spacing w:before="103"/>
        <w:rPr>
          <w:rFonts w:cs="Calibri"/>
        </w:rPr>
      </w:pPr>
      <w:r w:rsidRPr="00CA2CC1">
        <w:rPr>
          <w:rFonts w:cs="Calibri"/>
          <w:color w:val="414042"/>
        </w:rPr>
        <w:t>Since</w:t>
      </w:r>
      <w:r w:rsidRPr="00CA2CC1">
        <w:rPr>
          <w:rFonts w:cs="Calibri"/>
          <w:color w:val="414042"/>
          <w:spacing w:val="-6"/>
        </w:rPr>
        <w:t xml:space="preserve"> </w:t>
      </w:r>
      <w:r w:rsidRPr="00CA2CC1">
        <w:rPr>
          <w:rFonts w:cs="Calibri"/>
          <w:color w:val="414042"/>
        </w:rPr>
        <w:t>the</w:t>
      </w:r>
      <w:r w:rsidRPr="00CA2CC1">
        <w:rPr>
          <w:rFonts w:cs="Calibri"/>
          <w:color w:val="414042"/>
          <w:spacing w:val="-6"/>
        </w:rPr>
        <w:t xml:space="preserve"> </w:t>
      </w:r>
      <w:r w:rsidRPr="00CA2CC1">
        <w:rPr>
          <w:rFonts w:cs="Calibri"/>
          <w:color w:val="414042"/>
        </w:rPr>
        <w:t>establishment</w:t>
      </w:r>
      <w:r w:rsidRPr="00CA2CC1">
        <w:rPr>
          <w:rFonts w:cs="Calibri"/>
          <w:color w:val="414042"/>
          <w:spacing w:val="-6"/>
        </w:rPr>
        <w:t xml:space="preserve"> </w:t>
      </w:r>
      <w:r w:rsidRPr="00CA2CC1">
        <w:rPr>
          <w:rFonts w:cs="Calibri"/>
          <w:color w:val="414042"/>
        </w:rPr>
        <w:t>of</w:t>
      </w:r>
      <w:r w:rsidRPr="00CA2CC1">
        <w:rPr>
          <w:rFonts w:cs="Calibri"/>
          <w:color w:val="414042"/>
          <w:spacing w:val="-6"/>
        </w:rPr>
        <w:t xml:space="preserve"> </w:t>
      </w:r>
      <w:r w:rsidRPr="00CA2CC1">
        <w:rPr>
          <w:rFonts w:cs="Calibri"/>
          <w:color w:val="414042"/>
        </w:rPr>
        <w:t>Infrastructure</w:t>
      </w:r>
      <w:r w:rsidRPr="00CA2CC1">
        <w:rPr>
          <w:rFonts w:cs="Calibri"/>
          <w:color w:val="414042"/>
          <w:spacing w:val="-6"/>
        </w:rPr>
        <w:t xml:space="preserve"> </w:t>
      </w:r>
      <w:r w:rsidRPr="00CA2CC1">
        <w:rPr>
          <w:rFonts w:cs="Calibri"/>
          <w:color w:val="414042"/>
        </w:rPr>
        <w:t>Victoria</w:t>
      </w:r>
      <w:r w:rsidRPr="00CA2CC1">
        <w:rPr>
          <w:rFonts w:cs="Calibri"/>
          <w:color w:val="414042"/>
          <w:spacing w:val="-6"/>
        </w:rPr>
        <w:t xml:space="preserve"> </w:t>
      </w:r>
      <w:r w:rsidRPr="00CA2CC1">
        <w:rPr>
          <w:rFonts w:cs="Calibri"/>
          <w:color w:val="414042"/>
        </w:rPr>
        <w:t>in</w:t>
      </w:r>
      <w:r w:rsidRPr="00CA2CC1">
        <w:rPr>
          <w:rFonts w:cs="Calibri"/>
          <w:color w:val="414042"/>
          <w:spacing w:val="-6"/>
        </w:rPr>
        <w:t xml:space="preserve"> </w:t>
      </w:r>
      <w:r w:rsidRPr="00CA2CC1">
        <w:rPr>
          <w:rFonts w:cs="Calibri"/>
          <w:color w:val="414042"/>
        </w:rPr>
        <w:t>October 2015, the organisation has implemented processes to provide</w:t>
      </w:r>
      <w:r w:rsidRPr="00CA2CC1">
        <w:rPr>
          <w:rFonts w:cs="Calibri"/>
          <w:color w:val="414042"/>
          <w:spacing w:val="-6"/>
        </w:rPr>
        <w:t xml:space="preserve"> </w:t>
      </w:r>
      <w:r w:rsidRPr="00CA2CC1">
        <w:rPr>
          <w:rFonts w:cs="Calibri"/>
          <w:color w:val="414042"/>
        </w:rPr>
        <w:t>the</w:t>
      </w:r>
      <w:r w:rsidRPr="00CA2CC1">
        <w:rPr>
          <w:rFonts w:cs="Calibri"/>
          <w:color w:val="414042"/>
          <w:spacing w:val="-6"/>
        </w:rPr>
        <w:t xml:space="preserve"> </w:t>
      </w:r>
      <w:r w:rsidRPr="00CA2CC1">
        <w:rPr>
          <w:rFonts w:cs="Calibri"/>
          <w:color w:val="414042"/>
        </w:rPr>
        <w:t>staffing</w:t>
      </w:r>
      <w:r w:rsidRPr="00CA2CC1">
        <w:rPr>
          <w:rFonts w:cs="Calibri"/>
          <w:color w:val="414042"/>
          <w:spacing w:val="-6"/>
        </w:rPr>
        <w:t xml:space="preserve"> </w:t>
      </w:r>
      <w:r w:rsidRPr="00CA2CC1">
        <w:rPr>
          <w:rFonts w:cs="Calibri"/>
          <w:color w:val="414042"/>
        </w:rPr>
        <w:t>resources</w:t>
      </w:r>
      <w:r w:rsidRPr="00CA2CC1">
        <w:rPr>
          <w:rFonts w:cs="Calibri"/>
          <w:color w:val="414042"/>
          <w:spacing w:val="-6"/>
        </w:rPr>
        <w:t xml:space="preserve"> </w:t>
      </w:r>
      <w:r w:rsidRPr="00CA2CC1">
        <w:rPr>
          <w:rFonts w:cs="Calibri"/>
          <w:color w:val="414042"/>
        </w:rPr>
        <w:t>necessary</w:t>
      </w:r>
      <w:r w:rsidRPr="00CA2CC1">
        <w:rPr>
          <w:rFonts w:cs="Calibri"/>
          <w:color w:val="414042"/>
          <w:spacing w:val="-6"/>
        </w:rPr>
        <w:t xml:space="preserve"> </w:t>
      </w:r>
      <w:r w:rsidRPr="00CA2CC1">
        <w:rPr>
          <w:rFonts w:cs="Calibri"/>
          <w:color w:val="414042"/>
        </w:rPr>
        <w:t>to</w:t>
      </w:r>
      <w:r w:rsidRPr="00CA2CC1">
        <w:rPr>
          <w:rFonts w:cs="Calibri"/>
          <w:color w:val="414042"/>
          <w:spacing w:val="-6"/>
        </w:rPr>
        <w:t xml:space="preserve"> </w:t>
      </w:r>
      <w:r w:rsidRPr="00CA2CC1">
        <w:rPr>
          <w:rFonts w:cs="Calibri"/>
          <w:color w:val="414042"/>
        </w:rPr>
        <w:t>deliver</w:t>
      </w:r>
      <w:r w:rsidRPr="00CA2CC1">
        <w:rPr>
          <w:rFonts w:cs="Calibri"/>
          <w:color w:val="414042"/>
          <w:spacing w:val="-6"/>
        </w:rPr>
        <w:t xml:space="preserve"> </w:t>
      </w:r>
      <w:r w:rsidRPr="00CA2CC1">
        <w:rPr>
          <w:rFonts w:cs="Calibri"/>
          <w:color w:val="414042"/>
        </w:rPr>
        <w:t xml:space="preserve">statutory </w:t>
      </w:r>
      <w:r w:rsidRPr="00CA2CC1">
        <w:rPr>
          <w:rFonts w:cs="Calibri"/>
          <w:color w:val="414042"/>
          <w:spacing w:val="-2"/>
        </w:rPr>
        <w:t>requirements.</w:t>
      </w:r>
    </w:p>
    <w:p w14:paraId="562F7A04" w14:textId="77777777" w:rsidR="00FA4226" w:rsidRPr="00CA2CC1" w:rsidRDefault="00000000" w:rsidP="0043303B">
      <w:pPr>
        <w:pStyle w:val="BodyText"/>
        <w:spacing w:before="115"/>
        <w:rPr>
          <w:rFonts w:cs="Calibri"/>
        </w:rPr>
      </w:pPr>
      <w:r w:rsidRPr="00CA2CC1">
        <w:rPr>
          <w:rFonts w:cs="Calibri"/>
          <w:color w:val="414042"/>
        </w:rPr>
        <w:t>Infrastructure Victoria is committed to applying merit and equity principles when appointing staff. The selection processes ensure that applicants are assessed and evaluated fairly on the basis of key selection criteria and other</w:t>
      </w:r>
      <w:r w:rsidRPr="00CA2CC1">
        <w:rPr>
          <w:rFonts w:cs="Calibri"/>
          <w:color w:val="414042"/>
          <w:spacing w:val="-8"/>
        </w:rPr>
        <w:t xml:space="preserve"> </w:t>
      </w:r>
      <w:r w:rsidRPr="00CA2CC1">
        <w:rPr>
          <w:rFonts w:cs="Calibri"/>
          <w:color w:val="414042"/>
        </w:rPr>
        <w:t>accountabilities</w:t>
      </w:r>
      <w:r w:rsidRPr="00CA2CC1">
        <w:rPr>
          <w:rFonts w:cs="Calibri"/>
          <w:color w:val="414042"/>
          <w:spacing w:val="-8"/>
        </w:rPr>
        <w:t xml:space="preserve"> </w:t>
      </w:r>
      <w:r w:rsidRPr="00CA2CC1">
        <w:rPr>
          <w:rFonts w:cs="Calibri"/>
          <w:color w:val="414042"/>
        </w:rPr>
        <w:t>without</w:t>
      </w:r>
      <w:r w:rsidRPr="00CA2CC1">
        <w:rPr>
          <w:rFonts w:cs="Calibri"/>
          <w:color w:val="414042"/>
          <w:spacing w:val="-8"/>
        </w:rPr>
        <w:t xml:space="preserve"> </w:t>
      </w:r>
      <w:r w:rsidRPr="00CA2CC1">
        <w:rPr>
          <w:rFonts w:cs="Calibri"/>
          <w:color w:val="414042"/>
        </w:rPr>
        <w:t>discrimination.</w:t>
      </w:r>
      <w:r w:rsidRPr="00CA2CC1">
        <w:rPr>
          <w:rFonts w:cs="Calibri"/>
          <w:color w:val="414042"/>
          <w:spacing w:val="-8"/>
        </w:rPr>
        <w:t xml:space="preserve"> </w:t>
      </w:r>
      <w:r w:rsidRPr="00CA2CC1">
        <w:rPr>
          <w:rFonts w:cs="Calibri"/>
          <w:color w:val="414042"/>
        </w:rPr>
        <w:t>We</w:t>
      </w:r>
      <w:r w:rsidRPr="00CA2CC1">
        <w:rPr>
          <w:rFonts w:cs="Calibri"/>
          <w:color w:val="414042"/>
          <w:spacing w:val="-8"/>
        </w:rPr>
        <w:t xml:space="preserve"> </w:t>
      </w:r>
      <w:r w:rsidRPr="00CA2CC1">
        <w:rPr>
          <w:rFonts w:cs="Calibri"/>
          <w:color w:val="414042"/>
        </w:rPr>
        <w:t>are</w:t>
      </w:r>
      <w:r w:rsidRPr="00CA2CC1">
        <w:rPr>
          <w:rFonts w:cs="Calibri"/>
          <w:color w:val="414042"/>
          <w:spacing w:val="-8"/>
        </w:rPr>
        <w:t xml:space="preserve"> </w:t>
      </w:r>
      <w:r w:rsidRPr="00CA2CC1">
        <w:rPr>
          <w:rFonts w:cs="Calibri"/>
          <w:color w:val="414042"/>
        </w:rPr>
        <w:t>proud of the diversity of our staff’s demographics, backgrounds, skills and capabilities.</w:t>
      </w:r>
    </w:p>
    <w:p w14:paraId="2CCD1B44" w14:textId="7EDA83B5" w:rsidR="00FA4226" w:rsidRPr="00CA2CC1" w:rsidRDefault="00000000" w:rsidP="0043303B">
      <w:pPr>
        <w:pStyle w:val="BodyText"/>
        <w:rPr>
          <w:rFonts w:cs="Calibri"/>
        </w:rPr>
      </w:pPr>
      <w:r w:rsidRPr="00CA2CC1">
        <w:rPr>
          <w:rFonts w:cs="Calibri"/>
        </w:rPr>
        <w:br w:type="column"/>
      </w:r>
      <w:r w:rsidRPr="00CA2CC1">
        <w:rPr>
          <w:rFonts w:cs="Calibri"/>
          <w:color w:val="414042"/>
        </w:rPr>
        <w:lastRenderedPageBreak/>
        <w:t>Infrastructure Victoria maintains a range of detailed employment</w:t>
      </w:r>
      <w:r w:rsidRPr="00CA2CC1">
        <w:rPr>
          <w:rFonts w:cs="Calibri"/>
          <w:color w:val="414042"/>
          <w:spacing w:val="-6"/>
        </w:rPr>
        <w:t xml:space="preserve"> </w:t>
      </w:r>
      <w:r w:rsidRPr="00CA2CC1">
        <w:rPr>
          <w:rFonts w:cs="Calibri"/>
          <w:color w:val="414042"/>
        </w:rPr>
        <w:t>policies</w:t>
      </w:r>
      <w:r w:rsidRPr="00CA2CC1">
        <w:rPr>
          <w:rFonts w:cs="Calibri"/>
          <w:color w:val="414042"/>
          <w:spacing w:val="-6"/>
        </w:rPr>
        <w:t xml:space="preserve"> </w:t>
      </w:r>
      <w:r w:rsidRPr="00CA2CC1">
        <w:rPr>
          <w:rFonts w:cs="Calibri"/>
          <w:color w:val="414042"/>
        </w:rPr>
        <w:t>to</w:t>
      </w:r>
      <w:r w:rsidRPr="00CA2CC1">
        <w:rPr>
          <w:rFonts w:cs="Calibri"/>
          <w:color w:val="414042"/>
          <w:spacing w:val="-6"/>
        </w:rPr>
        <w:t xml:space="preserve"> </w:t>
      </w:r>
      <w:r w:rsidRPr="00CA2CC1">
        <w:rPr>
          <w:rFonts w:cs="Calibri"/>
          <w:color w:val="414042"/>
        </w:rPr>
        <w:t>guide</w:t>
      </w:r>
      <w:r w:rsidRPr="00CA2CC1">
        <w:rPr>
          <w:rFonts w:cs="Calibri"/>
          <w:color w:val="414042"/>
          <w:spacing w:val="-6"/>
        </w:rPr>
        <w:t xml:space="preserve"> </w:t>
      </w:r>
      <w:r w:rsidRPr="00CA2CC1">
        <w:rPr>
          <w:rFonts w:cs="Calibri"/>
          <w:color w:val="414042"/>
        </w:rPr>
        <w:t>staff</w:t>
      </w:r>
      <w:r w:rsidRPr="00CA2CC1">
        <w:rPr>
          <w:rFonts w:cs="Calibri"/>
          <w:color w:val="414042"/>
          <w:spacing w:val="-6"/>
        </w:rPr>
        <w:t xml:space="preserve"> </w:t>
      </w:r>
      <w:r w:rsidRPr="00CA2CC1">
        <w:rPr>
          <w:rFonts w:cs="Calibri"/>
          <w:color w:val="414042"/>
        </w:rPr>
        <w:t>on</w:t>
      </w:r>
      <w:r w:rsidRPr="00CA2CC1">
        <w:rPr>
          <w:rFonts w:cs="Calibri"/>
          <w:color w:val="414042"/>
          <w:spacing w:val="-6"/>
        </w:rPr>
        <w:t xml:space="preserve"> </w:t>
      </w:r>
      <w:r w:rsidRPr="00CA2CC1">
        <w:rPr>
          <w:rFonts w:cs="Calibri"/>
          <w:color w:val="414042"/>
        </w:rPr>
        <w:t>matters</w:t>
      </w:r>
      <w:r w:rsidRPr="00CA2CC1">
        <w:rPr>
          <w:rFonts w:cs="Calibri"/>
          <w:color w:val="414042"/>
          <w:spacing w:val="-6"/>
        </w:rPr>
        <w:t xml:space="preserve"> </w:t>
      </w:r>
      <w:r w:rsidRPr="00CA2CC1">
        <w:rPr>
          <w:rFonts w:cs="Calibri"/>
          <w:color w:val="414042"/>
        </w:rPr>
        <w:t>relating to resolving grievances, flexible work opportunities,</w:t>
      </w:r>
      <w:r w:rsidR="009727DA" w:rsidRPr="00CA2CC1">
        <w:rPr>
          <w:rFonts w:cs="Calibri"/>
        </w:rPr>
        <w:t xml:space="preserve"> </w:t>
      </w:r>
      <w:r w:rsidRPr="00CA2CC1">
        <w:rPr>
          <w:rFonts w:cs="Calibri"/>
          <w:color w:val="414042"/>
        </w:rPr>
        <w:t>discrimination, recruitment, and performance. All policies and practices are consistent with the Victorian Public Sector</w:t>
      </w:r>
      <w:r w:rsidRPr="00CA2CC1">
        <w:rPr>
          <w:rFonts w:cs="Calibri"/>
          <w:color w:val="414042"/>
          <w:spacing w:val="-6"/>
        </w:rPr>
        <w:t xml:space="preserve"> </w:t>
      </w:r>
      <w:r w:rsidRPr="00CA2CC1">
        <w:rPr>
          <w:rFonts w:cs="Calibri"/>
          <w:color w:val="414042"/>
        </w:rPr>
        <w:t>Commission</w:t>
      </w:r>
      <w:r w:rsidRPr="00CA2CC1">
        <w:rPr>
          <w:rFonts w:cs="Calibri"/>
          <w:color w:val="414042"/>
          <w:spacing w:val="-6"/>
        </w:rPr>
        <w:t xml:space="preserve"> </w:t>
      </w:r>
      <w:r w:rsidRPr="00CA2CC1">
        <w:rPr>
          <w:rFonts w:cs="Calibri"/>
          <w:color w:val="414042"/>
        </w:rPr>
        <w:t>employment</w:t>
      </w:r>
      <w:r w:rsidRPr="00CA2CC1">
        <w:rPr>
          <w:rFonts w:cs="Calibri"/>
          <w:color w:val="414042"/>
          <w:spacing w:val="-6"/>
        </w:rPr>
        <w:t xml:space="preserve"> </w:t>
      </w:r>
      <w:r w:rsidRPr="00CA2CC1">
        <w:rPr>
          <w:rFonts w:cs="Calibri"/>
          <w:color w:val="414042"/>
        </w:rPr>
        <w:t>standards</w:t>
      </w:r>
      <w:r w:rsidRPr="00CA2CC1">
        <w:rPr>
          <w:rFonts w:cs="Calibri"/>
          <w:color w:val="414042"/>
          <w:spacing w:val="-6"/>
        </w:rPr>
        <w:t xml:space="preserve"> </w:t>
      </w:r>
      <w:r w:rsidRPr="00CA2CC1">
        <w:rPr>
          <w:rFonts w:cs="Calibri"/>
          <w:color w:val="414042"/>
        </w:rPr>
        <w:t>and</w:t>
      </w:r>
      <w:r w:rsidRPr="00CA2CC1">
        <w:rPr>
          <w:rFonts w:cs="Calibri"/>
          <w:color w:val="414042"/>
          <w:spacing w:val="-6"/>
        </w:rPr>
        <w:t xml:space="preserve"> </w:t>
      </w:r>
      <w:r w:rsidRPr="00CA2CC1">
        <w:rPr>
          <w:rFonts w:cs="Calibri"/>
          <w:color w:val="414042"/>
        </w:rPr>
        <w:t>the</w:t>
      </w:r>
      <w:r w:rsidRPr="00CA2CC1">
        <w:rPr>
          <w:rFonts w:cs="Calibri"/>
          <w:color w:val="414042"/>
          <w:spacing w:val="-7"/>
        </w:rPr>
        <w:t xml:space="preserve"> </w:t>
      </w:r>
      <w:r w:rsidRPr="00CA2CC1">
        <w:rPr>
          <w:rFonts w:cs="Calibri"/>
          <w:i/>
          <w:color w:val="414042"/>
        </w:rPr>
        <w:t xml:space="preserve">Equal Opportunity Act </w:t>
      </w:r>
      <w:r w:rsidRPr="00CA2CC1">
        <w:rPr>
          <w:rFonts w:cs="Calibri"/>
          <w:color w:val="414042"/>
        </w:rPr>
        <w:t>(2010).</w:t>
      </w:r>
    </w:p>
    <w:p w14:paraId="17E7F55E" w14:textId="17F417C0" w:rsidR="00FA4226" w:rsidRPr="00CA2CC1" w:rsidRDefault="00000000" w:rsidP="0043303B">
      <w:pPr>
        <w:pStyle w:val="BodyText"/>
        <w:spacing w:before="112"/>
        <w:rPr>
          <w:rFonts w:cs="Calibri"/>
        </w:rPr>
      </w:pPr>
      <w:r w:rsidRPr="00CA2CC1">
        <w:rPr>
          <w:rFonts w:cs="Calibri"/>
          <w:color w:val="414042"/>
        </w:rPr>
        <w:t>Infrastructure Victoria’s workforce policies and processes provide</w:t>
      </w:r>
      <w:r w:rsidRPr="00CA2CC1">
        <w:rPr>
          <w:rFonts w:cs="Calibri"/>
          <w:color w:val="414042"/>
          <w:spacing w:val="-6"/>
        </w:rPr>
        <w:t xml:space="preserve"> </w:t>
      </w:r>
      <w:r w:rsidRPr="00CA2CC1">
        <w:rPr>
          <w:rFonts w:cs="Calibri"/>
          <w:color w:val="414042"/>
        </w:rPr>
        <w:t>for</w:t>
      </w:r>
      <w:r w:rsidRPr="00CA2CC1">
        <w:rPr>
          <w:rFonts w:cs="Calibri"/>
          <w:color w:val="414042"/>
          <w:spacing w:val="-6"/>
        </w:rPr>
        <w:t xml:space="preserve"> </w:t>
      </w:r>
      <w:r w:rsidRPr="00CA2CC1">
        <w:rPr>
          <w:rFonts w:cs="Calibri"/>
          <w:color w:val="414042"/>
        </w:rPr>
        <w:t>fair</w:t>
      </w:r>
      <w:r w:rsidRPr="00CA2CC1">
        <w:rPr>
          <w:rFonts w:cs="Calibri"/>
          <w:color w:val="414042"/>
          <w:spacing w:val="-6"/>
        </w:rPr>
        <w:t xml:space="preserve"> </w:t>
      </w:r>
      <w:r w:rsidRPr="00CA2CC1">
        <w:rPr>
          <w:rFonts w:cs="Calibri"/>
          <w:color w:val="414042"/>
        </w:rPr>
        <w:t>treatment</w:t>
      </w:r>
      <w:r w:rsidRPr="00CA2CC1">
        <w:rPr>
          <w:rFonts w:cs="Calibri"/>
          <w:color w:val="414042"/>
          <w:spacing w:val="-6"/>
        </w:rPr>
        <w:t xml:space="preserve"> </w:t>
      </w:r>
      <w:r w:rsidRPr="00CA2CC1">
        <w:rPr>
          <w:rFonts w:cs="Calibri"/>
          <w:color w:val="414042"/>
        </w:rPr>
        <w:t>and</w:t>
      </w:r>
      <w:r w:rsidRPr="00CA2CC1">
        <w:rPr>
          <w:rFonts w:cs="Calibri"/>
          <w:color w:val="414042"/>
          <w:spacing w:val="-6"/>
        </w:rPr>
        <w:t xml:space="preserve"> </w:t>
      </w:r>
      <w:r w:rsidRPr="00CA2CC1">
        <w:rPr>
          <w:rFonts w:cs="Calibri"/>
          <w:color w:val="414042"/>
        </w:rPr>
        <w:t>early</w:t>
      </w:r>
      <w:r w:rsidRPr="00CA2CC1">
        <w:rPr>
          <w:rFonts w:cs="Calibri"/>
          <w:color w:val="414042"/>
          <w:spacing w:val="-6"/>
        </w:rPr>
        <w:t xml:space="preserve"> </w:t>
      </w:r>
      <w:r w:rsidRPr="00CA2CC1">
        <w:rPr>
          <w:rFonts w:cs="Calibri"/>
          <w:color w:val="414042"/>
        </w:rPr>
        <w:t>resolution</w:t>
      </w:r>
      <w:r w:rsidRPr="00CA2CC1">
        <w:rPr>
          <w:rFonts w:cs="Calibri"/>
          <w:color w:val="414042"/>
          <w:spacing w:val="-6"/>
        </w:rPr>
        <w:t xml:space="preserve"> </w:t>
      </w:r>
      <w:r w:rsidRPr="00CA2CC1">
        <w:rPr>
          <w:rFonts w:cs="Calibri"/>
          <w:color w:val="414042"/>
        </w:rPr>
        <w:t>of</w:t>
      </w:r>
      <w:r w:rsidRPr="00CA2CC1">
        <w:rPr>
          <w:rFonts w:cs="Calibri"/>
          <w:color w:val="414042"/>
          <w:spacing w:val="-6"/>
        </w:rPr>
        <w:t xml:space="preserve"> </w:t>
      </w:r>
      <w:r w:rsidRPr="00CA2CC1">
        <w:rPr>
          <w:rFonts w:cs="Calibri"/>
          <w:color w:val="414042"/>
        </w:rPr>
        <w:t>workplace issues. All staff are advised on how to avoid conflicts</w:t>
      </w:r>
      <w:r w:rsidR="009727DA" w:rsidRPr="00CA2CC1">
        <w:rPr>
          <w:rFonts w:cs="Calibri"/>
        </w:rPr>
        <w:t xml:space="preserve"> </w:t>
      </w:r>
      <w:r w:rsidRPr="00CA2CC1">
        <w:rPr>
          <w:rFonts w:cs="Calibri"/>
          <w:color w:val="414042"/>
        </w:rPr>
        <w:t>of</w:t>
      </w:r>
      <w:r w:rsidRPr="00CA2CC1">
        <w:rPr>
          <w:rFonts w:cs="Calibri"/>
          <w:color w:val="414042"/>
          <w:spacing w:val="-5"/>
        </w:rPr>
        <w:t xml:space="preserve"> </w:t>
      </w:r>
      <w:r w:rsidRPr="00CA2CC1">
        <w:rPr>
          <w:rFonts w:cs="Calibri"/>
          <w:color w:val="414042"/>
        </w:rPr>
        <w:t>interest,</w:t>
      </w:r>
      <w:r w:rsidRPr="00CA2CC1">
        <w:rPr>
          <w:rFonts w:cs="Calibri"/>
          <w:color w:val="414042"/>
          <w:spacing w:val="-5"/>
        </w:rPr>
        <w:t xml:space="preserve"> </w:t>
      </w:r>
      <w:r w:rsidRPr="00CA2CC1">
        <w:rPr>
          <w:rFonts w:cs="Calibri"/>
          <w:color w:val="414042"/>
        </w:rPr>
        <w:t>how</w:t>
      </w:r>
      <w:r w:rsidRPr="00CA2CC1">
        <w:rPr>
          <w:rFonts w:cs="Calibri"/>
          <w:color w:val="414042"/>
          <w:spacing w:val="-5"/>
        </w:rPr>
        <w:t xml:space="preserve"> </w:t>
      </w:r>
      <w:r w:rsidRPr="00CA2CC1">
        <w:rPr>
          <w:rFonts w:cs="Calibri"/>
          <w:color w:val="414042"/>
        </w:rPr>
        <w:t>to</w:t>
      </w:r>
      <w:r w:rsidRPr="00CA2CC1">
        <w:rPr>
          <w:rFonts w:cs="Calibri"/>
          <w:color w:val="414042"/>
          <w:spacing w:val="-5"/>
        </w:rPr>
        <w:t xml:space="preserve"> </w:t>
      </w:r>
      <w:r w:rsidRPr="00CA2CC1">
        <w:rPr>
          <w:rFonts w:cs="Calibri"/>
          <w:color w:val="414042"/>
        </w:rPr>
        <w:t>respond</w:t>
      </w:r>
      <w:r w:rsidRPr="00CA2CC1">
        <w:rPr>
          <w:rFonts w:cs="Calibri"/>
          <w:color w:val="414042"/>
          <w:spacing w:val="-5"/>
        </w:rPr>
        <w:t xml:space="preserve"> </w:t>
      </w:r>
      <w:r w:rsidRPr="00CA2CC1">
        <w:rPr>
          <w:rFonts w:cs="Calibri"/>
          <w:color w:val="414042"/>
        </w:rPr>
        <w:t>to</w:t>
      </w:r>
      <w:r w:rsidRPr="00CA2CC1">
        <w:rPr>
          <w:rFonts w:cs="Calibri"/>
          <w:color w:val="414042"/>
          <w:spacing w:val="-5"/>
        </w:rPr>
        <w:t xml:space="preserve"> </w:t>
      </w:r>
      <w:r w:rsidRPr="00CA2CC1">
        <w:rPr>
          <w:rFonts w:cs="Calibri"/>
          <w:color w:val="414042"/>
        </w:rPr>
        <w:t>offers</w:t>
      </w:r>
      <w:r w:rsidRPr="00CA2CC1">
        <w:rPr>
          <w:rFonts w:cs="Calibri"/>
          <w:color w:val="414042"/>
          <w:spacing w:val="-5"/>
        </w:rPr>
        <w:t xml:space="preserve"> </w:t>
      </w:r>
      <w:r w:rsidRPr="00CA2CC1">
        <w:rPr>
          <w:rFonts w:cs="Calibri"/>
          <w:color w:val="414042"/>
        </w:rPr>
        <w:t>of</w:t>
      </w:r>
      <w:r w:rsidRPr="00CA2CC1">
        <w:rPr>
          <w:rFonts w:cs="Calibri"/>
          <w:color w:val="414042"/>
          <w:spacing w:val="-5"/>
        </w:rPr>
        <w:t xml:space="preserve"> </w:t>
      </w:r>
      <w:r w:rsidRPr="00CA2CC1">
        <w:rPr>
          <w:rFonts w:cs="Calibri"/>
          <w:color w:val="414042"/>
        </w:rPr>
        <w:t>gifts,</w:t>
      </w:r>
      <w:r w:rsidRPr="00CA2CC1">
        <w:rPr>
          <w:rFonts w:cs="Calibri"/>
          <w:color w:val="414042"/>
          <w:spacing w:val="-5"/>
        </w:rPr>
        <w:t xml:space="preserve"> </w:t>
      </w:r>
      <w:r w:rsidRPr="00CA2CC1">
        <w:rPr>
          <w:rFonts w:cs="Calibri"/>
          <w:color w:val="414042"/>
        </w:rPr>
        <w:t>and</w:t>
      </w:r>
      <w:r w:rsidRPr="00CA2CC1">
        <w:rPr>
          <w:rFonts w:cs="Calibri"/>
          <w:color w:val="414042"/>
          <w:spacing w:val="-5"/>
        </w:rPr>
        <w:t xml:space="preserve"> </w:t>
      </w:r>
      <w:r w:rsidRPr="00CA2CC1">
        <w:rPr>
          <w:rFonts w:cs="Calibri"/>
          <w:color w:val="414042"/>
        </w:rPr>
        <w:t>how Infrastructure Victoria deals with misconduct.</w:t>
      </w:r>
    </w:p>
    <w:p w14:paraId="38BCD737" w14:textId="77777777" w:rsidR="00FA4226" w:rsidRPr="00CA2CC1" w:rsidRDefault="00FA4226" w:rsidP="0043303B">
      <w:pPr>
        <w:rPr>
          <w:rFonts w:cs="Calibri"/>
        </w:rPr>
        <w:sectPr w:rsidR="00FA4226" w:rsidRPr="00CA2CC1" w:rsidSect="00E941A5">
          <w:type w:val="continuous"/>
          <w:pgSz w:w="11910" w:h="16840"/>
          <w:pgMar w:top="1134" w:right="1278" w:bottom="1134" w:left="1134" w:header="720" w:footer="720" w:gutter="0"/>
          <w:cols w:space="720"/>
        </w:sectPr>
      </w:pPr>
    </w:p>
    <w:p w14:paraId="3F991812" w14:textId="19273B86" w:rsidR="00FA4226" w:rsidRPr="00CA2CC1" w:rsidRDefault="00000000" w:rsidP="0043303B">
      <w:pPr>
        <w:pStyle w:val="Heading1"/>
        <w:rPr>
          <w:rFonts w:cs="Calibri"/>
        </w:rPr>
      </w:pPr>
      <w:bookmarkStart w:id="40" w:name="Workforce_data"/>
      <w:bookmarkStart w:id="41" w:name="_bookmark19"/>
      <w:bookmarkEnd w:id="40"/>
      <w:bookmarkEnd w:id="41"/>
      <w:r w:rsidRPr="00CA2CC1">
        <w:rPr>
          <w:rFonts w:cs="Calibri"/>
          <w:color w:val="231F20"/>
          <w:spacing w:val="-2"/>
          <w:w w:val="105"/>
        </w:rPr>
        <w:lastRenderedPageBreak/>
        <w:t>Workforce</w:t>
      </w:r>
      <w:r w:rsidRPr="00CA2CC1">
        <w:rPr>
          <w:rFonts w:cs="Calibri"/>
          <w:color w:val="231F20"/>
          <w:spacing w:val="-29"/>
          <w:w w:val="105"/>
        </w:rPr>
        <w:t xml:space="preserve"> </w:t>
      </w:r>
      <w:r w:rsidRPr="00CA2CC1">
        <w:rPr>
          <w:rFonts w:cs="Calibri"/>
          <w:color w:val="231F20"/>
          <w:spacing w:val="-4"/>
          <w:w w:val="110"/>
        </w:rPr>
        <w:t>data</w:t>
      </w:r>
    </w:p>
    <w:p w14:paraId="3F1D8F5D" w14:textId="77777777" w:rsidR="00FA4226" w:rsidRPr="00CA2CC1" w:rsidRDefault="00000000" w:rsidP="0043303B">
      <w:pPr>
        <w:pStyle w:val="BodyText"/>
        <w:spacing w:before="70"/>
        <w:rPr>
          <w:rFonts w:cs="Calibri"/>
        </w:rPr>
      </w:pPr>
      <w:r w:rsidRPr="00CA2CC1">
        <w:rPr>
          <w:rFonts w:cs="Calibri"/>
          <w:color w:val="414042"/>
        </w:rPr>
        <w:t>The following table discloses the head count and full-time equivalent</w:t>
      </w:r>
      <w:r w:rsidRPr="00CA2CC1">
        <w:rPr>
          <w:rFonts w:cs="Calibri"/>
          <w:color w:val="414042"/>
          <w:spacing w:val="-5"/>
        </w:rPr>
        <w:t xml:space="preserve"> </w:t>
      </w:r>
      <w:r w:rsidRPr="00CA2CC1">
        <w:rPr>
          <w:rFonts w:cs="Calibri"/>
          <w:color w:val="414042"/>
        </w:rPr>
        <w:t>(FTE)</w:t>
      </w:r>
      <w:r w:rsidRPr="00CA2CC1">
        <w:rPr>
          <w:rFonts w:cs="Calibri"/>
          <w:color w:val="414042"/>
          <w:spacing w:val="-5"/>
        </w:rPr>
        <w:t xml:space="preserve"> </w:t>
      </w:r>
      <w:r w:rsidRPr="00CA2CC1">
        <w:rPr>
          <w:rFonts w:cs="Calibri"/>
          <w:color w:val="414042"/>
        </w:rPr>
        <w:t>of</w:t>
      </w:r>
      <w:r w:rsidRPr="00CA2CC1">
        <w:rPr>
          <w:rFonts w:cs="Calibri"/>
          <w:color w:val="414042"/>
          <w:spacing w:val="-5"/>
        </w:rPr>
        <w:t xml:space="preserve"> </w:t>
      </w:r>
      <w:r w:rsidRPr="00CA2CC1">
        <w:rPr>
          <w:rFonts w:cs="Calibri"/>
          <w:color w:val="414042"/>
        </w:rPr>
        <w:t>all</w:t>
      </w:r>
      <w:r w:rsidRPr="00CA2CC1">
        <w:rPr>
          <w:rFonts w:cs="Calibri"/>
          <w:color w:val="414042"/>
          <w:spacing w:val="-5"/>
        </w:rPr>
        <w:t xml:space="preserve"> </w:t>
      </w:r>
      <w:r w:rsidRPr="00CA2CC1">
        <w:rPr>
          <w:rFonts w:cs="Calibri"/>
          <w:color w:val="414042"/>
        </w:rPr>
        <w:t>Infrastructure</w:t>
      </w:r>
      <w:r w:rsidRPr="00CA2CC1">
        <w:rPr>
          <w:rFonts w:cs="Calibri"/>
          <w:color w:val="414042"/>
          <w:spacing w:val="-5"/>
        </w:rPr>
        <w:t xml:space="preserve"> </w:t>
      </w:r>
      <w:r w:rsidRPr="00CA2CC1">
        <w:rPr>
          <w:rFonts w:cs="Calibri"/>
          <w:color w:val="414042"/>
        </w:rPr>
        <w:t>Victoria</w:t>
      </w:r>
      <w:r w:rsidRPr="00CA2CC1">
        <w:rPr>
          <w:rFonts w:cs="Calibri"/>
          <w:color w:val="414042"/>
          <w:spacing w:val="-5"/>
        </w:rPr>
        <w:t xml:space="preserve"> </w:t>
      </w:r>
      <w:r w:rsidRPr="00CA2CC1">
        <w:rPr>
          <w:rFonts w:cs="Calibri"/>
          <w:color w:val="414042"/>
        </w:rPr>
        <w:t>employees</w:t>
      </w:r>
      <w:r w:rsidRPr="00CA2CC1">
        <w:rPr>
          <w:rFonts w:cs="Calibri"/>
          <w:color w:val="414042"/>
          <w:spacing w:val="-5"/>
        </w:rPr>
        <w:t xml:space="preserve"> </w:t>
      </w:r>
      <w:r w:rsidRPr="00CA2CC1">
        <w:rPr>
          <w:rFonts w:cs="Calibri"/>
          <w:color w:val="414042"/>
        </w:rPr>
        <w:t>as</w:t>
      </w:r>
      <w:r w:rsidRPr="00CA2CC1">
        <w:rPr>
          <w:rFonts w:cs="Calibri"/>
          <w:color w:val="414042"/>
          <w:spacing w:val="-5"/>
        </w:rPr>
        <w:t xml:space="preserve"> </w:t>
      </w:r>
      <w:r w:rsidRPr="00CA2CC1">
        <w:rPr>
          <w:rFonts w:cs="Calibri"/>
          <w:color w:val="414042"/>
        </w:rPr>
        <w:t>at the</w:t>
      </w:r>
      <w:r w:rsidRPr="00CA2CC1">
        <w:rPr>
          <w:rFonts w:cs="Calibri"/>
          <w:color w:val="414042"/>
          <w:spacing w:val="-3"/>
        </w:rPr>
        <w:t xml:space="preserve"> </w:t>
      </w:r>
      <w:r w:rsidRPr="00CA2CC1">
        <w:rPr>
          <w:rFonts w:cs="Calibri"/>
          <w:color w:val="414042"/>
        </w:rPr>
        <w:t>conclusion</w:t>
      </w:r>
      <w:r w:rsidRPr="00CA2CC1">
        <w:rPr>
          <w:rFonts w:cs="Calibri"/>
          <w:color w:val="414042"/>
          <w:spacing w:val="-3"/>
        </w:rPr>
        <w:t xml:space="preserve"> </w:t>
      </w:r>
      <w:r w:rsidRPr="00CA2CC1">
        <w:rPr>
          <w:rFonts w:cs="Calibri"/>
          <w:color w:val="414042"/>
        </w:rPr>
        <w:t>of</w:t>
      </w:r>
      <w:r w:rsidRPr="00CA2CC1">
        <w:rPr>
          <w:rFonts w:cs="Calibri"/>
          <w:color w:val="414042"/>
          <w:spacing w:val="-3"/>
        </w:rPr>
        <w:t xml:space="preserve"> </w:t>
      </w:r>
      <w:r w:rsidRPr="00CA2CC1">
        <w:rPr>
          <w:rFonts w:cs="Calibri"/>
          <w:color w:val="414042"/>
        </w:rPr>
        <w:t>the</w:t>
      </w:r>
      <w:r w:rsidRPr="00CA2CC1">
        <w:rPr>
          <w:rFonts w:cs="Calibri"/>
          <w:color w:val="414042"/>
          <w:spacing w:val="-3"/>
        </w:rPr>
        <w:t xml:space="preserve"> </w:t>
      </w:r>
      <w:r w:rsidRPr="00CA2CC1">
        <w:rPr>
          <w:rFonts w:cs="Calibri"/>
          <w:color w:val="414042"/>
        </w:rPr>
        <w:t>current</w:t>
      </w:r>
      <w:r w:rsidRPr="00CA2CC1">
        <w:rPr>
          <w:rFonts w:cs="Calibri"/>
          <w:color w:val="414042"/>
          <w:spacing w:val="-3"/>
        </w:rPr>
        <w:t xml:space="preserve"> </w:t>
      </w:r>
      <w:r w:rsidRPr="00CA2CC1">
        <w:rPr>
          <w:rFonts w:cs="Calibri"/>
          <w:color w:val="414042"/>
        </w:rPr>
        <w:t>reporting</w:t>
      </w:r>
      <w:r w:rsidRPr="00CA2CC1">
        <w:rPr>
          <w:rFonts w:cs="Calibri"/>
          <w:color w:val="414042"/>
          <w:spacing w:val="-3"/>
        </w:rPr>
        <w:t xml:space="preserve"> </w:t>
      </w:r>
      <w:r w:rsidRPr="00CA2CC1">
        <w:rPr>
          <w:rFonts w:cs="Calibri"/>
          <w:color w:val="414042"/>
        </w:rPr>
        <w:t>period</w:t>
      </w:r>
      <w:r w:rsidRPr="00CA2CC1">
        <w:rPr>
          <w:rFonts w:cs="Calibri"/>
          <w:color w:val="414042"/>
          <w:spacing w:val="-3"/>
        </w:rPr>
        <w:t xml:space="preserve"> </w:t>
      </w:r>
      <w:r w:rsidRPr="00CA2CC1">
        <w:rPr>
          <w:rFonts w:cs="Calibri"/>
          <w:color w:val="414042"/>
        </w:rPr>
        <w:t>30</w:t>
      </w:r>
      <w:r w:rsidRPr="00CA2CC1">
        <w:rPr>
          <w:rFonts w:cs="Calibri"/>
          <w:color w:val="414042"/>
          <w:spacing w:val="-3"/>
        </w:rPr>
        <w:t xml:space="preserve"> </w:t>
      </w:r>
      <w:r w:rsidRPr="00CA2CC1">
        <w:rPr>
          <w:rFonts w:cs="Calibri"/>
          <w:color w:val="414042"/>
        </w:rPr>
        <w:t>June</w:t>
      </w:r>
      <w:r w:rsidRPr="00CA2CC1">
        <w:rPr>
          <w:rFonts w:cs="Calibri"/>
          <w:color w:val="414042"/>
          <w:spacing w:val="-3"/>
        </w:rPr>
        <w:t xml:space="preserve"> </w:t>
      </w:r>
      <w:r w:rsidRPr="00CA2CC1">
        <w:rPr>
          <w:rFonts w:cs="Calibri"/>
          <w:color w:val="414042"/>
        </w:rPr>
        <w:t>2023 and of the previous reporting period ending 30 June 2022.</w:t>
      </w:r>
    </w:p>
    <w:p w14:paraId="7BC85DC8" w14:textId="77777777" w:rsidR="00FA4226" w:rsidRPr="00CA2CC1" w:rsidRDefault="00FA4226" w:rsidP="0043303B">
      <w:pPr>
        <w:pStyle w:val="BodyText"/>
        <w:rPr>
          <w:rFonts w:cs="Calibri"/>
          <w:sz w:val="5"/>
        </w:rPr>
      </w:pPr>
    </w:p>
    <w:tbl>
      <w:tblPr>
        <w:tblW w:w="9637" w:type="dxa"/>
        <w:tblBorders>
          <w:top w:val="single" w:sz="4" w:space="0" w:color="73777A"/>
          <w:left w:val="single" w:sz="4" w:space="0" w:color="73777A"/>
          <w:bottom w:val="single" w:sz="4" w:space="0" w:color="73777A"/>
          <w:right w:val="single" w:sz="4" w:space="0" w:color="73777A"/>
          <w:insideH w:val="single" w:sz="4" w:space="0" w:color="73777A"/>
          <w:insideV w:val="single" w:sz="4" w:space="0" w:color="73777A"/>
        </w:tblBorders>
        <w:tblLayout w:type="fixed"/>
        <w:tblCellMar>
          <w:left w:w="0" w:type="dxa"/>
          <w:right w:w="0" w:type="dxa"/>
        </w:tblCellMar>
        <w:tblLook w:val="01E0" w:firstRow="1" w:lastRow="1" w:firstColumn="1" w:lastColumn="1" w:noHBand="0" w:noVBand="0"/>
      </w:tblPr>
      <w:tblGrid>
        <w:gridCol w:w="317"/>
        <w:gridCol w:w="1124"/>
        <w:gridCol w:w="751"/>
        <w:gridCol w:w="615"/>
        <w:gridCol w:w="751"/>
        <w:gridCol w:w="615"/>
        <w:gridCol w:w="751"/>
        <w:gridCol w:w="615"/>
        <w:gridCol w:w="751"/>
        <w:gridCol w:w="615"/>
        <w:gridCol w:w="751"/>
        <w:gridCol w:w="615"/>
        <w:gridCol w:w="751"/>
        <w:gridCol w:w="615"/>
      </w:tblGrid>
      <w:tr w:rsidR="00E337DF" w:rsidRPr="00CA2CC1" w14:paraId="4746E701" w14:textId="77777777" w:rsidTr="00015707">
        <w:trPr>
          <w:trHeight w:val="454"/>
        </w:trPr>
        <w:tc>
          <w:tcPr>
            <w:tcW w:w="1441" w:type="dxa"/>
            <w:gridSpan w:val="2"/>
            <w:tcBorders>
              <w:top w:val="nil"/>
              <w:left w:val="nil"/>
              <w:right w:val="nil"/>
            </w:tcBorders>
          </w:tcPr>
          <w:p w14:paraId="3D5A69A0" w14:textId="77777777" w:rsidR="00E337DF" w:rsidRPr="00CA2CC1" w:rsidRDefault="00E337DF" w:rsidP="0043303B">
            <w:pPr>
              <w:pStyle w:val="TableParagraph"/>
              <w:jc w:val="left"/>
              <w:rPr>
                <w:rFonts w:cs="Calibri"/>
                <w:sz w:val="16"/>
              </w:rPr>
            </w:pPr>
          </w:p>
        </w:tc>
        <w:tc>
          <w:tcPr>
            <w:tcW w:w="4098" w:type="dxa"/>
            <w:gridSpan w:val="6"/>
            <w:tcBorders>
              <w:top w:val="nil"/>
              <w:left w:val="nil"/>
            </w:tcBorders>
            <w:tcMar>
              <w:right w:w="57" w:type="dxa"/>
            </w:tcMar>
          </w:tcPr>
          <w:p w14:paraId="22E8096D" w14:textId="490FD7CC" w:rsidR="00E337DF" w:rsidRPr="003375C9" w:rsidRDefault="00E337DF" w:rsidP="0043303B">
            <w:pPr>
              <w:pStyle w:val="TableParagraph"/>
              <w:spacing w:before="100"/>
              <w:jc w:val="center"/>
              <w:rPr>
                <w:rFonts w:cs="Calibri"/>
                <w:b/>
                <w:bCs/>
                <w:color w:val="000000" w:themeColor="text1"/>
                <w:spacing w:val="-2"/>
                <w:sz w:val="16"/>
              </w:rPr>
            </w:pPr>
            <w:r w:rsidRPr="003375C9">
              <w:rPr>
                <w:rFonts w:cs="Calibri"/>
                <w:b/>
                <w:bCs/>
                <w:color w:val="000000" w:themeColor="text1"/>
              </w:rPr>
              <w:t xml:space="preserve">June </w:t>
            </w:r>
            <w:r w:rsidRPr="003375C9">
              <w:rPr>
                <w:rFonts w:cs="Calibri"/>
                <w:b/>
                <w:bCs/>
                <w:color w:val="000000" w:themeColor="text1"/>
                <w:spacing w:val="-4"/>
              </w:rPr>
              <w:t>2023</w:t>
            </w:r>
          </w:p>
        </w:tc>
        <w:tc>
          <w:tcPr>
            <w:tcW w:w="4098" w:type="dxa"/>
            <w:gridSpan w:val="6"/>
            <w:tcBorders>
              <w:top w:val="nil"/>
              <w:right w:val="nil"/>
            </w:tcBorders>
            <w:tcMar>
              <w:right w:w="57" w:type="dxa"/>
            </w:tcMar>
          </w:tcPr>
          <w:p w14:paraId="3CDB61E2" w14:textId="0D394D6F" w:rsidR="00E337DF" w:rsidRPr="003375C9" w:rsidRDefault="00E337DF" w:rsidP="0043303B">
            <w:pPr>
              <w:pStyle w:val="TableParagraph"/>
              <w:spacing w:before="100"/>
              <w:jc w:val="center"/>
              <w:rPr>
                <w:rFonts w:cs="Calibri"/>
                <w:b/>
                <w:bCs/>
                <w:color w:val="000000" w:themeColor="text1"/>
                <w:spacing w:val="-2"/>
                <w:sz w:val="16"/>
              </w:rPr>
            </w:pPr>
            <w:r w:rsidRPr="003375C9">
              <w:rPr>
                <w:rFonts w:cs="Calibri"/>
                <w:b/>
                <w:bCs/>
                <w:color w:val="000000" w:themeColor="text1"/>
              </w:rPr>
              <w:t xml:space="preserve">June </w:t>
            </w:r>
            <w:r w:rsidRPr="003375C9">
              <w:rPr>
                <w:rFonts w:cs="Calibri"/>
                <w:b/>
                <w:bCs/>
                <w:color w:val="000000" w:themeColor="text1"/>
                <w:spacing w:val="-4"/>
              </w:rPr>
              <w:t>2022</w:t>
            </w:r>
          </w:p>
        </w:tc>
      </w:tr>
      <w:tr w:rsidR="00FA4226" w:rsidRPr="00CA2CC1" w14:paraId="5B84721F" w14:textId="77777777" w:rsidTr="00015707">
        <w:trPr>
          <w:trHeight w:val="454"/>
        </w:trPr>
        <w:tc>
          <w:tcPr>
            <w:tcW w:w="1441" w:type="dxa"/>
            <w:gridSpan w:val="2"/>
            <w:vMerge w:val="restart"/>
            <w:tcBorders>
              <w:top w:val="nil"/>
              <w:left w:val="nil"/>
              <w:right w:val="nil"/>
            </w:tcBorders>
          </w:tcPr>
          <w:p w14:paraId="50C2CD82" w14:textId="77777777" w:rsidR="00FA4226" w:rsidRPr="00CA2CC1" w:rsidRDefault="00FA4226" w:rsidP="0043303B">
            <w:pPr>
              <w:pStyle w:val="TableParagraph"/>
              <w:jc w:val="center"/>
              <w:rPr>
                <w:rFonts w:cs="Calibri"/>
                <w:sz w:val="16"/>
              </w:rPr>
            </w:pPr>
          </w:p>
        </w:tc>
        <w:tc>
          <w:tcPr>
            <w:tcW w:w="1366" w:type="dxa"/>
            <w:gridSpan w:val="2"/>
            <w:tcBorders>
              <w:left w:val="nil"/>
            </w:tcBorders>
            <w:tcMar>
              <w:right w:w="57" w:type="dxa"/>
            </w:tcMar>
          </w:tcPr>
          <w:p w14:paraId="5C52E272" w14:textId="77777777" w:rsidR="00FA4226" w:rsidRPr="003375C9" w:rsidRDefault="00000000" w:rsidP="0043303B">
            <w:pPr>
              <w:pStyle w:val="TableParagraph"/>
              <w:spacing w:before="100"/>
              <w:jc w:val="center"/>
              <w:rPr>
                <w:rFonts w:cs="Calibri"/>
                <w:b/>
                <w:bCs/>
                <w:color w:val="000000" w:themeColor="text1"/>
                <w:sz w:val="16"/>
              </w:rPr>
            </w:pPr>
            <w:r w:rsidRPr="003375C9">
              <w:rPr>
                <w:rFonts w:cs="Calibri"/>
                <w:b/>
                <w:bCs/>
                <w:color w:val="000000" w:themeColor="text1"/>
                <w:spacing w:val="-2"/>
                <w:sz w:val="16"/>
              </w:rPr>
              <w:t>Ongoing</w:t>
            </w:r>
          </w:p>
        </w:tc>
        <w:tc>
          <w:tcPr>
            <w:tcW w:w="1366" w:type="dxa"/>
            <w:gridSpan w:val="2"/>
            <w:tcMar>
              <w:right w:w="57" w:type="dxa"/>
            </w:tcMar>
          </w:tcPr>
          <w:p w14:paraId="72C610AB" w14:textId="2272FE17" w:rsidR="00FA4226" w:rsidRPr="003375C9" w:rsidRDefault="00000000" w:rsidP="0043303B">
            <w:pPr>
              <w:pStyle w:val="TableParagraph"/>
              <w:spacing w:before="30"/>
              <w:jc w:val="center"/>
              <w:rPr>
                <w:rFonts w:cs="Calibri"/>
                <w:b/>
                <w:bCs/>
                <w:color w:val="000000" w:themeColor="text1"/>
                <w:sz w:val="16"/>
              </w:rPr>
            </w:pPr>
            <w:r w:rsidRPr="003375C9">
              <w:rPr>
                <w:rFonts w:cs="Calibri"/>
                <w:b/>
                <w:bCs/>
                <w:color w:val="000000" w:themeColor="text1"/>
                <w:spacing w:val="-2"/>
                <w:sz w:val="16"/>
              </w:rPr>
              <w:t>Fixed</w:t>
            </w:r>
            <w:r w:rsidRPr="003375C9">
              <w:rPr>
                <w:rFonts w:cs="Calibri"/>
                <w:b/>
                <w:bCs/>
                <w:color w:val="000000" w:themeColor="text1"/>
                <w:spacing w:val="-10"/>
                <w:sz w:val="16"/>
              </w:rPr>
              <w:t xml:space="preserve"> </w:t>
            </w:r>
            <w:r w:rsidRPr="003375C9">
              <w:rPr>
                <w:rFonts w:cs="Calibri"/>
                <w:b/>
                <w:bCs/>
                <w:color w:val="000000" w:themeColor="text1"/>
                <w:spacing w:val="-2"/>
                <w:sz w:val="16"/>
              </w:rPr>
              <w:t xml:space="preserve">Term/ </w:t>
            </w:r>
            <w:r w:rsidR="00E00D11" w:rsidRPr="003375C9">
              <w:rPr>
                <w:rFonts w:cs="Calibri"/>
                <w:b/>
                <w:bCs/>
                <w:color w:val="000000" w:themeColor="text1"/>
                <w:spacing w:val="-2"/>
                <w:sz w:val="16"/>
              </w:rPr>
              <w:br/>
            </w:r>
            <w:r w:rsidRPr="003375C9">
              <w:rPr>
                <w:rFonts w:cs="Calibri"/>
                <w:b/>
                <w:bCs/>
                <w:color w:val="000000" w:themeColor="text1"/>
                <w:spacing w:val="-2"/>
                <w:sz w:val="16"/>
              </w:rPr>
              <w:t>Casual</w:t>
            </w:r>
          </w:p>
        </w:tc>
        <w:tc>
          <w:tcPr>
            <w:tcW w:w="1366" w:type="dxa"/>
            <w:gridSpan w:val="2"/>
            <w:shd w:val="clear" w:color="auto" w:fill="EDEFF0"/>
            <w:tcMar>
              <w:right w:w="57" w:type="dxa"/>
            </w:tcMar>
          </w:tcPr>
          <w:p w14:paraId="337A677C" w14:textId="77777777" w:rsidR="00FA4226" w:rsidRPr="003375C9" w:rsidRDefault="00000000" w:rsidP="0043303B">
            <w:pPr>
              <w:pStyle w:val="TableParagraph"/>
              <w:spacing w:before="100"/>
              <w:jc w:val="center"/>
              <w:rPr>
                <w:rFonts w:cs="Calibri"/>
                <w:b/>
                <w:bCs/>
                <w:color w:val="000000" w:themeColor="text1"/>
                <w:sz w:val="16"/>
              </w:rPr>
            </w:pPr>
            <w:r w:rsidRPr="003375C9">
              <w:rPr>
                <w:rFonts w:cs="Calibri"/>
                <w:b/>
                <w:bCs/>
                <w:color w:val="000000" w:themeColor="text1"/>
                <w:spacing w:val="-2"/>
                <w:sz w:val="16"/>
              </w:rPr>
              <w:t>Total</w:t>
            </w:r>
          </w:p>
        </w:tc>
        <w:tc>
          <w:tcPr>
            <w:tcW w:w="1366" w:type="dxa"/>
            <w:gridSpan w:val="2"/>
            <w:tcMar>
              <w:right w:w="57" w:type="dxa"/>
            </w:tcMar>
          </w:tcPr>
          <w:p w14:paraId="79E0C128" w14:textId="77777777" w:rsidR="00FA4226" w:rsidRPr="003375C9" w:rsidRDefault="00000000" w:rsidP="0043303B">
            <w:pPr>
              <w:pStyle w:val="TableParagraph"/>
              <w:spacing w:before="100"/>
              <w:jc w:val="center"/>
              <w:rPr>
                <w:rFonts w:cs="Calibri"/>
                <w:b/>
                <w:bCs/>
                <w:color w:val="000000" w:themeColor="text1"/>
                <w:sz w:val="16"/>
              </w:rPr>
            </w:pPr>
            <w:r w:rsidRPr="003375C9">
              <w:rPr>
                <w:rFonts w:cs="Calibri"/>
                <w:b/>
                <w:bCs/>
                <w:color w:val="000000" w:themeColor="text1"/>
                <w:spacing w:val="-2"/>
                <w:sz w:val="16"/>
              </w:rPr>
              <w:t>Ongoing</w:t>
            </w:r>
          </w:p>
        </w:tc>
        <w:tc>
          <w:tcPr>
            <w:tcW w:w="1366" w:type="dxa"/>
            <w:gridSpan w:val="2"/>
            <w:tcMar>
              <w:right w:w="57" w:type="dxa"/>
            </w:tcMar>
          </w:tcPr>
          <w:p w14:paraId="3E5F15D1" w14:textId="308A7E6A" w:rsidR="00FA4226" w:rsidRPr="003375C9" w:rsidRDefault="00000000" w:rsidP="0043303B">
            <w:pPr>
              <w:pStyle w:val="TableParagraph"/>
              <w:spacing w:before="30"/>
              <w:jc w:val="center"/>
              <w:rPr>
                <w:rFonts w:cs="Calibri"/>
                <w:b/>
                <w:bCs/>
                <w:color w:val="000000" w:themeColor="text1"/>
                <w:sz w:val="16"/>
              </w:rPr>
            </w:pPr>
            <w:r w:rsidRPr="003375C9">
              <w:rPr>
                <w:rFonts w:cs="Calibri"/>
                <w:b/>
                <w:bCs/>
                <w:color w:val="000000" w:themeColor="text1"/>
                <w:spacing w:val="-2"/>
                <w:sz w:val="16"/>
              </w:rPr>
              <w:t>Fixed</w:t>
            </w:r>
            <w:r w:rsidRPr="003375C9">
              <w:rPr>
                <w:rFonts w:cs="Calibri"/>
                <w:b/>
                <w:bCs/>
                <w:color w:val="000000" w:themeColor="text1"/>
                <w:spacing w:val="-10"/>
                <w:sz w:val="16"/>
              </w:rPr>
              <w:t xml:space="preserve"> </w:t>
            </w:r>
            <w:r w:rsidRPr="003375C9">
              <w:rPr>
                <w:rFonts w:cs="Calibri"/>
                <w:b/>
                <w:bCs/>
                <w:color w:val="000000" w:themeColor="text1"/>
                <w:spacing w:val="-2"/>
                <w:sz w:val="16"/>
              </w:rPr>
              <w:t xml:space="preserve">Term/ </w:t>
            </w:r>
            <w:r w:rsidR="00E00D11" w:rsidRPr="003375C9">
              <w:rPr>
                <w:rFonts w:cs="Calibri"/>
                <w:b/>
                <w:bCs/>
                <w:color w:val="000000" w:themeColor="text1"/>
                <w:spacing w:val="-2"/>
                <w:sz w:val="16"/>
              </w:rPr>
              <w:br/>
            </w:r>
            <w:r w:rsidRPr="003375C9">
              <w:rPr>
                <w:rFonts w:cs="Calibri"/>
                <w:b/>
                <w:bCs/>
                <w:color w:val="000000" w:themeColor="text1"/>
                <w:spacing w:val="-2"/>
                <w:sz w:val="16"/>
              </w:rPr>
              <w:t>Casual</w:t>
            </w:r>
          </w:p>
        </w:tc>
        <w:tc>
          <w:tcPr>
            <w:tcW w:w="1366" w:type="dxa"/>
            <w:gridSpan w:val="2"/>
            <w:tcBorders>
              <w:right w:val="nil"/>
            </w:tcBorders>
            <w:shd w:val="clear" w:color="auto" w:fill="EDEFF0"/>
            <w:tcMar>
              <w:right w:w="57" w:type="dxa"/>
            </w:tcMar>
          </w:tcPr>
          <w:p w14:paraId="60D4B72F" w14:textId="77777777" w:rsidR="00FA4226" w:rsidRPr="003375C9" w:rsidRDefault="00000000" w:rsidP="0043303B">
            <w:pPr>
              <w:pStyle w:val="TableParagraph"/>
              <w:spacing w:before="100"/>
              <w:jc w:val="center"/>
              <w:rPr>
                <w:rFonts w:cs="Calibri"/>
                <w:b/>
                <w:bCs/>
                <w:color w:val="000000" w:themeColor="text1"/>
                <w:sz w:val="16"/>
              </w:rPr>
            </w:pPr>
            <w:r w:rsidRPr="003375C9">
              <w:rPr>
                <w:rFonts w:cs="Calibri"/>
                <w:b/>
                <w:bCs/>
                <w:color w:val="000000" w:themeColor="text1"/>
                <w:spacing w:val="-2"/>
                <w:sz w:val="16"/>
              </w:rPr>
              <w:t>Total</w:t>
            </w:r>
          </w:p>
        </w:tc>
      </w:tr>
      <w:tr w:rsidR="00FA4226" w:rsidRPr="00CA2CC1" w14:paraId="6332FC6B" w14:textId="77777777" w:rsidTr="00015707">
        <w:trPr>
          <w:trHeight w:val="1017"/>
        </w:trPr>
        <w:tc>
          <w:tcPr>
            <w:tcW w:w="1441" w:type="dxa"/>
            <w:gridSpan w:val="2"/>
            <w:vMerge/>
            <w:tcBorders>
              <w:top w:val="nil"/>
              <w:left w:val="nil"/>
              <w:right w:val="nil"/>
            </w:tcBorders>
          </w:tcPr>
          <w:p w14:paraId="031AE642" w14:textId="77777777" w:rsidR="00FA4226" w:rsidRPr="00CA2CC1" w:rsidRDefault="00FA4226" w:rsidP="0043303B">
            <w:pPr>
              <w:rPr>
                <w:rFonts w:cs="Calibri"/>
                <w:sz w:val="2"/>
                <w:szCs w:val="2"/>
              </w:rPr>
            </w:pPr>
          </w:p>
        </w:tc>
        <w:tc>
          <w:tcPr>
            <w:tcW w:w="751" w:type="dxa"/>
            <w:tcBorders>
              <w:left w:val="nil"/>
            </w:tcBorders>
            <w:tcMar>
              <w:right w:w="57" w:type="dxa"/>
            </w:tcMar>
            <w:textDirection w:val="btLr"/>
          </w:tcPr>
          <w:p w14:paraId="3A002108" w14:textId="77777777" w:rsidR="00FA4226" w:rsidRPr="00CA2CC1" w:rsidRDefault="00FA4226" w:rsidP="0043303B">
            <w:pPr>
              <w:pStyle w:val="TableParagraph"/>
              <w:spacing w:before="1"/>
              <w:jc w:val="left"/>
              <w:rPr>
                <w:rFonts w:cs="Calibri"/>
                <w:sz w:val="18"/>
              </w:rPr>
            </w:pPr>
          </w:p>
          <w:p w14:paraId="32000C72" w14:textId="77777777" w:rsidR="00FA4226" w:rsidRPr="00CA2CC1" w:rsidRDefault="00000000" w:rsidP="0043303B">
            <w:pPr>
              <w:pStyle w:val="TableParagraph"/>
              <w:jc w:val="left"/>
              <w:rPr>
                <w:rFonts w:cs="Calibri"/>
                <w:sz w:val="16"/>
              </w:rPr>
            </w:pPr>
            <w:r w:rsidRPr="00CA2CC1">
              <w:rPr>
                <w:rFonts w:cs="Calibri"/>
                <w:color w:val="414042"/>
                <w:spacing w:val="-2"/>
                <w:sz w:val="16"/>
              </w:rPr>
              <w:t>Headcount</w:t>
            </w:r>
          </w:p>
        </w:tc>
        <w:tc>
          <w:tcPr>
            <w:tcW w:w="615" w:type="dxa"/>
            <w:tcMar>
              <w:right w:w="57" w:type="dxa"/>
            </w:tcMar>
            <w:textDirection w:val="btLr"/>
          </w:tcPr>
          <w:p w14:paraId="46EA4868" w14:textId="77777777" w:rsidR="00FA4226" w:rsidRPr="00CA2CC1" w:rsidRDefault="00FA4226" w:rsidP="0043303B">
            <w:pPr>
              <w:pStyle w:val="TableParagraph"/>
              <w:spacing w:before="10"/>
              <w:jc w:val="left"/>
              <w:rPr>
                <w:rFonts w:cs="Calibri"/>
                <w:sz w:val="12"/>
              </w:rPr>
            </w:pPr>
          </w:p>
          <w:p w14:paraId="24E89334" w14:textId="77777777" w:rsidR="00FA4226" w:rsidRPr="00CA2CC1" w:rsidRDefault="00000000" w:rsidP="0043303B">
            <w:pPr>
              <w:pStyle w:val="TableParagraph"/>
              <w:jc w:val="left"/>
              <w:rPr>
                <w:rFonts w:cs="Calibri"/>
                <w:sz w:val="16"/>
              </w:rPr>
            </w:pPr>
            <w:r w:rsidRPr="00CA2CC1">
              <w:rPr>
                <w:rFonts w:cs="Calibri"/>
                <w:color w:val="414042"/>
                <w:spacing w:val="-5"/>
                <w:sz w:val="16"/>
              </w:rPr>
              <w:t>FTE</w:t>
            </w:r>
          </w:p>
        </w:tc>
        <w:tc>
          <w:tcPr>
            <w:tcW w:w="751" w:type="dxa"/>
            <w:tcMar>
              <w:right w:w="57" w:type="dxa"/>
            </w:tcMar>
            <w:textDirection w:val="btLr"/>
          </w:tcPr>
          <w:p w14:paraId="0963E811" w14:textId="77777777" w:rsidR="00FA4226" w:rsidRPr="00CA2CC1" w:rsidRDefault="00FA4226" w:rsidP="0043303B">
            <w:pPr>
              <w:pStyle w:val="TableParagraph"/>
              <w:spacing w:before="9"/>
              <w:jc w:val="left"/>
              <w:rPr>
                <w:rFonts w:cs="Calibri"/>
                <w:sz w:val="17"/>
              </w:rPr>
            </w:pPr>
          </w:p>
          <w:p w14:paraId="58CA942A" w14:textId="77777777" w:rsidR="00FA4226" w:rsidRPr="00CA2CC1" w:rsidRDefault="00000000" w:rsidP="0043303B">
            <w:pPr>
              <w:pStyle w:val="TableParagraph"/>
              <w:jc w:val="left"/>
              <w:rPr>
                <w:rFonts w:cs="Calibri"/>
                <w:sz w:val="16"/>
              </w:rPr>
            </w:pPr>
            <w:r w:rsidRPr="00CA2CC1">
              <w:rPr>
                <w:rFonts w:cs="Calibri"/>
                <w:color w:val="414042"/>
                <w:spacing w:val="-2"/>
                <w:sz w:val="16"/>
              </w:rPr>
              <w:t>Headcount</w:t>
            </w:r>
          </w:p>
        </w:tc>
        <w:tc>
          <w:tcPr>
            <w:tcW w:w="615" w:type="dxa"/>
            <w:tcMar>
              <w:right w:w="57" w:type="dxa"/>
            </w:tcMar>
            <w:textDirection w:val="btLr"/>
          </w:tcPr>
          <w:p w14:paraId="6EA2EDBD" w14:textId="77777777" w:rsidR="00FA4226" w:rsidRPr="00CA2CC1" w:rsidRDefault="00FA4226" w:rsidP="0043303B">
            <w:pPr>
              <w:pStyle w:val="TableParagraph"/>
              <w:spacing w:before="9"/>
              <w:jc w:val="left"/>
              <w:rPr>
                <w:rFonts w:cs="Calibri"/>
                <w:sz w:val="12"/>
              </w:rPr>
            </w:pPr>
          </w:p>
          <w:p w14:paraId="7B876DBB" w14:textId="77777777" w:rsidR="00FA4226" w:rsidRPr="00CA2CC1" w:rsidRDefault="00000000" w:rsidP="0043303B">
            <w:pPr>
              <w:pStyle w:val="TableParagraph"/>
              <w:spacing w:before="1"/>
              <w:jc w:val="left"/>
              <w:rPr>
                <w:rFonts w:cs="Calibri"/>
                <w:sz w:val="16"/>
              </w:rPr>
            </w:pPr>
            <w:r w:rsidRPr="00CA2CC1">
              <w:rPr>
                <w:rFonts w:cs="Calibri"/>
                <w:color w:val="414042"/>
                <w:spacing w:val="-5"/>
                <w:sz w:val="16"/>
              </w:rPr>
              <w:t>FTE</w:t>
            </w:r>
          </w:p>
        </w:tc>
        <w:tc>
          <w:tcPr>
            <w:tcW w:w="751" w:type="dxa"/>
            <w:shd w:val="clear" w:color="auto" w:fill="EDEFF0"/>
            <w:tcMar>
              <w:right w:w="57" w:type="dxa"/>
            </w:tcMar>
            <w:textDirection w:val="btLr"/>
          </w:tcPr>
          <w:p w14:paraId="1589ABBA" w14:textId="77777777" w:rsidR="00FA4226" w:rsidRPr="00CA2CC1" w:rsidRDefault="00FA4226" w:rsidP="0043303B">
            <w:pPr>
              <w:pStyle w:val="TableParagraph"/>
              <w:spacing w:before="8"/>
              <w:jc w:val="left"/>
              <w:rPr>
                <w:rFonts w:cs="Calibri"/>
                <w:sz w:val="17"/>
              </w:rPr>
            </w:pPr>
          </w:p>
          <w:p w14:paraId="5D8DBDBC" w14:textId="77777777" w:rsidR="00FA4226" w:rsidRPr="00CA2CC1" w:rsidRDefault="00000000" w:rsidP="0043303B">
            <w:pPr>
              <w:pStyle w:val="TableParagraph"/>
              <w:spacing w:before="1"/>
              <w:jc w:val="left"/>
              <w:rPr>
                <w:rFonts w:cs="Calibri"/>
                <w:sz w:val="16"/>
              </w:rPr>
            </w:pPr>
            <w:r w:rsidRPr="00CA2CC1">
              <w:rPr>
                <w:rFonts w:cs="Calibri"/>
                <w:color w:val="414042"/>
                <w:spacing w:val="-2"/>
                <w:sz w:val="16"/>
              </w:rPr>
              <w:t>Headcount</w:t>
            </w:r>
          </w:p>
        </w:tc>
        <w:tc>
          <w:tcPr>
            <w:tcW w:w="615" w:type="dxa"/>
            <w:shd w:val="clear" w:color="auto" w:fill="EDEFF0"/>
            <w:tcMar>
              <w:right w:w="57" w:type="dxa"/>
            </w:tcMar>
            <w:textDirection w:val="btLr"/>
          </w:tcPr>
          <w:p w14:paraId="21B4B3DC" w14:textId="77777777" w:rsidR="00FA4226" w:rsidRPr="00CA2CC1" w:rsidRDefault="00FA4226" w:rsidP="0043303B">
            <w:pPr>
              <w:pStyle w:val="TableParagraph"/>
              <w:spacing w:before="9"/>
              <w:jc w:val="left"/>
              <w:rPr>
                <w:rFonts w:cs="Calibri"/>
                <w:sz w:val="12"/>
              </w:rPr>
            </w:pPr>
          </w:p>
          <w:p w14:paraId="2C64BB3E" w14:textId="77777777" w:rsidR="00FA4226" w:rsidRPr="00CA2CC1" w:rsidRDefault="00000000" w:rsidP="0043303B">
            <w:pPr>
              <w:pStyle w:val="TableParagraph"/>
              <w:jc w:val="left"/>
              <w:rPr>
                <w:rFonts w:cs="Calibri"/>
                <w:sz w:val="16"/>
              </w:rPr>
            </w:pPr>
            <w:r w:rsidRPr="00CA2CC1">
              <w:rPr>
                <w:rFonts w:cs="Calibri"/>
                <w:color w:val="414042"/>
                <w:spacing w:val="-5"/>
                <w:sz w:val="16"/>
              </w:rPr>
              <w:t>FTE</w:t>
            </w:r>
          </w:p>
        </w:tc>
        <w:tc>
          <w:tcPr>
            <w:tcW w:w="751" w:type="dxa"/>
            <w:tcMar>
              <w:right w:w="57" w:type="dxa"/>
            </w:tcMar>
            <w:textDirection w:val="btLr"/>
          </w:tcPr>
          <w:p w14:paraId="2F6FF578" w14:textId="77777777" w:rsidR="00FA4226" w:rsidRPr="00CA2CC1" w:rsidRDefault="00FA4226" w:rsidP="0043303B">
            <w:pPr>
              <w:pStyle w:val="TableParagraph"/>
              <w:spacing w:before="8"/>
              <w:jc w:val="left"/>
              <w:rPr>
                <w:rFonts w:cs="Calibri"/>
                <w:sz w:val="17"/>
              </w:rPr>
            </w:pPr>
          </w:p>
          <w:p w14:paraId="7528BC0E" w14:textId="77777777" w:rsidR="00FA4226" w:rsidRPr="00CA2CC1" w:rsidRDefault="00000000" w:rsidP="0043303B">
            <w:pPr>
              <w:pStyle w:val="TableParagraph"/>
              <w:jc w:val="left"/>
              <w:rPr>
                <w:rFonts w:cs="Calibri"/>
                <w:sz w:val="16"/>
              </w:rPr>
            </w:pPr>
            <w:r w:rsidRPr="00CA2CC1">
              <w:rPr>
                <w:rFonts w:cs="Calibri"/>
                <w:color w:val="414042"/>
                <w:spacing w:val="-2"/>
                <w:sz w:val="16"/>
              </w:rPr>
              <w:t>Headcount</w:t>
            </w:r>
          </w:p>
        </w:tc>
        <w:tc>
          <w:tcPr>
            <w:tcW w:w="615" w:type="dxa"/>
            <w:tcMar>
              <w:right w:w="57" w:type="dxa"/>
            </w:tcMar>
            <w:textDirection w:val="btLr"/>
          </w:tcPr>
          <w:p w14:paraId="36C35F85" w14:textId="77777777" w:rsidR="00FA4226" w:rsidRPr="00CA2CC1" w:rsidRDefault="00FA4226" w:rsidP="0043303B">
            <w:pPr>
              <w:pStyle w:val="TableParagraph"/>
              <w:spacing w:before="8"/>
              <w:jc w:val="left"/>
              <w:rPr>
                <w:rFonts w:cs="Calibri"/>
                <w:sz w:val="12"/>
              </w:rPr>
            </w:pPr>
          </w:p>
          <w:p w14:paraId="00344384" w14:textId="77777777" w:rsidR="00FA4226" w:rsidRPr="00CA2CC1" w:rsidRDefault="00000000" w:rsidP="0043303B">
            <w:pPr>
              <w:pStyle w:val="TableParagraph"/>
              <w:jc w:val="left"/>
              <w:rPr>
                <w:rFonts w:cs="Calibri"/>
                <w:sz w:val="16"/>
              </w:rPr>
            </w:pPr>
            <w:r w:rsidRPr="00CA2CC1">
              <w:rPr>
                <w:rFonts w:cs="Calibri"/>
                <w:color w:val="414042"/>
                <w:spacing w:val="-5"/>
                <w:sz w:val="16"/>
              </w:rPr>
              <w:t>FTE</w:t>
            </w:r>
          </w:p>
        </w:tc>
        <w:tc>
          <w:tcPr>
            <w:tcW w:w="751" w:type="dxa"/>
            <w:tcMar>
              <w:right w:w="57" w:type="dxa"/>
            </w:tcMar>
            <w:textDirection w:val="btLr"/>
          </w:tcPr>
          <w:p w14:paraId="700EDC64" w14:textId="77777777" w:rsidR="00FA4226" w:rsidRPr="00CA2CC1" w:rsidRDefault="00FA4226" w:rsidP="0043303B">
            <w:pPr>
              <w:pStyle w:val="TableParagraph"/>
              <w:spacing w:before="7"/>
              <w:jc w:val="left"/>
              <w:rPr>
                <w:rFonts w:cs="Calibri"/>
                <w:sz w:val="17"/>
              </w:rPr>
            </w:pPr>
          </w:p>
          <w:p w14:paraId="0529E670" w14:textId="77777777" w:rsidR="00FA4226" w:rsidRPr="00CA2CC1" w:rsidRDefault="00000000" w:rsidP="0043303B">
            <w:pPr>
              <w:pStyle w:val="TableParagraph"/>
              <w:jc w:val="left"/>
              <w:rPr>
                <w:rFonts w:cs="Calibri"/>
                <w:sz w:val="16"/>
              </w:rPr>
            </w:pPr>
            <w:r w:rsidRPr="00CA2CC1">
              <w:rPr>
                <w:rFonts w:cs="Calibri"/>
                <w:color w:val="414042"/>
                <w:spacing w:val="-2"/>
                <w:sz w:val="16"/>
              </w:rPr>
              <w:t>Headcount</w:t>
            </w:r>
          </w:p>
        </w:tc>
        <w:tc>
          <w:tcPr>
            <w:tcW w:w="615" w:type="dxa"/>
            <w:tcMar>
              <w:right w:w="57" w:type="dxa"/>
            </w:tcMar>
            <w:textDirection w:val="btLr"/>
          </w:tcPr>
          <w:p w14:paraId="337A0D03" w14:textId="77777777" w:rsidR="00FA4226" w:rsidRPr="00CA2CC1" w:rsidRDefault="00FA4226" w:rsidP="0043303B">
            <w:pPr>
              <w:pStyle w:val="TableParagraph"/>
              <w:spacing w:before="7"/>
              <w:jc w:val="left"/>
              <w:rPr>
                <w:rFonts w:cs="Calibri"/>
                <w:sz w:val="12"/>
              </w:rPr>
            </w:pPr>
          </w:p>
          <w:p w14:paraId="6C51FA03" w14:textId="77777777" w:rsidR="00FA4226" w:rsidRPr="00CA2CC1" w:rsidRDefault="00000000" w:rsidP="0043303B">
            <w:pPr>
              <w:pStyle w:val="TableParagraph"/>
              <w:jc w:val="left"/>
              <w:rPr>
                <w:rFonts w:cs="Calibri"/>
                <w:sz w:val="16"/>
              </w:rPr>
            </w:pPr>
            <w:r w:rsidRPr="00CA2CC1">
              <w:rPr>
                <w:rFonts w:cs="Calibri"/>
                <w:color w:val="414042"/>
                <w:spacing w:val="-5"/>
                <w:sz w:val="16"/>
              </w:rPr>
              <w:t>FTE</w:t>
            </w:r>
          </w:p>
        </w:tc>
        <w:tc>
          <w:tcPr>
            <w:tcW w:w="751" w:type="dxa"/>
            <w:shd w:val="clear" w:color="auto" w:fill="EDEFF0"/>
            <w:tcMar>
              <w:right w:w="57" w:type="dxa"/>
            </w:tcMar>
            <w:textDirection w:val="btLr"/>
          </w:tcPr>
          <w:p w14:paraId="1FF141B3" w14:textId="77777777" w:rsidR="00FA4226" w:rsidRPr="00CA2CC1" w:rsidRDefault="00FA4226" w:rsidP="0043303B">
            <w:pPr>
              <w:pStyle w:val="TableParagraph"/>
              <w:spacing w:before="6"/>
              <w:jc w:val="left"/>
              <w:rPr>
                <w:rFonts w:cs="Calibri"/>
                <w:sz w:val="17"/>
              </w:rPr>
            </w:pPr>
          </w:p>
          <w:p w14:paraId="05722634" w14:textId="77777777" w:rsidR="00FA4226" w:rsidRPr="00CA2CC1" w:rsidRDefault="00000000" w:rsidP="0043303B">
            <w:pPr>
              <w:pStyle w:val="TableParagraph"/>
              <w:jc w:val="left"/>
              <w:rPr>
                <w:rFonts w:cs="Calibri"/>
                <w:sz w:val="16"/>
              </w:rPr>
            </w:pPr>
            <w:r w:rsidRPr="00CA2CC1">
              <w:rPr>
                <w:rFonts w:cs="Calibri"/>
                <w:color w:val="414042"/>
                <w:spacing w:val="-2"/>
                <w:sz w:val="16"/>
              </w:rPr>
              <w:t>Headcount</w:t>
            </w:r>
          </w:p>
        </w:tc>
        <w:tc>
          <w:tcPr>
            <w:tcW w:w="615" w:type="dxa"/>
            <w:tcBorders>
              <w:right w:val="nil"/>
            </w:tcBorders>
            <w:shd w:val="clear" w:color="auto" w:fill="EDEFF0"/>
            <w:tcMar>
              <w:right w:w="57" w:type="dxa"/>
            </w:tcMar>
            <w:textDirection w:val="btLr"/>
          </w:tcPr>
          <w:p w14:paraId="073058E2" w14:textId="77777777" w:rsidR="00FA4226" w:rsidRPr="00CA2CC1" w:rsidRDefault="00FA4226" w:rsidP="0043303B">
            <w:pPr>
              <w:pStyle w:val="TableParagraph"/>
              <w:spacing w:before="7"/>
              <w:jc w:val="left"/>
              <w:rPr>
                <w:rFonts w:cs="Calibri"/>
                <w:sz w:val="12"/>
              </w:rPr>
            </w:pPr>
          </w:p>
          <w:p w14:paraId="64CE8E39" w14:textId="77777777" w:rsidR="00FA4226" w:rsidRPr="00CA2CC1" w:rsidRDefault="00000000" w:rsidP="0043303B">
            <w:pPr>
              <w:pStyle w:val="TableParagraph"/>
              <w:jc w:val="left"/>
              <w:rPr>
                <w:rFonts w:cs="Calibri"/>
                <w:sz w:val="16"/>
              </w:rPr>
            </w:pPr>
            <w:r w:rsidRPr="00CA2CC1">
              <w:rPr>
                <w:rFonts w:cs="Calibri"/>
                <w:color w:val="414042"/>
                <w:spacing w:val="-5"/>
                <w:sz w:val="16"/>
              </w:rPr>
              <w:t>FTE</w:t>
            </w:r>
          </w:p>
        </w:tc>
      </w:tr>
      <w:tr w:rsidR="00FA4226" w:rsidRPr="00CA2CC1" w14:paraId="0508B542" w14:textId="77777777" w:rsidTr="00015707">
        <w:trPr>
          <w:trHeight w:val="280"/>
        </w:trPr>
        <w:tc>
          <w:tcPr>
            <w:tcW w:w="317" w:type="dxa"/>
            <w:vMerge w:val="restart"/>
            <w:tcBorders>
              <w:left w:val="nil"/>
            </w:tcBorders>
            <w:textDirection w:val="btLr"/>
          </w:tcPr>
          <w:p w14:paraId="360A7B4D" w14:textId="77777777" w:rsidR="00FA4226" w:rsidRPr="00CA2CC1" w:rsidRDefault="00000000" w:rsidP="0043303B">
            <w:pPr>
              <w:pStyle w:val="TableParagraph"/>
              <w:spacing w:before="29"/>
              <w:jc w:val="left"/>
              <w:rPr>
                <w:rFonts w:cs="Calibri"/>
                <w:sz w:val="16"/>
              </w:rPr>
            </w:pPr>
            <w:r w:rsidRPr="00CA2CC1">
              <w:rPr>
                <w:rFonts w:cs="Calibri"/>
                <w:color w:val="414042"/>
                <w:sz w:val="16"/>
              </w:rPr>
              <w:t xml:space="preserve">Demographic </w:t>
            </w:r>
            <w:r w:rsidRPr="00CA2CC1">
              <w:rPr>
                <w:rFonts w:cs="Calibri"/>
                <w:color w:val="414042"/>
                <w:spacing w:val="-4"/>
                <w:sz w:val="16"/>
              </w:rPr>
              <w:t>Data</w:t>
            </w:r>
          </w:p>
        </w:tc>
        <w:tc>
          <w:tcPr>
            <w:tcW w:w="1124" w:type="dxa"/>
            <w:shd w:val="clear" w:color="auto" w:fill="D8E9EF"/>
          </w:tcPr>
          <w:p w14:paraId="4B28F810" w14:textId="77777777" w:rsidR="00FA4226" w:rsidRPr="00CA2CC1" w:rsidRDefault="00000000" w:rsidP="0043303B">
            <w:pPr>
              <w:pStyle w:val="TableParagraph"/>
              <w:spacing w:before="20"/>
              <w:jc w:val="left"/>
              <w:rPr>
                <w:rFonts w:cs="Calibri"/>
                <w:sz w:val="16"/>
              </w:rPr>
            </w:pPr>
            <w:r w:rsidRPr="00CA2CC1">
              <w:rPr>
                <w:rFonts w:cs="Calibri"/>
                <w:color w:val="414042"/>
                <w:spacing w:val="-2"/>
                <w:sz w:val="16"/>
              </w:rPr>
              <w:t>Gender</w:t>
            </w:r>
          </w:p>
        </w:tc>
        <w:tc>
          <w:tcPr>
            <w:tcW w:w="751" w:type="dxa"/>
            <w:shd w:val="clear" w:color="auto" w:fill="D8E9EF"/>
            <w:tcMar>
              <w:right w:w="57" w:type="dxa"/>
            </w:tcMar>
          </w:tcPr>
          <w:p w14:paraId="7DC15566" w14:textId="77777777" w:rsidR="00FA4226" w:rsidRPr="00CA2CC1" w:rsidRDefault="00FA4226" w:rsidP="0043303B">
            <w:pPr>
              <w:pStyle w:val="TableParagraph"/>
              <w:jc w:val="left"/>
              <w:rPr>
                <w:rFonts w:cs="Calibri"/>
                <w:sz w:val="16"/>
              </w:rPr>
            </w:pPr>
          </w:p>
        </w:tc>
        <w:tc>
          <w:tcPr>
            <w:tcW w:w="615" w:type="dxa"/>
            <w:shd w:val="clear" w:color="auto" w:fill="D8E9EF"/>
            <w:tcMar>
              <w:right w:w="57" w:type="dxa"/>
            </w:tcMar>
          </w:tcPr>
          <w:p w14:paraId="7CF63737" w14:textId="77777777" w:rsidR="00FA4226" w:rsidRPr="00CA2CC1" w:rsidRDefault="00FA4226" w:rsidP="0043303B">
            <w:pPr>
              <w:pStyle w:val="TableParagraph"/>
              <w:jc w:val="left"/>
              <w:rPr>
                <w:rFonts w:cs="Calibri"/>
                <w:sz w:val="16"/>
              </w:rPr>
            </w:pPr>
          </w:p>
        </w:tc>
        <w:tc>
          <w:tcPr>
            <w:tcW w:w="751" w:type="dxa"/>
            <w:shd w:val="clear" w:color="auto" w:fill="D8E9EF"/>
            <w:tcMar>
              <w:right w:w="57" w:type="dxa"/>
            </w:tcMar>
          </w:tcPr>
          <w:p w14:paraId="0CB14147" w14:textId="77777777" w:rsidR="00FA4226" w:rsidRPr="00CA2CC1" w:rsidRDefault="00FA4226" w:rsidP="0043303B">
            <w:pPr>
              <w:pStyle w:val="TableParagraph"/>
              <w:jc w:val="left"/>
              <w:rPr>
                <w:rFonts w:cs="Calibri"/>
                <w:sz w:val="16"/>
              </w:rPr>
            </w:pPr>
          </w:p>
        </w:tc>
        <w:tc>
          <w:tcPr>
            <w:tcW w:w="615" w:type="dxa"/>
            <w:shd w:val="clear" w:color="auto" w:fill="D8E9EF"/>
            <w:tcMar>
              <w:right w:w="57" w:type="dxa"/>
            </w:tcMar>
          </w:tcPr>
          <w:p w14:paraId="072203DC" w14:textId="77777777" w:rsidR="00FA4226" w:rsidRPr="00CA2CC1" w:rsidRDefault="00FA4226" w:rsidP="0043303B">
            <w:pPr>
              <w:pStyle w:val="TableParagraph"/>
              <w:jc w:val="left"/>
              <w:rPr>
                <w:rFonts w:cs="Calibri"/>
                <w:sz w:val="16"/>
              </w:rPr>
            </w:pPr>
          </w:p>
        </w:tc>
        <w:tc>
          <w:tcPr>
            <w:tcW w:w="751" w:type="dxa"/>
            <w:shd w:val="clear" w:color="auto" w:fill="D8E9EF"/>
            <w:tcMar>
              <w:right w:w="57" w:type="dxa"/>
            </w:tcMar>
          </w:tcPr>
          <w:p w14:paraId="3EFAB1D7" w14:textId="77777777" w:rsidR="00FA4226" w:rsidRPr="00CA2CC1" w:rsidRDefault="00FA4226" w:rsidP="0043303B">
            <w:pPr>
              <w:pStyle w:val="TableParagraph"/>
              <w:jc w:val="left"/>
              <w:rPr>
                <w:rFonts w:cs="Calibri"/>
                <w:sz w:val="16"/>
              </w:rPr>
            </w:pPr>
          </w:p>
        </w:tc>
        <w:tc>
          <w:tcPr>
            <w:tcW w:w="615" w:type="dxa"/>
            <w:shd w:val="clear" w:color="auto" w:fill="D8E9EF"/>
            <w:tcMar>
              <w:right w:w="57" w:type="dxa"/>
            </w:tcMar>
          </w:tcPr>
          <w:p w14:paraId="3285514F" w14:textId="77777777" w:rsidR="00FA4226" w:rsidRPr="00CA2CC1" w:rsidRDefault="00FA4226" w:rsidP="0043303B">
            <w:pPr>
              <w:pStyle w:val="TableParagraph"/>
              <w:jc w:val="left"/>
              <w:rPr>
                <w:rFonts w:cs="Calibri"/>
                <w:sz w:val="16"/>
              </w:rPr>
            </w:pPr>
          </w:p>
        </w:tc>
        <w:tc>
          <w:tcPr>
            <w:tcW w:w="751" w:type="dxa"/>
            <w:shd w:val="clear" w:color="auto" w:fill="D8E9EF"/>
            <w:tcMar>
              <w:right w:w="57" w:type="dxa"/>
            </w:tcMar>
          </w:tcPr>
          <w:p w14:paraId="3F8D1320" w14:textId="77777777" w:rsidR="00FA4226" w:rsidRPr="00CA2CC1" w:rsidRDefault="00FA4226" w:rsidP="0043303B">
            <w:pPr>
              <w:pStyle w:val="TableParagraph"/>
              <w:jc w:val="left"/>
              <w:rPr>
                <w:rFonts w:cs="Calibri"/>
                <w:sz w:val="16"/>
              </w:rPr>
            </w:pPr>
          </w:p>
        </w:tc>
        <w:tc>
          <w:tcPr>
            <w:tcW w:w="615" w:type="dxa"/>
            <w:shd w:val="clear" w:color="auto" w:fill="D8E9EF"/>
            <w:tcMar>
              <w:right w:w="57" w:type="dxa"/>
            </w:tcMar>
          </w:tcPr>
          <w:p w14:paraId="22237AC8" w14:textId="77777777" w:rsidR="00FA4226" w:rsidRPr="00CA2CC1" w:rsidRDefault="00FA4226" w:rsidP="0043303B">
            <w:pPr>
              <w:pStyle w:val="TableParagraph"/>
              <w:jc w:val="left"/>
              <w:rPr>
                <w:rFonts w:cs="Calibri"/>
                <w:sz w:val="16"/>
              </w:rPr>
            </w:pPr>
          </w:p>
        </w:tc>
        <w:tc>
          <w:tcPr>
            <w:tcW w:w="751" w:type="dxa"/>
            <w:shd w:val="clear" w:color="auto" w:fill="D8E9EF"/>
            <w:tcMar>
              <w:right w:w="57" w:type="dxa"/>
            </w:tcMar>
          </w:tcPr>
          <w:p w14:paraId="462A216C" w14:textId="77777777" w:rsidR="00FA4226" w:rsidRPr="00CA2CC1" w:rsidRDefault="00FA4226" w:rsidP="0043303B">
            <w:pPr>
              <w:pStyle w:val="TableParagraph"/>
              <w:jc w:val="left"/>
              <w:rPr>
                <w:rFonts w:cs="Calibri"/>
                <w:sz w:val="16"/>
              </w:rPr>
            </w:pPr>
          </w:p>
        </w:tc>
        <w:tc>
          <w:tcPr>
            <w:tcW w:w="615" w:type="dxa"/>
            <w:shd w:val="clear" w:color="auto" w:fill="D8E9EF"/>
            <w:tcMar>
              <w:right w:w="57" w:type="dxa"/>
            </w:tcMar>
          </w:tcPr>
          <w:p w14:paraId="5951131C" w14:textId="77777777" w:rsidR="00FA4226" w:rsidRPr="00CA2CC1" w:rsidRDefault="00FA4226" w:rsidP="0043303B">
            <w:pPr>
              <w:pStyle w:val="TableParagraph"/>
              <w:jc w:val="left"/>
              <w:rPr>
                <w:rFonts w:cs="Calibri"/>
                <w:sz w:val="16"/>
              </w:rPr>
            </w:pPr>
          </w:p>
        </w:tc>
        <w:tc>
          <w:tcPr>
            <w:tcW w:w="751" w:type="dxa"/>
            <w:shd w:val="clear" w:color="auto" w:fill="D8E9EF"/>
            <w:tcMar>
              <w:right w:w="57" w:type="dxa"/>
            </w:tcMar>
          </w:tcPr>
          <w:p w14:paraId="16570213" w14:textId="77777777" w:rsidR="00FA4226" w:rsidRPr="00CA2CC1" w:rsidRDefault="00FA4226" w:rsidP="0043303B">
            <w:pPr>
              <w:pStyle w:val="TableParagraph"/>
              <w:jc w:val="left"/>
              <w:rPr>
                <w:rFonts w:cs="Calibri"/>
                <w:sz w:val="16"/>
              </w:rPr>
            </w:pPr>
          </w:p>
        </w:tc>
        <w:tc>
          <w:tcPr>
            <w:tcW w:w="615" w:type="dxa"/>
            <w:tcBorders>
              <w:right w:val="nil"/>
            </w:tcBorders>
            <w:shd w:val="clear" w:color="auto" w:fill="D8E9EF"/>
            <w:tcMar>
              <w:right w:w="57" w:type="dxa"/>
            </w:tcMar>
          </w:tcPr>
          <w:p w14:paraId="22F751C5" w14:textId="77777777" w:rsidR="00FA4226" w:rsidRPr="00CA2CC1" w:rsidRDefault="00FA4226" w:rsidP="0043303B">
            <w:pPr>
              <w:pStyle w:val="TableParagraph"/>
              <w:jc w:val="left"/>
              <w:rPr>
                <w:rFonts w:cs="Calibri"/>
                <w:sz w:val="16"/>
              </w:rPr>
            </w:pPr>
          </w:p>
        </w:tc>
      </w:tr>
      <w:tr w:rsidR="00FA4226" w:rsidRPr="00CA2CC1" w14:paraId="230AEF76" w14:textId="77777777" w:rsidTr="00015707">
        <w:trPr>
          <w:trHeight w:val="280"/>
        </w:trPr>
        <w:tc>
          <w:tcPr>
            <w:tcW w:w="317" w:type="dxa"/>
            <w:vMerge/>
            <w:tcBorders>
              <w:top w:val="nil"/>
              <w:left w:val="nil"/>
            </w:tcBorders>
            <w:textDirection w:val="btLr"/>
          </w:tcPr>
          <w:p w14:paraId="3A1E4B6A" w14:textId="77777777" w:rsidR="00FA4226" w:rsidRPr="00CA2CC1" w:rsidRDefault="00FA4226" w:rsidP="0043303B">
            <w:pPr>
              <w:rPr>
                <w:rFonts w:cs="Calibri"/>
                <w:sz w:val="2"/>
                <w:szCs w:val="2"/>
              </w:rPr>
            </w:pPr>
          </w:p>
        </w:tc>
        <w:tc>
          <w:tcPr>
            <w:tcW w:w="1124" w:type="dxa"/>
          </w:tcPr>
          <w:p w14:paraId="37400251" w14:textId="77777777" w:rsidR="00FA4226" w:rsidRPr="00CA2CC1" w:rsidRDefault="00000000" w:rsidP="0043303B">
            <w:pPr>
              <w:pStyle w:val="TableParagraph"/>
              <w:spacing w:before="18"/>
              <w:jc w:val="left"/>
              <w:rPr>
                <w:rFonts w:cs="Calibri"/>
                <w:sz w:val="16"/>
              </w:rPr>
            </w:pPr>
            <w:r w:rsidRPr="00CA2CC1">
              <w:rPr>
                <w:rFonts w:cs="Calibri"/>
                <w:color w:val="414042"/>
                <w:spacing w:val="-4"/>
                <w:sz w:val="16"/>
              </w:rPr>
              <w:t>Male</w:t>
            </w:r>
          </w:p>
        </w:tc>
        <w:tc>
          <w:tcPr>
            <w:tcW w:w="751" w:type="dxa"/>
            <w:tcMar>
              <w:right w:w="57" w:type="dxa"/>
            </w:tcMar>
          </w:tcPr>
          <w:p w14:paraId="2DA5AAFA" w14:textId="77777777" w:rsidR="00FA4226" w:rsidRPr="00CA2CC1" w:rsidRDefault="00000000" w:rsidP="0043303B">
            <w:pPr>
              <w:pStyle w:val="TableParagraph"/>
              <w:spacing w:before="18"/>
              <w:rPr>
                <w:rFonts w:cs="Calibri"/>
                <w:sz w:val="16"/>
              </w:rPr>
            </w:pPr>
            <w:r w:rsidRPr="00CA2CC1">
              <w:rPr>
                <w:rFonts w:cs="Calibri"/>
                <w:color w:val="414042"/>
                <w:spacing w:val="-5"/>
                <w:sz w:val="16"/>
              </w:rPr>
              <w:t>13</w:t>
            </w:r>
          </w:p>
        </w:tc>
        <w:tc>
          <w:tcPr>
            <w:tcW w:w="615" w:type="dxa"/>
            <w:tcMar>
              <w:right w:w="57" w:type="dxa"/>
            </w:tcMar>
          </w:tcPr>
          <w:p w14:paraId="479D1296" w14:textId="77777777" w:rsidR="00FA4226" w:rsidRPr="00CA2CC1" w:rsidRDefault="00000000" w:rsidP="0043303B">
            <w:pPr>
              <w:pStyle w:val="TableParagraph"/>
              <w:spacing w:before="18"/>
              <w:jc w:val="center"/>
              <w:rPr>
                <w:rFonts w:cs="Calibri"/>
                <w:sz w:val="16"/>
              </w:rPr>
            </w:pPr>
            <w:r w:rsidRPr="00CA2CC1">
              <w:rPr>
                <w:rFonts w:cs="Calibri"/>
                <w:color w:val="414042"/>
                <w:spacing w:val="-4"/>
                <w:sz w:val="16"/>
              </w:rPr>
              <w:t>13.00</w:t>
            </w:r>
          </w:p>
        </w:tc>
        <w:tc>
          <w:tcPr>
            <w:tcW w:w="751" w:type="dxa"/>
            <w:tcMar>
              <w:right w:w="57" w:type="dxa"/>
            </w:tcMar>
          </w:tcPr>
          <w:p w14:paraId="6FDECF31" w14:textId="77777777" w:rsidR="00FA4226" w:rsidRPr="00CA2CC1" w:rsidRDefault="00000000" w:rsidP="0043303B">
            <w:pPr>
              <w:pStyle w:val="TableParagraph"/>
              <w:spacing w:before="18"/>
              <w:rPr>
                <w:rFonts w:cs="Calibri"/>
                <w:sz w:val="16"/>
              </w:rPr>
            </w:pPr>
            <w:r w:rsidRPr="00CA2CC1">
              <w:rPr>
                <w:rFonts w:cs="Calibri"/>
                <w:color w:val="414042"/>
                <w:sz w:val="16"/>
              </w:rPr>
              <w:t>2</w:t>
            </w:r>
          </w:p>
        </w:tc>
        <w:tc>
          <w:tcPr>
            <w:tcW w:w="615" w:type="dxa"/>
            <w:tcMar>
              <w:right w:w="57" w:type="dxa"/>
            </w:tcMar>
          </w:tcPr>
          <w:p w14:paraId="51BF8EAC" w14:textId="77777777" w:rsidR="00FA4226" w:rsidRPr="00CA2CC1" w:rsidRDefault="00000000" w:rsidP="0043303B">
            <w:pPr>
              <w:pStyle w:val="TableParagraph"/>
              <w:spacing w:before="18"/>
              <w:rPr>
                <w:rFonts w:cs="Calibri"/>
                <w:sz w:val="16"/>
              </w:rPr>
            </w:pPr>
            <w:r w:rsidRPr="00CA2CC1">
              <w:rPr>
                <w:rFonts w:cs="Calibri"/>
                <w:color w:val="414042"/>
                <w:spacing w:val="-4"/>
                <w:sz w:val="16"/>
              </w:rPr>
              <w:t>2.00</w:t>
            </w:r>
          </w:p>
        </w:tc>
        <w:tc>
          <w:tcPr>
            <w:tcW w:w="751" w:type="dxa"/>
            <w:shd w:val="clear" w:color="auto" w:fill="EDEFF0"/>
            <w:tcMar>
              <w:right w:w="57" w:type="dxa"/>
            </w:tcMar>
          </w:tcPr>
          <w:p w14:paraId="3CD150B3" w14:textId="77777777" w:rsidR="00FA4226" w:rsidRPr="00CA2CC1" w:rsidRDefault="00000000" w:rsidP="0043303B">
            <w:pPr>
              <w:pStyle w:val="TableParagraph"/>
              <w:spacing w:before="18"/>
              <w:rPr>
                <w:rFonts w:cs="Calibri"/>
                <w:sz w:val="16"/>
              </w:rPr>
            </w:pPr>
            <w:r w:rsidRPr="00CA2CC1">
              <w:rPr>
                <w:rFonts w:cs="Calibri"/>
                <w:color w:val="414042"/>
                <w:spacing w:val="-5"/>
                <w:sz w:val="16"/>
              </w:rPr>
              <w:t>15</w:t>
            </w:r>
          </w:p>
        </w:tc>
        <w:tc>
          <w:tcPr>
            <w:tcW w:w="615" w:type="dxa"/>
            <w:shd w:val="clear" w:color="auto" w:fill="EDEFF0"/>
            <w:tcMar>
              <w:right w:w="57" w:type="dxa"/>
            </w:tcMar>
          </w:tcPr>
          <w:p w14:paraId="4511B24D" w14:textId="77777777" w:rsidR="00FA4226" w:rsidRPr="00CA2CC1" w:rsidRDefault="00000000" w:rsidP="0043303B">
            <w:pPr>
              <w:pStyle w:val="TableParagraph"/>
              <w:spacing w:before="18"/>
              <w:jc w:val="center"/>
              <w:rPr>
                <w:rFonts w:cs="Calibri"/>
                <w:sz w:val="16"/>
              </w:rPr>
            </w:pPr>
            <w:r w:rsidRPr="00CA2CC1">
              <w:rPr>
                <w:rFonts w:cs="Calibri"/>
                <w:color w:val="414042"/>
                <w:spacing w:val="-4"/>
                <w:sz w:val="16"/>
              </w:rPr>
              <w:t>15.00</w:t>
            </w:r>
          </w:p>
        </w:tc>
        <w:tc>
          <w:tcPr>
            <w:tcW w:w="751" w:type="dxa"/>
            <w:tcMar>
              <w:right w:w="57" w:type="dxa"/>
            </w:tcMar>
          </w:tcPr>
          <w:p w14:paraId="52F2148E" w14:textId="77777777" w:rsidR="00FA4226" w:rsidRPr="00CA2CC1" w:rsidRDefault="00000000" w:rsidP="0043303B">
            <w:pPr>
              <w:pStyle w:val="TableParagraph"/>
              <w:spacing w:before="18"/>
              <w:rPr>
                <w:rFonts w:cs="Calibri"/>
                <w:sz w:val="16"/>
              </w:rPr>
            </w:pPr>
            <w:r w:rsidRPr="00CA2CC1">
              <w:rPr>
                <w:rFonts w:cs="Calibri"/>
                <w:color w:val="414042"/>
                <w:spacing w:val="-5"/>
                <w:sz w:val="16"/>
              </w:rPr>
              <w:t>10</w:t>
            </w:r>
          </w:p>
        </w:tc>
        <w:tc>
          <w:tcPr>
            <w:tcW w:w="615" w:type="dxa"/>
            <w:tcMar>
              <w:right w:w="57" w:type="dxa"/>
            </w:tcMar>
          </w:tcPr>
          <w:p w14:paraId="2C0B6A99" w14:textId="77777777" w:rsidR="00FA4226" w:rsidRPr="00CA2CC1" w:rsidRDefault="00000000" w:rsidP="0043303B">
            <w:pPr>
              <w:pStyle w:val="TableParagraph"/>
              <w:spacing w:before="18"/>
              <w:jc w:val="center"/>
              <w:rPr>
                <w:rFonts w:cs="Calibri"/>
                <w:sz w:val="16"/>
              </w:rPr>
            </w:pPr>
            <w:r w:rsidRPr="00CA2CC1">
              <w:rPr>
                <w:rFonts w:cs="Calibri"/>
                <w:color w:val="414042"/>
                <w:spacing w:val="-4"/>
                <w:sz w:val="16"/>
              </w:rPr>
              <w:t>10.00</w:t>
            </w:r>
          </w:p>
        </w:tc>
        <w:tc>
          <w:tcPr>
            <w:tcW w:w="751" w:type="dxa"/>
            <w:tcMar>
              <w:right w:w="57" w:type="dxa"/>
            </w:tcMar>
          </w:tcPr>
          <w:p w14:paraId="4D052F58" w14:textId="77777777" w:rsidR="00FA4226" w:rsidRPr="00CA2CC1" w:rsidRDefault="00000000" w:rsidP="0043303B">
            <w:pPr>
              <w:pStyle w:val="TableParagraph"/>
              <w:spacing w:before="18"/>
              <w:rPr>
                <w:rFonts w:cs="Calibri"/>
                <w:sz w:val="16"/>
              </w:rPr>
            </w:pPr>
            <w:r w:rsidRPr="00CA2CC1">
              <w:rPr>
                <w:rFonts w:cs="Calibri"/>
                <w:color w:val="414042"/>
                <w:sz w:val="16"/>
              </w:rPr>
              <w:t>5</w:t>
            </w:r>
          </w:p>
        </w:tc>
        <w:tc>
          <w:tcPr>
            <w:tcW w:w="615" w:type="dxa"/>
            <w:tcMar>
              <w:right w:w="57" w:type="dxa"/>
            </w:tcMar>
          </w:tcPr>
          <w:p w14:paraId="5AF632E9" w14:textId="77777777" w:rsidR="00FA4226" w:rsidRPr="00CA2CC1" w:rsidRDefault="00000000" w:rsidP="0043303B">
            <w:pPr>
              <w:pStyle w:val="TableParagraph"/>
              <w:spacing w:before="18"/>
              <w:rPr>
                <w:rFonts w:cs="Calibri"/>
                <w:sz w:val="16"/>
              </w:rPr>
            </w:pPr>
            <w:r w:rsidRPr="00CA2CC1">
              <w:rPr>
                <w:rFonts w:cs="Calibri"/>
                <w:color w:val="414042"/>
                <w:spacing w:val="-4"/>
                <w:sz w:val="16"/>
              </w:rPr>
              <w:t>4.00</w:t>
            </w:r>
          </w:p>
        </w:tc>
        <w:tc>
          <w:tcPr>
            <w:tcW w:w="751" w:type="dxa"/>
            <w:shd w:val="clear" w:color="auto" w:fill="EDEFF0"/>
            <w:tcMar>
              <w:right w:w="57" w:type="dxa"/>
            </w:tcMar>
          </w:tcPr>
          <w:p w14:paraId="320BFCB9" w14:textId="77777777" w:rsidR="00FA4226" w:rsidRPr="00CA2CC1" w:rsidRDefault="00000000" w:rsidP="0043303B">
            <w:pPr>
              <w:pStyle w:val="TableParagraph"/>
              <w:spacing w:before="18"/>
              <w:rPr>
                <w:rFonts w:cs="Calibri"/>
                <w:sz w:val="16"/>
              </w:rPr>
            </w:pPr>
            <w:r w:rsidRPr="00CA2CC1">
              <w:rPr>
                <w:rFonts w:cs="Calibri"/>
                <w:color w:val="414042"/>
                <w:spacing w:val="-5"/>
                <w:sz w:val="16"/>
              </w:rPr>
              <w:t>15</w:t>
            </w:r>
          </w:p>
        </w:tc>
        <w:tc>
          <w:tcPr>
            <w:tcW w:w="615" w:type="dxa"/>
            <w:tcBorders>
              <w:right w:val="nil"/>
            </w:tcBorders>
            <w:shd w:val="clear" w:color="auto" w:fill="EDEFF0"/>
            <w:tcMar>
              <w:right w:w="57" w:type="dxa"/>
            </w:tcMar>
          </w:tcPr>
          <w:p w14:paraId="10EB0426" w14:textId="77777777" w:rsidR="00FA4226" w:rsidRPr="00CA2CC1" w:rsidRDefault="00000000" w:rsidP="0043303B">
            <w:pPr>
              <w:pStyle w:val="TableParagraph"/>
              <w:spacing w:before="18"/>
              <w:jc w:val="center"/>
              <w:rPr>
                <w:rFonts w:cs="Calibri"/>
                <w:sz w:val="16"/>
              </w:rPr>
            </w:pPr>
            <w:r w:rsidRPr="00CA2CC1">
              <w:rPr>
                <w:rFonts w:cs="Calibri"/>
                <w:color w:val="414042"/>
                <w:spacing w:val="-4"/>
                <w:sz w:val="16"/>
              </w:rPr>
              <w:t>14.00</w:t>
            </w:r>
          </w:p>
        </w:tc>
      </w:tr>
      <w:tr w:rsidR="00FA4226" w:rsidRPr="00CA2CC1" w14:paraId="4ACA17F2" w14:textId="77777777" w:rsidTr="00015707">
        <w:trPr>
          <w:trHeight w:val="279"/>
        </w:trPr>
        <w:tc>
          <w:tcPr>
            <w:tcW w:w="317" w:type="dxa"/>
            <w:vMerge/>
            <w:tcBorders>
              <w:top w:val="nil"/>
              <w:left w:val="nil"/>
            </w:tcBorders>
            <w:textDirection w:val="btLr"/>
          </w:tcPr>
          <w:p w14:paraId="75914A8B" w14:textId="77777777" w:rsidR="00FA4226" w:rsidRPr="00CA2CC1" w:rsidRDefault="00FA4226" w:rsidP="0043303B">
            <w:pPr>
              <w:rPr>
                <w:rFonts w:cs="Calibri"/>
                <w:sz w:val="2"/>
                <w:szCs w:val="2"/>
              </w:rPr>
            </w:pPr>
          </w:p>
        </w:tc>
        <w:tc>
          <w:tcPr>
            <w:tcW w:w="1124" w:type="dxa"/>
          </w:tcPr>
          <w:p w14:paraId="61E5BE0A" w14:textId="77777777" w:rsidR="00FA4226" w:rsidRPr="00CA2CC1" w:rsidRDefault="00000000" w:rsidP="0043303B">
            <w:pPr>
              <w:pStyle w:val="TableParagraph"/>
              <w:spacing w:before="18"/>
              <w:jc w:val="left"/>
              <w:rPr>
                <w:rFonts w:cs="Calibri"/>
                <w:sz w:val="16"/>
              </w:rPr>
            </w:pPr>
            <w:r w:rsidRPr="00CA2CC1">
              <w:rPr>
                <w:rFonts w:cs="Calibri"/>
                <w:color w:val="414042"/>
                <w:spacing w:val="-2"/>
                <w:sz w:val="16"/>
              </w:rPr>
              <w:t>Female</w:t>
            </w:r>
          </w:p>
        </w:tc>
        <w:tc>
          <w:tcPr>
            <w:tcW w:w="751" w:type="dxa"/>
            <w:tcMar>
              <w:right w:w="57" w:type="dxa"/>
            </w:tcMar>
          </w:tcPr>
          <w:p w14:paraId="45B8761A" w14:textId="77777777" w:rsidR="00FA4226" w:rsidRPr="00CA2CC1" w:rsidRDefault="00000000" w:rsidP="0043303B">
            <w:pPr>
              <w:pStyle w:val="TableParagraph"/>
              <w:spacing w:before="18"/>
              <w:rPr>
                <w:rFonts w:cs="Calibri"/>
                <w:sz w:val="16"/>
              </w:rPr>
            </w:pPr>
            <w:r w:rsidRPr="00CA2CC1">
              <w:rPr>
                <w:rFonts w:cs="Calibri"/>
                <w:color w:val="414042"/>
                <w:spacing w:val="-5"/>
                <w:sz w:val="16"/>
              </w:rPr>
              <w:t>24</w:t>
            </w:r>
          </w:p>
        </w:tc>
        <w:tc>
          <w:tcPr>
            <w:tcW w:w="615" w:type="dxa"/>
            <w:tcMar>
              <w:right w:w="57" w:type="dxa"/>
            </w:tcMar>
          </w:tcPr>
          <w:p w14:paraId="50978F92" w14:textId="77777777" w:rsidR="00FA4226" w:rsidRPr="00CA2CC1" w:rsidRDefault="00000000" w:rsidP="0043303B">
            <w:pPr>
              <w:pStyle w:val="TableParagraph"/>
              <w:spacing w:before="18"/>
              <w:jc w:val="center"/>
              <w:rPr>
                <w:rFonts w:cs="Calibri"/>
                <w:sz w:val="16"/>
              </w:rPr>
            </w:pPr>
            <w:r w:rsidRPr="00CA2CC1">
              <w:rPr>
                <w:rFonts w:cs="Calibri"/>
                <w:color w:val="414042"/>
                <w:spacing w:val="-4"/>
                <w:sz w:val="16"/>
              </w:rPr>
              <w:t>21.40</w:t>
            </w:r>
          </w:p>
        </w:tc>
        <w:tc>
          <w:tcPr>
            <w:tcW w:w="751" w:type="dxa"/>
            <w:tcMar>
              <w:right w:w="57" w:type="dxa"/>
            </w:tcMar>
          </w:tcPr>
          <w:p w14:paraId="616BC2DB" w14:textId="77777777" w:rsidR="00FA4226" w:rsidRPr="00CA2CC1" w:rsidRDefault="00000000" w:rsidP="0043303B">
            <w:pPr>
              <w:pStyle w:val="TableParagraph"/>
              <w:spacing w:before="18"/>
              <w:rPr>
                <w:rFonts w:cs="Calibri"/>
                <w:sz w:val="16"/>
              </w:rPr>
            </w:pPr>
            <w:r w:rsidRPr="00CA2CC1">
              <w:rPr>
                <w:rFonts w:cs="Calibri"/>
                <w:color w:val="414042"/>
                <w:sz w:val="16"/>
              </w:rPr>
              <w:t>3</w:t>
            </w:r>
          </w:p>
        </w:tc>
        <w:tc>
          <w:tcPr>
            <w:tcW w:w="615" w:type="dxa"/>
            <w:tcMar>
              <w:right w:w="57" w:type="dxa"/>
            </w:tcMar>
          </w:tcPr>
          <w:p w14:paraId="7E1F3E32" w14:textId="77777777" w:rsidR="00FA4226" w:rsidRPr="00CA2CC1" w:rsidRDefault="00000000" w:rsidP="0043303B">
            <w:pPr>
              <w:pStyle w:val="TableParagraph"/>
              <w:spacing w:before="18"/>
              <w:rPr>
                <w:rFonts w:cs="Calibri"/>
                <w:sz w:val="16"/>
              </w:rPr>
            </w:pPr>
            <w:r w:rsidRPr="00CA2CC1">
              <w:rPr>
                <w:rFonts w:cs="Calibri"/>
                <w:color w:val="414042"/>
                <w:spacing w:val="-4"/>
                <w:sz w:val="16"/>
              </w:rPr>
              <w:t>1.59</w:t>
            </w:r>
          </w:p>
        </w:tc>
        <w:tc>
          <w:tcPr>
            <w:tcW w:w="751" w:type="dxa"/>
            <w:shd w:val="clear" w:color="auto" w:fill="EDEFF0"/>
            <w:tcMar>
              <w:right w:w="57" w:type="dxa"/>
            </w:tcMar>
          </w:tcPr>
          <w:p w14:paraId="0FA200EC" w14:textId="77777777" w:rsidR="00FA4226" w:rsidRPr="00CA2CC1" w:rsidRDefault="00000000" w:rsidP="0043303B">
            <w:pPr>
              <w:pStyle w:val="TableParagraph"/>
              <w:spacing w:before="18"/>
              <w:rPr>
                <w:rFonts w:cs="Calibri"/>
                <w:sz w:val="16"/>
              </w:rPr>
            </w:pPr>
            <w:r w:rsidRPr="00CA2CC1">
              <w:rPr>
                <w:rFonts w:cs="Calibri"/>
                <w:color w:val="414042"/>
                <w:spacing w:val="-5"/>
                <w:sz w:val="16"/>
              </w:rPr>
              <w:t>27</w:t>
            </w:r>
          </w:p>
        </w:tc>
        <w:tc>
          <w:tcPr>
            <w:tcW w:w="615" w:type="dxa"/>
            <w:shd w:val="clear" w:color="auto" w:fill="EDEFF0"/>
            <w:tcMar>
              <w:right w:w="57" w:type="dxa"/>
            </w:tcMar>
          </w:tcPr>
          <w:p w14:paraId="550A21D8" w14:textId="77777777" w:rsidR="00FA4226" w:rsidRPr="00CA2CC1" w:rsidRDefault="00000000" w:rsidP="0043303B">
            <w:pPr>
              <w:pStyle w:val="TableParagraph"/>
              <w:spacing w:before="18"/>
              <w:jc w:val="center"/>
              <w:rPr>
                <w:rFonts w:cs="Calibri"/>
                <w:sz w:val="16"/>
              </w:rPr>
            </w:pPr>
            <w:r w:rsidRPr="00CA2CC1">
              <w:rPr>
                <w:rFonts w:cs="Calibri"/>
                <w:color w:val="414042"/>
                <w:spacing w:val="-4"/>
                <w:sz w:val="16"/>
              </w:rPr>
              <w:t>22.99</w:t>
            </w:r>
          </w:p>
        </w:tc>
        <w:tc>
          <w:tcPr>
            <w:tcW w:w="751" w:type="dxa"/>
            <w:tcMar>
              <w:right w:w="57" w:type="dxa"/>
            </w:tcMar>
          </w:tcPr>
          <w:p w14:paraId="00C13995" w14:textId="77777777" w:rsidR="00FA4226" w:rsidRPr="00CA2CC1" w:rsidRDefault="00000000" w:rsidP="0043303B">
            <w:pPr>
              <w:pStyle w:val="TableParagraph"/>
              <w:spacing w:before="18"/>
              <w:rPr>
                <w:rFonts w:cs="Calibri"/>
                <w:sz w:val="16"/>
              </w:rPr>
            </w:pPr>
            <w:r w:rsidRPr="00CA2CC1">
              <w:rPr>
                <w:rFonts w:cs="Calibri"/>
                <w:color w:val="414042"/>
                <w:spacing w:val="-5"/>
                <w:sz w:val="16"/>
              </w:rPr>
              <w:t>22</w:t>
            </w:r>
          </w:p>
        </w:tc>
        <w:tc>
          <w:tcPr>
            <w:tcW w:w="615" w:type="dxa"/>
            <w:tcMar>
              <w:right w:w="57" w:type="dxa"/>
            </w:tcMar>
          </w:tcPr>
          <w:p w14:paraId="0FCAC201" w14:textId="77777777" w:rsidR="00FA4226" w:rsidRPr="00CA2CC1" w:rsidRDefault="00000000" w:rsidP="0043303B">
            <w:pPr>
              <w:pStyle w:val="TableParagraph"/>
              <w:spacing w:before="18"/>
              <w:jc w:val="center"/>
              <w:rPr>
                <w:rFonts w:cs="Calibri"/>
                <w:sz w:val="16"/>
              </w:rPr>
            </w:pPr>
            <w:r w:rsidRPr="00CA2CC1">
              <w:rPr>
                <w:rFonts w:cs="Calibri"/>
                <w:color w:val="414042"/>
                <w:spacing w:val="-4"/>
                <w:sz w:val="16"/>
              </w:rPr>
              <w:t>20.70</w:t>
            </w:r>
          </w:p>
        </w:tc>
        <w:tc>
          <w:tcPr>
            <w:tcW w:w="751" w:type="dxa"/>
            <w:tcMar>
              <w:right w:w="57" w:type="dxa"/>
            </w:tcMar>
          </w:tcPr>
          <w:p w14:paraId="70814EAB" w14:textId="77777777" w:rsidR="00FA4226" w:rsidRPr="00CA2CC1" w:rsidRDefault="00000000" w:rsidP="0043303B">
            <w:pPr>
              <w:pStyle w:val="TableParagraph"/>
              <w:spacing w:before="18"/>
              <w:rPr>
                <w:rFonts w:cs="Calibri"/>
                <w:sz w:val="16"/>
              </w:rPr>
            </w:pPr>
            <w:r w:rsidRPr="00CA2CC1">
              <w:rPr>
                <w:rFonts w:cs="Calibri"/>
                <w:color w:val="414042"/>
                <w:sz w:val="16"/>
              </w:rPr>
              <w:t>2</w:t>
            </w:r>
          </w:p>
        </w:tc>
        <w:tc>
          <w:tcPr>
            <w:tcW w:w="615" w:type="dxa"/>
            <w:tcMar>
              <w:right w:w="57" w:type="dxa"/>
            </w:tcMar>
          </w:tcPr>
          <w:p w14:paraId="2BB3E534" w14:textId="77777777" w:rsidR="00FA4226" w:rsidRPr="00CA2CC1" w:rsidRDefault="00000000" w:rsidP="0043303B">
            <w:pPr>
              <w:pStyle w:val="TableParagraph"/>
              <w:spacing w:before="18"/>
              <w:rPr>
                <w:rFonts w:cs="Calibri"/>
                <w:sz w:val="16"/>
              </w:rPr>
            </w:pPr>
            <w:r w:rsidRPr="00CA2CC1">
              <w:rPr>
                <w:rFonts w:cs="Calibri"/>
                <w:color w:val="414042"/>
                <w:spacing w:val="-4"/>
                <w:sz w:val="16"/>
              </w:rPr>
              <w:t>1.60</w:t>
            </w:r>
          </w:p>
        </w:tc>
        <w:tc>
          <w:tcPr>
            <w:tcW w:w="751" w:type="dxa"/>
            <w:shd w:val="clear" w:color="auto" w:fill="EDEFF0"/>
            <w:tcMar>
              <w:right w:w="57" w:type="dxa"/>
            </w:tcMar>
          </w:tcPr>
          <w:p w14:paraId="2F6CCD57" w14:textId="77777777" w:rsidR="00FA4226" w:rsidRPr="00CA2CC1" w:rsidRDefault="00000000" w:rsidP="0043303B">
            <w:pPr>
              <w:pStyle w:val="TableParagraph"/>
              <w:spacing w:before="18"/>
              <w:rPr>
                <w:rFonts w:cs="Calibri"/>
                <w:sz w:val="16"/>
              </w:rPr>
            </w:pPr>
            <w:r w:rsidRPr="00CA2CC1">
              <w:rPr>
                <w:rFonts w:cs="Calibri"/>
                <w:color w:val="414042"/>
                <w:spacing w:val="-5"/>
                <w:sz w:val="16"/>
              </w:rPr>
              <w:t>24</w:t>
            </w:r>
          </w:p>
        </w:tc>
        <w:tc>
          <w:tcPr>
            <w:tcW w:w="615" w:type="dxa"/>
            <w:tcBorders>
              <w:right w:val="nil"/>
            </w:tcBorders>
            <w:shd w:val="clear" w:color="auto" w:fill="EDEFF0"/>
            <w:tcMar>
              <w:right w:w="57" w:type="dxa"/>
            </w:tcMar>
          </w:tcPr>
          <w:p w14:paraId="7C0E4716" w14:textId="77777777" w:rsidR="00FA4226" w:rsidRPr="00CA2CC1" w:rsidRDefault="00000000" w:rsidP="0043303B">
            <w:pPr>
              <w:pStyle w:val="TableParagraph"/>
              <w:spacing w:before="18"/>
              <w:jc w:val="center"/>
              <w:rPr>
                <w:rFonts w:cs="Calibri"/>
                <w:sz w:val="16"/>
              </w:rPr>
            </w:pPr>
            <w:r w:rsidRPr="00CA2CC1">
              <w:rPr>
                <w:rFonts w:cs="Calibri"/>
                <w:color w:val="414042"/>
                <w:spacing w:val="-4"/>
                <w:sz w:val="16"/>
              </w:rPr>
              <w:t>22.30</w:t>
            </w:r>
          </w:p>
        </w:tc>
      </w:tr>
      <w:tr w:rsidR="00FA4226" w:rsidRPr="00CA2CC1" w14:paraId="345839F7" w14:textId="77777777" w:rsidTr="00015707">
        <w:trPr>
          <w:trHeight w:val="454"/>
        </w:trPr>
        <w:tc>
          <w:tcPr>
            <w:tcW w:w="317" w:type="dxa"/>
            <w:vMerge/>
            <w:tcBorders>
              <w:top w:val="nil"/>
              <w:left w:val="nil"/>
            </w:tcBorders>
            <w:textDirection w:val="btLr"/>
          </w:tcPr>
          <w:p w14:paraId="4605699E" w14:textId="77777777" w:rsidR="00FA4226" w:rsidRPr="00CA2CC1" w:rsidRDefault="00FA4226" w:rsidP="0043303B">
            <w:pPr>
              <w:rPr>
                <w:rFonts w:cs="Calibri"/>
                <w:sz w:val="2"/>
                <w:szCs w:val="2"/>
              </w:rPr>
            </w:pPr>
          </w:p>
        </w:tc>
        <w:tc>
          <w:tcPr>
            <w:tcW w:w="1124" w:type="dxa"/>
          </w:tcPr>
          <w:p w14:paraId="58B1AFE8" w14:textId="77777777" w:rsidR="00FA4226" w:rsidRPr="00CA2CC1" w:rsidRDefault="00000000" w:rsidP="0043303B">
            <w:pPr>
              <w:pStyle w:val="TableParagraph"/>
              <w:spacing w:before="28"/>
              <w:jc w:val="left"/>
              <w:rPr>
                <w:rFonts w:cs="Calibri"/>
                <w:sz w:val="16"/>
              </w:rPr>
            </w:pPr>
            <w:r w:rsidRPr="00CA2CC1">
              <w:rPr>
                <w:rFonts w:cs="Calibri"/>
                <w:color w:val="414042"/>
                <w:spacing w:val="-2"/>
                <w:sz w:val="16"/>
              </w:rPr>
              <w:t>Self- described</w:t>
            </w:r>
          </w:p>
        </w:tc>
        <w:tc>
          <w:tcPr>
            <w:tcW w:w="751" w:type="dxa"/>
            <w:tcMar>
              <w:right w:w="57" w:type="dxa"/>
            </w:tcMar>
          </w:tcPr>
          <w:p w14:paraId="33B64B7F" w14:textId="77777777" w:rsidR="00FA4226" w:rsidRPr="00CA2CC1" w:rsidRDefault="00FA4226" w:rsidP="0043303B">
            <w:pPr>
              <w:pStyle w:val="TableParagraph"/>
              <w:jc w:val="left"/>
              <w:rPr>
                <w:rFonts w:cs="Calibri"/>
                <w:sz w:val="14"/>
              </w:rPr>
            </w:pPr>
          </w:p>
          <w:p w14:paraId="737B1668" w14:textId="77777777" w:rsidR="00FA4226" w:rsidRPr="00CA2CC1" w:rsidRDefault="00000000" w:rsidP="0043303B">
            <w:pPr>
              <w:pStyle w:val="TableParagraph"/>
              <w:rPr>
                <w:rFonts w:cs="Calibri"/>
                <w:sz w:val="16"/>
              </w:rPr>
            </w:pPr>
            <w:r w:rsidRPr="00CA2CC1">
              <w:rPr>
                <w:rFonts w:cs="Calibri"/>
                <w:color w:val="414042"/>
                <w:sz w:val="16"/>
              </w:rPr>
              <w:t>0</w:t>
            </w:r>
          </w:p>
        </w:tc>
        <w:tc>
          <w:tcPr>
            <w:tcW w:w="615" w:type="dxa"/>
            <w:tcMar>
              <w:right w:w="57" w:type="dxa"/>
            </w:tcMar>
          </w:tcPr>
          <w:p w14:paraId="54179ABA" w14:textId="77777777" w:rsidR="00FA4226" w:rsidRPr="00CA2CC1" w:rsidRDefault="00FA4226" w:rsidP="0043303B">
            <w:pPr>
              <w:pStyle w:val="TableParagraph"/>
              <w:jc w:val="left"/>
              <w:rPr>
                <w:rFonts w:cs="Calibri"/>
                <w:sz w:val="14"/>
              </w:rPr>
            </w:pPr>
          </w:p>
          <w:p w14:paraId="2897B0A8" w14:textId="77777777" w:rsidR="00FA4226" w:rsidRPr="00CA2CC1" w:rsidRDefault="00000000" w:rsidP="0043303B">
            <w:pPr>
              <w:pStyle w:val="TableParagraph"/>
              <w:jc w:val="center"/>
              <w:rPr>
                <w:rFonts w:cs="Calibri"/>
                <w:sz w:val="16"/>
              </w:rPr>
            </w:pPr>
            <w:r w:rsidRPr="00CA2CC1">
              <w:rPr>
                <w:rFonts w:cs="Calibri"/>
                <w:color w:val="414042"/>
                <w:spacing w:val="-4"/>
                <w:sz w:val="16"/>
              </w:rPr>
              <w:t>0.00</w:t>
            </w:r>
          </w:p>
        </w:tc>
        <w:tc>
          <w:tcPr>
            <w:tcW w:w="751" w:type="dxa"/>
            <w:tcMar>
              <w:right w:w="57" w:type="dxa"/>
            </w:tcMar>
          </w:tcPr>
          <w:p w14:paraId="5E60E3C3" w14:textId="77777777" w:rsidR="00FA4226" w:rsidRPr="00CA2CC1" w:rsidRDefault="00FA4226" w:rsidP="0043303B">
            <w:pPr>
              <w:pStyle w:val="TableParagraph"/>
              <w:jc w:val="left"/>
              <w:rPr>
                <w:rFonts w:cs="Calibri"/>
                <w:sz w:val="14"/>
              </w:rPr>
            </w:pPr>
          </w:p>
          <w:p w14:paraId="460E9BA9" w14:textId="77777777" w:rsidR="00FA4226" w:rsidRPr="00CA2CC1" w:rsidRDefault="00000000" w:rsidP="0043303B">
            <w:pPr>
              <w:pStyle w:val="TableParagraph"/>
              <w:rPr>
                <w:rFonts w:cs="Calibri"/>
                <w:sz w:val="16"/>
              </w:rPr>
            </w:pPr>
            <w:r w:rsidRPr="00CA2CC1">
              <w:rPr>
                <w:rFonts w:cs="Calibri"/>
                <w:color w:val="414042"/>
                <w:sz w:val="16"/>
              </w:rPr>
              <w:t>0</w:t>
            </w:r>
          </w:p>
        </w:tc>
        <w:tc>
          <w:tcPr>
            <w:tcW w:w="615" w:type="dxa"/>
            <w:tcMar>
              <w:right w:w="57" w:type="dxa"/>
            </w:tcMar>
          </w:tcPr>
          <w:p w14:paraId="39768AD8" w14:textId="77777777" w:rsidR="00FA4226" w:rsidRPr="00CA2CC1" w:rsidRDefault="00FA4226" w:rsidP="0043303B">
            <w:pPr>
              <w:pStyle w:val="TableParagraph"/>
              <w:jc w:val="left"/>
              <w:rPr>
                <w:rFonts w:cs="Calibri"/>
                <w:sz w:val="14"/>
              </w:rPr>
            </w:pPr>
          </w:p>
          <w:p w14:paraId="13B96241" w14:textId="77777777" w:rsidR="00FA4226" w:rsidRPr="00CA2CC1" w:rsidRDefault="00000000" w:rsidP="0043303B">
            <w:pPr>
              <w:pStyle w:val="TableParagraph"/>
              <w:rPr>
                <w:rFonts w:cs="Calibri"/>
                <w:sz w:val="16"/>
              </w:rPr>
            </w:pPr>
            <w:r w:rsidRPr="00CA2CC1">
              <w:rPr>
                <w:rFonts w:cs="Calibri"/>
                <w:color w:val="414042"/>
                <w:spacing w:val="-4"/>
                <w:sz w:val="16"/>
              </w:rPr>
              <w:t>0.00</w:t>
            </w:r>
          </w:p>
        </w:tc>
        <w:tc>
          <w:tcPr>
            <w:tcW w:w="751" w:type="dxa"/>
            <w:shd w:val="clear" w:color="auto" w:fill="EDEFF0"/>
            <w:tcMar>
              <w:right w:w="57" w:type="dxa"/>
            </w:tcMar>
          </w:tcPr>
          <w:p w14:paraId="49FB0CAA" w14:textId="77777777" w:rsidR="00FA4226" w:rsidRPr="00CA2CC1" w:rsidRDefault="00FA4226" w:rsidP="0043303B">
            <w:pPr>
              <w:pStyle w:val="TableParagraph"/>
              <w:jc w:val="left"/>
              <w:rPr>
                <w:rFonts w:cs="Calibri"/>
                <w:sz w:val="14"/>
              </w:rPr>
            </w:pPr>
          </w:p>
          <w:p w14:paraId="3F21A050" w14:textId="77777777" w:rsidR="00FA4226" w:rsidRPr="00CA2CC1" w:rsidRDefault="00000000" w:rsidP="0043303B">
            <w:pPr>
              <w:pStyle w:val="TableParagraph"/>
              <w:rPr>
                <w:rFonts w:cs="Calibri"/>
                <w:sz w:val="16"/>
              </w:rPr>
            </w:pPr>
            <w:r w:rsidRPr="00CA2CC1">
              <w:rPr>
                <w:rFonts w:cs="Calibri"/>
                <w:color w:val="414042"/>
                <w:sz w:val="16"/>
              </w:rPr>
              <w:t>0</w:t>
            </w:r>
          </w:p>
        </w:tc>
        <w:tc>
          <w:tcPr>
            <w:tcW w:w="615" w:type="dxa"/>
            <w:shd w:val="clear" w:color="auto" w:fill="EDEFF0"/>
            <w:tcMar>
              <w:right w:w="57" w:type="dxa"/>
            </w:tcMar>
          </w:tcPr>
          <w:p w14:paraId="080FECA4" w14:textId="77777777" w:rsidR="00FA4226" w:rsidRPr="00CA2CC1" w:rsidRDefault="00FA4226" w:rsidP="0043303B">
            <w:pPr>
              <w:pStyle w:val="TableParagraph"/>
              <w:jc w:val="left"/>
              <w:rPr>
                <w:rFonts w:cs="Calibri"/>
                <w:sz w:val="14"/>
              </w:rPr>
            </w:pPr>
          </w:p>
          <w:p w14:paraId="65F5FF4E" w14:textId="77777777" w:rsidR="00FA4226" w:rsidRPr="00CA2CC1" w:rsidRDefault="00000000" w:rsidP="0043303B">
            <w:pPr>
              <w:pStyle w:val="TableParagraph"/>
              <w:jc w:val="center"/>
              <w:rPr>
                <w:rFonts w:cs="Calibri"/>
                <w:sz w:val="16"/>
              </w:rPr>
            </w:pPr>
            <w:r w:rsidRPr="00CA2CC1">
              <w:rPr>
                <w:rFonts w:cs="Calibri"/>
                <w:color w:val="414042"/>
                <w:spacing w:val="-4"/>
                <w:sz w:val="16"/>
              </w:rPr>
              <w:t>0.00</w:t>
            </w:r>
          </w:p>
        </w:tc>
        <w:tc>
          <w:tcPr>
            <w:tcW w:w="751" w:type="dxa"/>
            <w:tcMar>
              <w:right w:w="57" w:type="dxa"/>
            </w:tcMar>
          </w:tcPr>
          <w:p w14:paraId="2950483A" w14:textId="77777777" w:rsidR="00FA4226" w:rsidRPr="00CA2CC1" w:rsidRDefault="00FA4226" w:rsidP="0043303B">
            <w:pPr>
              <w:pStyle w:val="TableParagraph"/>
              <w:jc w:val="left"/>
              <w:rPr>
                <w:rFonts w:cs="Calibri"/>
                <w:sz w:val="14"/>
              </w:rPr>
            </w:pPr>
          </w:p>
          <w:p w14:paraId="07EF9A56" w14:textId="77777777" w:rsidR="00FA4226" w:rsidRPr="00CA2CC1" w:rsidRDefault="00000000" w:rsidP="0043303B">
            <w:pPr>
              <w:pStyle w:val="TableParagraph"/>
              <w:rPr>
                <w:rFonts w:cs="Calibri"/>
                <w:sz w:val="16"/>
              </w:rPr>
            </w:pPr>
            <w:r w:rsidRPr="00CA2CC1">
              <w:rPr>
                <w:rFonts w:cs="Calibri"/>
                <w:color w:val="414042"/>
                <w:sz w:val="16"/>
              </w:rPr>
              <w:t>0</w:t>
            </w:r>
          </w:p>
        </w:tc>
        <w:tc>
          <w:tcPr>
            <w:tcW w:w="615" w:type="dxa"/>
            <w:tcMar>
              <w:right w:w="57" w:type="dxa"/>
            </w:tcMar>
          </w:tcPr>
          <w:p w14:paraId="0E0090BD" w14:textId="77777777" w:rsidR="00FA4226" w:rsidRPr="00CA2CC1" w:rsidRDefault="00FA4226" w:rsidP="0043303B">
            <w:pPr>
              <w:pStyle w:val="TableParagraph"/>
              <w:jc w:val="left"/>
              <w:rPr>
                <w:rFonts w:cs="Calibri"/>
                <w:sz w:val="14"/>
              </w:rPr>
            </w:pPr>
          </w:p>
          <w:p w14:paraId="46BD5EAD" w14:textId="77777777" w:rsidR="00FA4226" w:rsidRPr="00CA2CC1" w:rsidRDefault="00000000" w:rsidP="0043303B">
            <w:pPr>
              <w:pStyle w:val="TableParagraph"/>
              <w:jc w:val="center"/>
              <w:rPr>
                <w:rFonts w:cs="Calibri"/>
                <w:sz w:val="16"/>
              </w:rPr>
            </w:pPr>
            <w:r w:rsidRPr="00CA2CC1">
              <w:rPr>
                <w:rFonts w:cs="Calibri"/>
                <w:color w:val="414042"/>
                <w:spacing w:val="-4"/>
                <w:sz w:val="16"/>
              </w:rPr>
              <w:t>0.00</w:t>
            </w:r>
          </w:p>
        </w:tc>
        <w:tc>
          <w:tcPr>
            <w:tcW w:w="751" w:type="dxa"/>
            <w:tcMar>
              <w:right w:w="57" w:type="dxa"/>
            </w:tcMar>
          </w:tcPr>
          <w:p w14:paraId="69E5FFA4" w14:textId="77777777" w:rsidR="00FA4226" w:rsidRPr="00CA2CC1" w:rsidRDefault="00FA4226" w:rsidP="0043303B">
            <w:pPr>
              <w:pStyle w:val="TableParagraph"/>
              <w:jc w:val="left"/>
              <w:rPr>
                <w:rFonts w:cs="Calibri"/>
                <w:sz w:val="14"/>
              </w:rPr>
            </w:pPr>
          </w:p>
          <w:p w14:paraId="378D2CE4" w14:textId="77777777" w:rsidR="00FA4226" w:rsidRPr="00CA2CC1" w:rsidRDefault="00000000" w:rsidP="0043303B">
            <w:pPr>
              <w:pStyle w:val="TableParagraph"/>
              <w:rPr>
                <w:rFonts w:cs="Calibri"/>
                <w:sz w:val="16"/>
              </w:rPr>
            </w:pPr>
            <w:r w:rsidRPr="00CA2CC1">
              <w:rPr>
                <w:rFonts w:cs="Calibri"/>
                <w:color w:val="414042"/>
                <w:sz w:val="16"/>
              </w:rPr>
              <w:t>0</w:t>
            </w:r>
          </w:p>
        </w:tc>
        <w:tc>
          <w:tcPr>
            <w:tcW w:w="615" w:type="dxa"/>
            <w:tcMar>
              <w:right w:w="57" w:type="dxa"/>
            </w:tcMar>
          </w:tcPr>
          <w:p w14:paraId="3DFFF966" w14:textId="77777777" w:rsidR="00FA4226" w:rsidRPr="00CA2CC1" w:rsidRDefault="00FA4226" w:rsidP="0043303B">
            <w:pPr>
              <w:pStyle w:val="TableParagraph"/>
              <w:jc w:val="left"/>
              <w:rPr>
                <w:rFonts w:cs="Calibri"/>
                <w:sz w:val="14"/>
              </w:rPr>
            </w:pPr>
          </w:p>
          <w:p w14:paraId="200F9E57" w14:textId="77777777" w:rsidR="00FA4226" w:rsidRPr="00CA2CC1" w:rsidRDefault="00000000" w:rsidP="0043303B">
            <w:pPr>
              <w:pStyle w:val="TableParagraph"/>
              <w:rPr>
                <w:rFonts w:cs="Calibri"/>
                <w:sz w:val="16"/>
              </w:rPr>
            </w:pPr>
            <w:r w:rsidRPr="00CA2CC1">
              <w:rPr>
                <w:rFonts w:cs="Calibri"/>
                <w:color w:val="414042"/>
                <w:spacing w:val="-4"/>
                <w:sz w:val="16"/>
              </w:rPr>
              <w:t>0.00</w:t>
            </w:r>
          </w:p>
        </w:tc>
        <w:tc>
          <w:tcPr>
            <w:tcW w:w="751" w:type="dxa"/>
            <w:shd w:val="clear" w:color="auto" w:fill="EDEFF0"/>
            <w:tcMar>
              <w:right w:w="57" w:type="dxa"/>
            </w:tcMar>
          </w:tcPr>
          <w:p w14:paraId="123A32BF" w14:textId="77777777" w:rsidR="00FA4226" w:rsidRPr="00CA2CC1" w:rsidRDefault="00FA4226" w:rsidP="0043303B">
            <w:pPr>
              <w:pStyle w:val="TableParagraph"/>
              <w:jc w:val="left"/>
              <w:rPr>
                <w:rFonts w:cs="Calibri"/>
                <w:sz w:val="14"/>
              </w:rPr>
            </w:pPr>
          </w:p>
          <w:p w14:paraId="5DB97345" w14:textId="77777777" w:rsidR="00FA4226" w:rsidRPr="00CA2CC1" w:rsidRDefault="00000000" w:rsidP="0043303B">
            <w:pPr>
              <w:pStyle w:val="TableParagraph"/>
              <w:rPr>
                <w:rFonts w:cs="Calibri"/>
                <w:sz w:val="16"/>
              </w:rPr>
            </w:pPr>
            <w:r w:rsidRPr="00CA2CC1">
              <w:rPr>
                <w:rFonts w:cs="Calibri"/>
                <w:color w:val="414042"/>
                <w:sz w:val="16"/>
              </w:rPr>
              <w:t>0</w:t>
            </w:r>
          </w:p>
        </w:tc>
        <w:tc>
          <w:tcPr>
            <w:tcW w:w="615" w:type="dxa"/>
            <w:tcBorders>
              <w:right w:val="nil"/>
            </w:tcBorders>
            <w:shd w:val="clear" w:color="auto" w:fill="EDEFF0"/>
            <w:tcMar>
              <w:right w:w="57" w:type="dxa"/>
            </w:tcMar>
          </w:tcPr>
          <w:p w14:paraId="2E880C83" w14:textId="77777777" w:rsidR="00FA4226" w:rsidRPr="00CA2CC1" w:rsidRDefault="00FA4226" w:rsidP="0043303B">
            <w:pPr>
              <w:pStyle w:val="TableParagraph"/>
              <w:jc w:val="left"/>
              <w:rPr>
                <w:rFonts w:cs="Calibri"/>
                <w:sz w:val="14"/>
              </w:rPr>
            </w:pPr>
          </w:p>
          <w:p w14:paraId="3454CD64" w14:textId="77777777" w:rsidR="00FA4226" w:rsidRPr="00CA2CC1" w:rsidRDefault="00000000" w:rsidP="0043303B">
            <w:pPr>
              <w:pStyle w:val="TableParagraph"/>
              <w:jc w:val="center"/>
              <w:rPr>
                <w:rFonts w:cs="Calibri"/>
                <w:sz w:val="16"/>
              </w:rPr>
            </w:pPr>
            <w:r w:rsidRPr="00CA2CC1">
              <w:rPr>
                <w:rFonts w:cs="Calibri"/>
                <w:color w:val="414042"/>
                <w:spacing w:val="-4"/>
                <w:sz w:val="16"/>
              </w:rPr>
              <w:t>0.00</w:t>
            </w:r>
          </w:p>
        </w:tc>
      </w:tr>
      <w:tr w:rsidR="00FA4226" w:rsidRPr="00CA2CC1" w14:paraId="143DB8EA" w14:textId="77777777" w:rsidTr="00015707">
        <w:trPr>
          <w:trHeight w:val="280"/>
        </w:trPr>
        <w:tc>
          <w:tcPr>
            <w:tcW w:w="317" w:type="dxa"/>
            <w:vMerge/>
            <w:tcBorders>
              <w:top w:val="nil"/>
              <w:left w:val="nil"/>
            </w:tcBorders>
            <w:textDirection w:val="btLr"/>
          </w:tcPr>
          <w:p w14:paraId="37B47AE5" w14:textId="77777777" w:rsidR="00FA4226" w:rsidRPr="00CA2CC1" w:rsidRDefault="00FA4226" w:rsidP="0043303B">
            <w:pPr>
              <w:rPr>
                <w:rFonts w:cs="Calibri"/>
                <w:sz w:val="2"/>
                <w:szCs w:val="2"/>
              </w:rPr>
            </w:pPr>
          </w:p>
        </w:tc>
        <w:tc>
          <w:tcPr>
            <w:tcW w:w="1124" w:type="dxa"/>
            <w:shd w:val="clear" w:color="auto" w:fill="D8E9EF"/>
          </w:tcPr>
          <w:p w14:paraId="21DB6594" w14:textId="77777777" w:rsidR="00FA4226" w:rsidRPr="00CA2CC1" w:rsidRDefault="00000000" w:rsidP="0043303B">
            <w:pPr>
              <w:pStyle w:val="TableParagraph"/>
              <w:spacing w:before="20"/>
              <w:jc w:val="left"/>
              <w:rPr>
                <w:rFonts w:cs="Calibri"/>
                <w:sz w:val="16"/>
              </w:rPr>
            </w:pPr>
            <w:r w:rsidRPr="00CA2CC1">
              <w:rPr>
                <w:rFonts w:cs="Calibri"/>
                <w:color w:val="414042"/>
                <w:spacing w:val="-5"/>
                <w:sz w:val="16"/>
              </w:rPr>
              <w:t>Age</w:t>
            </w:r>
          </w:p>
        </w:tc>
        <w:tc>
          <w:tcPr>
            <w:tcW w:w="751" w:type="dxa"/>
            <w:shd w:val="clear" w:color="auto" w:fill="D8E9EF"/>
            <w:tcMar>
              <w:right w:w="57" w:type="dxa"/>
            </w:tcMar>
          </w:tcPr>
          <w:p w14:paraId="78D4B60E" w14:textId="77777777" w:rsidR="00FA4226" w:rsidRPr="00CA2CC1" w:rsidRDefault="00FA4226" w:rsidP="0043303B">
            <w:pPr>
              <w:pStyle w:val="TableParagraph"/>
              <w:jc w:val="left"/>
              <w:rPr>
                <w:rFonts w:cs="Calibri"/>
                <w:sz w:val="16"/>
              </w:rPr>
            </w:pPr>
          </w:p>
        </w:tc>
        <w:tc>
          <w:tcPr>
            <w:tcW w:w="615" w:type="dxa"/>
            <w:shd w:val="clear" w:color="auto" w:fill="D8E9EF"/>
            <w:tcMar>
              <w:right w:w="57" w:type="dxa"/>
            </w:tcMar>
          </w:tcPr>
          <w:p w14:paraId="13592861" w14:textId="77777777" w:rsidR="00FA4226" w:rsidRPr="00CA2CC1" w:rsidRDefault="00FA4226" w:rsidP="0043303B">
            <w:pPr>
              <w:pStyle w:val="TableParagraph"/>
              <w:jc w:val="left"/>
              <w:rPr>
                <w:rFonts w:cs="Calibri"/>
                <w:sz w:val="16"/>
              </w:rPr>
            </w:pPr>
          </w:p>
        </w:tc>
        <w:tc>
          <w:tcPr>
            <w:tcW w:w="751" w:type="dxa"/>
            <w:shd w:val="clear" w:color="auto" w:fill="D8E9EF"/>
            <w:tcMar>
              <w:right w:w="57" w:type="dxa"/>
            </w:tcMar>
          </w:tcPr>
          <w:p w14:paraId="5E6EDD4A" w14:textId="77777777" w:rsidR="00FA4226" w:rsidRPr="00CA2CC1" w:rsidRDefault="00FA4226" w:rsidP="0043303B">
            <w:pPr>
              <w:pStyle w:val="TableParagraph"/>
              <w:jc w:val="left"/>
              <w:rPr>
                <w:rFonts w:cs="Calibri"/>
                <w:sz w:val="16"/>
              </w:rPr>
            </w:pPr>
          </w:p>
        </w:tc>
        <w:tc>
          <w:tcPr>
            <w:tcW w:w="615" w:type="dxa"/>
            <w:shd w:val="clear" w:color="auto" w:fill="D8E9EF"/>
            <w:tcMar>
              <w:right w:w="57" w:type="dxa"/>
            </w:tcMar>
          </w:tcPr>
          <w:p w14:paraId="5E2C47BB" w14:textId="77777777" w:rsidR="00FA4226" w:rsidRPr="00CA2CC1" w:rsidRDefault="00FA4226" w:rsidP="0043303B">
            <w:pPr>
              <w:pStyle w:val="TableParagraph"/>
              <w:jc w:val="left"/>
              <w:rPr>
                <w:rFonts w:cs="Calibri"/>
                <w:sz w:val="16"/>
              </w:rPr>
            </w:pPr>
          </w:p>
        </w:tc>
        <w:tc>
          <w:tcPr>
            <w:tcW w:w="751" w:type="dxa"/>
            <w:shd w:val="clear" w:color="auto" w:fill="D8E9EF"/>
            <w:tcMar>
              <w:right w:w="57" w:type="dxa"/>
            </w:tcMar>
          </w:tcPr>
          <w:p w14:paraId="63C8C7B1" w14:textId="77777777" w:rsidR="00FA4226" w:rsidRPr="00CA2CC1" w:rsidRDefault="00FA4226" w:rsidP="0043303B">
            <w:pPr>
              <w:pStyle w:val="TableParagraph"/>
              <w:jc w:val="left"/>
              <w:rPr>
                <w:rFonts w:cs="Calibri"/>
                <w:sz w:val="16"/>
              </w:rPr>
            </w:pPr>
          </w:p>
        </w:tc>
        <w:tc>
          <w:tcPr>
            <w:tcW w:w="615" w:type="dxa"/>
            <w:shd w:val="clear" w:color="auto" w:fill="D8E9EF"/>
            <w:tcMar>
              <w:right w:w="57" w:type="dxa"/>
            </w:tcMar>
          </w:tcPr>
          <w:p w14:paraId="28A1CDAF" w14:textId="77777777" w:rsidR="00FA4226" w:rsidRPr="00CA2CC1" w:rsidRDefault="00FA4226" w:rsidP="0043303B">
            <w:pPr>
              <w:pStyle w:val="TableParagraph"/>
              <w:jc w:val="left"/>
              <w:rPr>
                <w:rFonts w:cs="Calibri"/>
                <w:sz w:val="16"/>
              </w:rPr>
            </w:pPr>
          </w:p>
        </w:tc>
        <w:tc>
          <w:tcPr>
            <w:tcW w:w="751" w:type="dxa"/>
            <w:shd w:val="clear" w:color="auto" w:fill="D8E9EF"/>
            <w:tcMar>
              <w:right w:w="57" w:type="dxa"/>
            </w:tcMar>
          </w:tcPr>
          <w:p w14:paraId="625C7A21" w14:textId="77777777" w:rsidR="00FA4226" w:rsidRPr="00CA2CC1" w:rsidRDefault="00FA4226" w:rsidP="0043303B">
            <w:pPr>
              <w:pStyle w:val="TableParagraph"/>
              <w:jc w:val="left"/>
              <w:rPr>
                <w:rFonts w:cs="Calibri"/>
                <w:sz w:val="16"/>
              </w:rPr>
            </w:pPr>
          </w:p>
        </w:tc>
        <w:tc>
          <w:tcPr>
            <w:tcW w:w="615" w:type="dxa"/>
            <w:shd w:val="clear" w:color="auto" w:fill="D8E9EF"/>
            <w:tcMar>
              <w:right w:w="57" w:type="dxa"/>
            </w:tcMar>
          </w:tcPr>
          <w:p w14:paraId="10C62FBD" w14:textId="77777777" w:rsidR="00FA4226" w:rsidRPr="00CA2CC1" w:rsidRDefault="00FA4226" w:rsidP="0043303B">
            <w:pPr>
              <w:pStyle w:val="TableParagraph"/>
              <w:jc w:val="left"/>
              <w:rPr>
                <w:rFonts w:cs="Calibri"/>
                <w:sz w:val="16"/>
              </w:rPr>
            </w:pPr>
          </w:p>
        </w:tc>
        <w:tc>
          <w:tcPr>
            <w:tcW w:w="751" w:type="dxa"/>
            <w:shd w:val="clear" w:color="auto" w:fill="D8E9EF"/>
            <w:tcMar>
              <w:right w:w="57" w:type="dxa"/>
            </w:tcMar>
          </w:tcPr>
          <w:p w14:paraId="1E2220C8" w14:textId="77777777" w:rsidR="00FA4226" w:rsidRPr="00CA2CC1" w:rsidRDefault="00FA4226" w:rsidP="0043303B">
            <w:pPr>
              <w:pStyle w:val="TableParagraph"/>
              <w:jc w:val="left"/>
              <w:rPr>
                <w:rFonts w:cs="Calibri"/>
                <w:sz w:val="16"/>
              </w:rPr>
            </w:pPr>
          </w:p>
        </w:tc>
        <w:tc>
          <w:tcPr>
            <w:tcW w:w="615" w:type="dxa"/>
            <w:shd w:val="clear" w:color="auto" w:fill="D8E9EF"/>
            <w:tcMar>
              <w:right w:w="57" w:type="dxa"/>
            </w:tcMar>
          </w:tcPr>
          <w:p w14:paraId="1E505833" w14:textId="77777777" w:rsidR="00FA4226" w:rsidRPr="00CA2CC1" w:rsidRDefault="00FA4226" w:rsidP="0043303B">
            <w:pPr>
              <w:pStyle w:val="TableParagraph"/>
              <w:jc w:val="left"/>
              <w:rPr>
                <w:rFonts w:cs="Calibri"/>
                <w:sz w:val="16"/>
              </w:rPr>
            </w:pPr>
          </w:p>
        </w:tc>
        <w:tc>
          <w:tcPr>
            <w:tcW w:w="751" w:type="dxa"/>
            <w:shd w:val="clear" w:color="auto" w:fill="D8E9EF"/>
            <w:tcMar>
              <w:right w:w="57" w:type="dxa"/>
            </w:tcMar>
          </w:tcPr>
          <w:p w14:paraId="0B545135" w14:textId="77777777" w:rsidR="00FA4226" w:rsidRPr="00CA2CC1" w:rsidRDefault="00FA4226" w:rsidP="0043303B">
            <w:pPr>
              <w:pStyle w:val="TableParagraph"/>
              <w:jc w:val="left"/>
              <w:rPr>
                <w:rFonts w:cs="Calibri"/>
                <w:sz w:val="16"/>
              </w:rPr>
            </w:pPr>
          </w:p>
        </w:tc>
        <w:tc>
          <w:tcPr>
            <w:tcW w:w="615" w:type="dxa"/>
            <w:tcBorders>
              <w:right w:val="nil"/>
            </w:tcBorders>
            <w:shd w:val="clear" w:color="auto" w:fill="D8E9EF"/>
            <w:tcMar>
              <w:right w:w="57" w:type="dxa"/>
            </w:tcMar>
          </w:tcPr>
          <w:p w14:paraId="3CBC05F7" w14:textId="77777777" w:rsidR="00FA4226" w:rsidRPr="00CA2CC1" w:rsidRDefault="00FA4226" w:rsidP="0043303B">
            <w:pPr>
              <w:pStyle w:val="TableParagraph"/>
              <w:jc w:val="left"/>
              <w:rPr>
                <w:rFonts w:cs="Calibri"/>
                <w:sz w:val="16"/>
              </w:rPr>
            </w:pPr>
          </w:p>
        </w:tc>
      </w:tr>
      <w:tr w:rsidR="00FA4226" w:rsidRPr="00CA2CC1" w14:paraId="1BCB54B8" w14:textId="77777777" w:rsidTr="00015707">
        <w:trPr>
          <w:trHeight w:val="280"/>
        </w:trPr>
        <w:tc>
          <w:tcPr>
            <w:tcW w:w="317" w:type="dxa"/>
            <w:vMerge/>
            <w:tcBorders>
              <w:top w:val="nil"/>
              <w:left w:val="nil"/>
            </w:tcBorders>
            <w:textDirection w:val="btLr"/>
          </w:tcPr>
          <w:p w14:paraId="1EEB96DE" w14:textId="77777777" w:rsidR="00FA4226" w:rsidRPr="00CA2CC1" w:rsidRDefault="00FA4226" w:rsidP="0043303B">
            <w:pPr>
              <w:rPr>
                <w:rFonts w:cs="Calibri"/>
                <w:sz w:val="2"/>
                <w:szCs w:val="2"/>
              </w:rPr>
            </w:pPr>
          </w:p>
        </w:tc>
        <w:tc>
          <w:tcPr>
            <w:tcW w:w="1124" w:type="dxa"/>
          </w:tcPr>
          <w:p w14:paraId="4F077C6B" w14:textId="77777777" w:rsidR="00FA4226" w:rsidRPr="00CA2CC1" w:rsidRDefault="00000000" w:rsidP="0043303B">
            <w:pPr>
              <w:pStyle w:val="TableParagraph"/>
              <w:spacing w:before="18"/>
              <w:jc w:val="left"/>
              <w:rPr>
                <w:rFonts w:cs="Calibri"/>
                <w:sz w:val="16"/>
              </w:rPr>
            </w:pPr>
            <w:r w:rsidRPr="00CA2CC1">
              <w:rPr>
                <w:rFonts w:cs="Calibri"/>
                <w:color w:val="414042"/>
                <w:sz w:val="16"/>
              </w:rPr>
              <w:t xml:space="preserve">Under </w:t>
            </w:r>
            <w:r w:rsidRPr="00CA2CC1">
              <w:rPr>
                <w:rFonts w:cs="Calibri"/>
                <w:color w:val="414042"/>
                <w:spacing w:val="-7"/>
                <w:sz w:val="16"/>
              </w:rPr>
              <w:t>25</w:t>
            </w:r>
          </w:p>
        </w:tc>
        <w:tc>
          <w:tcPr>
            <w:tcW w:w="751" w:type="dxa"/>
            <w:tcMar>
              <w:right w:w="57" w:type="dxa"/>
            </w:tcMar>
          </w:tcPr>
          <w:p w14:paraId="6D3CF06E" w14:textId="77777777" w:rsidR="00FA4226" w:rsidRPr="00CA2CC1" w:rsidRDefault="00000000" w:rsidP="0043303B">
            <w:pPr>
              <w:pStyle w:val="TableParagraph"/>
              <w:spacing w:before="18"/>
              <w:rPr>
                <w:rFonts w:cs="Calibri"/>
                <w:sz w:val="16"/>
              </w:rPr>
            </w:pPr>
            <w:r w:rsidRPr="00CA2CC1">
              <w:rPr>
                <w:rFonts w:cs="Calibri"/>
                <w:color w:val="414042"/>
                <w:sz w:val="16"/>
              </w:rPr>
              <w:t>1</w:t>
            </w:r>
          </w:p>
        </w:tc>
        <w:tc>
          <w:tcPr>
            <w:tcW w:w="615" w:type="dxa"/>
            <w:tcMar>
              <w:right w:w="57" w:type="dxa"/>
            </w:tcMar>
          </w:tcPr>
          <w:p w14:paraId="55E0AAD0" w14:textId="77777777" w:rsidR="00FA4226" w:rsidRPr="00CA2CC1" w:rsidRDefault="00000000" w:rsidP="0043303B">
            <w:pPr>
              <w:pStyle w:val="TableParagraph"/>
              <w:spacing w:before="18"/>
              <w:jc w:val="center"/>
              <w:rPr>
                <w:rFonts w:cs="Calibri"/>
                <w:sz w:val="16"/>
              </w:rPr>
            </w:pPr>
            <w:r w:rsidRPr="00CA2CC1">
              <w:rPr>
                <w:rFonts w:cs="Calibri"/>
                <w:color w:val="414042"/>
                <w:spacing w:val="-4"/>
                <w:sz w:val="16"/>
              </w:rPr>
              <w:t>1.00</w:t>
            </w:r>
          </w:p>
        </w:tc>
        <w:tc>
          <w:tcPr>
            <w:tcW w:w="751" w:type="dxa"/>
            <w:tcMar>
              <w:right w:w="57" w:type="dxa"/>
            </w:tcMar>
          </w:tcPr>
          <w:p w14:paraId="2705DB56" w14:textId="77777777" w:rsidR="00FA4226" w:rsidRPr="00CA2CC1" w:rsidRDefault="00000000" w:rsidP="0043303B">
            <w:pPr>
              <w:pStyle w:val="TableParagraph"/>
              <w:spacing w:before="18"/>
              <w:rPr>
                <w:rFonts w:cs="Calibri"/>
                <w:sz w:val="16"/>
              </w:rPr>
            </w:pPr>
            <w:r w:rsidRPr="00CA2CC1">
              <w:rPr>
                <w:rFonts w:cs="Calibri"/>
                <w:color w:val="414042"/>
                <w:sz w:val="16"/>
              </w:rPr>
              <w:t>0</w:t>
            </w:r>
          </w:p>
        </w:tc>
        <w:tc>
          <w:tcPr>
            <w:tcW w:w="615" w:type="dxa"/>
            <w:tcMar>
              <w:right w:w="57" w:type="dxa"/>
            </w:tcMar>
          </w:tcPr>
          <w:p w14:paraId="26BC29B1" w14:textId="77777777" w:rsidR="00FA4226" w:rsidRPr="00CA2CC1" w:rsidRDefault="00000000" w:rsidP="0043303B">
            <w:pPr>
              <w:pStyle w:val="TableParagraph"/>
              <w:spacing w:before="18"/>
              <w:rPr>
                <w:rFonts w:cs="Calibri"/>
                <w:sz w:val="16"/>
              </w:rPr>
            </w:pPr>
            <w:r w:rsidRPr="00CA2CC1">
              <w:rPr>
                <w:rFonts w:cs="Calibri"/>
                <w:color w:val="414042"/>
                <w:spacing w:val="-4"/>
                <w:sz w:val="16"/>
              </w:rPr>
              <w:t>0.00</w:t>
            </w:r>
          </w:p>
        </w:tc>
        <w:tc>
          <w:tcPr>
            <w:tcW w:w="751" w:type="dxa"/>
            <w:shd w:val="clear" w:color="auto" w:fill="EDEFF0"/>
            <w:tcMar>
              <w:right w:w="57" w:type="dxa"/>
            </w:tcMar>
          </w:tcPr>
          <w:p w14:paraId="1B982EAA" w14:textId="77777777" w:rsidR="00FA4226" w:rsidRPr="00CA2CC1" w:rsidRDefault="00000000" w:rsidP="0043303B">
            <w:pPr>
              <w:pStyle w:val="TableParagraph"/>
              <w:spacing w:before="18"/>
              <w:rPr>
                <w:rFonts w:cs="Calibri"/>
                <w:sz w:val="16"/>
              </w:rPr>
            </w:pPr>
            <w:r w:rsidRPr="00CA2CC1">
              <w:rPr>
                <w:rFonts w:cs="Calibri"/>
                <w:color w:val="414042"/>
                <w:sz w:val="16"/>
              </w:rPr>
              <w:t>1</w:t>
            </w:r>
          </w:p>
        </w:tc>
        <w:tc>
          <w:tcPr>
            <w:tcW w:w="615" w:type="dxa"/>
            <w:shd w:val="clear" w:color="auto" w:fill="EDEFF0"/>
            <w:tcMar>
              <w:right w:w="57" w:type="dxa"/>
            </w:tcMar>
          </w:tcPr>
          <w:p w14:paraId="3842EE8C" w14:textId="77777777" w:rsidR="00FA4226" w:rsidRPr="00CA2CC1" w:rsidRDefault="00000000" w:rsidP="0043303B">
            <w:pPr>
              <w:pStyle w:val="TableParagraph"/>
              <w:spacing w:before="18"/>
              <w:jc w:val="center"/>
              <w:rPr>
                <w:rFonts w:cs="Calibri"/>
                <w:sz w:val="16"/>
              </w:rPr>
            </w:pPr>
            <w:r w:rsidRPr="00CA2CC1">
              <w:rPr>
                <w:rFonts w:cs="Calibri"/>
                <w:color w:val="414042"/>
                <w:spacing w:val="-4"/>
                <w:sz w:val="16"/>
              </w:rPr>
              <w:t>1.00</w:t>
            </w:r>
          </w:p>
        </w:tc>
        <w:tc>
          <w:tcPr>
            <w:tcW w:w="751" w:type="dxa"/>
            <w:tcMar>
              <w:right w:w="57" w:type="dxa"/>
            </w:tcMar>
          </w:tcPr>
          <w:p w14:paraId="7AC652F0" w14:textId="77777777" w:rsidR="00FA4226" w:rsidRPr="00CA2CC1" w:rsidRDefault="00000000" w:rsidP="0043303B">
            <w:pPr>
              <w:pStyle w:val="TableParagraph"/>
              <w:spacing w:before="18"/>
              <w:rPr>
                <w:rFonts w:cs="Calibri"/>
                <w:sz w:val="16"/>
              </w:rPr>
            </w:pPr>
            <w:r w:rsidRPr="00CA2CC1">
              <w:rPr>
                <w:rFonts w:cs="Calibri"/>
                <w:color w:val="414042"/>
                <w:sz w:val="16"/>
              </w:rPr>
              <w:t>1</w:t>
            </w:r>
          </w:p>
        </w:tc>
        <w:tc>
          <w:tcPr>
            <w:tcW w:w="615" w:type="dxa"/>
            <w:tcMar>
              <w:right w:w="57" w:type="dxa"/>
            </w:tcMar>
          </w:tcPr>
          <w:p w14:paraId="2568B87A" w14:textId="77777777" w:rsidR="00FA4226" w:rsidRPr="00CA2CC1" w:rsidRDefault="00000000" w:rsidP="0043303B">
            <w:pPr>
              <w:pStyle w:val="TableParagraph"/>
              <w:spacing w:before="18"/>
              <w:jc w:val="center"/>
              <w:rPr>
                <w:rFonts w:cs="Calibri"/>
                <w:sz w:val="16"/>
              </w:rPr>
            </w:pPr>
            <w:r w:rsidRPr="00CA2CC1">
              <w:rPr>
                <w:rFonts w:cs="Calibri"/>
                <w:color w:val="414042"/>
                <w:spacing w:val="-4"/>
                <w:sz w:val="16"/>
              </w:rPr>
              <w:t>1.00</w:t>
            </w:r>
          </w:p>
        </w:tc>
        <w:tc>
          <w:tcPr>
            <w:tcW w:w="751" w:type="dxa"/>
            <w:tcMar>
              <w:right w:w="57" w:type="dxa"/>
            </w:tcMar>
          </w:tcPr>
          <w:p w14:paraId="3D79DA64" w14:textId="77777777" w:rsidR="00FA4226" w:rsidRPr="00CA2CC1" w:rsidRDefault="00000000" w:rsidP="0043303B">
            <w:pPr>
              <w:pStyle w:val="TableParagraph"/>
              <w:spacing w:before="18"/>
              <w:rPr>
                <w:rFonts w:cs="Calibri"/>
                <w:sz w:val="16"/>
              </w:rPr>
            </w:pPr>
            <w:r w:rsidRPr="00CA2CC1">
              <w:rPr>
                <w:rFonts w:cs="Calibri"/>
                <w:color w:val="414042"/>
                <w:sz w:val="16"/>
              </w:rPr>
              <w:t>3</w:t>
            </w:r>
          </w:p>
        </w:tc>
        <w:tc>
          <w:tcPr>
            <w:tcW w:w="615" w:type="dxa"/>
            <w:tcMar>
              <w:right w:w="57" w:type="dxa"/>
            </w:tcMar>
          </w:tcPr>
          <w:p w14:paraId="06BBFF68" w14:textId="77777777" w:rsidR="00FA4226" w:rsidRPr="00CA2CC1" w:rsidRDefault="00000000" w:rsidP="0043303B">
            <w:pPr>
              <w:pStyle w:val="TableParagraph"/>
              <w:spacing w:before="18"/>
              <w:rPr>
                <w:rFonts w:cs="Calibri"/>
                <w:sz w:val="16"/>
              </w:rPr>
            </w:pPr>
            <w:r w:rsidRPr="00CA2CC1">
              <w:rPr>
                <w:rFonts w:cs="Calibri"/>
                <w:color w:val="414042"/>
                <w:spacing w:val="-4"/>
                <w:sz w:val="16"/>
              </w:rPr>
              <w:t>2.00</w:t>
            </w:r>
          </w:p>
        </w:tc>
        <w:tc>
          <w:tcPr>
            <w:tcW w:w="751" w:type="dxa"/>
            <w:shd w:val="clear" w:color="auto" w:fill="EDEFF0"/>
            <w:tcMar>
              <w:right w:w="57" w:type="dxa"/>
            </w:tcMar>
          </w:tcPr>
          <w:p w14:paraId="7541DA6C" w14:textId="77777777" w:rsidR="00FA4226" w:rsidRPr="00CA2CC1" w:rsidRDefault="00000000" w:rsidP="0043303B">
            <w:pPr>
              <w:pStyle w:val="TableParagraph"/>
              <w:spacing w:before="18"/>
              <w:rPr>
                <w:rFonts w:cs="Calibri"/>
                <w:sz w:val="16"/>
              </w:rPr>
            </w:pPr>
            <w:r w:rsidRPr="00CA2CC1">
              <w:rPr>
                <w:rFonts w:cs="Calibri"/>
                <w:color w:val="414042"/>
                <w:sz w:val="16"/>
              </w:rPr>
              <w:t>4</w:t>
            </w:r>
          </w:p>
        </w:tc>
        <w:tc>
          <w:tcPr>
            <w:tcW w:w="615" w:type="dxa"/>
            <w:tcBorders>
              <w:right w:val="nil"/>
            </w:tcBorders>
            <w:shd w:val="clear" w:color="auto" w:fill="EDEFF0"/>
            <w:tcMar>
              <w:right w:w="57" w:type="dxa"/>
            </w:tcMar>
          </w:tcPr>
          <w:p w14:paraId="7A65506D" w14:textId="77777777" w:rsidR="00FA4226" w:rsidRPr="00CA2CC1" w:rsidRDefault="00000000" w:rsidP="0043303B">
            <w:pPr>
              <w:pStyle w:val="TableParagraph"/>
              <w:spacing w:before="18"/>
              <w:jc w:val="center"/>
              <w:rPr>
                <w:rFonts w:cs="Calibri"/>
                <w:sz w:val="16"/>
              </w:rPr>
            </w:pPr>
            <w:r w:rsidRPr="00CA2CC1">
              <w:rPr>
                <w:rFonts w:cs="Calibri"/>
                <w:color w:val="414042"/>
                <w:spacing w:val="-4"/>
                <w:sz w:val="16"/>
              </w:rPr>
              <w:t>3.00</w:t>
            </w:r>
          </w:p>
        </w:tc>
      </w:tr>
      <w:tr w:rsidR="00FA4226" w:rsidRPr="00CA2CC1" w14:paraId="641E45F5" w14:textId="77777777" w:rsidTr="00015707">
        <w:trPr>
          <w:trHeight w:val="280"/>
        </w:trPr>
        <w:tc>
          <w:tcPr>
            <w:tcW w:w="317" w:type="dxa"/>
            <w:vMerge/>
            <w:tcBorders>
              <w:top w:val="nil"/>
              <w:left w:val="nil"/>
            </w:tcBorders>
            <w:textDirection w:val="btLr"/>
          </w:tcPr>
          <w:p w14:paraId="627DD8B4" w14:textId="77777777" w:rsidR="00FA4226" w:rsidRPr="00CA2CC1" w:rsidRDefault="00FA4226" w:rsidP="0043303B">
            <w:pPr>
              <w:rPr>
                <w:rFonts w:cs="Calibri"/>
                <w:sz w:val="2"/>
                <w:szCs w:val="2"/>
              </w:rPr>
            </w:pPr>
          </w:p>
        </w:tc>
        <w:tc>
          <w:tcPr>
            <w:tcW w:w="1124" w:type="dxa"/>
          </w:tcPr>
          <w:p w14:paraId="10EF64A2" w14:textId="77777777" w:rsidR="00FA4226" w:rsidRPr="00CA2CC1" w:rsidRDefault="00000000" w:rsidP="0043303B">
            <w:pPr>
              <w:pStyle w:val="TableParagraph"/>
              <w:spacing w:before="18"/>
              <w:jc w:val="left"/>
              <w:rPr>
                <w:rFonts w:cs="Calibri"/>
                <w:sz w:val="16"/>
              </w:rPr>
            </w:pPr>
            <w:r w:rsidRPr="00CA2CC1">
              <w:rPr>
                <w:rFonts w:cs="Calibri"/>
                <w:color w:val="414042"/>
                <w:sz w:val="16"/>
              </w:rPr>
              <w:t>25-</w:t>
            </w:r>
            <w:r w:rsidRPr="00CA2CC1">
              <w:rPr>
                <w:rFonts w:cs="Calibri"/>
                <w:color w:val="414042"/>
                <w:spacing w:val="-5"/>
                <w:sz w:val="16"/>
              </w:rPr>
              <w:t>34</w:t>
            </w:r>
          </w:p>
        </w:tc>
        <w:tc>
          <w:tcPr>
            <w:tcW w:w="751" w:type="dxa"/>
            <w:tcMar>
              <w:right w:w="57" w:type="dxa"/>
            </w:tcMar>
          </w:tcPr>
          <w:p w14:paraId="4AF45C43" w14:textId="77777777" w:rsidR="00FA4226" w:rsidRPr="00CA2CC1" w:rsidRDefault="00000000" w:rsidP="0043303B">
            <w:pPr>
              <w:pStyle w:val="TableParagraph"/>
              <w:spacing w:before="18"/>
              <w:rPr>
                <w:rFonts w:cs="Calibri"/>
                <w:sz w:val="16"/>
              </w:rPr>
            </w:pPr>
            <w:r w:rsidRPr="00CA2CC1">
              <w:rPr>
                <w:rFonts w:cs="Calibri"/>
                <w:color w:val="414042"/>
                <w:spacing w:val="-5"/>
                <w:sz w:val="16"/>
              </w:rPr>
              <w:t>10</w:t>
            </w:r>
          </w:p>
        </w:tc>
        <w:tc>
          <w:tcPr>
            <w:tcW w:w="615" w:type="dxa"/>
            <w:tcMar>
              <w:right w:w="57" w:type="dxa"/>
            </w:tcMar>
          </w:tcPr>
          <w:p w14:paraId="1B846623" w14:textId="77777777" w:rsidR="00FA4226" w:rsidRPr="00CA2CC1" w:rsidRDefault="00000000" w:rsidP="0043303B">
            <w:pPr>
              <w:pStyle w:val="TableParagraph"/>
              <w:spacing w:before="18"/>
              <w:jc w:val="center"/>
              <w:rPr>
                <w:rFonts w:cs="Calibri"/>
                <w:sz w:val="16"/>
              </w:rPr>
            </w:pPr>
            <w:r w:rsidRPr="00CA2CC1">
              <w:rPr>
                <w:rFonts w:cs="Calibri"/>
                <w:color w:val="414042"/>
                <w:spacing w:val="-4"/>
                <w:sz w:val="16"/>
              </w:rPr>
              <w:t>9.70</w:t>
            </w:r>
          </w:p>
        </w:tc>
        <w:tc>
          <w:tcPr>
            <w:tcW w:w="751" w:type="dxa"/>
            <w:tcMar>
              <w:right w:w="57" w:type="dxa"/>
            </w:tcMar>
          </w:tcPr>
          <w:p w14:paraId="414F007E" w14:textId="77777777" w:rsidR="00FA4226" w:rsidRPr="00CA2CC1" w:rsidRDefault="00000000" w:rsidP="0043303B">
            <w:pPr>
              <w:pStyle w:val="TableParagraph"/>
              <w:spacing w:before="18"/>
              <w:rPr>
                <w:rFonts w:cs="Calibri"/>
                <w:sz w:val="16"/>
              </w:rPr>
            </w:pPr>
            <w:r w:rsidRPr="00CA2CC1">
              <w:rPr>
                <w:rFonts w:cs="Calibri"/>
                <w:color w:val="414042"/>
                <w:sz w:val="16"/>
              </w:rPr>
              <w:t>4</w:t>
            </w:r>
          </w:p>
        </w:tc>
        <w:tc>
          <w:tcPr>
            <w:tcW w:w="615" w:type="dxa"/>
            <w:tcMar>
              <w:right w:w="57" w:type="dxa"/>
            </w:tcMar>
          </w:tcPr>
          <w:p w14:paraId="0ED2A8F5" w14:textId="77777777" w:rsidR="00FA4226" w:rsidRPr="00CA2CC1" w:rsidRDefault="00000000" w:rsidP="0043303B">
            <w:pPr>
              <w:pStyle w:val="TableParagraph"/>
              <w:spacing w:before="18"/>
              <w:rPr>
                <w:rFonts w:cs="Calibri"/>
                <w:sz w:val="16"/>
              </w:rPr>
            </w:pPr>
            <w:r w:rsidRPr="00CA2CC1">
              <w:rPr>
                <w:rFonts w:cs="Calibri"/>
                <w:color w:val="414042"/>
                <w:spacing w:val="-4"/>
                <w:sz w:val="16"/>
              </w:rPr>
              <w:t>2.99</w:t>
            </w:r>
          </w:p>
        </w:tc>
        <w:tc>
          <w:tcPr>
            <w:tcW w:w="751" w:type="dxa"/>
            <w:shd w:val="clear" w:color="auto" w:fill="EDEFF0"/>
            <w:tcMar>
              <w:right w:w="57" w:type="dxa"/>
            </w:tcMar>
          </w:tcPr>
          <w:p w14:paraId="42A887E9" w14:textId="77777777" w:rsidR="00FA4226" w:rsidRPr="00CA2CC1" w:rsidRDefault="00000000" w:rsidP="0043303B">
            <w:pPr>
              <w:pStyle w:val="TableParagraph"/>
              <w:spacing w:before="18"/>
              <w:rPr>
                <w:rFonts w:cs="Calibri"/>
                <w:sz w:val="16"/>
              </w:rPr>
            </w:pPr>
            <w:r w:rsidRPr="00CA2CC1">
              <w:rPr>
                <w:rFonts w:cs="Calibri"/>
                <w:color w:val="414042"/>
                <w:spacing w:val="-5"/>
                <w:sz w:val="16"/>
              </w:rPr>
              <w:t>14</w:t>
            </w:r>
          </w:p>
        </w:tc>
        <w:tc>
          <w:tcPr>
            <w:tcW w:w="615" w:type="dxa"/>
            <w:shd w:val="clear" w:color="auto" w:fill="EDEFF0"/>
            <w:tcMar>
              <w:right w:w="57" w:type="dxa"/>
            </w:tcMar>
          </w:tcPr>
          <w:p w14:paraId="5672C55E" w14:textId="77777777" w:rsidR="00FA4226" w:rsidRPr="00CA2CC1" w:rsidRDefault="00000000" w:rsidP="0043303B">
            <w:pPr>
              <w:pStyle w:val="TableParagraph"/>
              <w:spacing w:before="18"/>
              <w:jc w:val="center"/>
              <w:rPr>
                <w:rFonts w:cs="Calibri"/>
                <w:sz w:val="16"/>
              </w:rPr>
            </w:pPr>
            <w:r w:rsidRPr="00CA2CC1">
              <w:rPr>
                <w:rFonts w:cs="Calibri"/>
                <w:color w:val="414042"/>
                <w:spacing w:val="-4"/>
                <w:sz w:val="16"/>
              </w:rPr>
              <w:t>12.69</w:t>
            </w:r>
          </w:p>
        </w:tc>
        <w:tc>
          <w:tcPr>
            <w:tcW w:w="751" w:type="dxa"/>
            <w:tcMar>
              <w:right w:w="57" w:type="dxa"/>
            </w:tcMar>
          </w:tcPr>
          <w:p w14:paraId="0C0A8B2E" w14:textId="77777777" w:rsidR="00FA4226" w:rsidRPr="00CA2CC1" w:rsidRDefault="00000000" w:rsidP="0043303B">
            <w:pPr>
              <w:pStyle w:val="TableParagraph"/>
              <w:spacing w:before="18"/>
              <w:rPr>
                <w:rFonts w:cs="Calibri"/>
                <w:sz w:val="16"/>
              </w:rPr>
            </w:pPr>
            <w:r w:rsidRPr="00CA2CC1">
              <w:rPr>
                <w:rFonts w:cs="Calibri"/>
                <w:color w:val="414042"/>
                <w:sz w:val="16"/>
              </w:rPr>
              <w:t>8</w:t>
            </w:r>
          </w:p>
        </w:tc>
        <w:tc>
          <w:tcPr>
            <w:tcW w:w="615" w:type="dxa"/>
            <w:tcMar>
              <w:right w:w="57" w:type="dxa"/>
            </w:tcMar>
          </w:tcPr>
          <w:p w14:paraId="0B8A29FF" w14:textId="77777777" w:rsidR="00FA4226" w:rsidRPr="00CA2CC1" w:rsidRDefault="00000000" w:rsidP="0043303B">
            <w:pPr>
              <w:pStyle w:val="TableParagraph"/>
              <w:spacing w:before="18"/>
              <w:jc w:val="center"/>
              <w:rPr>
                <w:rFonts w:cs="Calibri"/>
                <w:sz w:val="16"/>
              </w:rPr>
            </w:pPr>
            <w:r w:rsidRPr="00CA2CC1">
              <w:rPr>
                <w:rFonts w:cs="Calibri"/>
                <w:color w:val="414042"/>
                <w:spacing w:val="-4"/>
                <w:sz w:val="16"/>
              </w:rPr>
              <w:t>8.00</w:t>
            </w:r>
          </w:p>
        </w:tc>
        <w:tc>
          <w:tcPr>
            <w:tcW w:w="751" w:type="dxa"/>
            <w:tcMar>
              <w:right w:w="57" w:type="dxa"/>
            </w:tcMar>
          </w:tcPr>
          <w:p w14:paraId="4E79DDA6" w14:textId="77777777" w:rsidR="00FA4226" w:rsidRPr="00CA2CC1" w:rsidRDefault="00000000" w:rsidP="0043303B">
            <w:pPr>
              <w:pStyle w:val="TableParagraph"/>
              <w:spacing w:before="18"/>
              <w:rPr>
                <w:rFonts w:cs="Calibri"/>
                <w:sz w:val="16"/>
              </w:rPr>
            </w:pPr>
            <w:r w:rsidRPr="00CA2CC1">
              <w:rPr>
                <w:rFonts w:cs="Calibri"/>
                <w:color w:val="414042"/>
                <w:sz w:val="16"/>
              </w:rPr>
              <w:t>3</w:t>
            </w:r>
          </w:p>
        </w:tc>
        <w:tc>
          <w:tcPr>
            <w:tcW w:w="615" w:type="dxa"/>
            <w:tcMar>
              <w:right w:w="57" w:type="dxa"/>
            </w:tcMar>
          </w:tcPr>
          <w:p w14:paraId="3439041E" w14:textId="77777777" w:rsidR="00FA4226" w:rsidRPr="00CA2CC1" w:rsidRDefault="00000000" w:rsidP="0043303B">
            <w:pPr>
              <w:pStyle w:val="TableParagraph"/>
              <w:spacing w:before="18"/>
              <w:rPr>
                <w:rFonts w:cs="Calibri"/>
                <w:sz w:val="16"/>
              </w:rPr>
            </w:pPr>
            <w:r w:rsidRPr="00CA2CC1">
              <w:rPr>
                <w:rFonts w:cs="Calibri"/>
                <w:color w:val="414042"/>
                <w:spacing w:val="-4"/>
                <w:sz w:val="16"/>
              </w:rPr>
              <w:t>2.60</w:t>
            </w:r>
          </w:p>
        </w:tc>
        <w:tc>
          <w:tcPr>
            <w:tcW w:w="751" w:type="dxa"/>
            <w:shd w:val="clear" w:color="auto" w:fill="EDEFF0"/>
            <w:tcMar>
              <w:right w:w="57" w:type="dxa"/>
            </w:tcMar>
          </w:tcPr>
          <w:p w14:paraId="0A5FD270" w14:textId="77777777" w:rsidR="00FA4226" w:rsidRPr="00CA2CC1" w:rsidRDefault="00000000" w:rsidP="0043303B">
            <w:pPr>
              <w:pStyle w:val="TableParagraph"/>
              <w:spacing w:before="18"/>
              <w:rPr>
                <w:rFonts w:cs="Calibri"/>
                <w:sz w:val="16"/>
              </w:rPr>
            </w:pPr>
            <w:r w:rsidRPr="00CA2CC1">
              <w:rPr>
                <w:rFonts w:cs="Calibri"/>
                <w:color w:val="414042"/>
                <w:spacing w:val="-5"/>
                <w:sz w:val="16"/>
              </w:rPr>
              <w:t>11</w:t>
            </w:r>
          </w:p>
        </w:tc>
        <w:tc>
          <w:tcPr>
            <w:tcW w:w="615" w:type="dxa"/>
            <w:tcBorders>
              <w:right w:val="nil"/>
            </w:tcBorders>
            <w:shd w:val="clear" w:color="auto" w:fill="EDEFF0"/>
            <w:tcMar>
              <w:right w:w="57" w:type="dxa"/>
            </w:tcMar>
          </w:tcPr>
          <w:p w14:paraId="1918B682" w14:textId="77777777" w:rsidR="00FA4226" w:rsidRPr="00CA2CC1" w:rsidRDefault="00000000" w:rsidP="0043303B">
            <w:pPr>
              <w:pStyle w:val="TableParagraph"/>
              <w:spacing w:before="18"/>
              <w:jc w:val="center"/>
              <w:rPr>
                <w:rFonts w:cs="Calibri"/>
                <w:sz w:val="16"/>
              </w:rPr>
            </w:pPr>
            <w:r w:rsidRPr="00CA2CC1">
              <w:rPr>
                <w:rFonts w:cs="Calibri"/>
                <w:color w:val="414042"/>
                <w:spacing w:val="-4"/>
                <w:sz w:val="16"/>
              </w:rPr>
              <w:t>10.60</w:t>
            </w:r>
          </w:p>
        </w:tc>
      </w:tr>
      <w:tr w:rsidR="00FA4226" w:rsidRPr="00CA2CC1" w14:paraId="2C488C2E" w14:textId="77777777" w:rsidTr="00015707">
        <w:trPr>
          <w:trHeight w:val="280"/>
        </w:trPr>
        <w:tc>
          <w:tcPr>
            <w:tcW w:w="317" w:type="dxa"/>
            <w:vMerge/>
            <w:tcBorders>
              <w:top w:val="nil"/>
              <w:left w:val="nil"/>
            </w:tcBorders>
            <w:textDirection w:val="btLr"/>
          </w:tcPr>
          <w:p w14:paraId="786EB2B3" w14:textId="77777777" w:rsidR="00FA4226" w:rsidRPr="00CA2CC1" w:rsidRDefault="00FA4226" w:rsidP="0043303B">
            <w:pPr>
              <w:rPr>
                <w:rFonts w:cs="Calibri"/>
                <w:sz w:val="2"/>
                <w:szCs w:val="2"/>
              </w:rPr>
            </w:pPr>
          </w:p>
        </w:tc>
        <w:tc>
          <w:tcPr>
            <w:tcW w:w="1124" w:type="dxa"/>
          </w:tcPr>
          <w:p w14:paraId="49CA700B" w14:textId="77777777" w:rsidR="00FA4226" w:rsidRPr="00CA2CC1" w:rsidRDefault="00000000" w:rsidP="0043303B">
            <w:pPr>
              <w:pStyle w:val="TableParagraph"/>
              <w:spacing w:before="18"/>
              <w:jc w:val="left"/>
              <w:rPr>
                <w:rFonts w:cs="Calibri"/>
                <w:sz w:val="16"/>
              </w:rPr>
            </w:pPr>
            <w:r w:rsidRPr="00CA2CC1">
              <w:rPr>
                <w:rFonts w:cs="Calibri"/>
                <w:color w:val="414042"/>
                <w:sz w:val="16"/>
              </w:rPr>
              <w:t>35-</w:t>
            </w:r>
            <w:r w:rsidRPr="00CA2CC1">
              <w:rPr>
                <w:rFonts w:cs="Calibri"/>
                <w:color w:val="414042"/>
                <w:spacing w:val="-5"/>
                <w:sz w:val="16"/>
              </w:rPr>
              <w:t>44</w:t>
            </w:r>
          </w:p>
        </w:tc>
        <w:tc>
          <w:tcPr>
            <w:tcW w:w="751" w:type="dxa"/>
            <w:tcMar>
              <w:right w:w="57" w:type="dxa"/>
            </w:tcMar>
          </w:tcPr>
          <w:p w14:paraId="763928F0" w14:textId="77777777" w:rsidR="00FA4226" w:rsidRPr="00CA2CC1" w:rsidRDefault="00000000" w:rsidP="0043303B">
            <w:pPr>
              <w:pStyle w:val="TableParagraph"/>
              <w:spacing w:before="18"/>
              <w:rPr>
                <w:rFonts w:cs="Calibri"/>
                <w:sz w:val="16"/>
              </w:rPr>
            </w:pPr>
            <w:r w:rsidRPr="00CA2CC1">
              <w:rPr>
                <w:rFonts w:cs="Calibri"/>
                <w:color w:val="414042"/>
                <w:spacing w:val="-5"/>
                <w:sz w:val="16"/>
              </w:rPr>
              <w:t>14</w:t>
            </w:r>
          </w:p>
        </w:tc>
        <w:tc>
          <w:tcPr>
            <w:tcW w:w="615" w:type="dxa"/>
            <w:tcMar>
              <w:right w:w="57" w:type="dxa"/>
            </w:tcMar>
          </w:tcPr>
          <w:p w14:paraId="09E48251" w14:textId="77777777" w:rsidR="00FA4226" w:rsidRPr="00CA2CC1" w:rsidRDefault="00000000" w:rsidP="0043303B">
            <w:pPr>
              <w:pStyle w:val="TableParagraph"/>
              <w:spacing w:before="18"/>
              <w:jc w:val="center"/>
              <w:rPr>
                <w:rFonts w:cs="Calibri"/>
                <w:sz w:val="16"/>
              </w:rPr>
            </w:pPr>
            <w:r w:rsidRPr="00CA2CC1">
              <w:rPr>
                <w:rFonts w:cs="Calibri"/>
                <w:color w:val="414042"/>
                <w:spacing w:val="-4"/>
                <w:sz w:val="16"/>
              </w:rPr>
              <w:t>13.00</w:t>
            </w:r>
          </w:p>
        </w:tc>
        <w:tc>
          <w:tcPr>
            <w:tcW w:w="751" w:type="dxa"/>
            <w:tcMar>
              <w:right w:w="57" w:type="dxa"/>
            </w:tcMar>
          </w:tcPr>
          <w:p w14:paraId="1E680BF5" w14:textId="77777777" w:rsidR="00FA4226" w:rsidRPr="00CA2CC1" w:rsidRDefault="00000000" w:rsidP="0043303B">
            <w:pPr>
              <w:pStyle w:val="TableParagraph"/>
              <w:spacing w:before="18"/>
              <w:rPr>
                <w:rFonts w:cs="Calibri"/>
                <w:sz w:val="16"/>
              </w:rPr>
            </w:pPr>
            <w:r w:rsidRPr="00CA2CC1">
              <w:rPr>
                <w:rFonts w:cs="Calibri"/>
                <w:color w:val="414042"/>
                <w:sz w:val="16"/>
              </w:rPr>
              <w:t>1</w:t>
            </w:r>
          </w:p>
        </w:tc>
        <w:tc>
          <w:tcPr>
            <w:tcW w:w="615" w:type="dxa"/>
            <w:tcMar>
              <w:right w:w="57" w:type="dxa"/>
            </w:tcMar>
          </w:tcPr>
          <w:p w14:paraId="189F8821" w14:textId="77777777" w:rsidR="00FA4226" w:rsidRPr="00CA2CC1" w:rsidRDefault="00000000" w:rsidP="0043303B">
            <w:pPr>
              <w:pStyle w:val="TableParagraph"/>
              <w:spacing w:before="18"/>
              <w:rPr>
                <w:rFonts w:cs="Calibri"/>
                <w:sz w:val="16"/>
              </w:rPr>
            </w:pPr>
            <w:r w:rsidRPr="00CA2CC1">
              <w:rPr>
                <w:rFonts w:cs="Calibri"/>
                <w:color w:val="414042"/>
                <w:spacing w:val="-4"/>
                <w:sz w:val="16"/>
              </w:rPr>
              <w:t>0.60</w:t>
            </w:r>
          </w:p>
        </w:tc>
        <w:tc>
          <w:tcPr>
            <w:tcW w:w="751" w:type="dxa"/>
            <w:shd w:val="clear" w:color="auto" w:fill="EDEFF0"/>
            <w:tcMar>
              <w:right w:w="57" w:type="dxa"/>
            </w:tcMar>
          </w:tcPr>
          <w:p w14:paraId="3B361076" w14:textId="77777777" w:rsidR="00FA4226" w:rsidRPr="00CA2CC1" w:rsidRDefault="00000000" w:rsidP="0043303B">
            <w:pPr>
              <w:pStyle w:val="TableParagraph"/>
              <w:spacing w:before="18"/>
              <w:rPr>
                <w:rFonts w:cs="Calibri"/>
                <w:sz w:val="16"/>
              </w:rPr>
            </w:pPr>
            <w:r w:rsidRPr="00CA2CC1">
              <w:rPr>
                <w:rFonts w:cs="Calibri"/>
                <w:color w:val="414042"/>
                <w:spacing w:val="-5"/>
                <w:sz w:val="16"/>
              </w:rPr>
              <w:t>15</w:t>
            </w:r>
          </w:p>
        </w:tc>
        <w:tc>
          <w:tcPr>
            <w:tcW w:w="615" w:type="dxa"/>
            <w:shd w:val="clear" w:color="auto" w:fill="EDEFF0"/>
            <w:tcMar>
              <w:right w:w="57" w:type="dxa"/>
            </w:tcMar>
          </w:tcPr>
          <w:p w14:paraId="24225ABB" w14:textId="77777777" w:rsidR="00FA4226" w:rsidRPr="00CA2CC1" w:rsidRDefault="00000000" w:rsidP="0043303B">
            <w:pPr>
              <w:pStyle w:val="TableParagraph"/>
              <w:spacing w:before="18"/>
              <w:jc w:val="center"/>
              <w:rPr>
                <w:rFonts w:cs="Calibri"/>
                <w:sz w:val="16"/>
              </w:rPr>
            </w:pPr>
            <w:r w:rsidRPr="00CA2CC1">
              <w:rPr>
                <w:rFonts w:cs="Calibri"/>
                <w:color w:val="414042"/>
                <w:spacing w:val="-4"/>
                <w:sz w:val="16"/>
              </w:rPr>
              <w:t>13.60</w:t>
            </w:r>
          </w:p>
        </w:tc>
        <w:tc>
          <w:tcPr>
            <w:tcW w:w="751" w:type="dxa"/>
            <w:tcMar>
              <w:right w:w="57" w:type="dxa"/>
            </w:tcMar>
          </w:tcPr>
          <w:p w14:paraId="54FF85EF" w14:textId="77777777" w:rsidR="00FA4226" w:rsidRPr="00CA2CC1" w:rsidRDefault="00000000" w:rsidP="0043303B">
            <w:pPr>
              <w:pStyle w:val="TableParagraph"/>
              <w:spacing w:before="18"/>
              <w:rPr>
                <w:rFonts w:cs="Calibri"/>
                <w:sz w:val="16"/>
              </w:rPr>
            </w:pPr>
            <w:r w:rsidRPr="00CA2CC1">
              <w:rPr>
                <w:rFonts w:cs="Calibri"/>
                <w:color w:val="414042"/>
                <w:spacing w:val="-5"/>
                <w:sz w:val="16"/>
              </w:rPr>
              <w:t>12</w:t>
            </w:r>
          </w:p>
        </w:tc>
        <w:tc>
          <w:tcPr>
            <w:tcW w:w="615" w:type="dxa"/>
            <w:tcMar>
              <w:right w:w="57" w:type="dxa"/>
            </w:tcMar>
          </w:tcPr>
          <w:p w14:paraId="69C1FF08" w14:textId="77777777" w:rsidR="00FA4226" w:rsidRPr="00CA2CC1" w:rsidRDefault="00000000" w:rsidP="0043303B">
            <w:pPr>
              <w:pStyle w:val="TableParagraph"/>
              <w:spacing w:before="18"/>
              <w:jc w:val="center"/>
              <w:rPr>
                <w:rFonts w:cs="Calibri"/>
                <w:sz w:val="16"/>
              </w:rPr>
            </w:pPr>
            <w:r w:rsidRPr="00CA2CC1">
              <w:rPr>
                <w:rFonts w:cs="Calibri"/>
                <w:color w:val="414042"/>
                <w:spacing w:val="-4"/>
                <w:sz w:val="16"/>
              </w:rPr>
              <w:t>11.60</w:t>
            </w:r>
          </w:p>
        </w:tc>
        <w:tc>
          <w:tcPr>
            <w:tcW w:w="751" w:type="dxa"/>
            <w:tcMar>
              <w:right w:w="57" w:type="dxa"/>
            </w:tcMar>
          </w:tcPr>
          <w:p w14:paraId="5261D49C" w14:textId="77777777" w:rsidR="00FA4226" w:rsidRPr="00CA2CC1" w:rsidRDefault="00000000" w:rsidP="0043303B">
            <w:pPr>
              <w:pStyle w:val="TableParagraph"/>
              <w:spacing w:before="18"/>
              <w:rPr>
                <w:rFonts w:cs="Calibri"/>
                <w:sz w:val="16"/>
              </w:rPr>
            </w:pPr>
            <w:r w:rsidRPr="00CA2CC1">
              <w:rPr>
                <w:rFonts w:cs="Calibri"/>
                <w:color w:val="414042"/>
                <w:sz w:val="16"/>
              </w:rPr>
              <w:t>1</w:t>
            </w:r>
          </w:p>
        </w:tc>
        <w:tc>
          <w:tcPr>
            <w:tcW w:w="615" w:type="dxa"/>
            <w:tcMar>
              <w:right w:w="57" w:type="dxa"/>
            </w:tcMar>
          </w:tcPr>
          <w:p w14:paraId="0E26446F" w14:textId="77777777" w:rsidR="00FA4226" w:rsidRPr="00CA2CC1" w:rsidRDefault="00000000" w:rsidP="0043303B">
            <w:pPr>
              <w:pStyle w:val="TableParagraph"/>
              <w:spacing w:before="18"/>
              <w:rPr>
                <w:rFonts w:cs="Calibri"/>
                <w:sz w:val="16"/>
              </w:rPr>
            </w:pPr>
            <w:r w:rsidRPr="00CA2CC1">
              <w:rPr>
                <w:rFonts w:cs="Calibri"/>
                <w:color w:val="414042"/>
                <w:spacing w:val="-4"/>
                <w:sz w:val="16"/>
              </w:rPr>
              <w:t>1.00</w:t>
            </w:r>
          </w:p>
        </w:tc>
        <w:tc>
          <w:tcPr>
            <w:tcW w:w="751" w:type="dxa"/>
            <w:shd w:val="clear" w:color="auto" w:fill="EDEFF0"/>
            <w:tcMar>
              <w:right w:w="57" w:type="dxa"/>
            </w:tcMar>
          </w:tcPr>
          <w:p w14:paraId="6D1C0F0B" w14:textId="77777777" w:rsidR="00FA4226" w:rsidRPr="00CA2CC1" w:rsidRDefault="00000000" w:rsidP="0043303B">
            <w:pPr>
              <w:pStyle w:val="TableParagraph"/>
              <w:spacing w:before="18"/>
              <w:rPr>
                <w:rFonts w:cs="Calibri"/>
                <w:sz w:val="16"/>
              </w:rPr>
            </w:pPr>
            <w:r w:rsidRPr="00CA2CC1">
              <w:rPr>
                <w:rFonts w:cs="Calibri"/>
                <w:color w:val="414042"/>
                <w:spacing w:val="-5"/>
                <w:sz w:val="16"/>
              </w:rPr>
              <w:t>13</w:t>
            </w:r>
          </w:p>
        </w:tc>
        <w:tc>
          <w:tcPr>
            <w:tcW w:w="615" w:type="dxa"/>
            <w:tcBorders>
              <w:right w:val="nil"/>
            </w:tcBorders>
            <w:shd w:val="clear" w:color="auto" w:fill="EDEFF0"/>
            <w:tcMar>
              <w:right w:w="57" w:type="dxa"/>
            </w:tcMar>
          </w:tcPr>
          <w:p w14:paraId="687A0617" w14:textId="77777777" w:rsidR="00FA4226" w:rsidRPr="00CA2CC1" w:rsidRDefault="00000000" w:rsidP="0043303B">
            <w:pPr>
              <w:pStyle w:val="TableParagraph"/>
              <w:spacing w:before="18"/>
              <w:jc w:val="center"/>
              <w:rPr>
                <w:rFonts w:cs="Calibri"/>
                <w:sz w:val="16"/>
              </w:rPr>
            </w:pPr>
            <w:r w:rsidRPr="00CA2CC1">
              <w:rPr>
                <w:rFonts w:cs="Calibri"/>
                <w:color w:val="414042"/>
                <w:spacing w:val="-4"/>
                <w:sz w:val="16"/>
              </w:rPr>
              <w:t>12.60</w:t>
            </w:r>
          </w:p>
        </w:tc>
      </w:tr>
      <w:tr w:rsidR="00FA4226" w:rsidRPr="00CA2CC1" w14:paraId="1024BDF8" w14:textId="77777777" w:rsidTr="00015707">
        <w:trPr>
          <w:trHeight w:val="280"/>
        </w:trPr>
        <w:tc>
          <w:tcPr>
            <w:tcW w:w="317" w:type="dxa"/>
            <w:vMerge/>
            <w:tcBorders>
              <w:top w:val="nil"/>
              <w:left w:val="nil"/>
            </w:tcBorders>
            <w:textDirection w:val="btLr"/>
          </w:tcPr>
          <w:p w14:paraId="763682CB" w14:textId="77777777" w:rsidR="00FA4226" w:rsidRPr="00CA2CC1" w:rsidRDefault="00FA4226" w:rsidP="0043303B">
            <w:pPr>
              <w:rPr>
                <w:rFonts w:cs="Calibri"/>
                <w:sz w:val="2"/>
                <w:szCs w:val="2"/>
              </w:rPr>
            </w:pPr>
          </w:p>
        </w:tc>
        <w:tc>
          <w:tcPr>
            <w:tcW w:w="1124" w:type="dxa"/>
          </w:tcPr>
          <w:p w14:paraId="2444ADE5" w14:textId="77777777" w:rsidR="00FA4226" w:rsidRPr="00CA2CC1" w:rsidRDefault="00000000" w:rsidP="0043303B">
            <w:pPr>
              <w:pStyle w:val="TableParagraph"/>
              <w:spacing w:before="18"/>
              <w:jc w:val="left"/>
              <w:rPr>
                <w:rFonts w:cs="Calibri"/>
                <w:sz w:val="16"/>
              </w:rPr>
            </w:pPr>
            <w:r w:rsidRPr="00CA2CC1">
              <w:rPr>
                <w:rFonts w:cs="Calibri"/>
                <w:color w:val="414042"/>
                <w:sz w:val="16"/>
              </w:rPr>
              <w:t>45-</w:t>
            </w:r>
            <w:r w:rsidRPr="00CA2CC1">
              <w:rPr>
                <w:rFonts w:cs="Calibri"/>
                <w:color w:val="414042"/>
                <w:spacing w:val="-5"/>
                <w:sz w:val="16"/>
              </w:rPr>
              <w:t>54</w:t>
            </w:r>
          </w:p>
        </w:tc>
        <w:tc>
          <w:tcPr>
            <w:tcW w:w="751" w:type="dxa"/>
            <w:tcMar>
              <w:right w:w="57" w:type="dxa"/>
            </w:tcMar>
          </w:tcPr>
          <w:p w14:paraId="79CFDF50" w14:textId="77777777" w:rsidR="00FA4226" w:rsidRPr="00CA2CC1" w:rsidRDefault="00000000" w:rsidP="0043303B">
            <w:pPr>
              <w:pStyle w:val="TableParagraph"/>
              <w:spacing w:before="18"/>
              <w:rPr>
                <w:rFonts w:cs="Calibri"/>
                <w:sz w:val="16"/>
              </w:rPr>
            </w:pPr>
            <w:r w:rsidRPr="00CA2CC1">
              <w:rPr>
                <w:rFonts w:cs="Calibri"/>
                <w:color w:val="414042"/>
                <w:sz w:val="16"/>
              </w:rPr>
              <w:t>8</w:t>
            </w:r>
          </w:p>
        </w:tc>
        <w:tc>
          <w:tcPr>
            <w:tcW w:w="615" w:type="dxa"/>
            <w:tcMar>
              <w:right w:w="57" w:type="dxa"/>
            </w:tcMar>
          </w:tcPr>
          <w:p w14:paraId="36B6F7F3" w14:textId="77777777" w:rsidR="00FA4226" w:rsidRPr="00CA2CC1" w:rsidRDefault="00000000" w:rsidP="0043303B">
            <w:pPr>
              <w:pStyle w:val="TableParagraph"/>
              <w:spacing w:before="18"/>
              <w:jc w:val="center"/>
              <w:rPr>
                <w:rFonts w:cs="Calibri"/>
                <w:sz w:val="16"/>
              </w:rPr>
            </w:pPr>
            <w:r w:rsidRPr="00CA2CC1">
              <w:rPr>
                <w:rFonts w:cs="Calibri"/>
                <w:color w:val="414042"/>
                <w:spacing w:val="-4"/>
                <w:sz w:val="16"/>
              </w:rPr>
              <w:t>7.50</w:t>
            </w:r>
          </w:p>
        </w:tc>
        <w:tc>
          <w:tcPr>
            <w:tcW w:w="751" w:type="dxa"/>
            <w:tcMar>
              <w:right w:w="57" w:type="dxa"/>
            </w:tcMar>
          </w:tcPr>
          <w:p w14:paraId="2452F0BB" w14:textId="77777777" w:rsidR="00FA4226" w:rsidRPr="00CA2CC1" w:rsidRDefault="00000000" w:rsidP="0043303B">
            <w:pPr>
              <w:pStyle w:val="TableParagraph"/>
              <w:spacing w:before="18"/>
              <w:rPr>
                <w:rFonts w:cs="Calibri"/>
                <w:sz w:val="16"/>
              </w:rPr>
            </w:pPr>
            <w:r w:rsidRPr="00CA2CC1">
              <w:rPr>
                <w:rFonts w:cs="Calibri"/>
                <w:color w:val="414042"/>
                <w:sz w:val="16"/>
              </w:rPr>
              <w:t>0</w:t>
            </w:r>
          </w:p>
        </w:tc>
        <w:tc>
          <w:tcPr>
            <w:tcW w:w="615" w:type="dxa"/>
            <w:tcMar>
              <w:right w:w="57" w:type="dxa"/>
            </w:tcMar>
          </w:tcPr>
          <w:p w14:paraId="1CEA0C67" w14:textId="77777777" w:rsidR="00FA4226" w:rsidRPr="00CA2CC1" w:rsidRDefault="00000000" w:rsidP="0043303B">
            <w:pPr>
              <w:pStyle w:val="TableParagraph"/>
              <w:spacing w:before="18"/>
              <w:rPr>
                <w:rFonts w:cs="Calibri"/>
                <w:sz w:val="16"/>
              </w:rPr>
            </w:pPr>
            <w:r w:rsidRPr="00CA2CC1">
              <w:rPr>
                <w:rFonts w:cs="Calibri"/>
                <w:color w:val="414042"/>
                <w:spacing w:val="-4"/>
                <w:sz w:val="16"/>
              </w:rPr>
              <w:t>0.00</w:t>
            </w:r>
          </w:p>
        </w:tc>
        <w:tc>
          <w:tcPr>
            <w:tcW w:w="751" w:type="dxa"/>
            <w:shd w:val="clear" w:color="auto" w:fill="EDEFF0"/>
            <w:tcMar>
              <w:right w:w="57" w:type="dxa"/>
            </w:tcMar>
          </w:tcPr>
          <w:p w14:paraId="59EA966C" w14:textId="77777777" w:rsidR="00FA4226" w:rsidRPr="00CA2CC1" w:rsidRDefault="00000000" w:rsidP="0043303B">
            <w:pPr>
              <w:pStyle w:val="TableParagraph"/>
              <w:spacing w:before="18"/>
              <w:rPr>
                <w:rFonts w:cs="Calibri"/>
                <w:sz w:val="16"/>
              </w:rPr>
            </w:pPr>
            <w:r w:rsidRPr="00CA2CC1">
              <w:rPr>
                <w:rFonts w:cs="Calibri"/>
                <w:color w:val="414042"/>
                <w:sz w:val="16"/>
              </w:rPr>
              <w:t>8</w:t>
            </w:r>
          </w:p>
        </w:tc>
        <w:tc>
          <w:tcPr>
            <w:tcW w:w="615" w:type="dxa"/>
            <w:shd w:val="clear" w:color="auto" w:fill="EDEFF0"/>
            <w:tcMar>
              <w:right w:w="57" w:type="dxa"/>
            </w:tcMar>
          </w:tcPr>
          <w:p w14:paraId="17998042" w14:textId="77777777" w:rsidR="00FA4226" w:rsidRPr="00CA2CC1" w:rsidRDefault="00000000" w:rsidP="0043303B">
            <w:pPr>
              <w:pStyle w:val="TableParagraph"/>
              <w:spacing w:before="18"/>
              <w:jc w:val="center"/>
              <w:rPr>
                <w:rFonts w:cs="Calibri"/>
                <w:sz w:val="16"/>
              </w:rPr>
            </w:pPr>
            <w:r w:rsidRPr="00CA2CC1">
              <w:rPr>
                <w:rFonts w:cs="Calibri"/>
                <w:color w:val="414042"/>
                <w:spacing w:val="-4"/>
                <w:sz w:val="16"/>
              </w:rPr>
              <w:t>7.50</w:t>
            </w:r>
          </w:p>
        </w:tc>
        <w:tc>
          <w:tcPr>
            <w:tcW w:w="751" w:type="dxa"/>
            <w:tcMar>
              <w:right w:w="57" w:type="dxa"/>
            </w:tcMar>
          </w:tcPr>
          <w:p w14:paraId="76DA2157" w14:textId="77777777" w:rsidR="00FA4226" w:rsidRPr="00CA2CC1" w:rsidRDefault="00000000" w:rsidP="0043303B">
            <w:pPr>
              <w:pStyle w:val="TableParagraph"/>
              <w:spacing w:before="18"/>
              <w:rPr>
                <w:rFonts w:cs="Calibri"/>
                <w:sz w:val="16"/>
              </w:rPr>
            </w:pPr>
            <w:r w:rsidRPr="00CA2CC1">
              <w:rPr>
                <w:rFonts w:cs="Calibri"/>
                <w:color w:val="414042"/>
                <w:sz w:val="16"/>
              </w:rPr>
              <w:t>8</w:t>
            </w:r>
          </w:p>
        </w:tc>
        <w:tc>
          <w:tcPr>
            <w:tcW w:w="615" w:type="dxa"/>
            <w:tcMar>
              <w:right w:w="57" w:type="dxa"/>
            </w:tcMar>
          </w:tcPr>
          <w:p w14:paraId="293DFDBE" w14:textId="77777777" w:rsidR="00FA4226" w:rsidRPr="00CA2CC1" w:rsidRDefault="00000000" w:rsidP="0043303B">
            <w:pPr>
              <w:pStyle w:val="TableParagraph"/>
              <w:spacing w:before="18"/>
              <w:jc w:val="center"/>
              <w:rPr>
                <w:rFonts w:cs="Calibri"/>
                <w:sz w:val="16"/>
              </w:rPr>
            </w:pPr>
            <w:r w:rsidRPr="00CA2CC1">
              <w:rPr>
                <w:rFonts w:cs="Calibri"/>
                <w:color w:val="414042"/>
                <w:spacing w:val="-4"/>
                <w:sz w:val="16"/>
              </w:rPr>
              <w:t>7.60</w:t>
            </w:r>
          </w:p>
        </w:tc>
        <w:tc>
          <w:tcPr>
            <w:tcW w:w="751" w:type="dxa"/>
            <w:tcMar>
              <w:right w:w="57" w:type="dxa"/>
            </w:tcMar>
          </w:tcPr>
          <w:p w14:paraId="4A3C3485" w14:textId="77777777" w:rsidR="00FA4226" w:rsidRPr="00CA2CC1" w:rsidRDefault="00000000" w:rsidP="0043303B">
            <w:pPr>
              <w:pStyle w:val="TableParagraph"/>
              <w:spacing w:before="18"/>
              <w:rPr>
                <w:rFonts w:cs="Calibri"/>
                <w:sz w:val="16"/>
              </w:rPr>
            </w:pPr>
            <w:r w:rsidRPr="00CA2CC1">
              <w:rPr>
                <w:rFonts w:cs="Calibri"/>
                <w:color w:val="414042"/>
                <w:sz w:val="16"/>
              </w:rPr>
              <w:t>0</w:t>
            </w:r>
          </w:p>
        </w:tc>
        <w:tc>
          <w:tcPr>
            <w:tcW w:w="615" w:type="dxa"/>
            <w:tcMar>
              <w:right w:w="57" w:type="dxa"/>
            </w:tcMar>
          </w:tcPr>
          <w:p w14:paraId="02B7ABA3" w14:textId="77777777" w:rsidR="00FA4226" w:rsidRPr="00CA2CC1" w:rsidRDefault="00000000" w:rsidP="0043303B">
            <w:pPr>
              <w:pStyle w:val="TableParagraph"/>
              <w:spacing w:before="18"/>
              <w:rPr>
                <w:rFonts w:cs="Calibri"/>
                <w:sz w:val="16"/>
              </w:rPr>
            </w:pPr>
            <w:r w:rsidRPr="00CA2CC1">
              <w:rPr>
                <w:rFonts w:cs="Calibri"/>
                <w:color w:val="414042"/>
                <w:spacing w:val="-4"/>
                <w:sz w:val="16"/>
              </w:rPr>
              <w:t>0.00</w:t>
            </w:r>
          </w:p>
        </w:tc>
        <w:tc>
          <w:tcPr>
            <w:tcW w:w="751" w:type="dxa"/>
            <w:shd w:val="clear" w:color="auto" w:fill="EDEFF0"/>
            <w:tcMar>
              <w:right w:w="57" w:type="dxa"/>
            </w:tcMar>
          </w:tcPr>
          <w:p w14:paraId="5B402D1B" w14:textId="77777777" w:rsidR="00FA4226" w:rsidRPr="00CA2CC1" w:rsidRDefault="00000000" w:rsidP="0043303B">
            <w:pPr>
              <w:pStyle w:val="TableParagraph"/>
              <w:spacing w:before="18"/>
              <w:rPr>
                <w:rFonts w:cs="Calibri"/>
                <w:sz w:val="16"/>
              </w:rPr>
            </w:pPr>
            <w:r w:rsidRPr="00CA2CC1">
              <w:rPr>
                <w:rFonts w:cs="Calibri"/>
                <w:color w:val="414042"/>
                <w:sz w:val="16"/>
              </w:rPr>
              <w:t>8</w:t>
            </w:r>
          </w:p>
        </w:tc>
        <w:tc>
          <w:tcPr>
            <w:tcW w:w="615" w:type="dxa"/>
            <w:tcBorders>
              <w:right w:val="nil"/>
            </w:tcBorders>
            <w:shd w:val="clear" w:color="auto" w:fill="EDEFF0"/>
            <w:tcMar>
              <w:right w:w="57" w:type="dxa"/>
            </w:tcMar>
          </w:tcPr>
          <w:p w14:paraId="480F5B0C" w14:textId="77777777" w:rsidR="00FA4226" w:rsidRPr="00CA2CC1" w:rsidRDefault="00000000" w:rsidP="0043303B">
            <w:pPr>
              <w:pStyle w:val="TableParagraph"/>
              <w:spacing w:before="18"/>
              <w:jc w:val="center"/>
              <w:rPr>
                <w:rFonts w:cs="Calibri"/>
                <w:sz w:val="16"/>
              </w:rPr>
            </w:pPr>
            <w:r w:rsidRPr="00CA2CC1">
              <w:rPr>
                <w:rFonts w:cs="Calibri"/>
                <w:color w:val="414042"/>
                <w:spacing w:val="-4"/>
                <w:sz w:val="16"/>
              </w:rPr>
              <w:t>7.60</w:t>
            </w:r>
          </w:p>
        </w:tc>
      </w:tr>
      <w:tr w:rsidR="00FA4226" w:rsidRPr="00CA2CC1" w14:paraId="0C28F90B" w14:textId="77777777" w:rsidTr="00015707">
        <w:trPr>
          <w:trHeight w:val="305"/>
        </w:trPr>
        <w:tc>
          <w:tcPr>
            <w:tcW w:w="317" w:type="dxa"/>
            <w:vMerge/>
            <w:tcBorders>
              <w:top w:val="nil"/>
              <w:left w:val="nil"/>
            </w:tcBorders>
            <w:textDirection w:val="btLr"/>
          </w:tcPr>
          <w:p w14:paraId="6C988811" w14:textId="77777777" w:rsidR="00FA4226" w:rsidRPr="00CA2CC1" w:rsidRDefault="00FA4226" w:rsidP="0043303B">
            <w:pPr>
              <w:rPr>
                <w:rFonts w:cs="Calibri"/>
                <w:sz w:val="2"/>
                <w:szCs w:val="2"/>
              </w:rPr>
            </w:pPr>
          </w:p>
        </w:tc>
        <w:tc>
          <w:tcPr>
            <w:tcW w:w="1124" w:type="dxa"/>
          </w:tcPr>
          <w:p w14:paraId="32A8DE20" w14:textId="77777777" w:rsidR="00FA4226" w:rsidRPr="00CA2CC1" w:rsidRDefault="00000000" w:rsidP="0043303B">
            <w:pPr>
              <w:pStyle w:val="TableParagraph"/>
              <w:spacing w:before="43"/>
              <w:jc w:val="left"/>
              <w:rPr>
                <w:rFonts w:cs="Calibri"/>
                <w:sz w:val="16"/>
              </w:rPr>
            </w:pPr>
            <w:r w:rsidRPr="00CA2CC1">
              <w:rPr>
                <w:rFonts w:cs="Calibri"/>
                <w:color w:val="414042"/>
                <w:sz w:val="16"/>
              </w:rPr>
              <w:t>55-</w:t>
            </w:r>
            <w:r w:rsidRPr="00CA2CC1">
              <w:rPr>
                <w:rFonts w:cs="Calibri"/>
                <w:color w:val="414042"/>
                <w:spacing w:val="-5"/>
                <w:sz w:val="16"/>
              </w:rPr>
              <w:t>64</w:t>
            </w:r>
          </w:p>
        </w:tc>
        <w:tc>
          <w:tcPr>
            <w:tcW w:w="751" w:type="dxa"/>
            <w:tcMar>
              <w:right w:w="57" w:type="dxa"/>
            </w:tcMar>
          </w:tcPr>
          <w:p w14:paraId="135E4553" w14:textId="77777777" w:rsidR="00FA4226" w:rsidRPr="00CA2CC1" w:rsidRDefault="00000000" w:rsidP="0043303B">
            <w:pPr>
              <w:pStyle w:val="TableParagraph"/>
              <w:spacing w:before="43"/>
              <w:rPr>
                <w:rFonts w:cs="Calibri"/>
                <w:sz w:val="16"/>
              </w:rPr>
            </w:pPr>
            <w:r w:rsidRPr="00CA2CC1">
              <w:rPr>
                <w:rFonts w:cs="Calibri"/>
                <w:color w:val="414042"/>
                <w:sz w:val="16"/>
              </w:rPr>
              <w:t>4</w:t>
            </w:r>
          </w:p>
        </w:tc>
        <w:tc>
          <w:tcPr>
            <w:tcW w:w="615" w:type="dxa"/>
            <w:tcMar>
              <w:right w:w="57" w:type="dxa"/>
            </w:tcMar>
          </w:tcPr>
          <w:p w14:paraId="22963082" w14:textId="77777777" w:rsidR="00FA4226" w:rsidRPr="00CA2CC1" w:rsidRDefault="00000000" w:rsidP="0043303B">
            <w:pPr>
              <w:pStyle w:val="TableParagraph"/>
              <w:spacing w:before="43"/>
              <w:jc w:val="center"/>
              <w:rPr>
                <w:rFonts w:cs="Calibri"/>
                <w:sz w:val="16"/>
              </w:rPr>
            </w:pPr>
            <w:r w:rsidRPr="00CA2CC1">
              <w:rPr>
                <w:rFonts w:cs="Calibri"/>
                <w:color w:val="414042"/>
                <w:spacing w:val="-4"/>
                <w:sz w:val="16"/>
              </w:rPr>
              <w:t>3.20</w:t>
            </w:r>
          </w:p>
        </w:tc>
        <w:tc>
          <w:tcPr>
            <w:tcW w:w="751" w:type="dxa"/>
            <w:tcMar>
              <w:right w:w="57" w:type="dxa"/>
            </w:tcMar>
          </w:tcPr>
          <w:p w14:paraId="76CFBD45" w14:textId="77777777" w:rsidR="00FA4226" w:rsidRPr="00CA2CC1" w:rsidRDefault="00000000" w:rsidP="0043303B">
            <w:pPr>
              <w:pStyle w:val="TableParagraph"/>
              <w:spacing w:before="43"/>
              <w:rPr>
                <w:rFonts w:cs="Calibri"/>
                <w:sz w:val="16"/>
              </w:rPr>
            </w:pPr>
            <w:r w:rsidRPr="00CA2CC1">
              <w:rPr>
                <w:rFonts w:cs="Calibri"/>
                <w:color w:val="414042"/>
                <w:sz w:val="16"/>
              </w:rPr>
              <w:t>0</w:t>
            </w:r>
          </w:p>
        </w:tc>
        <w:tc>
          <w:tcPr>
            <w:tcW w:w="615" w:type="dxa"/>
            <w:tcMar>
              <w:right w:w="57" w:type="dxa"/>
            </w:tcMar>
          </w:tcPr>
          <w:p w14:paraId="1A9CFC4D" w14:textId="77777777" w:rsidR="00FA4226" w:rsidRPr="00CA2CC1" w:rsidRDefault="00000000" w:rsidP="0043303B">
            <w:pPr>
              <w:pStyle w:val="TableParagraph"/>
              <w:spacing w:before="43"/>
              <w:rPr>
                <w:rFonts w:cs="Calibri"/>
                <w:sz w:val="16"/>
              </w:rPr>
            </w:pPr>
            <w:r w:rsidRPr="00CA2CC1">
              <w:rPr>
                <w:rFonts w:cs="Calibri"/>
                <w:color w:val="414042"/>
                <w:spacing w:val="-4"/>
                <w:sz w:val="16"/>
              </w:rPr>
              <w:t>0.00</w:t>
            </w:r>
          </w:p>
        </w:tc>
        <w:tc>
          <w:tcPr>
            <w:tcW w:w="751" w:type="dxa"/>
            <w:shd w:val="clear" w:color="auto" w:fill="EDEFF0"/>
            <w:tcMar>
              <w:right w:w="57" w:type="dxa"/>
            </w:tcMar>
          </w:tcPr>
          <w:p w14:paraId="1387CF98" w14:textId="77777777" w:rsidR="00FA4226" w:rsidRPr="00CA2CC1" w:rsidRDefault="00000000" w:rsidP="0043303B">
            <w:pPr>
              <w:pStyle w:val="TableParagraph"/>
              <w:spacing w:before="43"/>
              <w:rPr>
                <w:rFonts w:cs="Calibri"/>
                <w:sz w:val="16"/>
              </w:rPr>
            </w:pPr>
            <w:r w:rsidRPr="00CA2CC1">
              <w:rPr>
                <w:rFonts w:cs="Calibri"/>
                <w:color w:val="414042"/>
                <w:sz w:val="16"/>
              </w:rPr>
              <w:t>4</w:t>
            </w:r>
          </w:p>
        </w:tc>
        <w:tc>
          <w:tcPr>
            <w:tcW w:w="615" w:type="dxa"/>
            <w:shd w:val="clear" w:color="auto" w:fill="EDEFF0"/>
            <w:tcMar>
              <w:right w:w="57" w:type="dxa"/>
            </w:tcMar>
          </w:tcPr>
          <w:p w14:paraId="5C33C7D8" w14:textId="77777777" w:rsidR="00FA4226" w:rsidRPr="00CA2CC1" w:rsidRDefault="00000000" w:rsidP="0043303B">
            <w:pPr>
              <w:pStyle w:val="TableParagraph"/>
              <w:spacing w:before="43"/>
              <w:jc w:val="center"/>
              <w:rPr>
                <w:rFonts w:cs="Calibri"/>
                <w:sz w:val="16"/>
              </w:rPr>
            </w:pPr>
            <w:r w:rsidRPr="00CA2CC1">
              <w:rPr>
                <w:rFonts w:cs="Calibri"/>
                <w:color w:val="414042"/>
                <w:spacing w:val="-4"/>
                <w:sz w:val="16"/>
              </w:rPr>
              <w:t>3.20</w:t>
            </w:r>
          </w:p>
        </w:tc>
        <w:tc>
          <w:tcPr>
            <w:tcW w:w="751" w:type="dxa"/>
            <w:tcMar>
              <w:right w:w="57" w:type="dxa"/>
            </w:tcMar>
          </w:tcPr>
          <w:p w14:paraId="49868A33" w14:textId="77777777" w:rsidR="00FA4226" w:rsidRPr="00CA2CC1" w:rsidRDefault="00000000" w:rsidP="0043303B">
            <w:pPr>
              <w:pStyle w:val="TableParagraph"/>
              <w:spacing w:before="43"/>
              <w:rPr>
                <w:rFonts w:cs="Calibri"/>
                <w:sz w:val="16"/>
              </w:rPr>
            </w:pPr>
            <w:r w:rsidRPr="00CA2CC1">
              <w:rPr>
                <w:rFonts w:cs="Calibri"/>
                <w:color w:val="414042"/>
                <w:sz w:val="16"/>
              </w:rPr>
              <w:t>3</w:t>
            </w:r>
          </w:p>
        </w:tc>
        <w:tc>
          <w:tcPr>
            <w:tcW w:w="615" w:type="dxa"/>
            <w:tcMar>
              <w:right w:w="57" w:type="dxa"/>
            </w:tcMar>
          </w:tcPr>
          <w:p w14:paraId="4970B379" w14:textId="77777777" w:rsidR="00FA4226" w:rsidRPr="00CA2CC1" w:rsidRDefault="00000000" w:rsidP="0043303B">
            <w:pPr>
              <w:pStyle w:val="TableParagraph"/>
              <w:spacing w:before="43"/>
              <w:jc w:val="center"/>
              <w:rPr>
                <w:rFonts w:cs="Calibri"/>
                <w:sz w:val="16"/>
              </w:rPr>
            </w:pPr>
            <w:r w:rsidRPr="00CA2CC1">
              <w:rPr>
                <w:rFonts w:cs="Calibri"/>
                <w:color w:val="414042"/>
                <w:spacing w:val="-4"/>
                <w:sz w:val="16"/>
              </w:rPr>
              <w:t>2.50</w:t>
            </w:r>
          </w:p>
        </w:tc>
        <w:tc>
          <w:tcPr>
            <w:tcW w:w="751" w:type="dxa"/>
            <w:tcMar>
              <w:right w:w="57" w:type="dxa"/>
            </w:tcMar>
          </w:tcPr>
          <w:p w14:paraId="03A206D9" w14:textId="77777777" w:rsidR="00FA4226" w:rsidRPr="00CA2CC1" w:rsidRDefault="00000000" w:rsidP="0043303B">
            <w:pPr>
              <w:pStyle w:val="TableParagraph"/>
              <w:spacing w:before="43"/>
              <w:rPr>
                <w:rFonts w:cs="Calibri"/>
                <w:sz w:val="16"/>
              </w:rPr>
            </w:pPr>
            <w:r w:rsidRPr="00CA2CC1">
              <w:rPr>
                <w:rFonts w:cs="Calibri"/>
                <w:color w:val="414042"/>
                <w:sz w:val="16"/>
              </w:rPr>
              <w:t>0</w:t>
            </w:r>
          </w:p>
        </w:tc>
        <w:tc>
          <w:tcPr>
            <w:tcW w:w="615" w:type="dxa"/>
            <w:tcMar>
              <w:right w:w="57" w:type="dxa"/>
            </w:tcMar>
          </w:tcPr>
          <w:p w14:paraId="79ED56CB" w14:textId="77777777" w:rsidR="00FA4226" w:rsidRPr="00CA2CC1" w:rsidRDefault="00000000" w:rsidP="0043303B">
            <w:pPr>
              <w:pStyle w:val="TableParagraph"/>
              <w:spacing w:before="43"/>
              <w:rPr>
                <w:rFonts w:cs="Calibri"/>
                <w:sz w:val="16"/>
              </w:rPr>
            </w:pPr>
            <w:r w:rsidRPr="00CA2CC1">
              <w:rPr>
                <w:rFonts w:cs="Calibri"/>
                <w:color w:val="414042"/>
                <w:spacing w:val="-4"/>
                <w:sz w:val="16"/>
              </w:rPr>
              <w:t>0.00</w:t>
            </w:r>
          </w:p>
        </w:tc>
        <w:tc>
          <w:tcPr>
            <w:tcW w:w="751" w:type="dxa"/>
            <w:shd w:val="clear" w:color="auto" w:fill="EDEFF0"/>
            <w:tcMar>
              <w:right w:w="57" w:type="dxa"/>
            </w:tcMar>
          </w:tcPr>
          <w:p w14:paraId="2127B125" w14:textId="77777777" w:rsidR="00FA4226" w:rsidRPr="00CA2CC1" w:rsidRDefault="00000000" w:rsidP="0043303B">
            <w:pPr>
              <w:pStyle w:val="TableParagraph"/>
              <w:spacing w:before="43"/>
              <w:rPr>
                <w:rFonts w:cs="Calibri"/>
                <w:sz w:val="16"/>
              </w:rPr>
            </w:pPr>
            <w:r w:rsidRPr="00CA2CC1">
              <w:rPr>
                <w:rFonts w:cs="Calibri"/>
                <w:color w:val="414042"/>
                <w:sz w:val="16"/>
              </w:rPr>
              <w:t>3</w:t>
            </w:r>
          </w:p>
        </w:tc>
        <w:tc>
          <w:tcPr>
            <w:tcW w:w="615" w:type="dxa"/>
            <w:tcBorders>
              <w:right w:val="nil"/>
            </w:tcBorders>
            <w:shd w:val="clear" w:color="auto" w:fill="EDEFF0"/>
            <w:tcMar>
              <w:right w:w="57" w:type="dxa"/>
            </w:tcMar>
          </w:tcPr>
          <w:p w14:paraId="0AC3949D" w14:textId="77777777" w:rsidR="00FA4226" w:rsidRPr="00CA2CC1" w:rsidRDefault="00000000" w:rsidP="0043303B">
            <w:pPr>
              <w:pStyle w:val="TableParagraph"/>
              <w:spacing w:before="43"/>
              <w:jc w:val="center"/>
              <w:rPr>
                <w:rFonts w:cs="Calibri"/>
                <w:sz w:val="16"/>
              </w:rPr>
            </w:pPr>
            <w:r w:rsidRPr="00CA2CC1">
              <w:rPr>
                <w:rFonts w:cs="Calibri"/>
                <w:color w:val="414042"/>
                <w:spacing w:val="-4"/>
                <w:sz w:val="16"/>
              </w:rPr>
              <w:t>2.50</w:t>
            </w:r>
          </w:p>
        </w:tc>
      </w:tr>
      <w:tr w:rsidR="00FA4226" w:rsidRPr="00CA2CC1" w14:paraId="15266C27" w14:textId="77777777" w:rsidTr="00015707">
        <w:trPr>
          <w:trHeight w:val="290"/>
        </w:trPr>
        <w:tc>
          <w:tcPr>
            <w:tcW w:w="317" w:type="dxa"/>
            <w:vMerge/>
            <w:tcBorders>
              <w:top w:val="nil"/>
              <w:left w:val="nil"/>
            </w:tcBorders>
            <w:textDirection w:val="btLr"/>
          </w:tcPr>
          <w:p w14:paraId="1AE6E2B4" w14:textId="77777777" w:rsidR="00FA4226" w:rsidRPr="00CA2CC1" w:rsidRDefault="00FA4226" w:rsidP="0043303B">
            <w:pPr>
              <w:rPr>
                <w:rFonts w:cs="Calibri"/>
                <w:sz w:val="2"/>
                <w:szCs w:val="2"/>
              </w:rPr>
            </w:pPr>
          </w:p>
        </w:tc>
        <w:tc>
          <w:tcPr>
            <w:tcW w:w="1124" w:type="dxa"/>
          </w:tcPr>
          <w:p w14:paraId="2693E6B6" w14:textId="77777777" w:rsidR="00FA4226" w:rsidRPr="00CA2CC1" w:rsidRDefault="00000000" w:rsidP="0043303B">
            <w:pPr>
              <w:pStyle w:val="TableParagraph"/>
              <w:spacing w:before="28"/>
              <w:jc w:val="left"/>
              <w:rPr>
                <w:rFonts w:cs="Calibri"/>
                <w:sz w:val="16"/>
              </w:rPr>
            </w:pPr>
            <w:r w:rsidRPr="00CA2CC1">
              <w:rPr>
                <w:rFonts w:cs="Calibri"/>
                <w:color w:val="414042"/>
                <w:spacing w:val="-5"/>
                <w:sz w:val="16"/>
              </w:rPr>
              <w:t>65+</w:t>
            </w:r>
          </w:p>
        </w:tc>
        <w:tc>
          <w:tcPr>
            <w:tcW w:w="751" w:type="dxa"/>
            <w:tcMar>
              <w:right w:w="57" w:type="dxa"/>
            </w:tcMar>
          </w:tcPr>
          <w:p w14:paraId="1306AD5C" w14:textId="77777777" w:rsidR="00FA4226" w:rsidRPr="00CA2CC1" w:rsidRDefault="00000000" w:rsidP="0043303B">
            <w:pPr>
              <w:pStyle w:val="TableParagraph"/>
              <w:spacing w:before="28"/>
              <w:rPr>
                <w:rFonts w:cs="Calibri"/>
                <w:sz w:val="16"/>
              </w:rPr>
            </w:pPr>
            <w:r w:rsidRPr="00CA2CC1">
              <w:rPr>
                <w:rFonts w:cs="Calibri"/>
                <w:color w:val="414042"/>
                <w:sz w:val="16"/>
              </w:rPr>
              <w:t>0</w:t>
            </w:r>
          </w:p>
        </w:tc>
        <w:tc>
          <w:tcPr>
            <w:tcW w:w="615" w:type="dxa"/>
            <w:tcMar>
              <w:right w:w="57" w:type="dxa"/>
            </w:tcMar>
          </w:tcPr>
          <w:p w14:paraId="023562B7" w14:textId="77777777" w:rsidR="00FA4226" w:rsidRPr="00CA2CC1" w:rsidRDefault="00000000" w:rsidP="0043303B">
            <w:pPr>
              <w:pStyle w:val="TableParagraph"/>
              <w:spacing w:before="28"/>
              <w:jc w:val="center"/>
              <w:rPr>
                <w:rFonts w:cs="Calibri"/>
                <w:sz w:val="16"/>
              </w:rPr>
            </w:pPr>
            <w:r w:rsidRPr="00CA2CC1">
              <w:rPr>
                <w:rFonts w:cs="Calibri"/>
                <w:color w:val="414042"/>
                <w:spacing w:val="-4"/>
                <w:sz w:val="16"/>
              </w:rPr>
              <w:t>0.00</w:t>
            </w:r>
          </w:p>
        </w:tc>
        <w:tc>
          <w:tcPr>
            <w:tcW w:w="751" w:type="dxa"/>
            <w:tcMar>
              <w:right w:w="57" w:type="dxa"/>
            </w:tcMar>
          </w:tcPr>
          <w:p w14:paraId="5518B41C" w14:textId="77777777" w:rsidR="00FA4226" w:rsidRPr="00CA2CC1" w:rsidRDefault="00000000" w:rsidP="0043303B">
            <w:pPr>
              <w:pStyle w:val="TableParagraph"/>
              <w:spacing w:before="28"/>
              <w:rPr>
                <w:rFonts w:cs="Calibri"/>
                <w:sz w:val="16"/>
              </w:rPr>
            </w:pPr>
            <w:r w:rsidRPr="00CA2CC1">
              <w:rPr>
                <w:rFonts w:cs="Calibri"/>
                <w:color w:val="414042"/>
                <w:sz w:val="16"/>
              </w:rPr>
              <w:t>0</w:t>
            </w:r>
          </w:p>
        </w:tc>
        <w:tc>
          <w:tcPr>
            <w:tcW w:w="615" w:type="dxa"/>
            <w:tcMar>
              <w:right w:w="57" w:type="dxa"/>
            </w:tcMar>
          </w:tcPr>
          <w:p w14:paraId="2FC287C4" w14:textId="77777777" w:rsidR="00FA4226" w:rsidRPr="00CA2CC1" w:rsidRDefault="00000000" w:rsidP="0043303B">
            <w:pPr>
              <w:pStyle w:val="TableParagraph"/>
              <w:spacing w:before="28"/>
              <w:rPr>
                <w:rFonts w:cs="Calibri"/>
                <w:sz w:val="16"/>
              </w:rPr>
            </w:pPr>
            <w:r w:rsidRPr="00CA2CC1">
              <w:rPr>
                <w:rFonts w:cs="Calibri"/>
                <w:color w:val="414042"/>
                <w:spacing w:val="-4"/>
                <w:sz w:val="16"/>
              </w:rPr>
              <w:t>0.00</w:t>
            </w:r>
          </w:p>
        </w:tc>
        <w:tc>
          <w:tcPr>
            <w:tcW w:w="751" w:type="dxa"/>
            <w:shd w:val="clear" w:color="auto" w:fill="EDEFF0"/>
            <w:tcMar>
              <w:right w:w="57" w:type="dxa"/>
            </w:tcMar>
          </w:tcPr>
          <w:p w14:paraId="54DF42C4" w14:textId="77777777" w:rsidR="00FA4226" w:rsidRPr="00CA2CC1" w:rsidRDefault="00000000" w:rsidP="0043303B">
            <w:pPr>
              <w:pStyle w:val="TableParagraph"/>
              <w:spacing w:before="28"/>
              <w:rPr>
                <w:rFonts w:cs="Calibri"/>
                <w:sz w:val="16"/>
              </w:rPr>
            </w:pPr>
            <w:r w:rsidRPr="00CA2CC1">
              <w:rPr>
                <w:rFonts w:cs="Calibri"/>
                <w:color w:val="414042"/>
                <w:sz w:val="16"/>
              </w:rPr>
              <w:t>0</w:t>
            </w:r>
          </w:p>
        </w:tc>
        <w:tc>
          <w:tcPr>
            <w:tcW w:w="615" w:type="dxa"/>
            <w:shd w:val="clear" w:color="auto" w:fill="EDEFF0"/>
            <w:tcMar>
              <w:right w:w="57" w:type="dxa"/>
            </w:tcMar>
          </w:tcPr>
          <w:p w14:paraId="14114DDF" w14:textId="77777777" w:rsidR="00FA4226" w:rsidRPr="00CA2CC1" w:rsidRDefault="00000000" w:rsidP="0043303B">
            <w:pPr>
              <w:pStyle w:val="TableParagraph"/>
              <w:spacing w:before="28"/>
              <w:jc w:val="center"/>
              <w:rPr>
                <w:rFonts w:cs="Calibri"/>
                <w:sz w:val="16"/>
              </w:rPr>
            </w:pPr>
            <w:r w:rsidRPr="00CA2CC1">
              <w:rPr>
                <w:rFonts w:cs="Calibri"/>
                <w:color w:val="414042"/>
                <w:spacing w:val="-4"/>
                <w:sz w:val="16"/>
              </w:rPr>
              <w:t>0.00</w:t>
            </w:r>
          </w:p>
        </w:tc>
        <w:tc>
          <w:tcPr>
            <w:tcW w:w="751" w:type="dxa"/>
            <w:tcMar>
              <w:right w:w="57" w:type="dxa"/>
            </w:tcMar>
          </w:tcPr>
          <w:p w14:paraId="76E5105E" w14:textId="77777777" w:rsidR="00FA4226" w:rsidRPr="00CA2CC1" w:rsidRDefault="00000000" w:rsidP="0043303B">
            <w:pPr>
              <w:pStyle w:val="TableParagraph"/>
              <w:spacing w:before="28"/>
              <w:rPr>
                <w:rFonts w:cs="Calibri"/>
                <w:sz w:val="16"/>
              </w:rPr>
            </w:pPr>
            <w:r w:rsidRPr="00CA2CC1">
              <w:rPr>
                <w:rFonts w:cs="Calibri"/>
                <w:color w:val="414042"/>
                <w:sz w:val="16"/>
              </w:rPr>
              <w:t>0</w:t>
            </w:r>
          </w:p>
        </w:tc>
        <w:tc>
          <w:tcPr>
            <w:tcW w:w="615" w:type="dxa"/>
            <w:tcMar>
              <w:right w:w="57" w:type="dxa"/>
            </w:tcMar>
          </w:tcPr>
          <w:p w14:paraId="4CB1D45E" w14:textId="77777777" w:rsidR="00FA4226" w:rsidRPr="00CA2CC1" w:rsidRDefault="00000000" w:rsidP="0043303B">
            <w:pPr>
              <w:pStyle w:val="TableParagraph"/>
              <w:spacing w:before="28"/>
              <w:jc w:val="center"/>
              <w:rPr>
                <w:rFonts w:cs="Calibri"/>
                <w:sz w:val="16"/>
              </w:rPr>
            </w:pPr>
            <w:r w:rsidRPr="00CA2CC1">
              <w:rPr>
                <w:rFonts w:cs="Calibri"/>
                <w:color w:val="414042"/>
                <w:spacing w:val="-4"/>
                <w:sz w:val="16"/>
              </w:rPr>
              <w:t>0.00</w:t>
            </w:r>
          </w:p>
        </w:tc>
        <w:tc>
          <w:tcPr>
            <w:tcW w:w="751" w:type="dxa"/>
            <w:tcMar>
              <w:right w:w="57" w:type="dxa"/>
            </w:tcMar>
          </w:tcPr>
          <w:p w14:paraId="5D2CFB7B" w14:textId="77777777" w:rsidR="00FA4226" w:rsidRPr="00CA2CC1" w:rsidRDefault="00000000" w:rsidP="0043303B">
            <w:pPr>
              <w:pStyle w:val="TableParagraph"/>
              <w:spacing w:before="28"/>
              <w:rPr>
                <w:rFonts w:cs="Calibri"/>
                <w:sz w:val="16"/>
              </w:rPr>
            </w:pPr>
            <w:r w:rsidRPr="00CA2CC1">
              <w:rPr>
                <w:rFonts w:cs="Calibri"/>
                <w:color w:val="414042"/>
                <w:sz w:val="16"/>
              </w:rPr>
              <w:t>0</w:t>
            </w:r>
          </w:p>
        </w:tc>
        <w:tc>
          <w:tcPr>
            <w:tcW w:w="615" w:type="dxa"/>
            <w:tcMar>
              <w:right w:w="57" w:type="dxa"/>
            </w:tcMar>
          </w:tcPr>
          <w:p w14:paraId="21B875A7" w14:textId="77777777" w:rsidR="00FA4226" w:rsidRPr="00CA2CC1" w:rsidRDefault="00000000" w:rsidP="0043303B">
            <w:pPr>
              <w:pStyle w:val="TableParagraph"/>
              <w:spacing w:before="28"/>
              <w:rPr>
                <w:rFonts w:cs="Calibri"/>
                <w:sz w:val="16"/>
              </w:rPr>
            </w:pPr>
            <w:r w:rsidRPr="00CA2CC1">
              <w:rPr>
                <w:rFonts w:cs="Calibri"/>
                <w:color w:val="414042"/>
                <w:spacing w:val="-4"/>
                <w:sz w:val="16"/>
              </w:rPr>
              <w:t>0.00</w:t>
            </w:r>
          </w:p>
        </w:tc>
        <w:tc>
          <w:tcPr>
            <w:tcW w:w="751" w:type="dxa"/>
            <w:shd w:val="clear" w:color="auto" w:fill="EDEFF0"/>
            <w:tcMar>
              <w:right w:w="57" w:type="dxa"/>
            </w:tcMar>
          </w:tcPr>
          <w:p w14:paraId="3C864496" w14:textId="77777777" w:rsidR="00FA4226" w:rsidRPr="00CA2CC1" w:rsidRDefault="00000000" w:rsidP="0043303B">
            <w:pPr>
              <w:pStyle w:val="TableParagraph"/>
              <w:spacing w:before="28"/>
              <w:rPr>
                <w:rFonts w:cs="Calibri"/>
                <w:sz w:val="16"/>
              </w:rPr>
            </w:pPr>
            <w:r w:rsidRPr="00CA2CC1">
              <w:rPr>
                <w:rFonts w:cs="Calibri"/>
                <w:color w:val="414042"/>
                <w:sz w:val="16"/>
              </w:rPr>
              <w:t>0</w:t>
            </w:r>
          </w:p>
        </w:tc>
        <w:tc>
          <w:tcPr>
            <w:tcW w:w="615" w:type="dxa"/>
            <w:tcBorders>
              <w:right w:val="nil"/>
            </w:tcBorders>
            <w:shd w:val="clear" w:color="auto" w:fill="EDEFF0"/>
            <w:tcMar>
              <w:right w:w="57" w:type="dxa"/>
            </w:tcMar>
          </w:tcPr>
          <w:p w14:paraId="0601FBD2" w14:textId="77777777" w:rsidR="00FA4226" w:rsidRPr="00CA2CC1" w:rsidRDefault="00000000" w:rsidP="0043303B">
            <w:pPr>
              <w:pStyle w:val="TableParagraph"/>
              <w:spacing w:before="28"/>
              <w:jc w:val="center"/>
              <w:rPr>
                <w:rFonts w:cs="Calibri"/>
                <w:sz w:val="16"/>
              </w:rPr>
            </w:pPr>
            <w:r w:rsidRPr="00CA2CC1">
              <w:rPr>
                <w:rFonts w:cs="Calibri"/>
                <w:color w:val="414042"/>
                <w:spacing w:val="-4"/>
                <w:sz w:val="16"/>
              </w:rPr>
              <w:t>0.00</w:t>
            </w:r>
          </w:p>
        </w:tc>
      </w:tr>
      <w:tr w:rsidR="00FA4226" w:rsidRPr="00CA2CC1" w14:paraId="494D1155" w14:textId="77777777" w:rsidTr="00015707">
        <w:trPr>
          <w:trHeight w:val="280"/>
        </w:trPr>
        <w:tc>
          <w:tcPr>
            <w:tcW w:w="317" w:type="dxa"/>
            <w:vMerge/>
            <w:tcBorders>
              <w:top w:val="nil"/>
              <w:left w:val="nil"/>
            </w:tcBorders>
            <w:textDirection w:val="btLr"/>
          </w:tcPr>
          <w:p w14:paraId="7E0FC4DE" w14:textId="77777777" w:rsidR="00FA4226" w:rsidRPr="00CA2CC1" w:rsidRDefault="00FA4226" w:rsidP="0043303B">
            <w:pPr>
              <w:rPr>
                <w:rFonts w:cs="Calibri"/>
                <w:sz w:val="2"/>
                <w:szCs w:val="2"/>
              </w:rPr>
            </w:pPr>
          </w:p>
        </w:tc>
        <w:tc>
          <w:tcPr>
            <w:tcW w:w="1124" w:type="dxa"/>
          </w:tcPr>
          <w:p w14:paraId="3E007B66" w14:textId="77777777" w:rsidR="00FA4226" w:rsidRPr="00CA2CC1" w:rsidRDefault="00000000" w:rsidP="0043303B">
            <w:pPr>
              <w:pStyle w:val="TableParagraph"/>
              <w:spacing w:before="18"/>
              <w:jc w:val="left"/>
              <w:rPr>
                <w:rFonts w:cs="Calibri"/>
                <w:sz w:val="16"/>
              </w:rPr>
            </w:pPr>
            <w:r w:rsidRPr="00CA2CC1">
              <w:rPr>
                <w:rFonts w:cs="Calibri"/>
                <w:color w:val="414042"/>
                <w:spacing w:val="-4"/>
                <w:sz w:val="16"/>
              </w:rPr>
              <w:t>VPSG2</w:t>
            </w:r>
          </w:p>
        </w:tc>
        <w:tc>
          <w:tcPr>
            <w:tcW w:w="751" w:type="dxa"/>
            <w:tcMar>
              <w:right w:w="57" w:type="dxa"/>
            </w:tcMar>
          </w:tcPr>
          <w:p w14:paraId="338AD08C" w14:textId="77777777" w:rsidR="00FA4226" w:rsidRPr="00CA2CC1" w:rsidRDefault="00000000" w:rsidP="0043303B">
            <w:pPr>
              <w:pStyle w:val="TableParagraph"/>
              <w:spacing w:before="18"/>
              <w:rPr>
                <w:rFonts w:cs="Calibri"/>
                <w:sz w:val="16"/>
              </w:rPr>
            </w:pPr>
            <w:r w:rsidRPr="00CA2CC1">
              <w:rPr>
                <w:rFonts w:cs="Calibri"/>
                <w:color w:val="414042"/>
                <w:sz w:val="16"/>
              </w:rPr>
              <w:t>0</w:t>
            </w:r>
          </w:p>
        </w:tc>
        <w:tc>
          <w:tcPr>
            <w:tcW w:w="615" w:type="dxa"/>
            <w:tcMar>
              <w:right w:w="57" w:type="dxa"/>
            </w:tcMar>
          </w:tcPr>
          <w:p w14:paraId="6F6F5230" w14:textId="77777777" w:rsidR="00FA4226" w:rsidRPr="00CA2CC1" w:rsidRDefault="00000000" w:rsidP="0043303B">
            <w:pPr>
              <w:pStyle w:val="TableParagraph"/>
              <w:spacing w:before="18"/>
              <w:jc w:val="center"/>
              <w:rPr>
                <w:rFonts w:cs="Calibri"/>
                <w:sz w:val="16"/>
              </w:rPr>
            </w:pPr>
            <w:r w:rsidRPr="00CA2CC1">
              <w:rPr>
                <w:rFonts w:cs="Calibri"/>
                <w:color w:val="414042"/>
                <w:spacing w:val="-4"/>
                <w:sz w:val="16"/>
              </w:rPr>
              <w:t>0.00</w:t>
            </w:r>
          </w:p>
        </w:tc>
        <w:tc>
          <w:tcPr>
            <w:tcW w:w="751" w:type="dxa"/>
            <w:tcMar>
              <w:right w:w="57" w:type="dxa"/>
            </w:tcMar>
          </w:tcPr>
          <w:p w14:paraId="1CB0F8A5" w14:textId="77777777" w:rsidR="00FA4226" w:rsidRPr="00CA2CC1" w:rsidRDefault="00000000" w:rsidP="0043303B">
            <w:pPr>
              <w:pStyle w:val="TableParagraph"/>
              <w:spacing w:before="18"/>
              <w:rPr>
                <w:rFonts w:cs="Calibri"/>
                <w:sz w:val="16"/>
              </w:rPr>
            </w:pPr>
            <w:r w:rsidRPr="00CA2CC1">
              <w:rPr>
                <w:rFonts w:cs="Calibri"/>
                <w:color w:val="414042"/>
                <w:sz w:val="16"/>
              </w:rPr>
              <w:t>1</w:t>
            </w:r>
          </w:p>
        </w:tc>
        <w:tc>
          <w:tcPr>
            <w:tcW w:w="615" w:type="dxa"/>
            <w:tcMar>
              <w:right w:w="57" w:type="dxa"/>
            </w:tcMar>
          </w:tcPr>
          <w:p w14:paraId="4C3F997F" w14:textId="77777777" w:rsidR="00FA4226" w:rsidRPr="00CA2CC1" w:rsidRDefault="00000000" w:rsidP="0043303B">
            <w:pPr>
              <w:pStyle w:val="TableParagraph"/>
              <w:spacing w:before="18"/>
              <w:rPr>
                <w:rFonts w:cs="Calibri"/>
                <w:sz w:val="16"/>
              </w:rPr>
            </w:pPr>
            <w:r w:rsidRPr="00CA2CC1">
              <w:rPr>
                <w:rFonts w:cs="Calibri"/>
                <w:color w:val="414042"/>
                <w:spacing w:val="-4"/>
                <w:sz w:val="16"/>
              </w:rPr>
              <w:t>0.39</w:t>
            </w:r>
          </w:p>
        </w:tc>
        <w:tc>
          <w:tcPr>
            <w:tcW w:w="751" w:type="dxa"/>
            <w:shd w:val="clear" w:color="auto" w:fill="EDEFF0"/>
            <w:tcMar>
              <w:right w:w="57" w:type="dxa"/>
            </w:tcMar>
          </w:tcPr>
          <w:p w14:paraId="3EF088E2" w14:textId="77777777" w:rsidR="00FA4226" w:rsidRPr="00CA2CC1" w:rsidRDefault="00000000" w:rsidP="0043303B">
            <w:pPr>
              <w:pStyle w:val="TableParagraph"/>
              <w:spacing w:before="18"/>
              <w:rPr>
                <w:rFonts w:cs="Calibri"/>
                <w:sz w:val="16"/>
              </w:rPr>
            </w:pPr>
            <w:r w:rsidRPr="00CA2CC1">
              <w:rPr>
                <w:rFonts w:cs="Calibri"/>
                <w:color w:val="414042"/>
                <w:sz w:val="16"/>
              </w:rPr>
              <w:t>1</w:t>
            </w:r>
          </w:p>
        </w:tc>
        <w:tc>
          <w:tcPr>
            <w:tcW w:w="615" w:type="dxa"/>
            <w:shd w:val="clear" w:color="auto" w:fill="EDEFF0"/>
            <w:tcMar>
              <w:right w:w="57" w:type="dxa"/>
            </w:tcMar>
          </w:tcPr>
          <w:p w14:paraId="2CC02796" w14:textId="77777777" w:rsidR="00FA4226" w:rsidRPr="00CA2CC1" w:rsidRDefault="00000000" w:rsidP="0043303B">
            <w:pPr>
              <w:pStyle w:val="TableParagraph"/>
              <w:spacing w:before="18"/>
              <w:jc w:val="center"/>
              <w:rPr>
                <w:rFonts w:cs="Calibri"/>
                <w:sz w:val="16"/>
              </w:rPr>
            </w:pPr>
            <w:r w:rsidRPr="00CA2CC1">
              <w:rPr>
                <w:rFonts w:cs="Calibri"/>
                <w:color w:val="414042"/>
                <w:spacing w:val="-4"/>
                <w:sz w:val="16"/>
              </w:rPr>
              <w:t>0.39</w:t>
            </w:r>
          </w:p>
        </w:tc>
        <w:tc>
          <w:tcPr>
            <w:tcW w:w="751" w:type="dxa"/>
            <w:tcMar>
              <w:right w:w="57" w:type="dxa"/>
            </w:tcMar>
          </w:tcPr>
          <w:p w14:paraId="62BB6508" w14:textId="77777777" w:rsidR="00FA4226" w:rsidRPr="00CA2CC1" w:rsidRDefault="00000000" w:rsidP="0043303B">
            <w:pPr>
              <w:pStyle w:val="TableParagraph"/>
              <w:spacing w:before="18"/>
              <w:rPr>
                <w:rFonts w:cs="Calibri"/>
                <w:sz w:val="16"/>
              </w:rPr>
            </w:pPr>
            <w:r w:rsidRPr="00CA2CC1">
              <w:rPr>
                <w:rFonts w:cs="Calibri"/>
                <w:color w:val="414042"/>
                <w:sz w:val="16"/>
              </w:rPr>
              <w:t>0</w:t>
            </w:r>
          </w:p>
        </w:tc>
        <w:tc>
          <w:tcPr>
            <w:tcW w:w="615" w:type="dxa"/>
            <w:tcMar>
              <w:right w:w="57" w:type="dxa"/>
            </w:tcMar>
          </w:tcPr>
          <w:p w14:paraId="4A1FBEF2" w14:textId="77777777" w:rsidR="00FA4226" w:rsidRPr="00CA2CC1" w:rsidRDefault="00000000" w:rsidP="0043303B">
            <w:pPr>
              <w:pStyle w:val="TableParagraph"/>
              <w:spacing w:before="18"/>
              <w:jc w:val="center"/>
              <w:rPr>
                <w:rFonts w:cs="Calibri"/>
                <w:sz w:val="16"/>
              </w:rPr>
            </w:pPr>
            <w:r w:rsidRPr="00CA2CC1">
              <w:rPr>
                <w:rFonts w:cs="Calibri"/>
                <w:color w:val="414042"/>
                <w:spacing w:val="-4"/>
                <w:sz w:val="16"/>
              </w:rPr>
              <w:t>0.00</w:t>
            </w:r>
          </w:p>
        </w:tc>
        <w:tc>
          <w:tcPr>
            <w:tcW w:w="751" w:type="dxa"/>
            <w:tcMar>
              <w:right w:w="57" w:type="dxa"/>
            </w:tcMar>
          </w:tcPr>
          <w:p w14:paraId="3EED17FD" w14:textId="77777777" w:rsidR="00FA4226" w:rsidRPr="00CA2CC1" w:rsidRDefault="00000000" w:rsidP="0043303B">
            <w:pPr>
              <w:pStyle w:val="TableParagraph"/>
              <w:spacing w:before="18"/>
              <w:rPr>
                <w:rFonts w:cs="Calibri"/>
                <w:sz w:val="16"/>
              </w:rPr>
            </w:pPr>
            <w:r w:rsidRPr="00CA2CC1">
              <w:rPr>
                <w:rFonts w:cs="Calibri"/>
                <w:color w:val="414042"/>
                <w:sz w:val="16"/>
              </w:rPr>
              <w:t>4</w:t>
            </w:r>
          </w:p>
        </w:tc>
        <w:tc>
          <w:tcPr>
            <w:tcW w:w="615" w:type="dxa"/>
            <w:tcMar>
              <w:right w:w="57" w:type="dxa"/>
            </w:tcMar>
          </w:tcPr>
          <w:p w14:paraId="28BE2917" w14:textId="77777777" w:rsidR="00FA4226" w:rsidRPr="00CA2CC1" w:rsidRDefault="00000000" w:rsidP="0043303B">
            <w:pPr>
              <w:pStyle w:val="TableParagraph"/>
              <w:spacing w:before="18"/>
              <w:rPr>
                <w:rFonts w:cs="Calibri"/>
                <w:sz w:val="16"/>
              </w:rPr>
            </w:pPr>
            <w:r w:rsidRPr="00CA2CC1">
              <w:rPr>
                <w:rFonts w:cs="Calibri"/>
                <w:color w:val="414042"/>
                <w:spacing w:val="-4"/>
                <w:sz w:val="16"/>
              </w:rPr>
              <w:t>2.60</w:t>
            </w:r>
          </w:p>
        </w:tc>
        <w:tc>
          <w:tcPr>
            <w:tcW w:w="751" w:type="dxa"/>
            <w:shd w:val="clear" w:color="auto" w:fill="EDEFF0"/>
            <w:tcMar>
              <w:right w:w="57" w:type="dxa"/>
            </w:tcMar>
          </w:tcPr>
          <w:p w14:paraId="223B2B94" w14:textId="77777777" w:rsidR="00FA4226" w:rsidRPr="00CA2CC1" w:rsidRDefault="00000000" w:rsidP="0043303B">
            <w:pPr>
              <w:pStyle w:val="TableParagraph"/>
              <w:spacing w:before="18"/>
              <w:rPr>
                <w:rFonts w:cs="Calibri"/>
                <w:sz w:val="16"/>
              </w:rPr>
            </w:pPr>
            <w:r w:rsidRPr="00CA2CC1">
              <w:rPr>
                <w:rFonts w:cs="Calibri"/>
                <w:color w:val="414042"/>
                <w:sz w:val="16"/>
              </w:rPr>
              <w:t>4</w:t>
            </w:r>
          </w:p>
        </w:tc>
        <w:tc>
          <w:tcPr>
            <w:tcW w:w="615" w:type="dxa"/>
            <w:tcBorders>
              <w:right w:val="nil"/>
            </w:tcBorders>
            <w:shd w:val="clear" w:color="auto" w:fill="EDEFF0"/>
            <w:tcMar>
              <w:right w:w="57" w:type="dxa"/>
            </w:tcMar>
          </w:tcPr>
          <w:p w14:paraId="53038689" w14:textId="77777777" w:rsidR="00FA4226" w:rsidRPr="00CA2CC1" w:rsidRDefault="00000000" w:rsidP="0043303B">
            <w:pPr>
              <w:pStyle w:val="TableParagraph"/>
              <w:spacing w:before="18"/>
              <w:jc w:val="center"/>
              <w:rPr>
                <w:rFonts w:cs="Calibri"/>
                <w:sz w:val="16"/>
              </w:rPr>
            </w:pPr>
            <w:r w:rsidRPr="00CA2CC1">
              <w:rPr>
                <w:rFonts w:cs="Calibri"/>
                <w:color w:val="414042"/>
                <w:spacing w:val="-4"/>
                <w:sz w:val="16"/>
              </w:rPr>
              <w:t>2.60</w:t>
            </w:r>
          </w:p>
        </w:tc>
      </w:tr>
      <w:tr w:rsidR="00FA4226" w:rsidRPr="00CA2CC1" w14:paraId="42250F7B" w14:textId="77777777" w:rsidTr="00015707">
        <w:trPr>
          <w:trHeight w:val="280"/>
        </w:trPr>
        <w:tc>
          <w:tcPr>
            <w:tcW w:w="317" w:type="dxa"/>
            <w:vMerge/>
            <w:tcBorders>
              <w:top w:val="nil"/>
              <w:left w:val="nil"/>
            </w:tcBorders>
            <w:textDirection w:val="btLr"/>
          </w:tcPr>
          <w:p w14:paraId="2C9EC25F" w14:textId="77777777" w:rsidR="00FA4226" w:rsidRPr="00CA2CC1" w:rsidRDefault="00FA4226" w:rsidP="0043303B">
            <w:pPr>
              <w:rPr>
                <w:rFonts w:cs="Calibri"/>
                <w:sz w:val="2"/>
                <w:szCs w:val="2"/>
              </w:rPr>
            </w:pPr>
          </w:p>
        </w:tc>
        <w:tc>
          <w:tcPr>
            <w:tcW w:w="1124" w:type="dxa"/>
          </w:tcPr>
          <w:p w14:paraId="61937DD7" w14:textId="77777777" w:rsidR="00FA4226" w:rsidRPr="00CA2CC1" w:rsidRDefault="00000000" w:rsidP="0043303B">
            <w:pPr>
              <w:pStyle w:val="TableParagraph"/>
              <w:spacing w:before="18"/>
              <w:jc w:val="left"/>
              <w:rPr>
                <w:rFonts w:cs="Calibri"/>
                <w:sz w:val="16"/>
              </w:rPr>
            </w:pPr>
            <w:r w:rsidRPr="00CA2CC1">
              <w:rPr>
                <w:rFonts w:cs="Calibri"/>
                <w:color w:val="414042"/>
                <w:spacing w:val="-4"/>
                <w:sz w:val="16"/>
              </w:rPr>
              <w:t>VPSG3</w:t>
            </w:r>
          </w:p>
        </w:tc>
        <w:tc>
          <w:tcPr>
            <w:tcW w:w="751" w:type="dxa"/>
            <w:tcMar>
              <w:right w:w="57" w:type="dxa"/>
            </w:tcMar>
          </w:tcPr>
          <w:p w14:paraId="724F9E4F" w14:textId="77777777" w:rsidR="00FA4226" w:rsidRPr="00CA2CC1" w:rsidRDefault="00000000" w:rsidP="0043303B">
            <w:pPr>
              <w:pStyle w:val="TableParagraph"/>
              <w:spacing w:before="18"/>
              <w:rPr>
                <w:rFonts w:cs="Calibri"/>
                <w:sz w:val="16"/>
              </w:rPr>
            </w:pPr>
            <w:r w:rsidRPr="00CA2CC1">
              <w:rPr>
                <w:rFonts w:cs="Calibri"/>
                <w:color w:val="414042"/>
                <w:sz w:val="16"/>
              </w:rPr>
              <w:t>4</w:t>
            </w:r>
          </w:p>
        </w:tc>
        <w:tc>
          <w:tcPr>
            <w:tcW w:w="615" w:type="dxa"/>
            <w:tcMar>
              <w:right w:w="57" w:type="dxa"/>
            </w:tcMar>
          </w:tcPr>
          <w:p w14:paraId="73792A8B" w14:textId="77777777" w:rsidR="00FA4226" w:rsidRPr="00CA2CC1" w:rsidRDefault="00000000" w:rsidP="0043303B">
            <w:pPr>
              <w:pStyle w:val="TableParagraph"/>
              <w:spacing w:before="18"/>
              <w:jc w:val="center"/>
              <w:rPr>
                <w:rFonts w:cs="Calibri"/>
                <w:sz w:val="16"/>
              </w:rPr>
            </w:pPr>
            <w:r w:rsidRPr="00CA2CC1">
              <w:rPr>
                <w:rFonts w:cs="Calibri"/>
                <w:color w:val="414042"/>
                <w:spacing w:val="-4"/>
                <w:sz w:val="16"/>
              </w:rPr>
              <w:t>4.00</w:t>
            </w:r>
          </w:p>
        </w:tc>
        <w:tc>
          <w:tcPr>
            <w:tcW w:w="751" w:type="dxa"/>
            <w:tcMar>
              <w:right w:w="57" w:type="dxa"/>
            </w:tcMar>
          </w:tcPr>
          <w:p w14:paraId="0A61FB47" w14:textId="77777777" w:rsidR="00FA4226" w:rsidRPr="00CA2CC1" w:rsidRDefault="00000000" w:rsidP="0043303B">
            <w:pPr>
              <w:pStyle w:val="TableParagraph"/>
              <w:spacing w:before="18"/>
              <w:rPr>
                <w:rFonts w:cs="Calibri"/>
                <w:sz w:val="16"/>
              </w:rPr>
            </w:pPr>
            <w:r w:rsidRPr="00CA2CC1">
              <w:rPr>
                <w:rFonts w:cs="Calibri"/>
                <w:color w:val="414042"/>
                <w:sz w:val="16"/>
              </w:rPr>
              <w:t>1</w:t>
            </w:r>
          </w:p>
        </w:tc>
        <w:tc>
          <w:tcPr>
            <w:tcW w:w="615" w:type="dxa"/>
            <w:tcMar>
              <w:right w:w="57" w:type="dxa"/>
            </w:tcMar>
          </w:tcPr>
          <w:p w14:paraId="6BF1921B" w14:textId="77777777" w:rsidR="00FA4226" w:rsidRPr="00CA2CC1" w:rsidRDefault="00000000" w:rsidP="0043303B">
            <w:pPr>
              <w:pStyle w:val="TableParagraph"/>
              <w:spacing w:before="18"/>
              <w:rPr>
                <w:rFonts w:cs="Calibri"/>
                <w:sz w:val="16"/>
              </w:rPr>
            </w:pPr>
            <w:r w:rsidRPr="00CA2CC1">
              <w:rPr>
                <w:rFonts w:cs="Calibri"/>
                <w:color w:val="414042"/>
                <w:spacing w:val="-4"/>
                <w:sz w:val="16"/>
              </w:rPr>
              <w:t>0.59</w:t>
            </w:r>
          </w:p>
        </w:tc>
        <w:tc>
          <w:tcPr>
            <w:tcW w:w="751" w:type="dxa"/>
            <w:shd w:val="clear" w:color="auto" w:fill="EDEFF0"/>
            <w:tcMar>
              <w:right w:w="57" w:type="dxa"/>
            </w:tcMar>
          </w:tcPr>
          <w:p w14:paraId="2D7F024E" w14:textId="77777777" w:rsidR="00FA4226" w:rsidRPr="00CA2CC1" w:rsidRDefault="00000000" w:rsidP="0043303B">
            <w:pPr>
              <w:pStyle w:val="TableParagraph"/>
              <w:spacing w:before="18"/>
              <w:rPr>
                <w:rFonts w:cs="Calibri"/>
                <w:sz w:val="16"/>
              </w:rPr>
            </w:pPr>
            <w:r w:rsidRPr="00CA2CC1">
              <w:rPr>
                <w:rFonts w:cs="Calibri"/>
                <w:color w:val="414042"/>
                <w:sz w:val="16"/>
              </w:rPr>
              <w:t>5</w:t>
            </w:r>
          </w:p>
        </w:tc>
        <w:tc>
          <w:tcPr>
            <w:tcW w:w="615" w:type="dxa"/>
            <w:shd w:val="clear" w:color="auto" w:fill="EDEFF0"/>
            <w:tcMar>
              <w:right w:w="57" w:type="dxa"/>
            </w:tcMar>
          </w:tcPr>
          <w:p w14:paraId="7C8844C5" w14:textId="77777777" w:rsidR="00FA4226" w:rsidRPr="00CA2CC1" w:rsidRDefault="00000000" w:rsidP="0043303B">
            <w:pPr>
              <w:pStyle w:val="TableParagraph"/>
              <w:spacing w:before="18"/>
              <w:jc w:val="center"/>
              <w:rPr>
                <w:rFonts w:cs="Calibri"/>
                <w:sz w:val="16"/>
              </w:rPr>
            </w:pPr>
            <w:r w:rsidRPr="00CA2CC1">
              <w:rPr>
                <w:rFonts w:cs="Calibri"/>
                <w:color w:val="414042"/>
                <w:spacing w:val="-4"/>
                <w:sz w:val="16"/>
              </w:rPr>
              <w:t>4.59</w:t>
            </w:r>
          </w:p>
        </w:tc>
        <w:tc>
          <w:tcPr>
            <w:tcW w:w="751" w:type="dxa"/>
            <w:tcMar>
              <w:right w:w="57" w:type="dxa"/>
            </w:tcMar>
          </w:tcPr>
          <w:p w14:paraId="12C342FD" w14:textId="77777777" w:rsidR="00FA4226" w:rsidRPr="00CA2CC1" w:rsidRDefault="00000000" w:rsidP="0043303B">
            <w:pPr>
              <w:pStyle w:val="TableParagraph"/>
              <w:spacing w:before="18"/>
              <w:rPr>
                <w:rFonts w:cs="Calibri"/>
                <w:sz w:val="16"/>
              </w:rPr>
            </w:pPr>
            <w:r w:rsidRPr="00CA2CC1">
              <w:rPr>
                <w:rFonts w:cs="Calibri"/>
                <w:color w:val="414042"/>
                <w:sz w:val="16"/>
              </w:rPr>
              <w:t>2</w:t>
            </w:r>
          </w:p>
        </w:tc>
        <w:tc>
          <w:tcPr>
            <w:tcW w:w="615" w:type="dxa"/>
            <w:tcMar>
              <w:right w:w="57" w:type="dxa"/>
            </w:tcMar>
          </w:tcPr>
          <w:p w14:paraId="67ED9C54" w14:textId="77777777" w:rsidR="00FA4226" w:rsidRPr="00CA2CC1" w:rsidRDefault="00000000" w:rsidP="0043303B">
            <w:pPr>
              <w:pStyle w:val="TableParagraph"/>
              <w:spacing w:before="18"/>
              <w:jc w:val="center"/>
              <w:rPr>
                <w:rFonts w:cs="Calibri"/>
                <w:sz w:val="16"/>
              </w:rPr>
            </w:pPr>
            <w:r w:rsidRPr="00CA2CC1">
              <w:rPr>
                <w:rFonts w:cs="Calibri"/>
                <w:color w:val="414042"/>
                <w:spacing w:val="-4"/>
                <w:sz w:val="16"/>
              </w:rPr>
              <w:t>2.00</w:t>
            </w:r>
          </w:p>
        </w:tc>
        <w:tc>
          <w:tcPr>
            <w:tcW w:w="751" w:type="dxa"/>
            <w:tcMar>
              <w:right w:w="57" w:type="dxa"/>
            </w:tcMar>
          </w:tcPr>
          <w:p w14:paraId="21933A1A" w14:textId="77777777" w:rsidR="00FA4226" w:rsidRPr="00CA2CC1" w:rsidRDefault="00000000" w:rsidP="0043303B">
            <w:pPr>
              <w:pStyle w:val="TableParagraph"/>
              <w:spacing w:before="18"/>
              <w:rPr>
                <w:rFonts w:cs="Calibri"/>
                <w:sz w:val="16"/>
              </w:rPr>
            </w:pPr>
            <w:r w:rsidRPr="00CA2CC1">
              <w:rPr>
                <w:rFonts w:cs="Calibri"/>
                <w:color w:val="414042"/>
                <w:sz w:val="16"/>
              </w:rPr>
              <w:t>0</w:t>
            </w:r>
          </w:p>
        </w:tc>
        <w:tc>
          <w:tcPr>
            <w:tcW w:w="615" w:type="dxa"/>
            <w:tcMar>
              <w:right w:w="57" w:type="dxa"/>
            </w:tcMar>
          </w:tcPr>
          <w:p w14:paraId="2828CD64" w14:textId="77777777" w:rsidR="00FA4226" w:rsidRPr="00CA2CC1" w:rsidRDefault="00000000" w:rsidP="0043303B">
            <w:pPr>
              <w:pStyle w:val="TableParagraph"/>
              <w:spacing w:before="18"/>
              <w:rPr>
                <w:rFonts w:cs="Calibri"/>
                <w:sz w:val="16"/>
              </w:rPr>
            </w:pPr>
            <w:r w:rsidRPr="00CA2CC1">
              <w:rPr>
                <w:rFonts w:cs="Calibri"/>
                <w:color w:val="414042"/>
                <w:spacing w:val="-4"/>
                <w:sz w:val="16"/>
              </w:rPr>
              <w:t>0.00</w:t>
            </w:r>
          </w:p>
        </w:tc>
        <w:tc>
          <w:tcPr>
            <w:tcW w:w="751" w:type="dxa"/>
            <w:shd w:val="clear" w:color="auto" w:fill="EDEFF0"/>
            <w:tcMar>
              <w:right w:w="57" w:type="dxa"/>
            </w:tcMar>
          </w:tcPr>
          <w:p w14:paraId="405C35EB" w14:textId="77777777" w:rsidR="00FA4226" w:rsidRPr="00CA2CC1" w:rsidRDefault="00000000" w:rsidP="0043303B">
            <w:pPr>
              <w:pStyle w:val="TableParagraph"/>
              <w:spacing w:before="18"/>
              <w:rPr>
                <w:rFonts w:cs="Calibri"/>
                <w:sz w:val="16"/>
              </w:rPr>
            </w:pPr>
            <w:r w:rsidRPr="00CA2CC1">
              <w:rPr>
                <w:rFonts w:cs="Calibri"/>
                <w:color w:val="414042"/>
                <w:sz w:val="16"/>
              </w:rPr>
              <w:t>2</w:t>
            </w:r>
          </w:p>
        </w:tc>
        <w:tc>
          <w:tcPr>
            <w:tcW w:w="615" w:type="dxa"/>
            <w:tcBorders>
              <w:right w:val="nil"/>
            </w:tcBorders>
            <w:shd w:val="clear" w:color="auto" w:fill="EDEFF0"/>
            <w:tcMar>
              <w:right w:w="57" w:type="dxa"/>
            </w:tcMar>
          </w:tcPr>
          <w:p w14:paraId="2C8D41E1" w14:textId="77777777" w:rsidR="00FA4226" w:rsidRPr="00CA2CC1" w:rsidRDefault="00000000" w:rsidP="0043303B">
            <w:pPr>
              <w:pStyle w:val="TableParagraph"/>
              <w:spacing w:before="18"/>
              <w:jc w:val="center"/>
              <w:rPr>
                <w:rFonts w:cs="Calibri"/>
                <w:sz w:val="16"/>
              </w:rPr>
            </w:pPr>
            <w:r w:rsidRPr="00CA2CC1">
              <w:rPr>
                <w:rFonts w:cs="Calibri"/>
                <w:color w:val="414042"/>
                <w:spacing w:val="-4"/>
                <w:sz w:val="16"/>
              </w:rPr>
              <w:t>2.00</w:t>
            </w:r>
          </w:p>
        </w:tc>
      </w:tr>
      <w:tr w:rsidR="00FA4226" w:rsidRPr="00CA2CC1" w14:paraId="64703117" w14:textId="77777777" w:rsidTr="00015707">
        <w:trPr>
          <w:trHeight w:val="280"/>
        </w:trPr>
        <w:tc>
          <w:tcPr>
            <w:tcW w:w="317" w:type="dxa"/>
            <w:vMerge/>
            <w:tcBorders>
              <w:top w:val="nil"/>
              <w:left w:val="nil"/>
            </w:tcBorders>
            <w:textDirection w:val="btLr"/>
          </w:tcPr>
          <w:p w14:paraId="22CFCB1C" w14:textId="77777777" w:rsidR="00FA4226" w:rsidRPr="00CA2CC1" w:rsidRDefault="00FA4226" w:rsidP="0043303B">
            <w:pPr>
              <w:rPr>
                <w:rFonts w:cs="Calibri"/>
                <w:sz w:val="2"/>
                <w:szCs w:val="2"/>
              </w:rPr>
            </w:pPr>
          </w:p>
        </w:tc>
        <w:tc>
          <w:tcPr>
            <w:tcW w:w="1124" w:type="dxa"/>
          </w:tcPr>
          <w:p w14:paraId="18AFBA74" w14:textId="77777777" w:rsidR="00FA4226" w:rsidRPr="00CA2CC1" w:rsidRDefault="00000000" w:rsidP="0043303B">
            <w:pPr>
              <w:pStyle w:val="TableParagraph"/>
              <w:spacing w:before="18"/>
              <w:jc w:val="left"/>
              <w:rPr>
                <w:rFonts w:cs="Calibri"/>
                <w:sz w:val="16"/>
              </w:rPr>
            </w:pPr>
            <w:r w:rsidRPr="00CA2CC1">
              <w:rPr>
                <w:rFonts w:cs="Calibri"/>
                <w:color w:val="414042"/>
                <w:spacing w:val="-4"/>
                <w:sz w:val="16"/>
              </w:rPr>
              <w:t>VPSG4</w:t>
            </w:r>
          </w:p>
        </w:tc>
        <w:tc>
          <w:tcPr>
            <w:tcW w:w="751" w:type="dxa"/>
            <w:tcMar>
              <w:right w:w="57" w:type="dxa"/>
            </w:tcMar>
          </w:tcPr>
          <w:p w14:paraId="2890C058" w14:textId="77777777" w:rsidR="00FA4226" w:rsidRPr="00CA2CC1" w:rsidRDefault="00000000" w:rsidP="0043303B">
            <w:pPr>
              <w:pStyle w:val="TableParagraph"/>
              <w:spacing w:before="18"/>
              <w:rPr>
                <w:rFonts w:cs="Calibri"/>
                <w:sz w:val="16"/>
              </w:rPr>
            </w:pPr>
            <w:r w:rsidRPr="00CA2CC1">
              <w:rPr>
                <w:rFonts w:cs="Calibri"/>
                <w:color w:val="414042"/>
                <w:sz w:val="16"/>
              </w:rPr>
              <w:t>5</w:t>
            </w:r>
          </w:p>
        </w:tc>
        <w:tc>
          <w:tcPr>
            <w:tcW w:w="615" w:type="dxa"/>
            <w:tcMar>
              <w:right w:w="57" w:type="dxa"/>
            </w:tcMar>
          </w:tcPr>
          <w:p w14:paraId="542FBF64" w14:textId="77777777" w:rsidR="00FA4226" w:rsidRPr="00CA2CC1" w:rsidRDefault="00000000" w:rsidP="0043303B">
            <w:pPr>
              <w:pStyle w:val="TableParagraph"/>
              <w:spacing w:before="18"/>
              <w:jc w:val="center"/>
              <w:rPr>
                <w:rFonts w:cs="Calibri"/>
                <w:sz w:val="16"/>
              </w:rPr>
            </w:pPr>
            <w:r w:rsidRPr="00CA2CC1">
              <w:rPr>
                <w:rFonts w:cs="Calibri"/>
                <w:color w:val="414042"/>
                <w:spacing w:val="-4"/>
                <w:sz w:val="16"/>
              </w:rPr>
              <w:t>4.70</w:t>
            </w:r>
          </w:p>
        </w:tc>
        <w:tc>
          <w:tcPr>
            <w:tcW w:w="751" w:type="dxa"/>
            <w:tcMar>
              <w:right w:w="57" w:type="dxa"/>
            </w:tcMar>
          </w:tcPr>
          <w:p w14:paraId="46CE4DD9" w14:textId="77777777" w:rsidR="00FA4226" w:rsidRPr="00CA2CC1" w:rsidRDefault="00000000" w:rsidP="0043303B">
            <w:pPr>
              <w:pStyle w:val="TableParagraph"/>
              <w:spacing w:before="18"/>
              <w:rPr>
                <w:rFonts w:cs="Calibri"/>
                <w:sz w:val="16"/>
              </w:rPr>
            </w:pPr>
            <w:r w:rsidRPr="00CA2CC1">
              <w:rPr>
                <w:rFonts w:cs="Calibri"/>
                <w:color w:val="414042"/>
                <w:sz w:val="16"/>
              </w:rPr>
              <w:t>1</w:t>
            </w:r>
          </w:p>
        </w:tc>
        <w:tc>
          <w:tcPr>
            <w:tcW w:w="615" w:type="dxa"/>
            <w:tcMar>
              <w:right w:w="57" w:type="dxa"/>
            </w:tcMar>
          </w:tcPr>
          <w:p w14:paraId="738D5499" w14:textId="77777777" w:rsidR="00FA4226" w:rsidRPr="00CA2CC1" w:rsidRDefault="00000000" w:rsidP="0043303B">
            <w:pPr>
              <w:pStyle w:val="TableParagraph"/>
              <w:spacing w:before="18"/>
              <w:rPr>
                <w:rFonts w:cs="Calibri"/>
                <w:sz w:val="16"/>
              </w:rPr>
            </w:pPr>
            <w:r w:rsidRPr="00CA2CC1">
              <w:rPr>
                <w:rFonts w:cs="Calibri"/>
                <w:color w:val="414042"/>
                <w:spacing w:val="-4"/>
                <w:sz w:val="16"/>
              </w:rPr>
              <w:t>1.00</w:t>
            </w:r>
          </w:p>
        </w:tc>
        <w:tc>
          <w:tcPr>
            <w:tcW w:w="751" w:type="dxa"/>
            <w:shd w:val="clear" w:color="auto" w:fill="EDEFF0"/>
            <w:tcMar>
              <w:right w:w="57" w:type="dxa"/>
            </w:tcMar>
          </w:tcPr>
          <w:p w14:paraId="0FF35876" w14:textId="77777777" w:rsidR="00FA4226" w:rsidRPr="00CA2CC1" w:rsidRDefault="00000000" w:rsidP="0043303B">
            <w:pPr>
              <w:pStyle w:val="TableParagraph"/>
              <w:spacing w:before="18"/>
              <w:rPr>
                <w:rFonts w:cs="Calibri"/>
                <w:sz w:val="16"/>
              </w:rPr>
            </w:pPr>
            <w:r w:rsidRPr="00CA2CC1">
              <w:rPr>
                <w:rFonts w:cs="Calibri"/>
                <w:color w:val="414042"/>
                <w:sz w:val="16"/>
              </w:rPr>
              <w:t>6</w:t>
            </w:r>
          </w:p>
        </w:tc>
        <w:tc>
          <w:tcPr>
            <w:tcW w:w="615" w:type="dxa"/>
            <w:shd w:val="clear" w:color="auto" w:fill="EDEFF0"/>
            <w:tcMar>
              <w:right w:w="57" w:type="dxa"/>
            </w:tcMar>
          </w:tcPr>
          <w:p w14:paraId="0595697B" w14:textId="77777777" w:rsidR="00FA4226" w:rsidRPr="00CA2CC1" w:rsidRDefault="00000000" w:rsidP="0043303B">
            <w:pPr>
              <w:pStyle w:val="TableParagraph"/>
              <w:spacing w:before="18"/>
              <w:jc w:val="center"/>
              <w:rPr>
                <w:rFonts w:cs="Calibri"/>
                <w:sz w:val="16"/>
              </w:rPr>
            </w:pPr>
            <w:r w:rsidRPr="00CA2CC1">
              <w:rPr>
                <w:rFonts w:cs="Calibri"/>
                <w:color w:val="414042"/>
                <w:spacing w:val="-4"/>
                <w:sz w:val="16"/>
              </w:rPr>
              <w:t>5.70</w:t>
            </w:r>
          </w:p>
        </w:tc>
        <w:tc>
          <w:tcPr>
            <w:tcW w:w="751" w:type="dxa"/>
            <w:tcMar>
              <w:right w:w="57" w:type="dxa"/>
            </w:tcMar>
          </w:tcPr>
          <w:p w14:paraId="4FFC5984" w14:textId="77777777" w:rsidR="00FA4226" w:rsidRPr="00CA2CC1" w:rsidRDefault="00000000" w:rsidP="0043303B">
            <w:pPr>
              <w:pStyle w:val="TableParagraph"/>
              <w:spacing w:before="18"/>
              <w:rPr>
                <w:rFonts w:cs="Calibri"/>
                <w:sz w:val="16"/>
              </w:rPr>
            </w:pPr>
            <w:r w:rsidRPr="00CA2CC1">
              <w:rPr>
                <w:rFonts w:cs="Calibri"/>
                <w:color w:val="414042"/>
                <w:sz w:val="16"/>
              </w:rPr>
              <w:t>6</w:t>
            </w:r>
          </w:p>
        </w:tc>
        <w:tc>
          <w:tcPr>
            <w:tcW w:w="615" w:type="dxa"/>
            <w:tcMar>
              <w:right w:w="57" w:type="dxa"/>
            </w:tcMar>
          </w:tcPr>
          <w:p w14:paraId="1F0301E2" w14:textId="77777777" w:rsidR="00FA4226" w:rsidRPr="00CA2CC1" w:rsidRDefault="00000000" w:rsidP="0043303B">
            <w:pPr>
              <w:pStyle w:val="TableParagraph"/>
              <w:spacing w:before="18"/>
              <w:jc w:val="center"/>
              <w:rPr>
                <w:rFonts w:cs="Calibri"/>
                <w:sz w:val="16"/>
              </w:rPr>
            </w:pPr>
            <w:r w:rsidRPr="00CA2CC1">
              <w:rPr>
                <w:rFonts w:cs="Calibri"/>
                <w:color w:val="414042"/>
                <w:spacing w:val="-4"/>
                <w:sz w:val="16"/>
              </w:rPr>
              <w:t>5.80</w:t>
            </w:r>
          </w:p>
        </w:tc>
        <w:tc>
          <w:tcPr>
            <w:tcW w:w="751" w:type="dxa"/>
            <w:tcMar>
              <w:right w:w="57" w:type="dxa"/>
            </w:tcMar>
          </w:tcPr>
          <w:p w14:paraId="516C0847" w14:textId="77777777" w:rsidR="00FA4226" w:rsidRPr="00CA2CC1" w:rsidRDefault="00000000" w:rsidP="0043303B">
            <w:pPr>
              <w:pStyle w:val="TableParagraph"/>
              <w:spacing w:before="18"/>
              <w:rPr>
                <w:rFonts w:cs="Calibri"/>
                <w:sz w:val="16"/>
              </w:rPr>
            </w:pPr>
            <w:r w:rsidRPr="00CA2CC1">
              <w:rPr>
                <w:rFonts w:cs="Calibri"/>
                <w:color w:val="414042"/>
                <w:sz w:val="16"/>
              </w:rPr>
              <w:t>2</w:t>
            </w:r>
          </w:p>
        </w:tc>
        <w:tc>
          <w:tcPr>
            <w:tcW w:w="615" w:type="dxa"/>
            <w:tcMar>
              <w:right w:w="57" w:type="dxa"/>
            </w:tcMar>
          </w:tcPr>
          <w:p w14:paraId="38866914" w14:textId="77777777" w:rsidR="00FA4226" w:rsidRPr="00CA2CC1" w:rsidRDefault="00000000" w:rsidP="0043303B">
            <w:pPr>
              <w:pStyle w:val="TableParagraph"/>
              <w:spacing w:before="18"/>
              <w:rPr>
                <w:rFonts w:cs="Calibri"/>
                <w:sz w:val="16"/>
              </w:rPr>
            </w:pPr>
            <w:r w:rsidRPr="00CA2CC1">
              <w:rPr>
                <w:rFonts w:cs="Calibri"/>
                <w:color w:val="414042"/>
                <w:spacing w:val="-4"/>
                <w:sz w:val="16"/>
              </w:rPr>
              <w:t>2.00</w:t>
            </w:r>
          </w:p>
        </w:tc>
        <w:tc>
          <w:tcPr>
            <w:tcW w:w="751" w:type="dxa"/>
            <w:shd w:val="clear" w:color="auto" w:fill="EDEFF0"/>
            <w:tcMar>
              <w:right w:w="57" w:type="dxa"/>
            </w:tcMar>
          </w:tcPr>
          <w:p w14:paraId="177A0394" w14:textId="77777777" w:rsidR="00FA4226" w:rsidRPr="00CA2CC1" w:rsidRDefault="00000000" w:rsidP="0043303B">
            <w:pPr>
              <w:pStyle w:val="TableParagraph"/>
              <w:spacing w:before="18"/>
              <w:rPr>
                <w:rFonts w:cs="Calibri"/>
                <w:sz w:val="16"/>
              </w:rPr>
            </w:pPr>
            <w:r w:rsidRPr="00CA2CC1">
              <w:rPr>
                <w:rFonts w:cs="Calibri"/>
                <w:color w:val="414042"/>
                <w:sz w:val="16"/>
              </w:rPr>
              <w:t>8</w:t>
            </w:r>
          </w:p>
        </w:tc>
        <w:tc>
          <w:tcPr>
            <w:tcW w:w="615" w:type="dxa"/>
            <w:tcBorders>
              <w:right w:val="nil"/>
            </w:tcBorders>
            <w:shd w:val="clear" w:color="auto" w:fill="EDEFF0"/>
            <w:tcMar>
              <w:right w:w="57" w:type="dxa"/>
            </w:tcMar>
          </w:tcPr>
          <w:p w14:paraId="3EE7FA0A" w14:textId="77777777" w:rsidR="00FA4226" w:rsidRPr="00CA2CC1" w:rsidRDefault="00000000" w:rsidP="0043303B">
            <w:pPr>
              <w:pStyle w:val="TableParagraph"/>
              <w:spacing w:before="18"/>
              <w:jc w:val="center"/>
              <w:rPr>
                <w:rFonts w:cs="Calibri"/>
                <w:sz w:val="16"/>
              </w:rPr>
            </w:pPr>
            <w:r w:rsidRPr="00CA2CC1">
              <w:rPr>
                <w:rFonts w:cs="Calibri"/>
                <w:color w:val="414042"/>
                <w:spacing w:val="-4"/>
                <w:sz w:val="16"/>
              </w:rPr>
              <w:t>7.80</w:t>
            </w:r>
          </w:p>
        </w:tc>
      </w:tr>
      <w:tr w:rsidR="00FA4226" w:rsidRPr="00CA2CC1" w14:paraId="43AEE1EB" w14:textId="77777777" w:rsidTr="00015707">
        <w:trPr>
          <w:trHeight w:val="280"/>
        </w:trPr>
        <w:tc>
          <w:tcPr>
            <w:tcW w:w="317" w:type="dxa"/>
            <w:vMerge/>
            <w:tcBorders>
              <w:top w:val="nil"/>
              <w:left w:val="nil"/>
            </w:tcBorders>
            <w:textDirection w:val="btLr"/>
          </w:tcPr>
          <w:p w14:paraId="3F1828EE" w14:textId="77777777" w:rsidR="00FA4226" w:rsidRPr="00CA2CC1" w:rsidRDefault="00FA4226" w:rsidP="0043303B">
            <w:pPr>
              <w:rPr>
                <w:rFonts w:cs="Calibri"/>
                <w:sz w:val="2"/>
                <w:szCs w:val="2"/>
              </w:rPr>
            </w:pPr>
          </w:p>
        </w:tc>
        <w:tc>
          <w:tcPr>
            <w:tcW w:w="1124" w:type="dxa"/>
          </w:tcPr>
          <w:p w14:paraId="1CE709AE" w14:textId="77777777" w:rsidR="00FA4226" w:rsidRPr="00CA2CC1" w:rsidRDefault="00000000" w:rsidP="0043303B">
            <w:pPr>
              <w:pStyle w:val="TableParagraph"/>
              <w:spacing w:before="18"/>
              <w:jc w:val="left"/>
              <w:rPr>
                <w:rFonts w:cs="Calibri"/>
                <w:sz w:val="16"/>
              </w:rPr>
            </w:pPr>
            <w:r w:rsidRPr="00CA2CC1">
              <w:rPr>
                <w:rFonts w:cs="Calibri"/>
                <w:color w:val="414042"/>
                <w:spacing w:val="-4"/>
                <w:sz w:val="16"/>
              </w:rPr>
              <w:t>VPSG5</w:t>
            </w:r>
          </w:p>
        </w:tc>
        <w:tc>
          <w:tcPr>
            <w:tcW w:w="751" w:type="dxa"/>
            <w:tcMar>
              <w:right w:w="57" w:type="dxa"/>
            </w:tcMar>
          </w:tcPr>
          <w:p w14:paraId="666B1C2B" w14:textId="77777777" w:rsidR="00FA4226" w:rsidRPr="00CA2CC1" w:rsidRDefault="00000000" w:rsidP="0043303B">
            <w:pPr>
              <w:pStyle w:val="TableParagraph"/>
              <w:spacing w:before="18"/>
              <w:rPr>
                <w:rFonts w:cs="Calibri"/>
                <w:sz w:val="16"/>
              </w:rPr>
            </w:pPr>
            <w:r w:rsidRPr="00CA2CC1">
              <w:rPr>
                <w:rFonts w:cs="Calibri"/>
                <w:color w:val="414042"/>
                <w:sz w:val="16"/>
              </w:rPr>
              <w:t>8</w:t>
            </w:r>
          </w:p>
        </w:tc>
        <w:tc>
          <w:tcPr>
            <w:tcW w:w="615" w:type="dxa"/>
            <w:tcMar>
              <w:right w:w="57" w:type="dxa"/>
            </w:tcMar>
          </w:tcPr>
          <w:p w14:paraId="36249429" w14:textId="77777777" w:rsidR="00FA4226" w:rsidRPr="00CA2CC1" w:rsidRDefault="00000000" w:rsidP="0043303B">
            <w:pPr>
              <w:pStyle w:val="TableParagraph"/>
              <w:spacing w:before="18"/>
              <w:jc w:val="center"/>
              <w:rPr>
                <w:rFonts w:cs="Calibri"/>
                <w:sz w:val="16"/>
              </w:rPr>
            </w:pPr>
            <w:r w:rsidRPr="00CA2CC1">
              <w:rPr>
                <w:rFonts w:cs="Calibri"/>
                <w:color w:val="414042"/>
                <w:spacing w:val="-4"/>
                <w:sz w:val="16"/>
              </w:rPr>
              <w:t>7.70</w:t>
            </w:r>
          </w:p>
        </w:tc>
        <w:tc>
          <w:tcPr>
            <w:tcW w:w="751" w:type="dxa"/>
            <w:tcMar>
              <w:right w:w="57" w:type="dxa"/>
            </w:tcMar>
          </w:tcPr>
          <w:p w14:paraId="3454AA02" w14:textId="77777777" w:rsidR="00FA4226" w:rsidRPr="00CA2CC1" w:rsidRDefault="00000000" w:rsidP="0043303B">
            <w:pPr>
              <w:pStyle w:val="TableParagraph"/>
              <w:spacing w:before="18"/>
              <w:rPr>
                <w:rFonts w:cs="Calibri"/>
                <w:sz w:val="16"/>
              </w:rPr>
            </w:pPr>
            <w:r w:rsidRPr="00CA2CC1">
              <w:rPr>
                <w:rFonts w:cs="Calibri"/>
                <w:color w:val="414042"/>
                <w:sz w:val="16"/>
              </w:rPr>
              <w:t>1</w:t>
            </w:r>
          </w:p>
        </w:tc>
        <w:tc>
          <w:tcPr>
            <w:tcW w:w="615" w:type="dxa"/>
            <w:tcMar>
              <w:right w:w="57" w:type="dxa"/>
            </w:tcMar>
          </w:tcPr>
          <w:p w14:paraId="2F0AE2A6" w14:textId="77777777" w:rsidR="00FA4226" w:rsidRPr="00CA2CC1" w:rsidRDefault="00000000" w:rsidP="0043303B">
            <w:pPr>
              <w:pStyle w:val="TableParagraph"/>
              <w:spacing w:before="18"/>
              <w:rPr>
                <w:rFonts w:cs="Calibri"/>
                <w:sz w:val="16"/>
              </w:rPr>
            </w:pPr>
            <w:r w:rsidRPr="00CA2CC1">
              <w:rPr>
                <w:rFonts w:cs="Calibri"/>
                <w:color w:val="414042"/>
                <w:spacing w:val="-4"/>
                <w:sz w:val="16"/>
              </w:rPr>
              <w:t>1.00</w:t>
            </w:r>
          </w:p>
        </w:tc>
        <w:tc>
          <w:tcPr>
            <w:tcW w:w="751" w:type="dxa"/>
            <w:shd w:val="clear" w:color="auto" w:fill="EDEFF0"/>
            <w:tcMar>
              <w:right w:w="57" w:type="dxa"/>
            </w:tcMar>
          </w:tcPr>
          <w:p w14:paraId="4FA5BE90" w14:textId="77777777" w:rsidR="00FA4226" w:rsidRPr="00CA2CC1" w:rsidRDefault="00000000" w:rsidP="0043303B">
            <w:pPr>
              <w:pStyle w:val="TableParagraph"/>
              <w:spacing w:before="18"/>
              <w:rPr>
                <w:rFonts w:cs="Calibri"/>
                <w:sz w:val="16"/>
              </w:rPr>
            </w:pPr>
            <w:r w:rsidRPr="00CA2CC1">
              <w:rPr>
                <w:rFonts w:cs="Calibri"/>
                <w:color w:val="414042"/>
                <w:sz w:val="16"/>
              </w:rPr>
              <w:t>9</w:t>
            </w:r>
          </w:p>
        </w:tc>
        <w:tc>
          <w:tcPr>
            <w:tcW w:w="615" w:type="dxa"/>
            <w:shd w:val="clear" w:color="auto" w:fill="EDEFF0"/>
            <w:tcMar>
              <w:right w:w="57" w:type="dxa"/>
            </w:tcMar>
          </w:tcPr>
          <w:p w14:paraId="248C865C" w14:textId="77777777" w:rsidR="00FA4226" w:rsidRPr="00CA2CC1" w:rsidRDefault="00000000" w:rsidP="0043303B">
            <w:pPr>
              <w:pStyle w:val="TableParagraph"/>
              <w:spacing w:before="18"/>
              <w:jc w:val="center"/>
              <w:rPr>
                <w:rFonts w:cs="Calibri"/>
                <w:sz w:val="16"/>
              </w:rPr>
            </w:pPr>
            <w:r w:rsidRPr="00CA2CC1">
              <w:rPr>
                <w:rFonts w:cs="Calibri"/>
                <w:color w:val="414042"/>
                <w:spacing w:val="-4"/>
                <w:sz w:val="16"/>
              </w:rPr>
              <w:t>8.70</w:t>
            </w:r>
          </w:p>
        </w:tc>
        <w:tc>
          <w:tcPr>
            <w:tcW w:w="751" w:type="dxa"/>
            <w:tcMar>
              <w:right w:w="57" w:type="dxa"/>
            </w:tcMar>
          </w:tcPr>
          <w:p w14:paraId="3E0B4E6A" w14:textId="77777777" w:rsidR="00FA4226" w:rsidRPr="00CA2CC1" w:rsidRDefault="00000000" w:rsidP="0043303B">
            <w:pPr>
              <w:pStyle w:val="TableParagraph"/>
              <w:spacing w:before="18"/>
              <w:rPr>
                <w:rFonts w:cs="Calibri"/>
                <w:sz w:val="16"/>
              </w:rPr>
            </w:pPr>
            <w:r w:rsidRPr="00CA2CC1">
              <w:rPr>
                <w:rFonts w:cs="Calibri"/>
                <w:color w:val="414042"/>
                <w:sz w:val="16"/>
              </w:rPr>
              <w:t>4</w:t>
            </w:r>
          </w:p>
        </w:tc>
        <w:tc>
          <w:tcPr>
            <w:tcW w:w="615" w:type="dxa"/>
            <w:tcMar>
              <w:right w:w="57" w:type="dxa"/>
            </w:tcMar>
          </w:tcPr>
          <w:p w14:paraId="52CC0DED" w14:textId="77777777" w:rsidR="00FA4226" w:rsidRPr="00CA2CC1" w:rsidRDefault="00000000" w:rsidP="0043303B">
            <w:pPr>
              <w:pStyle w:val="TableParagraph"/>
              <w:spacing w:before="18"/>
              <w:jc w:val="center"/>
              <w:rPr>
                <w:rFonts w:cs="Calibri"/>
                <w:sz w:val="16"/>
              </w:rPr>
            </w:pPr>
            <w:r w:rsidRPr="00CA2CC1">
              <w:rPr>
                <w:rFonts w:cs="Calibri"/>
                <w:color w:val="414042"/>
                <w:spacing w:val="-4"/>
                <w:sz w:val="16"/>
              </w:rPr>
              <w:t>4.00</w:t>
            </w:r>
          </w:p>
        </w:tc>
        <w:tc>
          <w:tcPr>
            <w:tcW w:w="751" w:type="dxa"/>
            <w:tcMar>
              <w:right w:w="57" w:type="dxa"/>
            </w:tcMar>
          </w:tcPr>
          <w:p w14:paraId="793F19A2" w14:textId="77777777" w:rsidR="00FA4226" w:rsidRPr="00CA2CC1" w:rsidRDefault="00000000" w:rsidP="0043303B">
            <w:pPr>
              <w:pStyle w:val="TableParagraph"/>
              <w:spacing w:before="18"/>
              <w:rPr>
                <w:rFonts w:cs="Calibri"/>
                <w:sz w:val="16"/>
              </w:rPr>
            </w:pPr>
            <w:r w:rsidRPr="00CA2CC1">
              <w:rPr>
                <w:rFonts w:cs="Calibri"/>
                <w:color w:val="414042"/>
                <w:sz w:val="16"/>
              </w:rPr>
              <w:t>0</w:t>
            </w:r>
          </w:p>
        </w:tc>
        <w:tc>
          <w:tcPr>
            <w:tcW w:w="615" w:type="dxa"/>
            <w:tcMar>
              <w:right w:w="57" w:type="dxa"/>
            </w:tcMar>
          </w:tcPr>
          <w:p w14:paraId="04C74235" w14:textId="77777777" w:rsidR="00FA4226" w:rsidRPr="00CA2CC1" w:rsidRDefault="00000000" w:rsidP="0043303B">
            <w:pPr>
              <w:pStyle w:val="TableParagraph"/>
              <w:spacing w:before="18"/>
              <w:rPr>
                <w:rFonts w:cs="Calibri"/>
                <w:sz w:val="16"/>
              </w:rPr>
            </w:pPr>
            <w:r w:rsidRPr="00CA2CC1">
              <w:rPr>
                <w:rFonts w:cs="Calibri"/>
                <w:color w:val="414042"/>
                <w:spacing w:val="-4"/>
                <w:sz w:val="16"/>
              </w:rPr>
              <w:t>0.00</w:t>
            </w:r>
          </w:p>
        </w:tc>
        <w:tc>
          <w:tcPr>
            <w:tcW w:w="751" w:type="dxa"/>
            <w:shd w:val="clear" w:color="auto" w:fill="EDEFF0"/>
            <w:tcMar>
              <w:right w:w="57" w:type="dxa"/>
            </w:tcMar>
          </w:tcPr>
          <w:p w14:paraId="6B43A35F" w14:textId="77777777" w:rsidR="00FA4226" w:rsidRPr="00CA2CC1" w:rsidRDefault="00000000" w:rsidP="0043303B">
            <w:pPr>
              <w:pStyle w:val="TableParagraph"/>
              <w:spacing w:before="18"/>
              <w:rPr>
                <w:rFonts w:cs="Calibri"/>
                <w:sz w:val="16"/>
              </w:rPr>
            </w:pPr>
            <w:r w:rsidRPr="00CA2CC1">
              <w:rPr>
                <w:rFonts w:cs="Calibri"/>
                <w:color w:val="414042"/>
                <w:sz w:val="16"/>
              </w:rPr>
              <w:t>4</w:t>
            </w:r>
          </w:p>
        </w:tc>
        <w:tc>
          <w:tcPr>
            <w:tcW w:w="615" w:type="dxa"/>
            <w:tcBorders>
              <w:right w:val="nil"/>
            </w:tcBorders>
            <w:shd w:val="clear" w:color="auto" w:fill="EDEFF0"/>
            <w:tcMar>
              <w:right w:w="57" w:type="dxa"/>
            </w:tcMar>
          </w:tcPr>
          <w:p w14:paraId="1CDF7597" w14:textId="77777777" w:rsidR="00FA4226" w:rsidRPr="00CA2CC1" w:rsidRDefault="00000000" w:rsidP="0043303B">
            <w:pPr>
              <w:pStyle w:val="TableParagraph"/>
              <w:spacing w:before="18"/>
              <w:jc w:val="center"/>
              <w:rPr>
                <w:rFonts w:cs="Calibri"/>
                <w:sz w:val="16"/>
              </w:rPr>
            </w:pPr>
            <w:r w:rsidRPr="00CA2CC1">
              <w:rPr>
                <w:rFonts w:cs="Calibri"/>
                <w:color w:val="414042"/>
                <w:spacing w:val="-4"/>
                <w:sz w:val="16"/>
              </w:rPr>
              <w:t>4.00</w:t>
            </w:r>
          </w:p>
        </w:tc>
      </w:tr>
      <w:tr w:rsidR="00FA4226" w:rsidRPr="00CA2CC1" w14:paraId="1C3554FC" w14:textId="77777777" w:rsidTr="00015707">
        <w:trPr>
          <w:trHeight w:val="279"/>
        </w:trPr>
        <w:tc>
          <w:tcPr>
            <w:tcW w:w="317" w:type="dxa"/>
            <w:vMerge/>
            <w:tcBorders>
              <w:top w:val="nil"/>
              <w:left w:val="nil"/>
            </w:tcBorders>
            <w:textDirection w:val="btLr"/>
          </w:tcPr>
          <w:p w14:paraId="271DD9D3" w14:textId="77777777" w:rsidR="00FA4226" w:rsidRPr="00CA2CC1" w:rsidRDefault="00FA4226" w:rsidP="0043303B">
            <w:pPr>
              <w:rPr>
                <w:rFonts w:cs="Calibri"/>
                <w:sz w:val="2"/>
                <w:szCs w:val="2"/>
              </w:rPr>
            </w:pPr>
          </w:p>
        </w:tc>
        <w:tc>
          <w:tcPr>
            <w:tcW w:w="1124" w:type="dxa"/>
          </w:tcPr>
          <w:p w14:paraId="3F3A4B3E" w14:textId="77777777" w:rsidR="00FA4226" w:rsidRPr="00CA2CC1" w:rsidRDefault="00000000" w:rsidP="0043303B">
            <w:pPr>
              <w:pStyle w:val="TableParagraph"/>
              <w:spacing w:before="18"/>
              <w:jc w:val="left"/>
              <w:rPr>
                <w:rFonts w:cs="Calibri"/>
                <w:sz w:val="16"/>
              </w:rPr>
            </w:pPr>
            <w:r w:rsidRPr="00CA2CC1">
              <w:rPr>
                <w:rFonts w:cs="Calibri"/>
                <w:color w:val="414042"/>
                <w:spacing w:val="-4"/>
                <w:sz w:val="16"/>
              </w:rPr>
              <w:t>VPSG6</w:t>
            </w:r>
          </w:p>
        </w:tc>
        <w:tc>
          <w:tcPr>
            <w:tcW w:w="751" w:type="dxa"/>
            <w:tcMar>
              <w:right w:w="57" w:type="dxa"/>
            </w:tcMar>
          </w:tcPr>
          <w:p w14:paraId="3A657053" w14:textId="77777777" w:rsidR="00FA4226" w:rsidRPr="00CA2CC1" w:rsidRDefault="00000000" w:rsidP="0043303B">
            <w:pPr>
              <w:pStyle w:val="TableParagraph"/>
              <w:spacing w:before="18"/>
              <w:rPr>
                <w:rFonts w:cs="Calibri"/>
                <w:sz w:val="16"/>
              </w:rPr>
            </w:pPr>
            <w:r w:rsidRPr="00CA2CC1">
              <w:rPr>
                <w:rFonts w:cs="Calibri"/>
                <w:color w:val="414042"/>
                <w:spacing w:val="-5"/>
                <w:sz w:val="16"/>
              </w:rPr>
              <w:t>15</w:t>
            </w:r>
          </w:p>
        </w:tc>
        <w:tc>
          <w:tcPr>
            <w:tcW w:w="615" w:type="dxa"/>
            <w:tcMar>
              <w:right w:w="57" w:type="dxa"/>
            </w:tcMar>
          </w:tcPr>
          <w:p w14:paraId="60930215" w14:textId="77777777" w:rsidR="00FA4226" w:rsidRPr="00CA2CC1" w:rsidRDefault="00000000" w:rsidP="0043303B">
            <w:pPr>
              <w:pStyle w:val="TableParagraph"/>
              <w:spacing w:before="18"/>
              <w:jc w:val="center"/>
              <w:rPr>
                <w:rFonts w:cs="Calibri"/>
                <w:sz w:val="16"/>
              </w:rPr>
            </w:pPr>
            <w:r w:rsidRPr="00CA2CC1">
              <w:rPr>
                <w:rFonts w:cs="Calibri"/>
                <w:color w:val="414042"/>
                <w:spacing w:val="-4"/>
                <w:sz w:val="16"/>
              </w:rPr>
              <w:t>13.20</w:t>
            </w:r>
          </w:p>
        </w:tc>
        <w:tc>
          <w:tcPr>
            <w:tcW w:w="751" w:type="dxa"/>
            <w:tcMar>
              <w:right w:w="57" w:type="dxa"/>
            </w:tcMar>
          </w:tcPr>
          <w:p w14:paraId="02C3C8FB" w14:textId="77777777" w:rsidR="00FA4226" w:rsidRPr="00CA2CC1" w:rsidRDefault="00000000" w:rsidP="0043303B">
            <w:pPr>
              <w:pStyle w:val="TableParagraph"/>
              <w:spacing w:before="18"/>
              <w:rPr>
                <w:rFonts w:cs="Calibri"/>
                <w:sz w:val="16"/>
              </w:rPr>
            </w:pPr>
            <w:r w:rsidRPr="00CA2CC1">
              <w:rPr>
                <w:rFonts w:cs="Calibri"/>
                <w:color w:val="414042"/>
                <w:sz w:val="16"/>
              </w:rPr>
              <w:t>1</w:t>
            </w:r>
          </w:p>
        </w:tc>
        <w:tc>
          <w:tcPr>
            <w:tcW w:w="615" w:type="dxa"/>
            <w:tcMar>
              <w:right w:w="57" w:type="dxa"/>
            </w:tcMar>
          </w:tcPr>
          <w:p w14:paraId="2C02077F" w14:textId="77777777" w:rsidR="00FA4226" w:rsidRPr="00CA2CC1" w:rsidRDefault="00000000" w:rsidP="0043303B">
            <w:pPr>
              <w:pStyle w:val="TableParagraph"/>
              <w:spacing w:before="18"/>
              <w:rPr>
                <w:rFonts w:cs="Calibri"/>
                <w:sz w:val="16"/>
              </w:rPr>
            </w:pPr>
            <w:r w:rsidRPr="00CA2CC1">
              <w:rPr>
                <w:rFonts w:cs="Calibri"/>
                <w:color w:val="414042"/>
                <w:spacing w:val="-4"/>
                <w:sz w:val="16"/>
              </w:rPr>
              <w:t>0.60</w:t>
            </w:r>
          </w:p>
        </w:tc>
        <w:tc>
          <w:tcPr>
            <w:tcW w:w="751" w:type="dxa"/>
            <w:shd w:val="clear" w:color="auto" w:fill="EDEFF0"/>
            <w:tcMar>
              <w:right w:w="57" w:type="dxa"/>
            </w:tcMar>
          </w:tcPr>
          <w:p w14:paraId="64E66376" w14:textId="77777777" w:rsidR="00FA4226" w:rsidRPr="00CA2CC1" w:rsidRDefault="00000000" w:rsidP="0043303B">
            <w:pPr>
              <w:pStyle w:val="TableParagraph"/>
              <w:spacing w:before="18"/>
              <w:rPr>
                <w:rFonts w:cs="Calibri"/>
                <w:sz w:val="16"/>
              </w:rPr>
            </w:pPr>
            <w:r w:rsidRPr="00CA2CC1">
              <w:rPr>
                <w:rFonts w:cs="Calibri"/>
                <w:color w:val="414042"/>
                <w:spacing w:val="-5"/>
                <w:sz w:val="16"/>
              </w:rPr>
              <w:t>16</w:t>
            </w:r>
          </w:p>
        </w:tc>
        <w:tc>
          <w:tcPr>
            <w:tcW w:w="615" w:type="dxa"/>
            <w:shd w:val="clear" w:color="auto" w:fill="EDEFF0"/>
            <w:tcMar>
              <w:right w:w="57" w:type="dxa"/>
            </w:tcMar>
          </w:tcPr>
          <w:p w14:paraId="75828BEB" w14:textId="77777777" w:rsidR="00FA4226" w:rsidRPr="00CA2CC1" w:rsidRDefault="00000000" w:rsidP="0043303B">
            <w:pPr>
              <w:pStyle w:val="TableParagraph"/>
              <w:spacing w:before="18"/>
              <w:jc w:val="center"/>
              <w:rPr>
                <w:rFonts w:cs="Calibri"/>
                <w:sz w:val="16"/>
              </w:rPr>
            </w:pPr>
            <w:r w:rsidRPr="00CA2CC1">
              <w:rPr>
                <w:rFonts w:cs="Calibri"/>
                <w:color w:val="414042"/>
                <w:spacing w:val="-4"/>
                <w:sz w:val="16"/>
              </w:rPr>
              <w:t>13.80</w:t>
            </w:r>
          </w:p>
        </w:tc>
        <w:tc>
          <w:tcPr>
            <w:tcW w:w="751" w:type="dxa"/>
            <w:tcMar>
              <w:right w:w="57" w:type="dxa"/>
            </w:tcMar>
          </w:tcPr>
          <w:p w14:paraId="2C3E9F59" w14:textId="77777777" w:rsidR="00FA4226" w:rsidRPr="00CA2CC1" w:rsidRDefault="00000000" w:rsidP="0043303B">
            <w:pPr>
              <w:pStyle w:val="TableParagraph"/>
              <w:spacing w:before="18"/>
              <w:rPr>
                <w:rFonts w:cs="Calibri"/>
                <w:sz w:val="16"/>
              </w:rPr>
            </w:pPr>
            <w:r w:rsidRPr="00CA2CC1">
              <w:rPr>
                <w:rFonts w:cs="Calibri"/>
                <w:color w:val="414042"/>
                <w:spacing w:val="-5"/>
                <w:sz w:val="16"/>
              </w:rPr>
              <w:t>16</w:t>
            </w:r>
          </w:p>
        </w:tc>
        <w:tc>
          <w:tcPr>
            <w:tcW w:w="615" w:type="dxa"/>
            <w:tcMar>
              <w:right w:w="57" w:type="dxa"/>
            </w:tcMar>
          </w:tcPr>
          <w:p w14:paraId="7973DF3D" w14:textId="77777777" w:rsidR="00FA4226" w:rsidRPr="00CA2CC1" w:rsidRDefault="00000000" w:rsidP="0043303B">
            <w:pPr>
              <w:pStyle w:val="TableParagraph"/>
              <w:spacing w:before="18"/>
              <w:jc w:val="center"/>
              <w:rPr>
                <w:rFonts w:cs="Calibri"/>
                <w:sz w:val="16"/>
              </w:rPr>
            </w:pPr>
            <w:r w:rsidRPr="00CA2CC1">
              <w:rPr>
                <w:rFonts w:cs="Calibri"/>
                <w:color w:val="414042"/>
                <w:spacing w:val="-4"/>
                <w:sz w:val="16"/>
              </w:rPr>
              <w:t>14.90</w:t>
            </w:r>
          </w:p>
        </w:tc>
        <w:tc>
          <w:tcPr>
            <w:tcW w:w="751" w:type="dxa"/>
            <w:tcMar>
              <w:right w:w="57" w:type="dxa"/>
            </w:tcMar>
          </w:tcPr>
          <w:p w14:paraId="6D48130E" w14:textId="77777777" w:rsidR="00FA4226" w:rsidRPr="00CA2CC1" w:rsidRDefault="00000000" w:rsidP="0043303B">
            <w:pPr>
              <w:pStyle w:val="TableParagraph"/>
              <w:spacing w:before="18"/>
              <w:rPr>
                <w:rFonts w:cs="Calibri"/>
                <w:sz w:val="16"/>
              </w:rPr>
            </w:pPr>
            <w:r w:rsidRPr="00CA2CC1">
              <w:rPr>
                <w:rFonts w:cs="Calibri"/>
                <w:color w:val="414042"/>
                <w:sz w:val="16"/>
              </w:rPr>
              <w:t>0</w:t>
            </w:r>
          </w:p>
        </w:tc>
        <w:tc>
          <w:tcPr>
            <w:tcW w:w="615" w:type="dxa"/>
            <w:tcMar>
              <w:right w:w="57" w:type="dxa"/>
            </w:tcMar>
          </w:tcPr>
          <w:p w14:paraId="010FEF82" w14:textId="77777777" w:rsidR="00FA4226" w:rsidRPr="00CA2CC1" w:rsidRDefault="00000000" w:rsidP="0043303B">
            <w:pPr>
              <w:pStyle w:val="TableParagraph"/>
              <w:spacing w:before="18"/>
              <w:rPr>
                <w:rFonts w:cs="Calibri"/>
                <w:sz w:val="16"/>
              </w:rPr>
            </w:pPr>
            <w:r w:rsidRPr="00CA2CC1">
              <w:rPr>
                <w:rFonts w:cs="Calibri"/>
                <w:color w:val="414042"/>
                <w:spacing w:val="-4"/>
                <w:sz w:val="16"/>
              </w:rPr>
              <w:t>0.00</w:t>
            </w:r>
          </w:p>
        </w:tc>
        <w:tc>
          <w:tcPr>
            <w:tcW w:w="751" w:type="dxa"/>
            <w:shd w:val="clear" w:color="auto" w:fill="EDEFF0"/>
            <w:tcMar>
              <w:right w:w="57" w:type="dxa"/>
            </w:tcMar>
          </w:tcPr>
          <w:p w14:paraId="5B640599" w14:textId="77777777" w:rsidR="00FA4226" w:rsidRPr="00CA2CC1" w:rsidRDefault="00000000" w:rsidP="0043303B">
            <w:pPr>
              <w:pStyle w:val="TableParagraph"/>
              <w:spacing w:before="18"/>
              <w:rPr>
                <w:rFonts w:cs="Calibri"/>
                <w:sz w:val="16"/>
              </w:rPr>
            </w:pPr>
            <w:r w:rsidRPr="00CA2CC1">
              <w:rPr>
                <w:rFonts w:cs="Calibri"/>
                <w:color w:val="414042"/>
                <w:spacing w:val="-5"/>
                <w:sz w:val="16"/>
              </w:rPr>
              <w:t>16</w:t>
            </w:r>
          </w:p>
        </w:tc>
        <w:tc>
          <w:tcPr>
            <w:tcW w:w="615" w:type="dxa"/>
            <w:tcBorders>
              <w:right w:val="nil"/>
            </w:tcBorders>
            <w:shd w:val="clear" w:color="auto" w:fill="EDEFF0"/>
            <w:tcMar>
              <w:right w:w="57" w:type="dxa"/>
            </w:tcMar>
          </w:tcPr>
          <w:p w14:paraId="2737A157" w14:textId="77777777" w:rsidR="00FA4226" w:rsidRPr="00CA2CC1" w:rsidRDefault="00000000" w:rsidP="0043303B">
            <w:pPr>
              <w:pStyle w:val="TableParagraph"/>
              <w:spacing w:before="18"/>
              <w:jc w:val="center"/>
              <w:rPr>
                <w:rFonts w:cs="Calibri"/>
                <w:sz w:val="16"/>
              </w:rPr>
            </w:pPr>
            <w:r w:rsidRPr="00CA2CC1">
              <w:rPr>
                <w:rFonts w:cs="Calibri"/>
                <w:color w:val="414042"/>
                <w:spacing w:val="-4"/>
                <w:sz w:val="16"/>
              </w:rPr>
              <w:t>14.90</w:t>
            </w:r>
          </w:p>
        </w:tc>
      </w:tr>
      <w:tr w:rsidR="00FA4226" w:rsidRPr="00CA2CC1" w14:paraId="77EA82FC" w14:textId="77777777" w:rsidTr="00015707">
        <w:trPr>
          <w:trHeight w:val="280"/>
        </w:trPr>
        <w:tc>
          <w:tcPr>
            <w:tcW w:w="317" w:type="dxa"/>
            <w:vMerge/>
            <w:tcBorders>
              <w:top w:val="nil"/>
              <w:left w:val="nil"/>
            </w:tcBorders>
            <w:textDirection w:val="btLr"/>
          </w:tcPr>
          <w:p w14:paraId="4509FADF" w14:textId="77777777" w:rsidR="00FA4226" w:rsidRPr="00CA2CC1" w:rsidRDefault="00FA4226" w:rsidP="0043303B">
            <w:pPr>
              <w:rPr>
                <w:rFonts w:cs="Calibri"/>
                <w:sz w:val="2"/>
                <w:szCs w:val="2"/>
              </w:rPr>
            </w:pPr>
          </w:p>
        </w:tc>
        <w:tc>
          <w:tcPr>
            <w:tcW w:w="1124" w:type="dxa"/>
          </w:tcPr>
          <w:p w14:paraId="2AEA271D" w14:textId="77777777" w:rsidR="00FA4226" w:rsidRPr="00CA2CC1" w:rsidRDefault="00000000" w:rsidP="0043303B">
            <w:pPr>
              <w:pStyle w:val="TableParagraph"/>
              <w:spacing w:before="18"/>
              <w:jc w:val="left"/>
              <w:rPr>
                <w:rFonts w:cs="Calibri"/>
                <w:sz w:val="16"/>
              </w:rPr>
            </w:pPr>
            <w:r w:rsidRPr="00CA2CC1">
              <w:rPr>
                <w:rFonts w:cs="Calibri"/>
                <w:color w:val="414042"/>
                <w:spacing w:val="-5"/>
                <w:sz w:val="16"/>
              </w:rPr>
              <w:t>STS</w:t>
            </w:r>
          </w:p>
        </w:tc>
        <w:tc>
          <w:tcPr>
            <w:tcW w:w="751" w:type="dxa"/>
            <w:tcMar>
              <w:right w:w="57" w:type="dxa"/>
            </w:tcMar>
          </w:tcPr>
          <w:p w14:paraId="73EB3ECD" w14:textId="77777777" w:rsidR="00FA4226" w:rsidRPr="00CA2CC1" w:rsidRDefault="00000000" w:rsidP="0043303B">
            <w:pPr>
              <w:pStyle w:val="TableParagraph"/>
              <w:spacing w:before="18"/>
              <w:rPr>
                <w:rFonts w:cs="Calibri"/>
                <w:sz w:val="16"/>
              </w:rPr>
            </w:pPr>
            <w:r w:rsidRPr="00CA2CC1">
              <w:rPr>
                <w:rFonts w:cs="Calibri"/>
                <w:color w:val="414042"/>
                <w:sz w:val="16"/>
              </w:rPr>
              <w:t>0</w:t>
            </w:r>
          </w:p>
        </w:tc>
        <w:tc>
          <w:tcPr>
            <w:tcW w:w="615" w:type="dxa"/>
            <w:tcMar>
              <w:right w:w="57" w:type="dxa"/>
            </w:tcMar>
          </w:tcPr>
          <w:p w14:paraId="22D53250" w14:textId="77777777" w:rsidR="00FA4226" w:rsidRPr="00CA2CC1" w:rsidRDefault="00000000" w:rsidP="0043303B">
            <w:pPr>
              <w:pStyle w:val="TableParagraph"/>
              <w:spacing w:before="18"/>
              <w:jc w:val="center"/>
              <w:rPr>
                <w:rFonts w:cs="Calibri"/>
                <w:sz w:val="16"/>
              </w:rPr>
            </w:pPr>
            <w:r w:rsidRPr="00CA2CC1">
              <w:rPr>
                <w:rFonts w:cs="Calibri"/>
                <w:color w:val="414042"/>
                <w:spacing w:val="-4"/>
                <w:sz w:val="16"/>
              </w:rPr>
              <w:t>0.00</w:t>
            </w:r>
          </w:p>
        </w:tc>
        <w:tc>
          <w:tcPr>
            <w:tcW w:w="751" w:type="dxa"/>
            <w:tcMar>
              <w:right w:w="57" w:type="dxa"/>
            </w:tcMar>
          </w:tcPr>
          <w:p w14:paraId="67F7F9DB" w14:textId="77777777" w:rsidR="00FA4226" w:rsidRPr="00CA2CC1" w:rsidRDefault="00000000" w:rsidP="0043303B">
            <w:pPr>
              <w:pStyle w:val="TableParagraph"/>
              <w:spacing w:before="18"/>
              <w:rPr>
                <w:rFonts w:cs="Calibri"/>
                <w:sz w:val="16"/>
              </w:rPr>
            </w:pPr>
            <w:r w:rsidRPr="00CA2CC1">
              <w:rPr>
                <w:rFonts w:cs="Calibri"/>
                <w:color w:val="414042"/>
                <w:sz w:val="16"/>
              </w:rPr>
              <w:t>0</w:t>
            </w:r>
          </w:p>
        </w:tc>
        <w:tc>
          <w:tcPr>
            <w:tcW w:w="615" w:type="dxa"/>
            <w:tcMar>
              <w:right w:w="57" w:type="dxa"/>
            </w:tcMar>
          </w:tcPr>
          <w:p w14:paraId="2F393BBF" w14:textId="77777777" w:rsidR="00FA4226" w:rsidRPr="00CA2CC1" w:rsidRDefault="00000000" w:rsidP="0043303B">
            <w:pPr>
              <w:pStyle w:val="TableParagraph"/>
              <w:spacing w:before="18"/>
              <w:rPr>
                <w:rFonts w:cs="Calibri"/>
                <w:sz w:val="16"/>
              </w:rPr>
            </w:pPr>
            <w:r w:rsidRPr="00CA2CC1">
              <w:rPr>
                <w:rFonts w:cs="Calibri"/>
                <w:color w:val="414042"/>
                <w:spacing w:val="-4"/>
                <w:sz w:val="16"/>
              </w:rPr>
              <w:t>0.00</w:t>
            </w:r>
          </w:p>
        </w:tc>
        <w:tc>
          <w:tcPr>
            <w:tcW w:w="751" w:type="dxa"/>
            <w:shd w:val="clear" w:color="auto" w:fill="EDEFF0"/>
            <w:tcMar>
              <w:right w:w="57" w:type="dxa"/>
            </w:tcMar>
          </w:tcPr>
          <w:p w14:paraId="41B5EB86" w14:textId="77777777" w:rsidR="00FA4226" w:rsidRPr="00CA2CC1" w:rsidRDefault="00000000" w:rsidP="0043303B">
            <w:pPr>
              <w:pStyle w:val="TableParagraph"/>
              <w:spacing w:before="18"/>
              <w:rPr>
                <w:rFonts w:cs="Calibri"/>
                <w:sz w:val="16"/>
              </w:rPr>
            </w:pPr>
            <w:r w:rsidRPr="00CA2CC1">
              <w:rPr>
                <w:rFonts w:cs="Calibri"/>
                <w:color w:val="414042"/>
                <w:sz w:val="16"/>
              </w:rPr>
              <w:t>0</w:t>
            </w:r>
          </w:p>
        </w:tc>
        <w:tc>
          <w:tcPr>
            <w:tcW w:w="615" w:type="dxa"/>
            <w:shd w:val="clear" w:color="auto" w:fill="EDEFF0"/>
            <w:tcMar>
              <w:right w:w="57" w:type="dxa"/>
            </w:tcMar>
          </w:tcPr>
          <w:p w14:paraId="7B19450C" w14:textId="77777777" w:rsidR="00FA4226" w:rsidRPr="00CA2CC1" w:rsidRDefault="00000000" w:rsidP="0043303B">
            <w:pPr>
              <w:pStyle w:val="TableParagraph"/>
              <w:spacing w:before="18"/>
              <w:jc w:val="center"/>
              <w:rPr>
                <w:rFonts w:cs="Calibri"/>
                <w:sz w:val="16"/>
              </w:rPr>
            </w:pPr>
            <w:r w:rsidRPr="00CA2CC1">
              <w:rPr>
                <w:rFonts w:cs="Calibri"/>
                <w:color w:val="414042"/>
                <w:spacing w:val="-4"/>
                <w:sz w:val="16"/>
              </w:rPr>
              <w:t>0.00</w:t>
            </w:r>
          </w:p>
        </w:tc>
        <w:tc>
          <w:tcPr>
            <w:tcW w:w="751" w:type="dxa"/>
            <w:tcMar>
              <w:right w:w="57" w:type="dxa"/>
            </w:tcMar>
          </w:tcPr>
          <w:p w14:paraId="137AE79B" w14:textId="77777777" w:rsidR="00FA4226" w:rsidRPr="00CA2CC1" w:rsidRDefault="00000000" w:rsidP="0043303B">
            <w:pPr>
              <w:pStyle w:val="TableParagraph"/>
              <w:spacing w:before="18"/>
              <w:rPr>
                <w:rFonts w:cs="Calibri"/>
                <w:sz w:val="16"/>
              </w:rPr>
            </w:pPr>
            <w:r w:rsidRPr="00CA2CC1">
              <w:rPr>
                <w:rFonts w:cs="Calibri"/>
                <w:color w:val="414042"/>
                <w:sz w:val="16"/>
              </w:rPr>
              <w:t>0</w:t>
            </w:r>
          </w:p>
        </w:tc>
        <w:tc>
          <w:tcPr>
            <w:tcW w:w="615" w:type="dxa"/>
            <w:tcMar>
              <w:right w:w="57" w:type="dxa"/>
            </w:tcMar>
          </w:tcPr>
          <w:p w14:paraId="6D13DDBA" w14:textId="77777777" w:rsidR="00FA4226" w:rsidRPr="00CA2CC1" w:rsidRDefault="00000000" w:rsidP="0043303B">
            <w:pPr>
              <w:pStyle w:val="TableParagraph"/>
              <w:spacing w:before="18"/>
              <w:jc w:val="center"/>
              <w:rPr>
                <w:rFonts w:cs="Calibri"/>
                <w:sz w:val="16"/>
              </w:rPr>
            </w:pPr>
            <w:r w:rsidRPr="00CA2CC1">
              <w:rPr>
                <w:rFonts w:cs="Calibri"/>
                <w:color w:val="414042"/>
                <w:spacing w:val="-4"/>
                <w:sz w:val="16"/>
              </w:rPr>
              <w:t>0.00</w:t>
            </w:r>
          </w:p>
        </w:tc>
        <w:tc>
          <w:tcPr>
            <w:tcW w:w="751" w:type="dxa"/>
            <w:tcMar>
              <w:right w:w="57" w:type="dxa"/>
            </w:tcMar>
          </w:tcPr>
          <w:p w14:paraId="2E2E2028" w14:textId="77777777" w:rsidR="00FA4226" w:rsidRPr="00CA2CC1" w:rsidRDefault="00000000" w:rsidP="0043303B">
            <w:pPr>
              <w:pStyle w:val="TableParagraph"/>
              <w:spacing w:before="18"/>
              <w:rPr>
                <w:rFonts w:cs="Calibri"/>
                <w:sz w:val="16"/>
              </w:rPr>
            </w:pPr>
            <w:r w:rsidRPr="00CA2CC1">
              <w:rPr>
                <w:rFonts w:cs="Calibri"/>
                <w:color w:val="414042"/>
                <w:sz w:val="16"/>
              </w:rPr>
              <w:t>0</w:t>
            </w:r>
          </w:p>
        </w:tc>
        <w:tc>
          <w:tcPr>
            <w:tcW w:w="615" w:type="dxa"/>
            <w:tcMar>
              <w:right w:w="57" w:type="dxa"/>
            </w:tcMar>
          </w:tcPr>
          <w:p w14:paraId="3A94747A" w14:textId="77777777" w:rsidR="00FA4226" w:rsidRPr="00CA2CC1" w:rsidRDefault="00000000" w:rsidP="0043303B">
            <w:pPr>
              <w:pStyle w:val="TableParagraph"/>
              <w:spacing w:before="18"/>
              <w:rPr>
                <w:rFonts w:cs="Calibri"/>
                <w:sz w:val="16"/>
              </w:rPr>
            </w:pPr>
            <w:r w:rsidRPr="00CA2CC1">
              <w:rPr>
                <w:rFonts w:cs="Calibri"/>
                <w:color w:val="414042"/>
                <w:spacing w:val="-4"/>
                <w:sz w:val="16"/>
              </w:rPr>
              <w:t>0.00</w:t>
            </w:r>
          </w:p>
        </w:tc>
        <w:tc>
          <w:tcPr>
            <w:tcW w:w="751" w:type="dxa"/>
            <w:shd w:val="clear" w:color="auto" w:fill="EDEFF0"/>
            <w:tcMar>
              <w:right w:w="57" w:type="dxa"/>
            </w:tcMar>
          </w:tcPr>
          <w:p w14:paraId="6C452CE8" w14:textId="77777777" w:rsidR="00FA4226" w:rsidRPr="00CA2CC1" w:rsidRDefault="00000000" w:rsidP="0043303B">
            <w:pPr>
              <w:pStyle w:val="TableParagraph"/>
              <w:spacing w:before="18"/>
              <w:rPr>
                <w:rFonts w:cs="Calibri"/>
                <w:sz w:val="16"/>
              </w:rPr>
            </w:pPr>
            <w:r w:rsidRPr="00CA2CC1">
              <w:rPr>
                <w:rFonts w:cs="Calibri"/>
                <w:color w:val="414042"/>
                <w:sz w:val="16"/>
              </w:rPr>
              <w:t>0</w:t>
            </w:r>
          </w:p>
        </w:tc>
        <w:tc>
          <w:tcPr>
            <w:tcW w:w="615" w:type="dxa"/>
            <w:tcBorders>
              <w:right w:val="nil"/>
            </w:tcBorders>
            <w:shd w:val="clear" w:color="auto" w:fill="EDEFF0"/>
            <w:tcMar>
              <w:right w:w="57" w:type="dxa"/>
            </w:tcMar>
          </w:tcPr>
          <w:p w14:paraId="34D8B026" w14:textId="77777777" w:rsidR="00FA4226" w:rsidRPr="00CA2CC1" w:rsidRDefault="00000000" w:rsidP="0043303B">
            <w:pPr>
              <w:pStyle w:val="TableParagraph"/>
              <w:spacing w:before="18"/>
              <w:jc w:val="center"/>
              <w:rPr>
                <w:rFonts w:cs="Calibri"/>
                <w:sz w:val="16"/>
              </w:rPr>
            </w:pPr>
            <w:r w:rsidRPr="00CA2CC1">
              <w:rPr>
                <w:rFonts w:cs="Calibri"/>
                <w:color w:val="414042"/>
                <w:spacing w:val="-4"/>
                <w:sz w:val="16"/>
              </w:rPr>
              <w:t>0.00</w:t>
            </w:r>
          </w:p>
        </w:tc>
      </w:tr>
      <w:tr w:rsidR="00FA4226" w:rsidRPr="00CA2CC1" w14:paraId="0659BBE1" w14:textId="77777777" w:rsidTr="00015707">
        <w:trPr>
          <w:trHeight w:val="280"/>
        </w:trPr>
        <w:tc>
          <w:tcPr>
            <w:tcW w:w="317" w:type="dxa"/>
            <w:vMerge/>
            <w:tcBorders>
              <w:top w:val="nil"/>
              <w:left w:val="nil"/>
            </w:tcBorders>
            <w:textDirection w:val="btLr"/>
          </w:tcPr>
          <w:p w14:paraId="7AAFEDF0" w14:textId="77777777" w:rsidR="00FA4226" w:rsidRPr="00CA2CC1" w:rsidRDefault="00FA4226" w:rsidP="0043303B">
            <w:pPr>
              <w:rPr>
                <w:rFonts w:cs="Calibri"/>
                <w:sz w:val="2"/>
                <w:szCs w:val="2"/>
              </w:rPr>
            </w:pPr>
          </w:p>
        </w:tc>
        <w:tc>
          <w:tcPr>
            <w:tcW w:w="1124" w:type="dxa"/>
          </w:tcPr>
          <w:p w14:paraId="4A47FBB6" w14:textId="77777777" w:rsidR="00FA4226" w:rsidRPr="00CA2CC1" w:rsidRDefault="00000000" w:rsidP="0043303B">
            <w:pPr>
              <w:pStyle w:val="TableParagraph"/>
              <w:spacing w:before="18"/>
              <w:jc w:val="left"/>
              <w:rPr>
                <w:rFonts w:cs="Calibri"/>
                <w:sz w:val="16"/>
              </w:rPr>
            </w:pPr>
            <w:r w:rsidRPr="00CA2CC1">
              <w:rPr>
                <w:rFonts w:cs="Calibri"/>
                <w:color w:val="414042"/>
                <w:spacing w:val="-4"/>
                <w:sz w:val="16"/>
              </w:rPr>
              <w:t>SES3</w:t>
            </w:r>
          </w:p>
        </w:tc>
        <w:tc>
          <w:tcPr>
            <w:tcW w:w="751" w:type="dxa"/>
            <w:tcMar>
              <w:right w:w="57" w:type="dxa"/>
            </w:tcMar>
          </w:tcPr>
          <w:p w14:paraId="469041C5" w14:textId="77777777" w:rsidR="00FA4226" w:rsidRPr="00CA2CC1" w:rsidRDefault="00000000" w:rsidP="0043303B">
            <w:pPr>
              <w:pStyle w:val="TableParagraph"/>
              <w:spacing w:before="18"/>
              <w:rPr>
                <w:rFonts w:cs="Calibri"/>
                <w:sz w:val="16"/>
              </w:rPr>
            </w:pPr>
            <w:r w:rsidRPr="00CA2CC1">
              <w:rPr>
                <w:rFonts w:cs="Calibri"/>
                <w:color w:val="414042"/>
                <w:sz w:val="16"/>
              </w:rPr>
              <w:t>0</w:t>
            </w:r>
          </w:p>
        </w:tc>
        <w:tc>
          <w:tcPr>
            <w:tcW w:w="615" w:type="dxa"/>
            <w:tcMar>
              <w:right w:w="57" w:type="dxa"/>
            </w:tcMar>
          </w:tcPr>
          <w:p w14:paraId="2737F570" w14:textId="77777777" w:rsidR="00FA4226" w:rsidRPr="00CA2CC1" w:rsidRDefault="00000000" w:rsidP="0043303B">
            <w:pPr>
              <w:pStyle w:val="TableParagraph"/>
              <w:spacing w:before="18"/>
              <w:jc w:val="center"/>
              <w:rPr>
                <w:rFonts w:cs="Calibri"/>
                <w:sz w:val="16"/>
              </w:rPr>
            </w:pPr>
            <w:r w:rsidRPr="00CA2CC1">
              <w:rPr>
                <w:rFonts w:cs="Calibri"/>
                <w:color w:val="414042"/>
                <w:spacing w:val="-4"/>
                <w:sz w:val="16"/>
              </w:rPr>
              <w:t>0.00</w:t>
            </w:r>
          </w:p>
        </w:tc>
        <w:tc>
          <w:tcPr>
            <w:tcW w:w="751" w:type="dxa"/>
            <w:tcMar>
              <w:right w:w="57" w:type="dxa"/>
            </w:tcMar>
          </w:tcPr>
          <w:p w14:paraId="28CF9F7B" w14:textId="77777777" w:rsidR="00FA4226" w:rsidRPr="00CA2CC1" w:rsidRDefault="00000000" w:rsidP="0043303B">
            <w:pPr>
              <w:pStyle w:val="TableParagraph"/>
              <w:spacing w:before="18"/>
              <w:rPr>
                <w:rFonts w:cs="Calibri"/>
                <w:sz w:val="16"/>
              </w:rPr>
            </w:pPr>
            <w:r w:rsidRPr="00CA2CC1">
              <w:rPr>
                <w:rFonts w:cs="Calibri"/>
                <w:color w:val="414042"/>
                <w:sz w:val="16"/>
              </w:rPr>
              <w:t>0</w:t>
            </w:r>
          </w:p>
        </w:tc>
        <w:tc>
          <w:tcPr>
            <w:tcW w:w="615" w:type="dxa"/>
            <w:tcMar>
              <w:right w:w="57" w:type="dxa"/>
            </w:tcMar>
          </w:tcPr>
          <w:p w14:paraId="40260AB3" w14:textId="77777777" w:rsidR="00FA4226" w:rsidRPr="00CA2CC1" w:rsidRDefault="00000000" w:rsidP="0043303B">
            <w:pPr>
              <w:pStyle w:val="TableParagraph"/>
              <w:spacing w:before="18"/>
              <w:rPr>
                <w:rFonts w:cs="Calibri"/>
                <w:sz w:val="16"/>
              </w:rPr>
            </w:pPr>
            <w:r w:rsidRPr="00CA2CC1">
              <w:rPr>
                <w:rFonts w:cs="Calibri"/>
                <w:color w:val="414042"/>
                <w:spacing w:val="-4"/>
                <w:sz w:val="16"/>
              </w:rPr>
              <w:t>0.00</w:t>
            </w:r>
          </w:p>
        </w:tc>
        <w:tc>
          <w:tcPr>
            <w:tcW w:w="751" w:type="dxa"/>
            <w:shd w:val="clear" w:color="auto" w:fill="EDEFF0"/>
            <w:tcMar>
              <w:right w:w="57" w:type="dxa"/>
            </w:tcMar>
          </w:tcPr>
          <w:p w14:paraId="0E7546C7" w14:textId="77777777" w:rsidR="00FA4226" w:rsidRPr="00CA2CC1" w:rsidRDefault="00000000" w:rsidP="0043303B">
            <w:pPr>
              <w:pStyle w:val="TableParagraph"/>
              <w:spacing w:before="18"/>
              <w:rPr>
                <w:rFonts w:cs="Calibri"/>
                <w:sz w:val="16"/>
              </w:rPr>
            </w:pPr>
            <w:r w:rsidRPr="00CA2CC1">
              <w:rPr>
                <w:rFonts w:cs="Calibri"/>
                <w:color w:val="414042"/>
                <w:sz w:val="16"/>
              </w:rPr>
              <w:t>0</w:t>
            </w:r>
          </w:p>
        </w:tc>
        <w:tc>
          <w:tcPr>
            <w:tcW w:w="615" w:type="dxa"/>
            <w:shd w:val="clear" w:color="auto" w:fill="EDEFF0"/>
            <w:tcMar>
              <w:right w:w="57" w:type="dxa"/>
            </w:tcMar>
          </w:tcPr>
          <w:p w14:paraId="4428FA4A" w14:textId="77777777" w:rsidR="00FA4226" w:rsidRPr="00CA2CC1" w:rsidRDefault="00000000" w:rsidP="0043303B">
            <w:pPr>
              <w:pStyle w:val="TableParagraph"/>
              <w:spacing w:before="18"/>
              <w:jc w:val="center"/>
              <w:rPr>
                <w:rFonts w:cs="Calibri"/>
                <w:sz w:val="16"/>
              </w:rPr>
            </w:pPr>
            <w:r w:rsidRPr="00CA2CC1">
              <w:rPr>
                <w:rFonts w:cs="Calibri"/>
                <w:color w:val="414042"/>
                <w:spacing w:val="-4"/>
                <w:sz w:val="16"/>
              </w:rPr>
              <w:t>0.00</w:t>
            </w:r>
          </w:p>
        </w:tc>
        <w:tc>
          <w:tcPr>
            <w:tcW w:w="751" w:type="dxa"/>
            <w:tcMar>
              <w:right w:w="57" w:type="dxa"/>
            </w:tcMar>
          </w:tcPr>
          <w:p w14:paraId="7316B2FC" w14:textId="77777777" w:rsidR="00FA4226" w:rsidRPr="00CA2CC1" w:rsidRDefault="00000000" w:rsidP="0043303B">
            <w:pPr>
              <w:pStyle w:val="TableParagraph"/>
              <w:spacing w:before="18"/>
              <w:rPr>
                <w:rFonts w:cs="Calibri"/>
                <w:sz w:val="16"/>
              </w:rPr>
            </w:pPr>
            <w:r w:rsidRPr="00CA2CC1">
              <w:rPr>
                <w:rFonts w:cs="Calibri"/>
                <w:color w:val="414042"/>
                <w:sz w:val="16"/>
              </w:rPr>
              <w:t>0</w:t>
            </w:r>
          </w:p>
        </w:tc>
        <w:tc>
          <w:tcPr>
            <w:tcW w:w="615" w:type="dxa"/>
            <w:tcMar>
              <w:right w:w="57" w:type="dxa"/>
            </w:tcMar>
          </w:tcPr>
          <w:p w14:paraId="48DD6009" w14:textId="77777777" w:rsidR="00FA4226" w:rsidRPr="00CA2CC1" w:rsidRDefault="00000000" w:rsidP="0043303B">
            <w:pPr>
              <w:pStyle w:val="TableParagraph"/>
              <w:spacing w:before="18"/>
              <w:jc w:val="center"/>
              <w:rPr>
                <w:rFonts w:cs="Calibri"/>
                <w:sz w:val="16"/>
              </w:rPr>
            </w:pPr>
            <w:r w:rsidRPr="00CA2CC1">
              <w:rPr>
                <w:rFonts w:cs="Calibri"/>
                <w:color w:val="414042"/>
                <w:spacing w:val="-4"/>
                <w:sz w:val="16"/>
              </w:rPr>
              <w:t>0.00</w:t>
            </w:r>
          </w:p>
        </w:tc>
        <w:tc>
          <w:tcPr>
            <w:tcW w:w="751" w:type="dxa"/>
            <w:tcMar>
              <w:right w:w="57" w:type="dxa"/>
            </w:tcMar>
          </w:tcPr>
          <w:p w14:paraId="6FBA2816" w14:textId="77777777" w:rsidR="00FA4226" w:rsidRPr="00CA2CC1" w:rsidRDefault="00000000" w:rsidP="0043303B">
            <w:pPr>
              <w:pStyle w:val="TableParagraph"/>
              <w:spacing w:before="18"/>
              <w:rPr>
                <w:rFonts w:cs="Calibri"/>
                <w:sz w:val="16"/>
              </w:rPr>
            </w:pPr>
            <w:r w:rsidRPr="00CA2CC1">
              <w:rPr>
                <w:rFonts w:cs="Calibri"/>
                <w:color w:val="414042"/>
                <w:sz w:val="16"/>
              </w:rPr>
              <w:t>0</w:t>
            </w:r>
          </w:p>
        </w:tc>
        <w:tc>
          <w:tcPr>
            <w:tcW w:w="615" w:type="dxa"/>
            <w:tcMar>
              <w:right w:w="57" w:type="dxa"/>
            </w:tcMar>
          </w:tcPr>
          <w:p w14:paraId="53A0C6A2" w14:textId="77777777" w:rsidR="00FA4226" w:rsidRPr="00CA2CC1" w:rsidRDefault="00000000" w:rsidP="0043303B">
            <w:pPr>
              <w:pStyle w:val="TableParagraph"/>
              <w:spacing w:before="18"/>
              <w:rPr>
                <w:rFonts w:cs="Calibri"/>
                <w:sz w:val="16"/>
              </w:rPr>
            </w:pPr>
            <w:r w:rsidRPr="00CA2CC1">
              <w:rPr>
                <w:rFonts w:cs="Calibri"/>
                <w:color w:val="414042"/>
                <w:spacing w:val="-4"/>
                <w:sz w:val="16"/>
              </w:rPr>
              <w:t>0.00</w:t>
            </w:r>
          </w:p>
        </w:tc>
        <w:tc>
          <w:tcPr>
            <w:tcW w:w="751" w:type="dxa"/>
            <w:shd w:val="clear" w:color="auto" w:fill="EDEFF0"/>
            <w:tcMar>
              <w:right w:w="57" w:type="dxa"/>
            </w:tcMar>
          </w:tcPr>
          <w:p w14:paraId="59F10B3E" w14:textId="77777777" w:rsidR="00FA4226" w:rsidRPr="00CA2CC1" w:rsidRDefault="00000000" w:rsidP="0043303B">
            <w:pPr>
              <w:pStyle w:val="TableParagraph"/>
              <w:spacing w:before="18"/>
              <w:rPr>
                <w:rFonts w:cs="Calibri"/>
                <w:sz w:val="16"/>
              </w:rPr>
            </w:pPr>
            <w:r w:rsidRPr="00CA2CC1">
              <w:rPr>
                <w:rFonts w:cs="Calibri"/>
                <w:color w:val="414042"/>
                <w:sz w:val="16"/>
              </w:rPr>
              <w:t>0</w:t>
            </w:r>
          </w:p>
        </w:tc>
        <w:tc>
          <w:tcPr>
            <w:tcW w:w="615" w:type="dxa"/>
            <w:tcBorders>
              <w:right w:val="nil"/>
            </w:tcBorders>
            <w:shd w:val="clear" w:color="auto" w:fill="EDEFF0"/>
            <w:tcMar>
              <w:right w:w="57" w:type="dxa"/>
            </w:tcMar>
          </w:tcPr>
          <w:p w14:paraId="0F4933ED" w14:textId="77777777" w:rsidR="00FA4226" w:rsidRPr="00CA2CC1" w:rsidRDefault="00000000" w:rsidP="0043303B">
            <w:pPr>
              <w:pStyle w:val="TableParagraph"/>
              <w:spacing w:before="18"/>
              <w:jc w:val="center"/>
              <w:rPr>
                <w:rFonts w:cs="Calibri"/>
                <w:sz w:val="16"/>
              </w:rPr>
            </w:pPr>
            <w:r w:rsidRPr="00CA2CC1">
              <w:rPr>
                <w:rFonts w:cs="Calibri"/>
                <w:color w:val="414042"/>
                <w:spacing w:val="-4"/>
                <w:sz w:val="16"/>
              </w:rPr>
              <w:t>0.00</w:t>
            </w:r>
          </w:p>
        </w:tc>
      </w:tr>
      <w:tr w:rsidR="00FA4226" w:rsidRPr="00CA2CC1" w14:paraId="65AF9474" w14:textId="77777777" w:rsidTr="00015707">
        <w:trPr>
          <w:trHeight w:val="280"/>
        </w:trPr>
        <w:tc>
          <w:tcPr>
            <w:tcW w:w="317" w:type="dxa"/>
            <w:vMerge/>
            <w:tcBorders>
              <w:top w:val="nil"/>
              <w:left w:val="nil"/>
            </w:tcBorders>
            <w:textDirection w:val="btLr"/>
          </w:tcPr>
          <w:p w14:paraId="3B8963BB" w14:textId="77777777" w:rsidR="00FA4226" w:rsidRPr="00CA2CC1" w:rsidRDefault="00FA4226" w:rsidP="0043303B">
            <w:pPr>
              <w:rPr>
                <w:rFonts w:cs="Calibri"/>
                <w:sz w:val="2"/>
                <w:szCs w:val="2"/>
              </w:rPr>
            </w:pPr>
          </w:p>
        </w:tc>
        <w:tc>
          <w:tcPr>
            <w:tcW w:w="1124" w:type="dxa"/>
          </w:tcPr>
          <w:p w14:paraId="20C3D13B" w14:textId="77777777" w:rsidR="00FA4226" w:rsidRPr="00CA2CC1" w:rsidRDefault="00000000" w:rsidP="0043303B">
            <w:pPr>
              <w:pStyle w:val="TableParagraph"/>
              <w:spacing w:before="18"/>
              <w:jc w:val="left"/>
              <w:rPr>
                <w:rFonts w:cs="Calibri"/>
                <w:sz w:val="16"/>
              </w:rPr>
            </w:pPr>
            <w:r w:rsidRPr="00CA2CC1">
              <w:rPr>
                <w:rFonts w:cs="Calibri"/>
                <w:color w:val="414042"/>
                <w:spacing w:val="-4"/>
                <w:sz w:val="16"/>
              </w:rPr>
              <w:t>SES2</w:t>
            </w:r>
          </w:p>
        </w:tc>
        <w:tc>
          <w:tcPr>
            <w:tcW w:w="751" w:type="dxa"/>
            <w:tcMar>
              <w:right w:w="57" w:type="dxa"/>
            </w:tcMar>
          </w:tcPr>
          <w:p w14:paraId="133E852D" w14:textId="77777777" w:rsidR="00FA4226" w:rsidRPr="00CA2CC1" w:rsidRDefault="00000000" w:rsidP="0043303B">
            <w:pPr>
              <w:pStyle w:val="TableParagraph"/>
              <w:spacing w:before="18"/>
              <w:rPr>
                <w:rFonts w:cs="Calibri"/>
                <w:sz w:val="16"/>
              </w:rPr>
            </w:pPr>
            <w:r w:rsidRPr="00CA2CC1">
              <w:rPr>
                <w:rFonts w:cs="Calibri"/>
                <w:color w:val="414042"/>
                <w:sz w:val="16"/>
              </w:rPr>
              <w:t>2</w:t>
            </w:r>
          </w:p>
        </w:tc>
        <w:tc>
          <w:tcPr>
            <w:tcW w:w="615" w:type="dxa"/>
            <w:tcMar>
              <w:right w:w="57" w:type="dxa"/>
            </w:tcMar>
          </w:tcPr>
          <w:p w14:paraId="6087C06D" w14:textId="77777777" w:rsidR="00FA4226" w:rsidRPr="00CA2CC1" w:rsidRDefault="00000000" w:rsidP="0043303B">
            <w:pPr>
              <w:pStyle w:val="TableParagraph"/>
              <w:spacing w:before="18"/>
              <w:jc w:val="center"/>
              <w:rPr>
                <w:rFonts w:cs="Calibri"/>
                <w:sz w:val="16"/>
              </w:rPr>
            </w:pPr>
            <w:r w:rsidRPr="00CA2CC1">
              <w:rPr>
                <w:rFonts w:cs="Calibri"/>
                <w:color w:val="414042"/>
                <w:spacing w:val="-4"/>
                <w:sz w:val="16"/>
              </w:rPr>
              <w:t>1.80</w:t>
            </w:r>
          </w:p>
        </w:tc>
        <w:tc>
          <w:tcPr>
            <w:tcW w:w="751" w:type="dxa"/>
            <w:tcMar>
              <w:right w:w="57" w:type="dxa"/>
            </w:tcMar>
          </w:tcPr>
          <w:p w14:paraId="52EDEE76" w14:textId="77777777" w:rsidR="00FA4226" w:rsidRPr="00CA2CC1" w:rsidRDefault="00000000" w:rsidP="0043303B">
            <w:pPr>
              <w:pStyle w:val="TableParagraph"/>
              <w:spacing w:before="18"/>
              <w:rPr>
                <w:rFonts w:cs="Calibri"/>
                <w:sz w:val="16"/>
              </w:rPr>
            </w:pPr>
            <w:r w:rsidRPr="00CA2CC1">
              <w:rPr>
                <w:rFonts w:cs="Calibri"/>
                <w:color w:val="414042"/>
                <w:sz w:val="16"/>
              </w:rPr>
              <w:t>0</w:t>
            </w:r>
          </w:p>
        </w:tc>
        <w:tc>
          <w:tcPr>
            <w:tcW w:w="615" w:type="dxa"/>
            <w:tcMar>
              <w:right w:w="57" w:type="dxa"/>
            </w:tcMar>
          </w:tcPr>
          <w:p w14:paraId="0CE20F0B" w14:textId="77777777" w:rsidR="00FA4226" w:rsidRPr="00CA2CC1" w:rsidRDefault="00000000" w:rsidP="0043303B">
            <w:pPr>
              <w:pStyle w:val="TableParagraph"/>
              <w:spacing w:before="18"/>
              <w:rPr>
                <w:rFonts w:cs="Calibri"/>
                <w:sz w:val="16"/>
              </w:rPr>
            </w:pPr>
            <w:r w:rsidRPr="00CA2CC1">
              <w:rPr>
                <w:rFonts w:cs="Calibri"/>
                <w:color w:val="414042"/>
                <w:spacing w:val="-4"/>
                <w:sz w:val="16"/>
              </w:rPr>
              <w:t>0.00</w:t>
            </w:r>
          </w:p>
        </w:tc>
        <w:tc>
          <w:tcPr>
            <w:tcW w:w="751" w:type="dxa"/>
            <w:shd w:val="clear" w:color="auto" w:fill="EDEFF0"/>
            <w:tcMar>
              <w:right w:w="57" w:type="dxa"/>
            </w:tcMar>
          </w:tcPr>
          <w:p w14:paraId="5767DB3B" w14:textId="77777777" w:rsidR="00FA4226" w:rsidRPr="00CA2CC1" w:rsidRDefault="00000000" w:rsidP="0043303B">
            <w:pPr>
              <w:pStyle w:val="TableParagraph"/>
              <w:spacing w:before="18"/>
              <w:rPr>
                <w:rFonts w:cs="Calibri"/>
                <w:sz w:val="16"/>
              </w:rPr>
            </w:pPr>
            <w:r w:rsidRPr="00CA2CC1">
              <w:rPr>
                <w:rFonts w:cs="Calibri"/>
                <w:color w:val="414042"/>
                <w:sz w:val="16"/>
              </w:rPr>
              <w:t>2</w:t>
            </w:r>
          </w:p>
        </w:tc>
        <w:tc>
          <w:tcPr>
            <w:tcW w:w="615" w:type="dxa"/>
            <w:shd w:val="clear" w:color="auto" w:fill="EDEFF0"/>
            <w:tcMar>
              <w:right w:w="57" w:type="dxa"/>
            </w:tcMar>
          </w:tcPr>
          <w:p w14:paraId="46525627" w14:textId="77777777" w:rsidR="00FA4226" w:rsidRPr="00CA2CC1" w:rsidRDefault="00000000" w:rsidP="0043303B">
            <w:pPr>
              <w:pStyle w:val="TableParagraph"/>
              <w:spacing w:before="18"/>
              <w:jc w:val="center"/>
              <w:rPr>
                <w:rFonts w:cs="Calibri"/>
                <w:sz w:val="16"/>
              </w:rPr>
            </w:pPr>
            <w:r w:rsidRPr="00CA2CC1">
              <w:rPr>
                <w:rFonts w:cs="Calibri"/>
                <w:color w:val="414042"/>
                <w:spacing w:val="-4"/>
                <w:sz w:val="16"/>
              </w:rPr>
              <w:t>1.80</w:t>
            </w:r>
          </w:p>
        </w:tc>
        <w:tc>
          <w:tcPr>
            <w:tcW w:w="751" w:type="dxa"/>
            <w:tcMar>
              <w:right w:w="57" w:type="dxa"/>
            </w:tcMar>
          </w:tcPr>
          <w:p w14:paraId="5FBFE956" w14:textId="77777777" w:rsidR="00FA4226" w:rsidRPr="00CA2CC1" w:rsidRDefault="00000000" w:rsidP="0043303B">
            <w:pPr>
              <w:pStyle w:val="TableParagraph"/>
              <w:spacing w:before="18"/>
              <w:rPr>
                <w:rFonts w:cs="Calibri"/>
                <w:sz w:val="16"/>
              </w:rPr>
            </w:pPr>
            <w:r w:rsidRPr="00CA2CC1">
              <w:rPr>
                <w:rFonts w:cs="Calibri"/>
                <w:color w:val="414042"/>
                <w:sz w:val="16"/>
              </w:rPr>
              <w:t>1</w:t>
            </w:r>
          </w:p>
        </w:tc>
        <w:tc>
          <w:tcPr>
            <w:tcW w:w="615" w:type="dxa"/>
            <w:tcMar>
              <w:right w:w="57" w:type="dxa"/>
            </w:tcMar>
          </w:tcPr>
          <w:p w14:paraId="606779E8" w14:textId="77777777" w:rsidR="00FA4226" w:rsidRPr="00CA2CC1" w:rsidRDefault="00000000" w:rsidP="0043303B">
            <w:pPr>
              <w:pStyle w:val="TableParagraph"/>
              <w:spacing w:before="18"/>
              <w:jc w:val="center"/>
              <w:rPr>
                <w:rFonts w:cs="Calibri"/>
                <w:sz w:val="16"/>
              </w:rPr>
            </w:pPr>
            <w:r w:rsidRPr="00CA2CC1">
              <w:rPr>
                <w:rFonts w:cs="Calibri"/>
                <w:color w:val="414042"/>
                <w:spacing w:val="-4"/>
                <w:sz w:val="16"/>
              </w:rPr>
              <w:t>1.00</w:t>
            </w:r>
          </w:p>
        </w:tc>
        <w:tc>
          <w:tcPr>
            <w:tcW w:w="751" w:type="dxa"/>
            <w:tcMar>
              <w:right w:w="57" w:type="dxa"/>
            </w:tcMar>
          </w:tcPr>
          <w:p w14:paraId="7CBCA82C" w14:textId="77777777" w:rsidR="00FA4226" w:rsidRPr="00CA2CC1" w:rsidRDefault="00000000" w:rsidP="0043303B">
            <w:pPr>
              <w:pStyle w:val="TableParagraph"/>
              <w:spacing w:before="18"/>
              <w:rPr>
                <w:rFonts w:cs="Calibri"/>
                <w:sz w:val="16"/>
              </w:rPr>
            </w:pPr>
            <w:r w:rsidRPr="00CA2CC1">
              <w:rPr>
                <w:rFonts w:cs="Calibri"/>
                <w:color w:val="414042"/>
                <w:sz w:val="16"/>
              </w:rPr>
              <w:t>1</w:t>
            </w:r>
          </w:p>
        </w:tc>
        <w:tc>
          <w:tcPr>
            <w:tcW w:w="615" w:type="dxa"/>
            <w:tcMar>
              <w:right w:w="57" w:type="dxa"/>
            </w:tcMar>
          </w:tcPr>
          <w:p w14:paraId="6C8C9997" w14:textId="77777777" w:rsidR="00FA4226" w:rsidRPr="00CA2CC1" w:rsidRDefault="00000000" w:rsidP="0043303B">
            <w:pPr>
              <w:pStyle w:val="TableParagraph"/>
              <w:spacing w:before="18"/>
              <w:rPr>
                <w:rFonts w:cs="Calibri"/>
                <w:sz w:val="16"/>
              </w:rPr>
            </w:pPr>
            <w:r w:rsidRPr="00CA2CC1">
              <w:rPr>
                <w:rFonts w:cs="Calibri"/>
                <w:color w:val="414042"/>
                <w:spacing w:val="-4"/>
                <w:sz w:val="16"/>
              </w:rPr>
              <w:t>1.00</w:t>
            </w:r>
          </w:p>
        </w:tc>
        <w:tc>
          <w:tcPr>
            <w:tcW w:w="751" w:type="dxa"/>
            <w:shd w:val="clear" w:color="auto" w:fill="EDEFF0"/>
            <w:tcMar>
              <w:right w:w="57" w:type="dxa"/>
            </w:tcMar>
          </w:tcPr>
          <w:p w14:paraId="68ED2E90" w14:textId="77777777" w:rsidR="00FA4226" w:rsidRPr="00CA2CC1" w:rsidRDefault="00000000" w:rsidP="0043303B">
            <w:pPr>
              <w:pStyle w:val="TableParagraph"/>
              <w:spacing w:before="18"/>
              <w:rPr>
                <w:rFonts w:cs="Calibri"/>
                <w:sz w:val="16"/>
              </w:rPr>
            </w:pPr>
            <w:r w:rsidRPr="00CA2CC1">
              <w:rPr>
                <w:rFonts w:cs="Calibri"/>
                <w:color w:val="414042"/>
                <w:sz w:val="16"/>
              </w:rPr>
              <w:t>2</w:t>
            </w:r>
          </w:p>
        </w:tc>
        <w:tc>
          <w:tcPr>
            <w:tcW w:w="615" w:type="dxa"/>
            <w:tcBorders>
              <w:right w:val="nil"/>
            </w:tcBorders>
            <w:shd w:val="clear" w:color="auto" w:fill="EDEFF0"/>
            <w:tcMar>
              <w:right w:w="57" w:type="dxa"/>
            </w:tcMar>
          </w:tcPr>
          <w:p w14:paraId="6E203C20" w14:textId="77777777" w:rsidR="00FA4226" w:rsidRPr="00CA2CC1" w:rsidRDefault="00000000" w:rsidP="0043303B">
            <w:pPr>
              <w:pStyle w:val="TableParagraph"/>
              <w:spacing w:before="18"/>
              <w:jc w:val="center"/>
              <w:rPr>
                <w:rFonts w:cs="Calibri"/>
                <w:sz w:val="16"/>
              </w:rPr>
            </w:pPr>
            <w:r w:rsidRPr="00CA2CC1">
              <w:rPr>
                <w:rFonts w:cs="Calibri"/>
                <w:color w:val="414042"/>
                <w:spacing w:val="-4"/>
                <w:sz w:val="16"/>
              </w:rPr>
              <w:t>2.00</w:t>
            </w:r>
          </w:p>
        </w:tc>
      </w:tr>
      <w:tr w:rsidR="00FA4226" w:rsidRPr="00CA2CC1" w14:paraId="102440F4" w14:textId="77777777" w:rsidTr="00015707">
        <w:trPr>
          <w:trHeight w:val="305"/>
        </w:trPr>
        <w:tc>
          <w:tcPr>
            <w:tcW w:w="317" w:type="dxa"/>
            <w:vMerge/>
            <w:tcBorders>
              <w:top w:val="nil"/>
              <w:left w:val="nil"/>
            </w:tcBorders>
            <w:textDirection w:val="btLr"/>
          </w:tcPr>
          <w:p w14:paraId="1BDF1782" w14:textId="77777777" w:rsidR="00FA4226" w:rsidRPr="00CA2CC1" w:rsidRDefault="00FA4226" w:rsidP="0043303B">
            <w:pPr>
              <w:rPr>
                <w:rFonts w:cs="Calibri"/>
                <w:sz w:val="2"/>
                <w:szCs w:val="2"/>
              </w:rPr>
            </w:pPr>
          </w:p>
        </w:tc>
        <w:tc>
          <w:tcPr>
            <w:tcW w:w="1124" w:type="dxa"/>
          </w:tcPr>
          <w:p w14:paraId="5895A93F" w14:textId="77777777" w:rsidR="00FA4226" w:rsidRPr="00CA2CC1" w:rsidRDefault="00000000" w:rsidP="0043303B">
            <w:pPr>
              <w:pStyle w:val="TableParagraph"/>
              <w:spacing w:before="43"/>
              <w:jc w:val="left"/>
              <w:rPr>
                <w:rFonts w:cs="Calibri"/>
                <w:sz w:val="16"/>
              </w:rPr>
            </w:pPr>
            <w:r w:rsidRPr="00CA2CC1">
              <w:rPr>
                <w:rFonts w:cs="Calibri"/>
                <w:color w:val="414042"/>
                <w:spacing w:val="-4"/>
                <w:sz w:val="16"/>
              </w:rPr>
              <w:t>SES1</w:t>
            </w:r>
          </w:p>
        </w:tc>
        <w:tc>
          <w:tcPr>
            <w:tcW w:w="751" w:type="dxa"/>
            <w:tcMar>
              <w:right w:w="57" w:type="dxa"/>
            </w:tcMar>
          </w:tcPr>
          <w:p w14:paraId="008AB99F" w14:textId="77777777" w:rsidR="00FA4226" w:rsidRPr="00CA2CC1" w:rsidRDefault="00000000" w:rsidP="0043303B">
            <w:pPr>
              <w:pStyle w:val="TableParagraph"/>
              <w:spacing w:before="43"/>
              <w:rPr>
                <w:rFonts w:cs="Calibri"/>
                <w:sz w:val="16"/>
              </w:rPr>
            </w:pPr>
            <w:r w:rsidRPr="00CA2CC1">
              <w:rPr>
                <w:rFonts w:cs="Calibri"/>
                <w:color w:val="414042"/>
                <w:sz w:val="16"/>
              </w:rPr>
              <w:t>3</w:t>
            </w:r>
          </w:p>
        </w:tc>
        <w:tc>
          <w:tcPr>
            <w:tcW w:w="615" w:type="dxa"/>
            <w:tcMar>
              <w:right w:w="57" w:type="dxa"/>
            </w:tcMar>
          </w:tcPr>
          <w:p w14:paraId="64FFB32B" w14:textId="77777777" w:rsidR="00FA4226" w:rsidRPr="00CA2CC1" w:rsidRDefault="00000000" w:rsidP="0043303B">
            <w:pPr>
              <w:pStyle w:val="TableParagraph"/>
              <w:spacing w:before="43"/>
              <w:jc w:val="center"/>
              <w:rPr>
                <w:rFonts w:cs="Calibri"/>
                <w:sz w:val="16"/>
              </w:rPr>
            </w:pPr>
            <w:r w:rsidRPr="00CA2CC1">
              <w:rPr>
                <w:rFonts w:cs="Calibri"/>
                <w:color w:val="414042"/>
                <w:spacing w:val="-4"/>
                <w:sz w:val="16"/>
              </w:rPr>
              <w:t>3.00</w:t>
            </w:r>
          </w:p>
        </w:tc>
        <w:tc>
          <w:tcPr>
            <w:tcW w:w="751" w:type="dxa"/>
            <w:tcMar>
              <w:right w:w="57" w:type="dxa"/>
            </w:tcMar>
          </w:tcPr>
          <w:p w14:paraId="4089717B" w14:textId="77777777" w:rsidR="00FA4226" w:rsidRPr="00CA2CC1" w:rsidRDefault="00000000" w:rsidP="0043303B">
            <w:pPr>
              <w:pStyle w:val="TableParagraph"/>
              <w:spacing w:before="43"/>
              <w:rPr>
                <w:rFonts w:cs="Calibri"/>
                <w:sz w:val="16"/>
              </w:rPr>
            </w:pPr>
            <w:r w:rsidRPr="00CA2CC1">
              <w:rPr>
                <w:rFonts w:cs="Calibri"/>
                <w:color w:val="414042"/>
                <w:sz w:val="16"/>
              </w:rPr>
              <w:t>0</w:t>
            </w:r>
          </w:p>
        </w:tc>
        <w:tc>
          <w:tcPr>
            <w:tcW w:w="615" w:type="dxa"/>
            <w:tcMar>
              <w:right w:w="57" w:type="dxa"/>
            </w:tcMar>
          </w:tcPr>
          <w:p w14:paraId="73D36076" w14:textId="77777777" w:rsidR="00FA4226" w:rsidRPr="00CA2CC1" w:rsidRDefault="00000000" w:rsidP="0043303B">
            <w:pPr>
              <w:pStyle w:val="TableParagraph"/>
              <w:spacing w:before="43"/>
              <w:rPr>
                <w:rFonts w:cs="Calibri"/>
                <w:sz w:val="16"/>
              </w:rPr>
            </w:pPr>
            <w:r w:rsidRPr="00CA2CC1">
              <w:rPr>
                <w:rFonts w:cs="Calibri"/>
                <w:color w:val="414042"/>
                <w:spacing w:val="-4"/>
                <w:sz w:val="16"/>
              </w:rPr>
              <w:t>0.00</w:t>
            </w:r>
          </w:p>
        </w:tc>
        <w:tc>
          <w:tcPr>
            <w:tcW w:w="751" w:type="dxa"/>
            <w:shd w:val="clear" w:color="auto" w:fill="EDEFF0"/>
            <w:tcMar>
              <w:right w:w="57" w:type="dxa"/>
            </w:tcMar>
          </w:tcPr>
          <w:p w14:paraId="0F287479" w14:textId="77777777" w:rsidR="00FA4226" w:rsidRPr="00CA2CC1" w:rsidRDefault="00000000" w:rsidP="0043303B">
            <w:pPr>
              <w:pStyle w:val="TableParagraph"/>
              <w:spacing w:before="43"/>
              <w:rPr>
                <w:rFonts w:cs="Calibri"/>
                <w:sz w:val="16"/>
              </w:rPr>
            </w:pPr>
            <w:r w:rsidRPr="00CA2CC1">
              <w:rPr>
                <w:rFonts w:cs="Calibri"/>
                <w:color w:val="414042"/>
                <w:sz w:val="16"/>
              </w:rPr>
              <w:t>3</w:t>
            </w:r>
          </w:p>
        </w:tc>
        <w:tc>
          <w:tcPr>
            <w:tcW w:w="615" w:type="dxa"/>
            <w:shd w:val="clear" w:color="auto" w:fill="EDEFF0"/>
            <w:tcMar>
              <w:right w:w="57" w:type="dxa"/>
            </w:tcMar>
          </w:tcPr>
          <w:p w14:paraId="1E090520" w14:textId="77777777" w:rsidR="00FA4226" w:rsidRPr="00CA2CC1" w:rsidRDefault="00000000" w:rsidP="0043303B">
            <w:pPr>
              <w:pStyle w:val="TableParagraph"/>
              <w:spacing w:before="43"/>
              <w:jc w:val="center"/>
              <w:rPr>
                <w:rFonts w:cs="Calibri"/>
                <w:sz w:val="16"/>
              </w:rPr>
            </w:pPr>
            <w:r w:rsidRPr="00CA2CC1">
              <w:rPr>
                <w:rFonts w:cs="Calibri"/>
                <w:color w:val="414042"/>
                <w:spacing w:val="-4"/>
                <w:sz w:val="16"/>
              </w:rPr>
              <w:t>3.00</w:t>
            </w:r>
          </w:p>
        </w:tc>
        <w:tc>
          <w:tcPr>
            <w:tcW w:w="751" w:type="dxa"/>
            <w:tcMar>
              <w:right w:w="57" w:type="dxa"/>
            </w:tcMar>
          </w:tcPr>
          <w:p w14:paraId="5B1654D2" w14:textId="77777777" w:rsidR="00FA4226" w:rsidRPr="00CA2CC1" w:rsidRDefault="00000000" w:rsidP="0043303B">
            <w:pPr>
              <w:pStyle w:val="TableParagraph"/>
              <w:spacing w:before="43"/>
              <w:rPr>
                <w:rFonts w:cs="Calibri"/>
                <w:sz w:val="16"/>
              </w:rPr>
            </w:pPr>
            <w:r w:rsidRPr="00CA2CC1">
              <w:rPr>
                <w:rFonts w:cs="Calibri"/>
                <w:color w:val="414042"/>
                <w:sz w:val="16"/>
              </w:rPr>
              <w:t>3</w:t>
            </w:r>
          </w:p>
        </w:tc>
        <w:tc>
          <w:tcPr>
            <w:tcW w:w="615" w:type="dxa"/>
            <w:tcMar>
              <w:right w:w="57" w:type="dxa"/>
            </w:tcMar>
          </w:tcPr>
          <w:p w14:paraId="02C0DEF9" w14:textId="77777777" w:rsidR="00FA4226" w:rsidRPr="00CA2CC1" w:rsidRDefault="00000000" w:rsidP="0043303B">
            <w:pPr>
              <w:pStyle w:val="TableParagraph"/>
              <w:spacing w:before="43"/>
              <w:jc w:val="center"/>
              <w:rPr>
                <w:rFonts w:cs="Calibri"/>
                <w:sz w:val="16"/>
              </w:rPr>
            </w:pPr>
            <w:r w:rsidRPr="00CA2CC1">
              <w:rPr>
                <w:rFonts w:cs="Calibri"/>
                <w:color w:val="414042"/>
                <w:spacing w:val="-4"/>
                <w:sz w:val="16"/>
              </w:rPr>
              <w:t>3.00</w:t>
            </w:r>
          </w:p>
        </w:tc>
        <w:tc>
          <w:tcPr>
            <w:tcW w:w="751" w:type="dxa"/>
            <w:tcMar>
              <w:right w:w="57" w:type="dxa"/>
            </w:tcMar>
          </w:tcPr>
          <w:p w14:paraId="3C36B266" w14:textId="77777777" w:rsidR="00FA4226" w:rsidRPr="00CA2CC1" w:rsidRDefault="00000000" w:rsidP="0043303B">
            <w:pPr>
              <w:pStyle w:val="TableParagraph"/>
              <w:spacing w:before="43"/>
              <w:rPr>
                <w:rFonts w:cs="Calibri"/>
                <w:sz w:val="16"/>
              </w:rPr>
            </w:pPr>
            <w:r w:rsidRPr="00CA2CC1">
              <w:rPr>
                <w:rFonts w:cs="Calibri"/>
                <w:color w:val="414042"/>
                <w:sz w:val="16"/>
              </w:rPr>
              <w:t>0</w:t>
            </w:r>
          </w:p>
        </w:tc>
        <w:tc>
          <w:tcPr>
            <w:tcW w:w="615" w:type="dxa"/>
            <w:tcMar>
              <w:right w:w="57" w:type="dxa"/>
            </w:tcMar>
          </w:tcPr>
          <w:p w14:paraId="1966D8E3" w14:textId="77777777" w:rsidR="00FA4226" w:rsidRPr="00CA2CC1" w:rsidRDefault="00000000" w:rsidP="0043303B">
            <w:pPr>
              <w:pStyle w:val="TableParagraph"/>
              <w:spacing w:before="43"/>
              <w:rPr>
                <w:rFonts w:cs="Calibri"/>
                <w:sz w:val="16"/>
              </w:rPr>
            </w:pPr>
            <w:r w:rsidRPr="00CA2CC1">
              <w:rPr>
                <w:rFonts w:cs="Calibri"/>
                <w:color w:val="414042"/>
                <w:spacing w:val="-4"/>
                <w:sz w:val="16"/>
              </w:rPr>
              <w:t>0.00</w:t>
            </w:r>
          </w:p>
        </w:tc>
        <w:tc>
          <w:tcPr>
            <w:tcW w:w="751" w:type="dxa"/>
            <w:shd w:val="clear" w:color="auto" w:fill="EDEFF0"/>
            <w:tcMar>
              <w:right w:w="57" w:type="dxa"/>
            </w:tcMar>
          </w:tcPr>
          <w:p w14:paraId="199B412D" w14:textId="77777777" w:rsidR="00FA4226" w:rsidRPr="00CA2CC1" w:rsidRDefault="00000000" w:rsidP="0043303B">
            <w:pPr>
              <w:pStyle w:val="TableParagraph"/>
              <w:spacing w:before="43"/>
              <w:rPr>
                <w:rFonts w:cs="Calibri"/>
                <w:sz w:val="16"/>
              </w:rPr>
            </w:pPr>
            <w:r w:rsidRPr="00CA2CC1">
              <w:rPr>
                <w:rFonts w:cs="Calibri"/>
                <w:color w:val="414042"/>
                <w:sz w:val="16"/>
              </w:rPr>
              <w:t>3</w:t>
            </w:r>
          </w:p>
        </w:tc>
        <w:tc>
          <w:tcPr>
            <w:tcW w:w="615" w:type="dxa"/>
            <w:tcBorders>
              <w:right w:val="nil"/>
            </w:tcBorders>
            <w:shd w:val="clear" w:color="auto" w:fill="EDEFF0"/>
            <w:tcMar>
              <w:right w:w="57" w:type="dxa"/>
            </w:tcMar>
          </w:tcPr>
          <w:p w14:paraId="7420247A" w14:textId="77777777" w:rsidR="00FA4226" w:rsidRPr="00CA2CC1" w:rsidRDefault="00000000" w:rsidP="0043303B">
            <w:pPr>
              <w:pStyle w:val="TableParagraph"/>
              <w:spacing w:before="43"/>
              <w:jc w:val="center"/>
              <w:rPr>
                <w:rFonts w:cs="Calibri"/>
                <w:sz w:val="16"/>
              </w:rPr>
            </w:pPr>
            <w:r w:rsidRPr="00CA2CC1">
              <w:rPr>
                <w:rFonts w:cs="Calibri"/>
                <w:color w:val="414042"/>
                <w:spacing w:val="-4"/>
                <w:sz w:val="16"/>
              </w:rPr>
              <w:t>3.00</w:t>
            </w:r>
          </w:p>
        </w:tc>
      </w:tr>
      <w:tr w:rsidR="00FA4226" w:rsidRPr="00CA2CC1" w14:paraId="0E2117A9" w14:textId="77777777" w:rsidTr="00015707">
        <w:trPr>
          <w:trHeight w:val="305"/>
        </w:trPr>
        <w:tc>
          <w:tcPr>
            <w:tcW w:w="317" w:type="dxa"/>
            <w:vMerge/>
            <w:tcBorders>
              <w:top w:val="nil"/>
              <w:left w:val="nil"/>
            </w:tcBorders>
            <w:textDirection w:val="btLr"/>
          </w:tcPr>
          <w:p w14:paraId="59DC8204" w14:textId="77777777" w:rsidR="00FA4226" w:rsidRPr="00CA2CC1" w:rsidRDefault="00FA4226" w:rsidP="0043303B">
            <w:pPr>
              <w:rPr>
                <w:rFonts w:cs="Calibri"/>
                <w:sz w:val="2"/>
                <w:szCs w:val="2"/>
              </w:rPr>
            </w:pPr>
          </w:p>
        </w:tc>
        <w:tc>
          <w:tcPr>
            <w:tcW w:w="1124" w:type="dxa"/>
          </w:tcPr>
          <w:p w14:paraId="7B74C830" w14:textId="77777777" w:rsidR="00FA4226" w:rsidRPr="00CA2CC1" w:rsidRDefault="00000000" w:rsidP="0043303B">
            <w:pPr>
              <w:pStyle w:val="TableParagraph"/>
              <w:spacing w:before="43"/>
              <w:jc w:val="left"/>
              <w:rPr>
                <w:rFonts w:cs="Calibri"/>
                <w:sz w:val="16"/>
              </w:rPr>
            </w:pPr>
            <w:r w:rsidRPr="00CA2CC1">
              <w:rPr>
                <w:rFonts w:cs="Calibri"/>
                <w:color w:val="414042"/>
                <w:spacing w:val="-4"/>
                <w:sz w:val="16"/>
              </w:rPr>
              <w:t>Other</w:t>
            </w:r>
          </w:p>
        </w:tc>
        <w:tc>
          <w:tcPr>
            <w:tcW w:w="751" w:type="dxa"/>
            <w:tcMar>
              <w:right w:w="57" w:type="dxa"/>
            </w:tcMar>
          </w:tcPr>
          <w:p w14:paraId="4A30D97D" w14:textId="77777777" w:rsidR="00FA4226" w:rsidRPr="00CA2CC1" w:rsidRDefault="00000000" w:rsidP="0043303B">
            <w:pPr>
              <w:pStyle w:val="TableParagraph"/>
              <w:spacing w:before="43"/>
              <w:rPr>
                <w:rFonts w:cs="Calibri"/>
                <w:sz w:val="16"/>
              </w:rPr>
            </w:pPr>
            <w:r w:rsidRPr="00CA2CC1">
              <w:rPr>
                <w:rFonts w:cs="Calibri"/>
                <w:color w:val="414042"/>
                <w:sz w:val="16"/>
              </w:rPr>
              <w:t>0</w:t>
            </w:r>
          </w:p>
        </w:tc>
        <w:tc>
          <w:tcPr>
            <w:tcW w:w="615" w:type="dxa"/>
            <w:tcMar>
              <w:right w:w="57" w:type="dxa"/>
            </w:tcMar>
          </w:tcPr>
          <w:p w14:paraId="4F147A95" w14:textId="77777777" w:rsidR="00FA4226" w:rsidRPr="00CA2CC1" w:rsidRDefault="00000000" w:rsidP="0043303B">
            <w:pPr>
              <w:pStyle w:val="TableParagraph"/>
              <w:spacing w:before="43"/>
              <w:jc w:val="center"/>
              <w:rPr>
                <w:rFonts w:cs="Calibri"/>
                <w:sz w:val="16"/>
              </w:rPr>
            </w:pPr>
            <w:r w:rsidRPr="00CA2CC1">
              <w:rPr>
                <w:rFonts w:cs="Calibri"/>
                <w:color w:val="414042"/>
                <w:spacing w:val="-4"/>
                <w:sz w:val="16"/>
              </w:rPr>
              <w:t>0.00</w:t>
            </w:r>
          </w:p>
        </w:tc>
        <w:tc>
          <w:tcPr>
            <w:tcW w:w="751" w:type="dxa"/>
            <w:tcMar>
              <w:right w:w="57" w:type="dxa"/>
            </w:tcMar>
          </w:tcPr>
          <w:p w14:paraId="5FAF8EBA" w14:textId="77777777" w:rsidR="00FA4226" w:rsidRPr="00CA2CC1" w:rsidRDefault="00000000" w:rsidP="0043303B">
            <w:pPr>
              <w:pStyle w:val="TableParagraph"/>
              <w:spacing w:before="43"/>
              <w:rPr>
                <w:rFonts w:cs="Calibri"/>
                <w:sz w:val="16"/>
              </w:rPr>
            </w:pPr>
            <w:r w:rsidRPr="00CA2CC1">
              <w:rPr>
                <w:rFonts w:cs="Calibri"/>
                <w:color w:val="414042"/>
                <w:sz w:val="16"/>
              </w:rPr>
              <w:t>0</w:t>
            </w:r>
          </w:p>
        </w:tc>
        <w:tc>
          <w:tcPr>
            <w:tcW w:w="615" w:type="dxa"/>
            <w:tcMar>
              <w:right w:w="57" w:type="dxa"/>
            </w:tcMar>
          </w:tcPr>
          <w:p w14:paraId="6D036549" w14:textId="77777777" w:rsidR="00FA4226" w:rsidRPr="00CA2CC1" w:rsidRDefault="00000000" w:rsidP="0043303B">
            <w:pPr>
              <w:pStyle w:val="TableParagraph"/>
              <w:spacing w:before="43"/>
              <w:rPr>
                <w:rFonts w:cs="Calibri"/>
                <w:sz w:val="16"/>
              </w:rPr>
            </w:pPr>
            <w:r w:rsidRPr="00CA2CC1">
              <w:rPr>
                <w:rFonts w:cs="Calibri"/>
                <w:color w:val="414042"/>
                <w:spacing w:val="-4"/>
                <w:sz w:val="16"/>
              </w:rPr>
              <w:t>0.00</w:t>
            </w:r>
          </w:p>
        </w:tc>
        <w:tc>
          <w:tcPr>
            <w:tcW w:w="751" w:type="dxa"/>
            <w:shd w:val="clear" w:color="auto" w:fill="EDEFF0"/>
            <w:tcMar>
              <w:right w:w="57" w:type="dxa"/>
            </w:tcMar>
          </w:tcPr>
          <w:p w14:paraId="36519B0E" w14:textId="77777777" w:rsidR="00FA4226" w:rsidRPr="00CA2CC1" w:rsidRDefault="00000000" w:rsidP="0043303B">
            <w:pPr>
              <w:pStyle w:val="TableParagraph"/>
              <w:spacing w:before="43"/>
              <w:rPr>
                <w:rFonts w:cs="Calibri"/>
                <w:sz w:val="16"/>
              </w:rPr>
            </w:pPr>
            <w:r w:rsidRPr="00CA2CC1">
              <w:rPr>
                <w:rFonts w:cs="Calibri"/>
                <w:color w:val="414042"/>
                <w:sz w:val="16"/>
              </w:rPr>
              <w:t>0</w:t>
            </w:r>
          </w:p>
        </w:tc>
        <w:tc>
          <w:tcPr>
            <w:tcW w:w="615" w:type="dxa"/>
            <w:shd w:val="clear" w:color="auto" w:fill="EDEFF0"/>
            <w:tcMar>
              <w:right w:w="57" w:type="dxa"/>
            </w:tcMar>
          </w:tcPr>
          <w:p w14:paraId="73B63363" w14:textId="77777777" w:rsidR="00FA4226" w:rsidRPr="00CA2CC1" w:rsidRDefault="00000000" w:rsidP="0043303B">
            <w:pPr>
              <w:pStyle w:val="TableParagraph"/>
              <w:spacing w:before="43"/>
              <w:jc w:val="center"/>
              <w:rPr>
                <w:rFonts w:cs="Calibri"/>
                <w:sz w:val="16"/>
              </w:rPr>
            </w:pPr>
            <w:r w:rsidRPr="00CA2CC1">
              <w:rPr>
                <w:rFonts w:cs="Calibri"/>
                <w:color w:val="414042"/>
                <w:spacing w:val="-4"/>
                <w:sz w:val="16"/>
              </w:rPr>
              <w:t>0.00</w:t>
            </w:r>
          </w:p>
        </w:tc>
        <w:tc>
          <w:tcPr>
            <w:tcW w:w="751" w:type="dxa"/>
            <w:tcMar>
              <w:right w:w="57" w:type="dxa"/>
            </w:tcMar>
          </w:tcPr>
          <w:p w14:paraId="2FDE4BDC" w14:textId="77777777" w:rsidR="00FA4226" w:rsidRPr="00CA2CC1" w:rsidRDefault="00000000" w:rsidP="0043303B">
            <w:pPr>
              <w:pStyle w:val="TableParagraph"/>
              <w:spacing w:before="43"/>
              <w:rPr>
                <w:rFonts w:cs="Calibri"/>
                <w:sz w:val="16"/>
              </w:rPr>
            </w:pPr>
            <w:r w:rsidRPr="00CA2CC1">
              <w:rPr>
                <w:rFonts w:cs="Calibri"/>
                <w:color w:val="414042"/>
                <w:sz w:val="16"/>
              </w:rPr>
              <w:t>0</w:t>
            </w:r>
          </w:p>
        </w:tc>
        <w:tc>
          <w:tcPr>
            <w:tcW w:w="615" w:type="dxa"/>
            <w:tcMar>
              <w:right w:w="57" w:type="dxa"/>
            </w:tcMar>
          </w:tcPr>
          <w:p w14:paraId="7E110A2A" w14:textId="77777777" w:rsidR="00FA4226" w:rsidRPr="00CA2CC1" w:rsidRDefault="00000000" w:rsidP="0043303B">
            <w:pPr>
              <w:pStyle w:val="TableParagraph"/>
              <w:spacing w:before="43"/>
              <w:jc w:val="center"/>
              <w:rPr>
                <w:rFonts w:cs="Calibri"/>
                <w:sz w:val="16"/>
              </w:rPr>
            </w:pPr>
            <w:r w:rsidRPr="00CA2CC1">
              <w:rPr>
                <w:rFonts w:cs="Calibri"/>
                <w:color w:val="414042"/>
                <w:spacing w:val="-4"/>
                <w:sz w:val="16"/>
              </w:rPr>
              <w:t>0.00</w:t>
            </w:r>
          </w:p>
        </w:tc>
        <w:tc>
          <w:tcPr>
            <w:tcW w:w="751" w:type="dxa"/>
            <w:tcMar>
              <w:right w:w="57" w:type="dxa"/>
            </w:tcMar>
          </w:tcPr>
          <w:p w14:paraId="6EBFE5E4" w14:textId="77777777" w:rsidR="00FA4226" w:rsidRPr="00CA2CC1" w:rsidRDefault="00000000" w:rsidP="0043303B">
            <w:pPr>
              <w:pStyle w:val="TableParagraph"/>
              <w:spacing w:before="43"/>
              <w:rPr>
                <w:rFonts w:cs="Calibri"/>
                <w:sz w:val="16"/>
              </w:rPr>
            </w:pPr>
            <w:r w:rsidRPr="00CA2CC1">
              <w:rPr>
                <w:rFonts w:cs="Calibri"/>
                <w:color w:val="414042"/>
                <w:sz w:val="16"/>
              </w:rPr>
              <w:t>0</w:t>
            </w:r>
          </w:p>
        </w:tc>
        <w:tc>
          <w:tcPr>
            <w:tcW w:w="615" w:type="dxa"/>
            <w:tcMar>
              <w:right w:w="57" w:type="dxa"/>
            </w:tcMar>
          </w:tcPr>
          <w:p w14:paraId="52E3469A" w14:textId="77777777" w:rsidR="00FA4226" w:rsidRPr="00CA2CC1" w:rsidRDefault="00000000" w:rsidP="0043303B">
            <w:pPr>
              <w:pStyle w:val="TableParagraph"/>
              <w:spacing w:before="43"/>
              <w:rPr>
                <w:rFonts w:cs="Calibri"/>
                <w:sz w:val="16"/>
              </w:rPr>
            </w:pPr>
            <w:r w:rsidRPr="00CA2CC1">
              <w:rPr>
                <w:rFonts w:cs="Calibri"/>
                <w:color w:val="414042"/>
                <w:spacing w:val="-4"/>
                <w:sz w:val="16"/>
              </w:rPr>
              <w:t>0.00</w:t>
            </w:r>
          </w:p>
        </w:tc>
        <w:tc>
          <w:tcPr>
            <w:tcW w:w="751" w:type="dxa"/>
            <w:shd w:val="clear" w:color="auto" w:fill="EDEFF0"/>
            <w:tcMar>
              <w:right w:w="57" w:type="dxa"/>
            </w:tcMar>
          </w:tcPr>
          <w:p w14:paraId="741855A3" w14:textId="77777777" w:rsidR="00FA4226" w:rsidRPr="00CA2CC1" w:rsidRDefault="00000000" w:rsidP="0043303B">
            <w:pPr>
              <w:pStyle w:val="TableParagraph"/>
              <w:spacing w:before="43"/>
              <w:rPr>
                <w:rFonts w:cs="Calibri"/>
                <w:sz w:val="16"/>
              </w:rPr>
            </w:pPr>
            <w:r w:rsidRPr="00CA2CC1">
              <w:rPr>
                <w:rFonts w:cs="Calibri"/>
                <w:color w:val="414042"/>
                <w:sz w:val="16"/>
              </w:rPr>
              <w:t>0</w:t>
            </w:r>
          </w:p>
        </w:tc>
        <w:tc>
          <w:tcPr>
            <w:tcW w:w="615" w:type="dxa"/>
            <w:tcBorders>
              <w:right w:val="nil"/>
            </w:tcBorders>
            <w:shd w:val="clear" w:color="auto" w:fill="EDEFF0"/>
            <w:tcMar>
              <w:right w:w="57" w:type="dxa"/>
            </w:tcMar>
          </w:tcPr>
          <w:p w14:paraId="649A4A4B" w14:textId="77777777" w:rsidR="00FA4226" w:rsidRPr="00CA2CC1" w:rsidRDefault="00000000" w:rsidP="0043303B">
            <w:pPr>
              <w:pStyle w:val="TableParagraph"/>
              <w:spacing w:before="43"/>
              <w:jc w:val="center"/>
              <w:rPr>
                <w:rFonts w:cs="Calibri"/>
                <w:sz w:val="16"/>
              </w:rPr>
            </w:pPr>
            <w:r w:rsidRPr="00CA2CC1">
              <w:rPr>
                <w:rFonts w:cs="Calibri"/>
                <w:color w:val="414042"/>
                <w:spacing w:val="-4"/>
                <w:sz w:val="16"/>
              </w:rPr>
              <w:t>0.00</w:t>
            </w:r>
          </w:p>
        </w:tc>
      </w:tr>
      <w:tr w:rsidR="00FA4226" w:rsidRPr="00CA2CC1" w14:paraId="1D83182E" w14:textId="77777777" w:rsidTr="00015707">
        <w:trPr>
          <w:trHeight w:val="295"/>
        </w:trPr>
        <w:tc>
          <w:tcPr>
            <w:tcW w:w="317" w:type="dxa"/>
            <w:tcBorders>
              <w:left w:val="nil"/>
              <w:bottom w:val="nil"/>
            </w:tcBorders>
          </w:tcPr>
          <w:p w14:paraId="26955DE7" w14:textId="77777777" w:rsidR="00FA4226" w:rsidRPr="00CA2CC1" w:rsidRDefault="00FA4226" w:rsidP="0043303B">
            <w:pPr>
              <w:pStyle w:val="TableParagraph"/>
              <w:jc w:val="left"/>
              <w:rPr>
                <w:rFonts w:cs="Calibri"/>
                <w:sz w:val="16"/>
              </w:rPr>
            </w:pPr>
          </w:p>
        </w:tc>
        <w:tc>
          <w:tcPr>
            <w:tcW w:w="1124" w:type="dxa"/>
            <w:tcBorders>
              <w:bottom w:val="nil"/>
            </w:tcBorders>
            <w:shd w:val="clear" w:color="auto" w:fill="D8E9EF"/>
          </w:tcPr>
          <w:p w14:paraId="4B40208A" w14:textId="77777777" w:rsidR="00FA4226" w:rsidRPr="00CA2CC1" w:rsidRDefault="00000000" w:rsidP="0043303B">
            <w:pPr>
              <w:pStyle w:val="TableParagraph"/>
              <w:spacing w:before="30"/>
              <w:jc w:val="left"/>
              <w:rPr>
                <w:rFonts w:cs="Calibri"/>
                <w:sz w:val="16"/>
              </w:rPr>
            </w:pPr>
            <w:r w:rsidRPr="00CA2CC1">
              <w:rPr>
                <w:rFonts w:cs="Calibri"/>
                <w:color w:val="414042"/>
                <w:spacing w:val="-2"/>
                <w:sz w:val="16"/>
              </w:rPr>
              <w:t>Total</w:t>
            </w:r>
          </w:p>
        </w:tc>
        <w:tc>
          <w:tcPr>
            <w:tcW w:w="751" w:type="dxa"/>
            <w:tcBorders>
              <w:bottom w:val="nil"/>
            </w:tcBorders>
            <w:shd w:val="clear" w:color="auto" w:fill="D8E9EF"/>
            <w:tcMar>
              <w:right w:w="57" w:type="dxa"/>
            </w:tcMar>
          </w:tcPr>
          <w:p w14:paraId="762D1BC1" w14:textId="77777777" w:rsidR="00FA4226" w:rsidRPr="00CA2CC1" w:rsidRDefault="00000000" w:rsidP="0043303B">
            <w:pPr>
              <w:pStyle w:val="TableParagraph"/>
              <w:spacing w:before="30"/>
              <w:rPr>
                <w:rFonts w:cs="Calibri"/>
                <w:sz w:val="16"/>
              </w:rPr>
            </w:pPr>
            <w:r w:rsidRPr="00CA2CC1">
              <w:rPr>
                <w:rFonts w:cs="Calibri"/>
                <w:color w:val="414042"/>
                <w:spacing w:val="-5"/>
                <w:sz w:val="16"/>
              </w:rPr>
              <w:t>37</w:t>
            </w:r>
          </w:p>
        </w:tc>
        <w:tc>
          <w:tcPr>
            <w:tcW w:w="615" w:type="dxa"/>
            <w:tcBorders>
              <w:bottom w:val="nil"/>
            </w:tcBorders>
            <w:shd w:val="clear" w:color="auto" w:fill="D8E9EF"/>
            <w:tcMar>
              <w:right w:w="57" w:type="dxa"/>
            </w:tcMar>
          </w:tcPr>
          <w:p w14:paraId="3B8EC236" w14:textId="77777777" w:rsidR="00FA4226" w:rsidRPr="00CA2CC1" w:rsidRDefault="00000000" w:rsidP="0043303B">
            <w:pPr>
              <w:pStyle w:val="TableParagraph"/>
              <w:spacing w:before="30"/>
              <w:jc w:val="center"/>
              <w:rPr>
                <w:rFonts w:cs="Calibri"/>
                <w:sz w:val="16"/>
              </w:rPr>
            </w:pPr>
            <w:r w:rsidRPr="00CA2CC1">
              <w:rPr>
                <w:rFonts w:cs="Calibri"/>
                <w:color w:val="414042"/>
                <w:spacing w:val="-4"/>
                <w:sz w:val="16"/>
              </w:rPr>
              <w:t>34.4</w:t>
            </w:r>
          </w:p>
        </w:tc>
        <w:tc>
          <w:tcPr>
            <w:tcW w:w="751" w:type="dxa"/>
            <w:tcBorders>
              <w:bottom w:val="nil"/>
            </w:tcBorders>
            <w:shd w:val="clear" w:color="auto" w:fill="D8E9EF"/>
            <w:tcMar>
              <w:right w:w="57" w:type="dxa"/>
            </w:tcMar>
          </w:tcPr>
          <w:p w14:paraId="6EBD5846" w14:textId="77777777" w:rsidR="00FA4226" w:rsidRPr="00CA2CC1" w:rsidRDefault="00000000" w:rsidP="0043303B">
            <w:pPr>
              <w:pStyle w:val="TableParagraph"/>
              <w:spacing w:before="30"/>
              <w:rPr>
                <w:rFonts w:cs="Calibri"/>
                <w:sz w:val="16"/>
              </w:rPr>
            </w:pPr>
            <w:r w:rsidRPr="00CA2CC1">
              <w:rPr>
                <w:rFonts w:cs="Calibri"/>
                <w:color w:val="414042"/>
                <w:sz w:val="16"/>
              </w:rPr>
              <w:t>5</w:t>
            </w:r>
          </w:p>
        </w:tc>
        <w:tc>
          <w:tcPr>
            <w:tcW w:w="615" w:type="dxa"/>
            <w:tcBorders>
              <w:bottom w:val="nil"/>
            </w:tcBorders>
            <w:shd w:val="clear" w:color="auto" w:fill="D8E9EF"/>
            <w:tcMar>
              <w:right w:w="57" w:type="dxa"/>
            </w:tcMar>
          </w:tcPr>
          <w:p w14:paraId="70F05A48" w14:textId="77777777" w:rsidR="00FA4226" w:rsidRPr="00CA2CC1" w:rsidRDefault="00000000" w:rsidP="0043303B">
            <w:pPr>
              <w:pStyle w:val="TableParagraph"/>
              <w:spacing w:before="30"/>
              <w:rPr>
                <w:rFonts w:cs="Calibri"/>
                <w:sz w:val="16"/>
              </w:rPr>
            </w:pPr>
            <w:r w:rsidRPr="00CA2CC1">
              <w:rPr>
                <w:rFonts w:cs="Calibri"/>
                <w:color w:val="414042"/>
                <w:spacing w:val="-4"/>
                <w:sz w:val="16"/>
              </w:rPr>
              <w:t>3.58</w:t>
            </w:r>
          </w:p>
        </w:tc>
        <w:tc>
          <w:tcPr>
            <w:tcW w:w="751" w:type="dxa"/>
            <w:tcBorders>
              <w:bottom w:val="nil"/>
            </w:tcBorders>
            <w:shd w:val="clear" w:color="auto" w:fill="D8E9EF"/>
            <w:tcMar>
              <w:right w:w="57" w:type="dxa"/>
            </w:tcMar>
          </w:tcPr>
          <w:p w14:paraId="4FC468BA" w14:textId="77777777" w:rsidR="00FA4226" w:rsidRPr="00CA2CC1" w:rsidRDefault="00000000" w:rsidP="0043303B">
            <w:pPr>
              <w:pStyle w:val="TableParagraph"/>
              <w:spacing w:before="30"/>
              <w:rPr>
                <w:rFonts w:cs="Calibri"/>
                <w:sz w:val="16"/>
              </w:rPr>
            </w:pPr>
            <w:r w:rsidRPr="00CA2CC1">
              <w:rPr>
                <w:rFonts w:cs="Calibri"/>
                <w:color w:val="414042"/>
                <w:spacing w:val="-5"/>
                <w:sz w:val="16"/>
              </w:rPr>
              <w:t>42</w:t>
            </w:r>
          </w:p>
        </w:tc>
        <w:tc>
          <w:tcPr>
            <w:tcW w:w="615" w:type="dxa"/>
            <w:tcBorders>
              <w:bottom w:val="nil"/>
            </w:tcBorders>
            <w:shd w:val="clear" w:color="auto" w:fill="D8E9EF"/>
            <w:tcMar>
              <w:right w:w="57" w:type="dxa"/>
            </w:tcMar>
          </w:tcPr>
          <w:p w14:paraId="3CF2890D" w14:textId="77777777" w:rsidR="00FA4226" w:rsidRPr="00CA2CC1" w:rsidRDefault="00000000" w:rsidP="0043303B">
            <w:pPr>
              <w:pStyle w:val="TableParagraph"/>
              <w:spacing w:before="30"/>
              <w:jc w:val="center"/>
              <w:rPr>
                <w:rFonts w:cs="Calibri"/>
                <w:sz w:val="16"/>
              </w:rPr>
            </w:pPr>
            <w:r w:rsidRPr="00CA2CC1">
              <w:rPr>
                <w:rFonts w:cs="Calibri"/>
                <w:color w:val="414042"/>
                <w:spacing w:val="-4"/>
                <w:sz w:val="16"/>
              </w:rPr>
              <w:t>37.98</w:t>
            </w:r>
          </w:p>
        </w:tc>
        <w:tc>
          <w:tcPr>
            <w:tcW w:w="751" w:type="dxa"/>
            <w:tcBorders>
              <w:bottom w:val="nil"/>
            </w:tcBorders>
            <w:shd w:val="clear" w:color="auto" w:fill="D8E9EF"/>
            <w:tcMar>
              <w:right w:w="57" w:type="dxa"/>
            </w:tcMar>
          </w:tcPr>
          <w:p w14:paraId="3F809DA0" w14:textId="77777777" w:rsidR="00FA4226" w:rsidRPr="00CA2CC1" w:rsidRDefault="00000000" w:rsidP="0043303B">
            <w:pPr>
              <w:pStyle w:val="TableParagraph"/>
              <w:spacing w:before="30"/>
              <w:rPr>
                <w:rFonts w:cs="Calibri"/>
                <w:sz w:val="16"/>
              </w:rPr>
            </w:pPr>
            <w:r w:rsidRPr="00CA2CC1">
              <w:rPr>
                <w:rFonts w:cs="Calibri"/>
                <w:color w:val="414042"/>
                <w:spacing w:val="-5"/>
                <w:sz w:val="16"/>
              </w:rPr>
              <w:t>32</w:t>
            </w:r>
          </w:p>
        </w:tc>
        <w:tc>
          <w:tcPr>
            <w:tcW w:w="615" w:type="dxa"/>
            <w:tcBorders>
              <w:bottom w:val="nil"/>
            </w:tcBorders>
            <w:shd w:val="clear" w:color="auto" w:fill="D8E9EF"/>
            <w:tcMar>
              <w:right w:w="57" w:type="dxa"/>
            </w:tcMar>
          </w:tcPr>
          <w:p w14:paraId="442BDE2A" w14:textId="77777777" w:rsidR="00FA4226" w:rsidRPr="00CA2CC1" w:rsidRDefault="00000000" w:rsidP="0043303B">
            <w:pPr>
              <w:pStyle w:val="TableParagraph"/>
              <w:spacing w:before="30"/>
              <w:jc w:val="center"/>
              <w:rPr>
                <w:rFonts w:cs="Calibri"/>
                <w:sz w:val="16"/>
              </w:rPr>
            </w:pPr>
            <w:r w:rsidRPr="00CA2CC1">
              <w:rPr>
                <w:rFonts w:cs="Calibri"/>
                <w:color w:val="414042"/>
                <w:spacing w:val="-4"/>
                <w:sz w:val="16"/>
              </w:rPr>
              <w:t>30.70</w:t>
            </w:r>
          </w:p>
        </w:tc>
        <w:tc>
          <w:tcPr>
            <w:tcW w:w="751" w:type="dxa"/>
            <w:tcBorders>
              <w:bottom w:val="nil"/>
            </w:tcBorders>
            <w:shd w:val="clear" w:color="auto" w:fill="D8E9EF"/>
            <w:tcMar>
              <w:right w:w="57" w:type="dxa"/>
            </w:tcMar>
          </w:tcPr>
          <w:p w14:paraId="61F6BF55" w14:textId="77777777" w:rsidR="00FA4226" w:rsidRPr="00CA2CC1" w:rsidRDefault="00000000" w:rsidP="0043303B">
            <w:pPr>
              <w:pStyle w:val="TableParagraph"/>
              <w:spacing w:before="30"/>
              <w:rPr>
                <w:rFonts w:cs="Calibri"/>
                <w:sz w:val="16"/>
              </w:rPr>
            </w:pPr>
            <w:r w:rsidRPr="00CA2CC1">
              <w:rPr>
                <w:rFonts w:cs="Calibri"/>
                <w:color w:val="414042"/>
                <w:sz w:val="16"/>
              </w:rPr>
              <w:t>7</w:t>
            </w:r>
          </w:p>
        </w:tc>
        <w:tc>
          <w:tcPr>
            <w:tcW w:w="615" w:type="dxa"/>
            <w:tcBorders>
              <w:bottom w:val="nil"/>
            </w:tcBorders>
            <w:shd w:val="clear" w:color="auto" w:fill="D8E9EF"/>
            <w:tcMar>
              <w:right w:w="57" w:type="dxa"/>
            </w:tcMar>
          </w:tcPr>
          <w:p w14:paraId="5217040F" w14:textId="77777777" w:rsidR="00FA4226" w:rsidRPr="00CA2CC1" w:rsidRDefault="00000000" w:rsidP="0043303B">
            <w:pPr>
              <w:pStyle w:val="TableParagraph"/>
              <w:spacing w:before="30"/>
              <w:rPr>
                <w:rFonts w:cs="Calibri"/>
                <w:sz w:val="16"/>
              </w:rPr>
            </w:pPr>
            <w:r w:rsidRPr="00CA2CC1">
              <w:rPr>
                <w:rFonts w:cs="Calibri"/>
                <w:color w:val="414042"/>
                <w:spacing w:val="-4"/>
                <w:sz w:val="16"/>
              </w:rPr>
              <w:t>5.60</w:t>
            </w:r>
          </w:p>
        </w:tc>
        <w:tc>
          <w:tcPr>
            <w:tcW w:w="751" w:type="dxa"/>
            <w:tcBorders>
              <w:bottom w:val="nil"/>
            </w:tcBorders>
            <w:shd w:val="clear" w:color="auto" w:fill="D8E9EF"/>
            <w:tcMar>
              <w:right w:w="57" w:type="dxa"/>
            </w:tcMar>
          </w:tcPr>
          <w:p w14:paraId="580387AB" w14:textId="77777777" w:rsidR="00FA4226" w:rsidRPr="00CA2CC1" w:rsidRDefault="00000000" w:rsidP="0043303B">
            <w:pPr>
              <w:pStyle w:val="TableParagraph"/>
              <w:spacing w:before="30"/>
              <w:rPr>
                <w:rFonts w:cs="Calibri"/>
                <w:sz w:val="16"/>
              </w:rPr>
            </w:pPr>
            <w:r w:rsidRPr="00CA2CC1">
              <w:rPr>
                <w:rFonts w:cs="Calibri"/>
                <w:color w:val="414042"/>
                <w:spacing w:val="-5"/>
                <w:sz w:val="16"/>
              </w:rPr>
              <w:t>39</w:t>
            </w:r>
          </w:p>
        </w:tc>
        <w:tc>
          <w:tcPr>
            <w:tcW w:w="615" w:type="dxa"/>
            <w:tcBorders>
              <w:bottom w:val="nil"/>
              <w:right w:val="nil"/>
            </w:tcBorders>
            <w:shd w:val="clear" w:color="auto" w:fill="D8E9EF"/>
            <w:tcMar>
              <w:right w:w="57" w:type="dxa"/>
            </w:tcMar>
          </w:tcPr>
          <w:p w14:paraId="1A788B42" w14:textId="77777777" w:rsidR="00FA4226" w:rsidRPr="00CA2CC1" w:rsidRDefault="00000000" w:rsidP="0043303B">
            <w:pPr>
              <w:pStyle w:val="TableParagraph"/>
              <w:spacing w:before="30"/>
              <w:jc w:val="center"/>
              <w:rPr>
                <w:rFonts w:cs="Calibri"/>
                <w:sz w:val="16"/>
              </w:rPr>
            </w:pPr>
            <w:r w:rsidRPr="00CA2CC1">
              <w:rPr>
                <w:rFonts w:cs="Calibri"/>
                <w:color w:val="414042"/>
                <w:spacing w:val="-4"/>
                <w:sz w:val="16"/>
              </w:rPr>
              <w:t>36.30</w:t>
            </w:r>
          </w:p>
        </w:tc>
      </w:tr>
    </w:tbl>
    <w:p w14:paraId="49434ED6" w14:textId="77777777" w:rsidR="00FA4226" w:rsidRPr="00CA2CC1" w:rsidRDefault="00FA4226" w:rsidP="0043303B">
      <w:pPr>
        <w:pStyle w:val="BodyText"/>
        <w:rPr>
          <w:rFonts w:cs="Calibri"/>
          <w:sz w:val="20"/>
        </w:rPr>
      </w:pPr>
    </w:p>
    <w:p w14:paraId="350682BC" w14:textId="77777777" w:rsidR="00FA4226" w:rsidRPr="00CA2CC1" w:rsidRDefault="00000000" w:rsidP="0043303B">
      <w:pPr>
        <w:pStyle w:val="BodyText"/>
        <w:spacing w:before="70"/>
        <w:rPr>
          <w:rFonts w:cs="Calibri"/>
        </w:rPr>
      </w:pPr>
      <w:r w:rsidRPr="00CA2CC1">
        <w:rPr>
          <w:rFonts w:cs="Calibri"/>
          <w:color w:val="414042"/>
        </w:rPr>
        <w:t>The</w:t>
      </w:r>
      <w:r w:rsidRPr="00CA2CC1">
        <w:rPr>
          <w:rFonts w:cs="Calibri"/>
          <w:color w:val="414042"/>
          <w:spacing w:val="-5"/>
        </w:rPr>
        <w:t xml:space="preserve"> </w:t>
      </w:r>
      <w:r w:rsidRPr="00CA2CC1">
        <w:rPr>
          <w:rFonts w:cs="Calibri"/>
          <w:color w:val="414042"/>
        </w:rPr>
        <w:t>following</w:t>
      </w:r>
      <w:r w:rsidRPr="00CA2CC1">
        <w:rPr>
          <w:rFonts w:cs="Calibri"/>
          <w:color w:val="414042"/>
          <w:spacing w:val="-5"/>
        </w:rPr>
        <w:t xml:space="preserve"> </w:t>
      </w:r>
      <w:r w:rsidRPr="00CA2CC1">
        <w:rPr>
          <w:rFonts w:cs="Calibri"/>
          <w:color w:val="414042"/>
        </w:rPr>
        <w:t>table</w:t>
      </w:r>
      <w:r w:rsidRPr="00CA2CC1">
        <w:rPr>
          <w:rFonts w:cs="Calibri"/>
          <w:color w:val="414042"/>
          <w:spacing w:val="-5"/>
        </w:rPr>
        <w:t xml:space="preserve"> </w:t>
      </w:r>
      <w:r w:rsidRPr="00CA2CC1">
        <w:rPr>
          <w:rFonts w:cs="Calibri"/>
          <w:color w:val="414042"/>
        </w:rPr>
        <w:t>discloses</w:t>
      </w:r>
      <w:r w:rsidRPr="00CA2CC1">
        <w:rPr>
          <w:rFonts w:cs="Calibri"/>
          <w:color w:val="414042"/>
          <w:spacing w:val="-5"/>
        </w:rPr>
        <w:t xml:space="preserve"> </w:t>
      </w:r>
      <w:r w:rsidRPr="00CA2CC1">
        <w:rPr>
          <w:rFonts w:cs="Calibri"/>
          <w:color w:val="414042"/>
        </w:rPr>
        <w:t>the</w:t>
      </w:r>
      <w:r w:rsidRPr="00CA2CC1">
        <w:rPr>
          <w:rFonts w:cs="Calibri"/>
          <w:color w:val="414042"/>
          <w:spacing w:val="-5"/>
        </w:rPr>
        <w:t xml:space="preserve"> </w:t>
      </w:r>
      <w:r w:rsidRPr="00CA2CC1">
        <w:rPr>
          <w:rFonts w:cs="Calibri"/>
          <w:color w:val="414042"/>
        </w:rPr>
        <w:t>annualised</w:t>
      </w:r>
      <w:r w:rsidRPr="00CA2CC1">
        <w:rPr>
          <w:rFonts w:cs="Calibri"/>
          <w:color w:val="414042"/>
          <w:spacing w:val="-5"/>
        </w:rPr>
        <w:t xml:space="preserve"> </w:t>
      </w:r>
      <w:r w:rsidRPr="00CA2CC1">
        <w:rPr>
          <w:rFonts w:cs="Calibri"/>
          <w:color w:val="414042"/>
        </w:rPr>
        <w:t>full-time</w:t>
      </w:r>
      <w:r w:rsidRPr="00CA2CC1">
        <w:rPr>
          <w:rFonts w:cs="Calibri"/>
          <w:color w:val="414042"/>
          <w:spacing w:val="-5"/>
        </w:rPr>
        <w:t xml:space="preserve"> </w:t>
      </w:r>
      <w:r w:rsidRPr="00CA2CC1">
        <w:rPr>
          <w:rFonts w:cs="Calibri"/>
          <w:color w:val="414042"/>
        </w:rPr>
        <w:t xml:space="preserve">total salary for senior employees categorised by </w:t>
      </w:r>
      <w:r w:rsidRPr="00CA2CC1">
        <w:rPr>
          <w:rFonts w:cs="Calibri"/>
          <w:color w:val="414042"/>
          <w:spacing w:val="-2"/>
        </w:rPr>
        <w:t>classification.</w:t>
      </w:r>
    </w:p>
    <w:p w14:paraId="55D226E2" w14:textId="77777777" w:rsidR="00FA4226" w:rsidRPr="00CA2CC1" w:rsidRDefault="00FA4226" w:rsidP="0043303B">
      <w:pPr>
        <w:pStyle w:val="BodyText"/>
        <w:spacing w:before="12"/>
        <w:rPr>
          <w:rFonts w:cs="Calibri"/>
          <w:sz w:val="10"/>
        </w:rPr>
      </w:pPr>
    </w:p>
    <w:tbl>
      <w:tblPr>
        <w:tblW w:w="0" w:type="auto"/>
        <w:tblBorders>
          <w:top w:val="single" w:sz="4" w:space="0" w:color="73777A"/>
          <w:left w:val="single" w:sz="4" w:space="0" w:color="73777A"/>
          <w:bottom w:val="single" w:sz="4" w:space="0" w:color="73777A"/>
          <w:right w:val="single" w:sz="4" w:space="0" w:color="73777A"/>
          <w:insideH w:val="single" w:sz="4" w:space="0" w:color="73777A"/>
          <w:insideV w:val="single" w:sz="4" w:space="0" w:color="73777A"/>
        </w:tblBorders>
        <w:tblLayout w:type="fixed"/>
        <w:tblCellMar>
          <w:left w:w="0" w:type="dxa"/>
          <w:right w:w="0" w:type="dxa"/>
        </w:tblCellMar>
        <w:tblLook w:val="01E0" w:firstRow="1" w:lastRow="1" w:firstColumn="1" w:lastColumn="1" w:noHBand="0" w:noVBand="0"/>
      </w:tblPr>
      <w:tblGrid>
        <w:gridCol w:w="3307"/>
        <w:gridCol w:w="1169"/>
        <w:gridCol w:w="1169"/>
        <w:gridCol w:w="1169"/>
        <w:gridCol w:w="1169"/>
      </w:tblGrid>
      <w:tr w:rsidR="00FA4226" w:rsidRPr="00CA2CC1" w14:paraId="6CED3CEB" w14:textId="77777777" w:rsidTr="0054165C">
        <w:trPr>
          <w:trHeight w:val="350"/>
        </w:trPr>
        <w:tc>
          <w:tcPr>
            <w:tcW w:w="3307" w:type="dxa"/>
            <w:tcBorders>
              <w:top w:val="nil"/>
              <w:left w:val="nil"/>
            </w:tcBorders>
          </w:tcPr>
          <w:p w14:paraId="7A2A9BF7" w14:textId="77777777" w:rsidR="00FA4226" w:rsidRPr="00CA2CC1" w:rsidRDefault="00FA4226" w:rsidP="0043303B">
            <w:pPr>
              <w:pStyle w:val="TableParagraph"/>
              <w:jc w:val="left"/>
              <w:rPr>
                <w:rFonts w:cs="Calibri"/>
                <w:sz w:val="16"/>
              </w:rPr>
            </w:pPr>
          </w:p>
        </w:tc>
        <w:tc>
          <w:tcPr>
            <w:tcW w:w="2338" w:type="dxa"/>
            <w:gridSpan w:val="2"/>
            <w:tcBorders>
              <w:top w:val="nil"/>
            </w:tcBorders>
            <w:tcMar>
              <w:right w:w="57" w:type="dxa"/>
            </w:tcMar>
          </w:tcPr>
          <w:p w14:paraId="4FAE5A33" w14:textId="77777777" w:rsidR="00FA4226" w:rsidRPr="003375C9" w:rsidRDefault="00000000" w:rsidP="0043303B">
            <w:pPr>
              <w:pStyle w:val="TableParagraph"/>
              <w:spacing w:before="34"/>
              <w:jc w:val="center"/>
              <w:rPr>
                <w:rFonts w:cs="Calibri"/>
                <w:b/>
                <w:bCs/>
                <w:color w:val="000000" w:themeColor="text1"/>
                <w:sz w:val="18"/>
              </w:rPr>
            </w:pPr>
            <w:r w:rsidRPr="003375C9">
              <w:rPr>
                <w:rFonts w:cs="Calibri"/>
                <w:b/>
                <w:bCs/>
                <w:color w:val="000000" w:themeColor="text1"/>
                <w:sz w:val="18"/>
              </w:rPr>
              <w:t xml:space="preserve">Executives - June </w:t>
            </w:r>
            <w:r w:rsidRPr="003375C9">
              <w:rPr>
                <w:rFonts w:cs="Calibri"/>
                <w:b/>
                <w:bCs/>
                <w:color w:val="000000" w:themeColor="text1"/>
                <w:spacing w:val="-4"/>
                <w:sz w:val="18"/>
              </w:rPr>
              <w:t>2023</w:t>
            </w:r>
          </w:p>
        </w:tc>
        <w:tc>
          <w:tcPr>
            <w:tcW w:w="2338" w:type="dxa"/>
            <w:gridSpan w:val="2"/>
            <w:tcBorders>
              <w:top w:val="nil"/>
              <w:right w:val="nil"/>
            </w:tcBorders>
            <w:tcMar>
              <w:right w:w="57" w:type="dxa"/>
            </w:tcMar>
          </w:tcPr>
          <w:p w14:paraId="6EC73FF3" w14:textId="77777777" w:rsidR="00FA4226" w:rsidRPr="003375C9" w:rsidRDefault="00000000" w:rsidP="0043303B">
            <w:pPr>
              <w:pStyle w:val="TableParagraph"/>
              <w:spacing w:before="34"/>
              <w:jc w:val="center"/>
              <w:rPr>
                <w:rFonts w:cs="Calibri"/>
                <w:b/>
                <w:bCs/>
                <w:color w:val="000000" w:themeColor="text1"/>
                <w:sz w:val="18"/>
              </w:rPr>
            </w:pPr>
            <w:r w:rsidRPr="003375C9">
              <w:rPr>
                <w:rFonts w:cs="Calibri"/>
                <w:b/>
                <w:bCs/>
                <w:color w:val="000000" w:themeColor="text1"/>
                <w:sz w:val="18"/>
              </w:rPr>
              <w:t xml:space="preserve">Executives - June </w:t>
            </w:r>
            <w:r w:rsidRPr="003375C9">
              <w:rPr>
                <w:rFonts w:cs="Calibri"/>
                <w:b/>
                <w:bCs/>
                <w:color w:val="000000" w:themeColor="text1"/>
                <w:spacing w:val="-4"/>
                <w:sz w:val="18"/>
              </w:rPr>
              <w:t>2022</w:t>
            </w:r>
          </w:p>
        </w:tc>
      </w:tr>
      <w:tr w:rsidR="00FA4226" w:rsidRPr="00CA2CC1" w14:paraId="28917E7E" w14:textId="77777777" w:rsidTr="0054165C">
        <w:trPr>
          <w:trHeight w:val="305"/>
        </w:trPr>
        <w:tc>
          <w:tcPr>
            <w:tcW w:w="3307" w:type="dxa"/>
            <w:tcBorders>
              <w:left w:val="nil"/>
            </w:tcBorders>
            <w:shd w:val="clear" w:color="auto" w:fill="D8E9EF"/>
          </w:tcPr>
          <w:p w14:paraId="6446F5EF" w14:textId="77777777" w:rsidR="00FA4226" w:rsidRPr="00CA2CC1" w:rsidRDefault="00000000" w:rsidP="0043303B">
            <w:pPr>
              <w:pStyle w:val="TableParagraph"/>
              <w:spacing w:before="45"/>
              <w:jc w:val="left"/>
              <w:rPr>
                <w:rFonts w:cs="Calibri"/>
                <w:sz w:val="16"/>
              </w:rPr>
            </w:pPr>
            <w:r w:rsidRPr="00CA2CC1">
              <w:rPr>
                <w:rFonts w:cs="Calibri"/>
                <w:color w:val="414042"/>
                <w:sz w:val="16"/>
              </w:rPr>
              <w:t>Salary</w:t>
            </w:r>
            <w:r w:rsidRPr="00CA2CC1">
              <w:rPr>
                <w:rFonts w:cs="Calibri"/>
                <w:color w:val="414042"/>
                <w:spacing w:val="-2"/>
                <w:sz w:val="16"/>
              </w:rPr>
              <w:t xml:space="preserve"> </w:t>
            </w:r>
            <w:r w:rsidRPr="00CA2CC1">
              <w:rPr>
                <w:rFonts w:cs="Calibri"/>
                <w:color w:val="414042"/>
                <w:spacing w:val="-4"/>
                <w:sz w:val="16"/>
              </w:rPr>
              <w:t>band</w:t>
            </w:r>
          </w:p>
        </w:tc>
        <w:tc>
          <w:tcPr>
            <w:tcW w:w="1169" w:type="dxa"/>
            <w:shd w:val="clear" w:color="auto" w:fill="D8E9EF"/>
            <w:tcMar>
              <w:right w:w="57" w:type="dxa"/>
            </w:tcMar>
          </w:tcPr>
          <w:p w14:paraId="1155C7B1" w14:textId="77777777" w:rsidR="00FA4226" w:rsidRPr="00CA2CC1" w:rsidRDefault="00000000" w:rsidP="0043303B">
            <w:pPr>
              <w:pStyle w:val="TableParagraph"/>
              <w:spacing w:before="45"/>
              <w:rPr>
                <w:rFonts w:cs="Calibri"/>
                <w:sz w:val="16"/>
              </w:rPr>
            </w:pPr>
            <w:r w:rsidRPr="00CA2CC1">
              <w:rPr>
                <w:rFonts w:cs="Calibri"/>
                <w:color w:val="414042"/>
                <w:spacing w:val="-2"/>
                <w:sz w:val="16"/>
              </w:rPr>
              <w:t>Headcount</w:t>
            </w:r>
          </w:p>
        </w:tc>
        <w:tc>
          <w:tcPr>
            <w:tcW w:w="1169" w:type="dxa"/>
            <w:shd w:val="clear" w:color="auto" w:fill="D8E9EF"/>
            <w:tcMar>
              <w:right w:w="57" w:type="dxa"/>
            </w:tcMar>
          </w:tcPr>
          <w:p w14:paraId="22DA7A10" w14:textId="77777777" w:rsidR="00FA4226" w:rsidRPr="00CA2CC1" w:rsidRDefault="00000000" w:rsidP="0043303B">
            <w:pPr>
              <w:pStyle w:val="TableParagraph"/>
              <w:spacing w:before="45"/>
              <w:rPr>
                <w:rFonts w:cs="Calibri"/>
                <w:sz w:val="16"/>
              </w:rPr>
            </w:pPr>
            <w:r w:rsidRPr="00CA2CC1">
              <w:rPr>
                <w:rFonts w:cs="Calibri"/>
                <w:color w:val="414042"/>
                <w:spacing w:val="-5"/>
                <w:sz w:val="16"/>
              </w:rPr>
              <w:t>FTE</w:t>
            </w:r>
          </w:p>
        </w:tc>
        <w:tc>
          <w:tcPr>
            <w:tcW w:w="1169" w:type="dxa"/>
            <w:shd w:val="clear" w:color="auto" w:fill="D8E9EF"/>
            <w:tcMar>
              <w:right w:w="57" w:type="dxa"/>
            </w:tcMar>
          </w:tcPr>
          <w:p w14:paraId="32898A76" w14:textId="77777777" w:rsidR="00FA4226" w:rsidRPr="00CA2CC1" w:rsidRDefault="00000000" w:rsidP="0043303B">
            <w:pPr>
              <w:pStyle w:val="TableParagraph"/>
              <w:spacing w:before="45"/>
              <w:rPr>
                <w:rFonts w:cs="Calibri"/>
                <w:sz w:val="16"/>
              </w:rPr>
            </w:pPr>
            <w:r w:rsidRPr="00CA2CC1">
              <w:rPr>
                <w:rFonts w:cs="Calibri"/>
                <w:color w:val="414042"/>
                <w:spacing w:val="-2"/>
                <w:sz w:val="16"/>
              </w:rPr>
              <w:t>Headcount</w:t>
            </w:r>
          </w:p>
        </w:tc>
        <w:tc>
          <w:tcPr>
            <w:tcW w:w="1169" w:type="dxa"/>
            <w:tcBorders>
              <w:right w:val="nil"/>
            </w:tcBorders>
            <w:shd w:val="clear" w:color="auto" w:fill="D8E9EF"/>
            <w:tcMar>
              <w:right w:w="57" w:type="dxa"/>
            </w:tcMar>
          </w:tcPr>
          <w:p w14:paraId="619191C1" w14:textId="77777777" w:rsidR="00FA4226" w:rsidRPr="00CA2CC1" w:rsidRDefault="00000000" w:rsidP="0043303B">
            <w:pPr>
              <w:pStyle w:val="TableParagraph"/>
              <w:spacing w:before="45"/>
              <w:rPr>
                <w:rFonts w:cs="Calibri"/>
                <w:sz w:val="16"/>
              </w:rPr>
            </w:pPr>
            <w:r w:rsidRPr="00CA2CC1">
              <w:rPr>
                <w:rFonts w:cs="Calibri"/>
                <w:color w:val="414042"/>
                <w:spacing w:val="-5"/>
                <w:sz w:val="16"/>
              </w:rPr>
              <w:t>FTE</w:t>
            </w:r>
          </w:p>
        </w:tc>
      </w:tr>
      <w:tr w:rsidR="00FA4226" w:rsidRPr="00CA2CC1" w14:paraId="7442B3E5" w14:textId="77777777" w:rsidTr="0054165C">
        <w:trPr>
          <w:trHeight w:val="266"/>
        </w:trPr>
        <w:tc>
          <w:tcPr>
            <w:tcW w:w="3307" w:type="dxa"/>
            <w:tcBorders>
              <w:left w:val="nil"/>
            </w:tcBorders>
            <w:shd w:val="clear" w:color="auto" w:fill="EDEFF0"/>
          </w:tcPr>
          <w:p w14:paraId="70AE7865" w14:textId="77777777" w:rsidR="00FA4226" w:rsidRPr="00CA2CC1" w:rsidRDefault="00000000" w:rsidP="0043303B">
            <w:pPr>
              <w:pStyle w:val="TableParagraph"/>
              <w:spacing w:before="4"/>
              <w:jc w:val="left"/>
              <w:rPr>
                <w:rFonts w:cs="Calibri"/>
                <w:sz w:val="16"/>
              </w:rPr>
            </w:pPr>
            <w:r w:rsidRPr="00CA2CC1">
              <w:rPr>
                <w:rFonts w:cs="Calibri"/>
                <w:color w:val="414042"/>
                <w:sz w:val="16"/>
              </w:rPr>
              <w:t xml:space="preserve">&lt; </w:t>
            </w:r>
            <w:r w:rsidRPr="00CA2CC1">
              <w:rPr>
                <w:rFonts w:cs="Calibri"/>
                <w:color w:val="414042"/>
                <w:spacing w:val="-2"/>
                <w:sz w:val="16"/>
              </w:rPr>
              <w:t>$199,999</w:t>
            </w:r>
          </w:p>
        </w:tc>
        <w:tc>
          <w:tcPr>
            <w:tcW w:w="1169" w:type="dxa"/>
            <w:tcMar>
              <w:right w:w="57" w:type="dxa"/>
            </w:tcMar>
          </w:tcPr>
          <w:p w14:paraId="704DA59D" w14:textId="77777777" w:rsidR="00FA4226" w:rsidRPr="00CA2CC1" w:rsidRDefault="00000000" w:rsidP="0043303B">
            <w:pPr>
              <w:pStyle w:val="TableParagraph"/>
              <w:spacing w:before="4"/>
              <w:rPr>
                <w:rFonts w:cs="Calibri"/>
                <w:sz w:val="16"/>
              </w:rPr>
            </w:pPr>
            <w:r w:rsidRPr="00CA2CC1">
              <w:rPr>
                <w:rFonts w:cs="Calibri"/>
                <w:color w:val="414042"/>
                <w:sz w:val="16"/>
              </w:rPr>
              <w:t>0</w:t>
            </w:r>
          </w:p>
        </w:tc>
        <w:tc>
          <w:tcPr>
            <w:tcW w:w="1169" w:type="dxa"/>
            <w:tcMar>
              <w:right w:w="57" w:type="dxa"/>
            </w:tcMar>
          </w:tcPr>
          <w:p w14:paraId="6DD759AA" w14:textId="77777777" w:rsidR="00FA4226" w:rsidRPr="00CA2CC1" w:rsidRDefault="00000000" w:rsidP="0043303B">
            <w:pPr>
              <w:pStyle w:val="TableParagraph"/>
              <w:spacing w:before="4"/>
              <w:rPr>
                <w:rFonts w:cs="Calibri"/>
                <w:sz w:val="16"/>
              </w:rPr>
            </w:pPr>
            <w:r w:rsidRPr="00CA2CC1">
              <w:rPr>
                <w:rFonts w:cs="Calibri"/>
                <w:color w:val="414042"/>
                <w:spacing w:val="-4"/>
                <w:sz w:val="16"/>
              </w:rPr>
              <w:t>0.00</w:t>
            </w:r>
          </w:p>
        </w:tc>
        <w:tc>
          <w:tcPr>
            <w:tcW w:w="1169" w:type="dxa"/>
            <w:tcMar>
              <w:right w:w="57" w:type="dxa"/>
            </w:tcMar>
          </w:tcPr>
          <w:p w14:paraId="7997C2AB" w14:textId="77777777" w:rsidR="00FA4226" w:rsidRPr="00CA2CC1" w:rsidRDefault="00000000" w:rsidP="0043303B">
            <w:pPr>
              <w:pStyle w:val="TableParagraph"/>
              <w:spacing w:before="4"/>
              <w:rPr>
                <w:rFonts w:cs="Calibri"/>
                <w:sz w:val="16"/>
              </w:rPr>
            </w:pPr>
            <w:r w:rsidRPr="00CA2CC1">
              <w:rPr>
                <w:rFonts w:cs="Calibri"/>
                <w:color w:val="414042"/>
                <w:sz w:val="16"/>
              </w:rPr>
              <w:t>0</w:t>
            </w:r>
          </w:p>
        </w:tc>
        <w:tc>
          <w:tcPr>
            <w:tcW w:w="1169" w:type="dxa"/>
            <w:tcBorders>
              <w:right w:val="nil"/>
            </w:tcBorders>
            <w:tcMar>
              <w:right w:w="57" w:type="dxa"/>
            </w:tcMar>
          </w:tcPr>
          <w:p w14:paraId="4E141A53" w14:textId="77777777" w:rsidR="00FA4226" w:rsidRPr="00CA2CC1" w:rsidRDefault="00000000" w:rsidP="0043303B">
            <w:pPr>
              <w:pStyle w:val="TableParagraph"/>
              <w:spacing w:before="4"/>
              <w:rPr>
                <w:rFonts w:cs="Calibri"/>
                <w:sz w:val="16"/>
              </w:rPr>
            </w:pPr>
            <w:r w:rsidRPr="00CA2CC1">
              <w:rPr>
                <w:rFonts w:cs="Calibri"/>
                <w:color w:val="414042"/>
                <w:spacing w:val="-4"/>
                <w:sz w:val="16"/>
              </w:rPr>
              <w:t>0.00</w:t>
            </w:r>
          </w:p>
        </w:tc>
      </w:tr>
      <w:tr w:rsidR="00FA4226" w:rsidRPr="00CA2CC1" w14:paraId="654AB35E" w14:textId="77777777" w:rsidTr="0054165C">
        <w:trPr>
          <w:trHeight w:val="280"/>
        </w:trPr>
        <w:tc>
          <w:tcPr>
            <w:tcW w:w="3307" w:type="dxa"/>
            <w:tcBorders>
              <w:left w:val="nil"/>
            </w:tcBorders>
            <w:shd w:val="clear" w:color="auto" w:fill="EDEFF0"/>
          </w:tcPr>
          <w:p w14:paraId="3DFC5EEA" w14:textId="77777777" w:rsidR="00FA4226" w:rsidRPr="00CA2CC1" w:rsidRDefault="00000000" w:rsidP="0043303B">
            <w:pPr>
              <w:pStyle w:val="TableParagraph"/>
              <w:spacing w:before="18"/>
              <w:jc w:val="left"/>
              <w:rPr>
                <w:rFonts w:cs="Calibri"/>
                <w:sz w:val="16"/>
              </w:rPr>
            </w:pPr>
            <w:r w:rsidRPr="00CA2CC1">
              <w:rPr>
                <w:rFonts w:cs="Calibri"/>
                <w:color w:val="414042"/>
                <w:sz w:val="16"/>
              </w:rPr>
              <w:t xml:space="preserve">$200,000 - </w:t>
            </w:r>
            <w:r w:rsidRPr="00CA2CC1">
              <w:rPr>
                <w:rFonts w:cs="Calibri"/>
                <w:color w:val="414042"/>
                <w:spacing w:val="-2"/>
                <w:sz w:val="16"/>
              </w:rPr>
              <w:t>$219,999</w:t>
            </w:r>
          </w:p>
        </w:tc>
        <w:tc>
          <w:tcPr>
            <w:tcW w:w="1169" w:type="dxa"/>
            <w:tcMar>
              <w:right w:w="57" w:type="dxa"/>
            </w:tcMar>
          </w:tcPr>
          <w:p w14:paraId="15D2011D" w14:textId="77777777" w:rsidR="00FA4226" w:rsidRPr="00CA2CC1" w:rsidRDefault="00000000" w:rsidP="0043303B">
            <w:pPr>
              <w:pStyle w:val="TableParagraph"/>
              <w:spacing w:before="18"/>
              <w:rPr>
                <w:rFonts w:cs="Calibri"/>
                <w:sz w:val="16"/>
              </w:rPr>
            </w:pPr>
            <w:r w:rsidRPr="00CA2CC1">
              <w:rPr>
                <w:rFonts w:cs="Calibri"/>
                <w:color w:val="414042"/>
                <w:sz w:val="16"/>
              </w:rPr>
              <w:t>2</w:t>
            </w:r>
          </w:p>
        </w:tc>
        <w:tc>
          <w:tcPr>
            <w:tcW w:w="1169" w:type="dxa"/>
            <w:tcMar>
              <w:right w:w="57" w:type="dxa"/>
            </w:tcMar>
          </w:tcPr>
          <w:p w14:paraId="348181AA" w14:textId="77777777" w:rsidR="00FA4226" w:rsidRPr="00CA2CC1" w:rsidRDefault="00000000" w:rsidP="0043303B">
            <w:pPr>
              <w:pStyle w:val="TableParagraph"/>
              <w:spacing w:before="18"/>
              <w:rPr>
                <w:rFonts w:cs="Calibri"/>
                <w:sz w:val="16"/>
              </w:rPr>
            </w:pPr>
            <w:r w:rsidRPr="00CA2CC1">
              <w:rPr>
                <w:rFonts w:cs="Calibri"/>
                <w:color w:val="414042"/>
                <w:spacing w:val="-4"/>
                <w:sz w:val="16"/>
              </w:rPr>
              <w:t>2.00</w:t>
            </w:r>
          </w:p>
        </w:tc>
        <w:tc>
          <w:tcPr>
            <w:tcW w:w="1169" w:type="dxa"/>
            <w:tcMar>
              <w:right w:w="57" w:type="dxa"/>
            </w:tcMar>
          </w:tcPr>
          <w:p w14:paraId="67581F36" w14:textId="77777777" w:rsidR="00FA4226" w:rsidRPr="00CA2CC1" w:rsidRDefault="00000000" w:rsidP="0043303B">
            <w:pPr>
              <w:pStyle w:val="TableParagraph"/>
              <w:spacing w:before="18"/>
              <w:rPr>
                <w:rFonts w:cs="Calibri"/>
                <w:sz w:val="16"/>
              </w:rPr>
            </w:pPr>
            <w:r w:rsidRPr="00CA2CC1">
              <w:rPr>
                <w:rFonts w:cs="Calibri"/>
                <w:color w:val="414042"/>
                <w:sz w:val="16"/>
              </w:rPr>
              <w:t>2</w:t>
            </w:r>
          </w:p>
        </w:tc>
        <w:tc>
          <w:tcPr>
            <w:tcW w:w="1169" w:type="dxa"/>
            <w:tcBorders>
              <w:right w:val="nil"/>
            </w:tcBorders>
            <w:tcMar>
              <w:right w:w="57" w:type="dxa"/>
            </w:tcMar>
          </w:tcPr>
          <w:p w14:paraId="3AB24D42" w14:textId="77777777" w:rsidR="00FA4226" w:rsidRPr="00CA2CC1" w:rsidRDefault="00000000" w:rsidP="0043303B">
            <w:pPr>
              <w:pStyle w:val="TableParagraph"/>
              <w:spacing w:before="18"/>
              <w:rPr>
                <w:rFonts w:cs="Calibri"/>
                <w:sz w:val="16"/>
              </w:rPr>
            </w:pPr>
            <w:r w:rsidRPr="00CA2CC1">
              <w:rPr>
                <w:rFonts w:cs="Calibri"/>
                <w:color w:val="414042"/>
                <w:spacing w:val="-4"/>
                <w:sz w:val="16"/>
              </w:rPr>
              <w:t>2.00</w:t>
            </w:r>
          </w:p>
        </w:tc>
      </w:tr>
      <w:tr w:rsidR="00FA4226" w:rsidRPr="00CA2CC1" w14:paraId="30CF7BC1" w14:textId="77777777" w:rsidTr="0054165C">
        <w:trPr>
          <w:trHeight w:val="280"/>
        </w:trPr>
        <w:tc>
          <w:tcPr>
            <w:tcW w:w="3307" w:type="dxa"/>
            <w:tcBorders>
              <w:left w:val="nil"/>
            </w:tcBorders>
            <w:shd w:val="clear" w:color="auto" w:fill="EDEFF0"/>
          </w:tcPr>
          <w:p w14:paraId="7DD0078B" w14:textId="77777777" w:rsidR="00FA4226" w:rsidRPr="00CA2CC1" w:rsidRDefault="00000000" w:rsidP="0043303B">
            <w:pPr>
              <w:pStyle w:val="TableParagraph"/>
              <w:spacing w:before="18"/>
              <w:jc w:val="left"/>
              <w:rPr>
                <w:rFonts w:cs="Calibri"/>
                <w:sz w:val="16"/>
              </w:rPr>
            </w:pPr>
            <w:r w:rsidRPr="00CA2CC1">
              <w:rPr>
                <w:rFonts w:cs="Calibri"/>
                <w:color w:val="414042"/>
                <w:sz w:val="16"/>
              </w:rPr>
              <w:t xml:space="preserve">$220,000 - </w:t>
            </w:r>
            <w:r w:rsidRPr="00CA2CC1">
              <w:rPr>
                <w:rFonts w:cs="Calibri"/>
                <w:color w:val="414042"/>
                <w:spacing w:val="-2"/>
                <w:sz w:val="16"/>
              </w:rPr>
              <w:t>$239,999</w:t>
            </w:r>
          </w:p>
        </w:tc>
        <w:tc>
          <w:tcPr>
            <w:tcW w:w="1169" w:type="dxa"/>
            <w:tcMar>
              <w:right w:w="57" w:type="dxa"/>
            </w:tcMar>
          </w:tcPr>
          <w:p w14:paraId="30BE5D01" w14:textId="77777777" w:rsidR="00FA4226" w:rsidRPr="00CA2CC1" w:rsidRDefault="00000000" w:rsidP="0043303B">
            <w:pPr>
              <w:pStyle w:val="TableParagraph"/>
              <w:spacing w:before="18"/>
              <w:rPr>
                <w:rFonts w:cs="Calibri"/>
                <w:sz w:val="16"/>
              </w:rPr>
            </w:pPr>
            <w:r w:rsidRPr="00CA2CC1">
              <w:rPr>
                <w:rFonts w:cs="Calibri"/>
                <w:color w:val="414042"/>
                <w:sz w:val="16"/>
              </w:rPr>
              <w:t>1</w:t>
            </w:r>
          </w:p>
        </w:tc>
        <w:tc>
          <w:tcPr>
            <w:tcW w:w="1169" w:type="dxa"/>
            <w:tcMar>
              <w:right w:w="57" w:type="dxa"/>
            </w:tcMar>
          </w:tcPr>
          <w:p w14:paraId="1202AC6F" w14:textId="77777777" w:rsidR="00FA4226" w:rsidRPr="00CA2CC1" w:rsidRDefault="00000000" w:rsidP="0043303B">
            <w:pPr>
              <w:pStyle w:val="TableParagraph"/>
              <w:spacing w:before="18"/>
              <w:rPr>
                <w:rFonts w:cs="Calibri"/>
                <w:sz w:val="16"/>
              </w:rPr>
            </w:pPr>
            <w:r w:rsidRPr="00CA2CC1">
              <w:rPr>
                <w:rFonts w:cs="Calibri"/>
                <w:color w:val="414042"/>
                <w:spacing w:val="-4"/>
                <w:sz w:val="16"/>
              </w:rPr>
              <w:t>1.00</w:t>
            </w:r>
          </w:p>
        </w:tc>
        <w:tc>
          <w:tcPr>
            <w:tcW w:w="1169" w:type="dxa"/>
            <w:tcMar>
              <w:right w:w="57" w:type="dxa"/>
            </w:tcMar>
          </w:tcPr>
          <w:p w14:paraId="0B9DD33A" w14:textId="77777777" w:rsidR="00FA4226" w:rsidRPr="00CA2CC1" w:rsidRDefault="00000000" w:rsidP="0043303B">
            <w:pPr>
              <w:pStyle w:val="TableParagraph"/>
              <w:spacing w:before="18"/>
              <w:rPr>
                <w:rFonts w:cs="Calibri"/>
                <w:sz w:val="16"/>
              </w:rPr>
            </w:pPr>
            <w:r w:rsidRPr="00CA2CC1">
              <w:rPr>
                <w:rFonts w:cs="Calibri"/>
                <w:color w:val="414042"/>
                <w:sz w:val="16"/>
              </w:rPr>
              <w:t>1</w:t>
            </w:r>
          </w:p>
        </w:tc>
        <w:tc>
          <w:tcPr>
            <w:tcW w:w="1169" w:type="dxa"/>
            <w:tcBorders>
              <w:right w:val="nil"/>
            </w:tcBorders>
            <w:tcMar>
              <w:right w:w="57" w:type="dxa"/>
            </w:tcMar>
          </w:tcPr>
          <w:p w14:paraId="40BD14B0" w14:textId="77777777" w:rsidR="00FA4226" w:rsidRPr="00CA2CC1" w:rsidRDefault="00000000" w:rsidP="0043303B">
            <w:pPr>
              <w:pStyle w:val="TableParagraph"/>
              <w:spacing w:before="18"/>
              <w:rPr>
                <w:rFonts w:cs="Calibri"/>
                <w:sz w:val="16"/>
              </w:rPr>
            </w:pPr>
            <w:r w:rsidRPr="00CA2CC1">
              <w:rPr>
                <w:rFonts w:cs="Calibri"/>
                <w:color w:val="414042"/>
                <w:spacing w:val="-4"/>
                <w:sz w:val="16"/>
              </w:rPr>
              <w:t>1.00</w:t>
            </w:r>
          </w:p>
        </w:tc>
      </w:tr>
      <w:tr w:rsidR="00FA4226" w:rsidRPr="00CA2CC1" w14:paraId="65C12666" w14:textId="77777777" w:rsidTr="0054165C">
        <w:trPr>
          <w:trHeight w:val="280"/>
        </w:trPr>
        <w:tc>
          <w:tcPr>
            <w:tcW w:w="3307" w:type="dxa"/>
            <w:tcBorders>
              <w:left w:val="nil"/>
            </w:tcBorders>
            <w:shd w:val="clear" w:color="auto" w:fill="EDEFF0"/>
          </w:tcPr>
          <w:p w14:paraId="22CB7075" w14:textId="77777777" w:rsidR="00FA4226" w:rsidRPr="00CA2CC1" w:rsidRDefault="00000000" w:rsidP="0043303B">
            <w:pPr>
              <w:pStyle w:val="TableParagraph"/>
              <w:spacing w:before="18"/>
              <w:jc w:val="left"/>
              <w:rPr>
                <w:rFonts w:cs="Calibri"/>
                <w:sz w:val="16"/>
              </w:rPr>
            </w:pPr>
            <w:r w:rsidRPr="00CA2CC1">
              <w:rPr>
                <w:rFonts w:cs="Calibri"/>
                <w:color w:val="414042"/>
                <w:sz w:val="16"/>
              </w:rPr>
              <w:t xml:space="preserve">$240,000 - </w:t>
            </w:r>
            <w:r w:rsidRPr="00CA2CC1">
              <w:rPr>
                <w:rFonts w:cs="Calibri"/>
                <w:color w:val="414042"/>
                <w:spacing w:val="-2"/>
                <w:sz w:val="16"/>
              </w:rPr>
              <w:t>$259,999</w:t>
            </w:r>
          </w:p>
        </w:tc>
        <w:tc>
          <w:tcPr>
            <w:tcW w:w="1169" w:type="dxa"/>
            <w:tcMar>
              <w:right w:w="57" w:type="dxa"/>
            </w:tcMar>
          </w:tcPr>
          <w:p w14:paraId="71A60E12" w14:textId="77777777" w:rsidR="00FA4226" w:rsidRPr="00CA2CC1" w:rsidRDefault="00000000" w:rsidP="0043303B">
            <w:pPr>
              <w:pStyle w:val="TableParagraph"/>
              <w:spacing w:before="18"/>
              <w:rPr>
                <w:rFonts w:cs="Calibri"/>
                <w:sz w:val="16"/>
              </w:rPr>
            </w:pPr>
            <w:r w:rsidRPr="00CA2CC1">
              <w:rPr>
                <w:rFonts w:cs="Calibri"/>
                <w:color w:val="414042"/>
                <w:sz w:val="16"/>
              </w:rPr>
              <w:t>0</w:t>
            </w:r>
          </w:p>
        </w:tc>
        <w:tc>
          <w:tcPr>
            <w:tcW w:w="1169" w:type="dxa"/>
            <w:tcMar>
              <w:right w:w="57" w:type="dxa"/>
            </w:tcMar>
          </w:tcPr>
          <w:p w14:paraId="0A76B304" w14:textId="77777777" w:rsidR="00FA4226" w:rsidRPr="00CA2CC1" w:rsidRDefault="00000000" w:rsidP="0043303B">
            <w:pPr>
              <w:pStyle w:val="TableParagraph"/>
              <w:spacing w:before="18"/>
              <w:rPr>
                <w:rFonts w:cs="Calibri"/>
                <w:sz w:val="16"/>
              </w:rPr>
            </w:pPr>
            <w:r w:rsidRPr="00CA2CC1">
              <w:rPr>
                <w:rFonts w:cs="Calibri"/>
                <w:color w:val="414042"/>
                <w:spacing w:val="-4"/>
                <w:sz w:val="16"/>
              </w:rPr>
              <w:t>0.00</w:t>
            </w:r>
          </w:p>
        </w:tc>
        <w:tc>
          <w:tcPr>
            <w:tcW w:w="1169" w:type="dxa"/>
            <w:tcMar>
              <w:right w:w="57" w:type="dxa"/>
            </w:tcMar>
          </w:tcPr>
          <w:p w14:paraId="06BE5847" w14:textId="77777777" w:rsidR="00FA4226" w:rsidRPr="00CA2CC1" w:rsidRDefault="00000000" w:rsidP="0043303B">
            <w:pPr>
              <w:pStyle w:val="TableParagraph"/>
              <w:spacing w:before="18"/>
              <w:rPr>
                <w:rFonts w:cs="Calibri"/>
                <w:sz w:val="16"/>
              </w:rPr>
            </w:pPr>
            <w:r w:rsidRPr="00CA2CC1">
              <w:rPr>
                <w:rFonts w:cs="Calibri"/>
                <w:color w:val="414042"/>
                <w:sz w:val="16"/>
              </w:rPr>
              <w:t>0</w:t>
            </w:r>
          </w:p>
        </w:tc>
        <w:tc>
          <w:tcPr>
            <w:tcW w:w="1169" w:type="dxa"/>
            <w:tcBorders>
              <w:right w:val="nil"/>
            </w:tcBorders>
            <w:tcMar>
              <w:right w:w="57" w:type="dxa"/>
            </w:tcMar>
          </w:tcPr>
          <w:p w14:paraId="4F4D5BA2" w14:textId="77777777" w:rsidR="00FA4226" w:rsidRPr="00CA2CC1" w:rsidRDefault="00000000" w:rsidP="0043303B">
            <w:pPr>
              <w:pStyle w:val="TableParagraph"/>
              <w:spacing w:before="18"/>
              <w:rPr>
                <w:rFonts w:cs="Calibri"/>
                <w:sz w:val="16"/>
              </w:rPr>
            </w:pPr>
            <w:r w:rsidRPr="00CA2CC1">
              <w:rPr>
                <w:rFonts w:cs="Calibri"/>
                <w:color w:val="414042"/>
                <w:spacing w:val="-4"/>
                <w:sz w:val="16"/>
              </w:rPr>
              <w:t>0.00</w:t>
            </w:r>
          </w:p>
        </w:tc>
      </w:tr>
      <w:tr w:rsidR="00FA4226" w:rsidRPr="00CA2CC1" w14:paraId="47586D61" w14:textId="77777777" w:rsidTr="0054165C">
        <w:trPr>
          <w:trHeight w:val="280"/>
        </w:trPr>
        <w:tc>
          <w:tcPr>
            <w:tcW w:w="3307" w:type="dxa"/>
            <w:tcBorders>
              <w:left w:val="nil"/>
            </w:tcBorders>
            <w:shd w:val="clear" w:color="auto" w:fill="EDEFF0"/>
          </w:tcPr>
          <w:p w14:paraId="3DEAFB02" w14:textId="77777777" w:rsidR="00FA4226" w:rsidRPr="00CA2CC1" w:rsidRDefault="00000000" w:rsidP="0043303B">
            <w:pPr>
              <w:pStyle w:val="TableParagraph"/>
              <w:spacing w:before="18"/>
              <w:jc w:val="left"/>
              <w:rPr>
                <w:rFonts w:cs="Calibri"/>
                <w:sz w:val="16"/>
              </w:rPr>
            </w:pPr>
            <w:r w:rsidRPr="00CA2CC1">
              <w:rPr>
                <w:rFonts w:cs="Calibri"/>
                <w:color w:val="414042"/>
                <w:sz w:val="16"/>
              </w:rPr>
              <w:t xml:space="preserve">$260,000 - </w:t>
            </w:r>
            <w:r w:rsidRPr="00CA2CC1">
              <w:rPr>
                <w:rFonts w:cs="Calibri"/>
                <w:color w:val="414042"/>
                <w:spacing w:val="-2"/>
                <w:sz w:val="16"/>
              </w:rPr>
              <w:t>$279,999</w:t>
            </w:r>
          </w:p>
        </w:tc>
        <w:tc>
          <w:tcPr>
            <w:tcW w:w="1169" w:type="dxa"/>
            <w:tcMar>
              <w:right w:w="57" w:type="dxa"/>
            </w:tcMar>
          </w:tcPr>
          <w:p w14:paraId="7AAC6167" w14:textId="77777777" w:rsidR="00FA4226" w:rsidRPr="00CA2CC1" w:rsidRDefault="00000000" w:rsidP="0043303B">
            <w:pPr>
              <w:pStyle w:val="TableParagraph"/>
              <w:spacing w:before="18"/>
              <w:rPr>
                <w:rFonts w:cs="Calibri"/>
                <w:sz w:val="16"/>
              </w:rPr>
            </w:pPr>
            <w:r w:rsidRPr="00CA2CC1">
              <w:rPr>
                <w:rFonts w:cs="Calibri"/>
                <w:color w:val="414042"/>
                <w:sz w:val="16"/>
              </w:rPr>
              <w:t>2</w:t>
            </w:r>
          </w:p>
        </w:tc>
        <w:tc>
          <w:tcPr>
            <w:tcW w:w="1169" w:type="dxa"/>
            <w:tcMar>
              <w:right w:w="57" w:type="dxa"/>
            </w:tcMar>
          </w:tcPr>
          <w:p w14:paraId="422198EA" w14:textId="77777777" w:rsidR="00FA4226" w:rsidRPr="00CA2CC1" w:rsidRDefault="00000000" w:rsidP="0043303B">
            <w:pPr>
              <w:pStyle w:val="TableParagraph"/>
              <w:spacing w:before="18"/>
              <w:rPr>
                <w:rFonts w:cs="Calibri"/>
                <w:sz w:val="16"/>
              </w:rPr>
            </w:pPr>
            <w:r w:rsidRPr="00CA2CC1">
              <w:rPr>
                <w:rFonts w:cs="Calibri"/>
                <w:color w:val="414042"/>
                <w:spacing w:val="-4"/>
                <w:sz w:val="16"/>
              </w:rPr>
              <w:t>2.00</w:t>
            </w:r>
          </w:p>
        </w:tc>
        <w:tc>
          <w:tcPr>
            <w:tcW w:w="1169" w:type="dxa"/>
            <w:tcMar>
              <w:right w:w="57" w:type="dxa"/>
            </w:tcMar>
          </w:tcPr>
          <w:p w14:paraId="1DF42373" w14:textId="77777777" w:rsidR="00FA4226" w:rsidRPr="00CA2CC1" w:rsidRDefault="00000000" w:rsidP="0043303B">
            <w:pPr>
              <w:pStyle w:val="TableParagraph"/>
              <w:spacing w:before="18"/>
              <w:rPr>
                <w:rFonts w:cs="Calibri"/>
                <w:sz w:val="16"/>
              </w:rPr>
            </w:pPr>
            <w:r w:rsidRPr="00CA2CC1">
              <w:rPr>
                <w:rFonts w:cs="Calibri"/>
                <w:color w:val="414042"/>
                <w:sz w:val="16"/>
              </w:rPr>
              <w:t>2</w:t>
            </w:r>
          </w:p>
        </w:tc>
        <w:tc>
          <w:tcPr>
            <w:tcW w:w="1169" w:type="dxa"/>
            <w:tcBorders>
              <w:right w:val="nil"/>
            </w:tcBorders>
            <w:tcMar>
              <w:right w:w="57" w:type="dxa"/>
            </w:tcMar>
          </w:tcPr>
          <w:p w14:paraId="3A00AF78" w14:textId="77777777" w:rsidR="00FA4226" w:rsidRPr="00CA2CC1" w:rsidRDefault="00000000" w:rsidP="0043303B">
            <w:pPr>
              <w:pStyle w:val="TableParagraph"/>
              <w:spacing w:before="18"/>
              <w:rPr>
                <w:rFonts w:cs="Calibri"/>
                <w:sz w:val="16"/>
              </w:rPr>
            </w:pPr>
            <w:r w:rsidRPr="00CA2CC1">
              <w:rPr>
                <w:rFonts w:cs="Calibri"/>
                <w:color w:val="414042"/>
                <w:spacing w:val="-4"/>
                <w:sz w:val="16"/>
              </w:rPr>
              <w:t>2.00</w:t>
            </w:r>
          </w:p>
        </w:tc>
      </w:tr>
      <w:tr w:rsidR="00FA4226" w:rsidRPr="00CA2CC1" w14:paraId="6956D526" w14:textId="77777777" w:rsidTr="0054165C">
        <w:trPr>
          <w:trHeight w:val="305"/>
        </w:trPr>
        <w:tc>
          <w:tcPr>
            <w:tcW w:w="3307" w:type="dxa"/>
            <w:tcBorders>
              <w:left w:val="nil"/>
            </w:tcBorders>
            <w:shd w:val="clear" w:color="auto" w:fill="EDEFF0"/>
          </w:tcPr>
          <w:p w14:paraId="2668F376" w14:textId="77777777" w:rsidR="00FA4226" w:rsidRPr="00CA2CC1" w:rsidRDefault="00000000" w:rsidP="0043303B">
            <w:pPr>
              <w:pStyle w:val="TableParagraph"/>
              <w:spacing w:before="43"/>
              <w:jc w:val="left"/>
              <w:rPr>
                <w:rFonts w:cs="Calibri"/>
                <w:sz w:val="16"/>
              </w:rPr>
            </w:pPr>
            <w:r w:rsidRPr="00CA2CC1">
              <w:rPr>
                <w:rFonts w:cs="Calibri"/>
                <w:color w:val="414042"/>
                <w:spacing w:val="-2"/>
                <w:sz w:val="16"/>
              </w:rPr>
              <w:t>&gt;$280,000</w:t>
            </w:r>
          </w:p>
        </w:tc>
        <w:tc>
          <w:tcPr>
            <w:tcW w:w="1169" w:type="dxa"/>
            <w:tcMar>
              <w:right w:w="57" w:type="dxa"/>
            </w:tcMar>
          </w:tcPr>
          <w:p w14:paraId="2350CBD0" w14:textId="77777777" w:rsidR="00FA4226" w:rsidRPr="00CA2CC1" w:rsidRDefault="00000000" w:rsidP="0043303B">
            <w:pPr>
              <w:pStyle w:val="TableParagraph"/>
              <w:spacing w:before="43"/>
              <w:rPr>
                <w:rFonts w:cs="Calibri"/>
                <w:sz w:val="16"/>
              </w:rPr>
            </w:pPr>
            <w:r w:rsidRPr="00CA2CC1">
              <w:rPr>
                <w:rFonts w:cs="Calibri"/>
                <w:color w:val="414042"/>
                <w:sz w:val="16"/>
              </w:rPr>
              <w:t>0</w:t>
            </w:r>
          </w:p>
        </w:tc>
        <w:tc>
          <w:tcPr>
            <w:tcW w:w="1169" w:type="dxa"/>
            <w:tcMar>
              <w:right w:w="57" w:type="dxa"/>
            </w:tcMar>
          </w:tcPr>
          <w:p w14:paraId="6DA7AB26" w14:textId="77777777" w:rsidR="00FA4226" w:rsidRPr="00CA2CC1" w:rsidRDefault="00000000" w:rsidP="0043303B">
            <w:pPr>
              <w:pStyle w:val="TableParagraph"/>
              <w:spacing w:before="43"/>
              <w:rPr>
                <w:rFonts w:cs="Calibri"/>
                <w:sz w:val="16"/>
              </w:rPr>
            </w:pPr>
            <w:r w:rsidRPr="00CA2CC1">
              <w:rPr>
                <w:rFonts w:cs="Calibri"/>
                <w:color w:val="414042"/>
                <w:spacing w:val="-4"/>
                <w:sz w:val="16"/>
              </w:rPr>
              <w:t>0.00</w:t>
            </w:r>
          </w:p>
        </w:tc>
        <w:tc>
          <w:tcPr>
            <w:tcW w:w="1169" w:type="dxa"/>
            <w:tcMar>
              <w:right w:w="57" w:type="dxa"/>
            </w:tcMar>
          </w:tcPr>
          <w:p w14:paraId="545DC0AC" w14:textId="77777777" w:rsidR="00FA4226" w:rsidRPr="00CA2CC1" w:rsidRDefault="00000000" w:rsidP="0043303B">
            <w:pPr>
              <w:pStyle w:val="TableParagraph"/>
              <w:spacing w:before="43"/>
              <w:rPr>
                <w:rFonts w:cs="Calibri"/>
                <w:sz w:val="16"/>
              </w:rPr>
            </w:pPr>
            <w:r w:rsidRPr="00CA2CC1">
              <w:rPr>
                <w:rFonts w:cs="Calibri"/>
                <w:color w:val="414042"/>
                <w:sz w:val="16"/>
              </w:rPr>
              <w:t>0</w:t>
            </w:r>
          </w:p>
        </w:tc>
        <w:tc>
          <w:tcPr>
            <w:tcW w:w="1169" w:type="dxa"/>
            <w:tcBorders>
              <w:right w:val="nil"/>
            </w:tcBorders>
            <w:tcMar>
              <w:right w:w="57" w:type="dxa"/>
            </w:tcMar>
          </w:tcPr>
          <w:p w14:paraId="2BB567AB" w14:textId="77777777" w:rsidR="00FA4226" w:rsidRPr="00CA2CC1" w:rsidRDefault="00000000" w:rsidP="0043303B">
            <w:pPr>
              <w:pStyle w:val="TableParagraph"/>
              <w:spacing w:before="43"/>
              <w:rPr>
                <w:rFonts w:cs="Calibri"/>
                <w:sz w:val="16"/>
              </w:rPr>
            </w:pPr>
            <w:r w:rsidRPr="00CA2CC1">
              <w:rPr>
                <w:rFonts w:cs="Calibri"/>
                <w:color w:val="414042"/>
                <w:spacing w:val="-4"/>
                <w:sz w:val="16"/>
              </w:rPr>
              <w:t>0.00</w:t>
            </w:r>
          </w:p>
        </w:tc>
      </w:tr>
    </w:tbl>
    <w:p w14:paraId="433BFE54" w14:textId="77777777" w:rsidR="00FA4226" w:rsidRPr="00CA2CC1" w:rsidRDefault="00FA4226" w:rsidP="0043303B">
      <w:pPr>
        <w:pStyle w:val="BodyText"/>
        <w:spacing w:before="3"/>
        <w:rPr>
          <w:rFonts w:cs="Calibri"/>
        </w:rPr>
      </w:pPr>
    </w:p>
    <w:p w14:paraId="6F98A917" w14:textId="77777777" w:rsidR="00FA4226" w:rsidRPr="003375C9" w:rsidRDefault="00000000" w:rsidP="003375C9">
      <w:pPr>
        <w:pStyle w:val="Heading3"/>
      </w:pPr>
      <w:r w:rsidRPr="003375C9">
        <w:lastRenderedPageBreak/>
        <w:t>Executive officer data</w:t>
      </w:r>
    </w:p>
    <w:p w14:paraId="4E9BC99F" w14:textId="77777777" w:rsidR="00FA4226" w:rsidRPr="00CA2CC1" w:rsidRDefault="00000000" w:rsidP="0043303B">
      <w:pPr>
        <w:pStyle w:val="BodyText"/>
        <w:spacing w:before="88"/>
        <w:rPr>
          <w:rFonts w:cs="Calibri"/>
        </w:rPr>
      </w:pPr>
      <w:r w:rsidRPr="00CA2CC1">
        <w:rPr>
          <w:rFonts w:cs="Calibri"/>
          <w:color w:val="414042"/>
        </w:rPr>
        <w:t xml:space="preserve">An executive officer (EO) is defined as a person employed as an executive under Part 3 of the </w:t>
      </w:r>
      <w:r w:rsidRPr="00CA2CC1">
        <w:rPr>
          <w:rFonts w:cs="Calibri"/>
          <w:i/>
          <w:color w:val="414042"/>
        </w:rPr>
        <w:t xml:space="preserve">Public Administration Act 2004 </w:t>
      </w:r>
      <w:r w:rsidRPr="00CA2CC1">
        <w:rPr>
          <w:rFonts w:cs="Calibri"/>
          <w:color w:val="414042"/>
        </w:rPr>
        <w:t xml:space="preserve">or a person to whom the Victorian Government’s Policy on Executive Remuneration in Public entities </w:t>
      </w:r>
      <w:r w:rsidRPr="00CA2CC1">
        <w:rPr>
          <w:rFonts w:cs="Calibri"/>
          <w:color w:val="414042"/>
          <w:spacing w:val="-2"/>
        </w:rPr>
        <w:t>applies.</w:t>
      </w:r>
    </w:p>
    <w:p w14:paraId="4992B2C0" w14:textId="77777777" w:rsidR="00FA4226" w:rsidRPr="00CA2CC1" w:rsidRDefault="00000000" w:rsidP="0043303B">
      <w:pPr>
        <w:pStyle w:val="BodyText"/>
        <w:rPr>
          <w:rFonts w:cs="Calibri"/>
        </w:rPr>
      </w:pPr>
      <w:r w:rsidRPr="00CA2CC1">
        <w:rPr>
          <w:rFonts w:cs="Calibri"/>
          <w:color w:val="414042"/>
        </w:rPr>
        <w:t>The table below reflects employment levels at the last full</w:t>
      </w:r>
      <w:r w:rsidRPr="00CA2CC1">
        <w:rPr>
          <w:rFonts w:cs="Calibri"/>
          <w:color w:val="414042"/>
          <w:spacing w:val="-5"/>
        </w:rPr>
        <w:t xml:space="preserve"> </w:t>
      </w:r>
      <w:r w:rsidRPr="00CA2CC1">
        <w:rPr>
          <w:rFonts w:cs="Calibri"/>
          <w:color w:val="414042"/>
        </w:rPr>
        <w:t>pay</w:t>
      </w:r>
      <w:r w:rsidRPr="00CA2CC1">
        <w:rPr>
          <w:rFonts w:cs="Calibri"/>
          <w:color w:val="414042"/>
          <w:spacing w:val="-5"/>
        </w:rPr>
        <w:t xml:space="preserve"> </w:t>
      </w:r>
      <w:r w:rsidRPr="00CA2CC1">
        <w:rPr>
          <w:rFonts w:cs="Calibri"/>
          <w:color w:val="414042"/>
        </w:rPr>
        <w:t>period</w:t>
      </w:r>
      <w:r w:rsidRPr="00CA2CC1">
        <w:rPr>
          <w:rFonts w:cs="Calibri"/>
          <w:color w:val="414042"/>
          <w:spacing w:val="-5"/>
        </w:rPr>
        <w:t xml:space="preserve"> </w:t>
      </w:r>
      <w:r w:rsidRPr="00CA2CC1">
        <w:rPr>
          <w:rFonts w:cs="Calibri"/>
          <w:color w:val="414042"/>
        </w:rPr>
        <w:t>in</w:t>
      </w:r>
      <w:r w:rsidRPr="00CA2CC1">
        <w:rPr>
          <w:rFonts w:cs="Calibri"/>
          <w:color w:val="414042"/>
          <w:spacing w:val="-5"/>
        </w:rPr>
        <w:t xml:space="preserve"> </w:t>
      </w:r>
      <w:r w:rsidRPr="00CA2CC1">
        <w:rPr>
          <w:rFonts w:cs="Calibri"/>
          <w:color w:val="414042"/>
        </w:rPr>
        <w:t>June</w:t>
      </w:r>
      <w:r w:rsidRPr="00CA2CC1">
        <w:rPr>
          <w:rFonts w:cs="Calibri"/>
          <w:color w:val="414042"/>
          <w:spacing w:val="-5"/>
        </w:rPr>
        <w:t xml:space="preserve"> </w:t>
      </w:r>
      <w:r w:rsidRPr="00CA2CC1">
        <w:rPr>
          <w:rFonts w:cs="Calibri"/>
          <w:color w:val="414042"/>
        </w:rPr>
        <w:t>of</w:t>
      </w:r>
      <w:r w:rsidRPr="00CA2CC1">
        <w:rPr>
          <w:rFonts w:cs="Calibri"/>
          <w:color w:val="414042"/>
          <w:spacing w:val="-5"/>
        </w:rPr>
        <w:t xml:space="preserve"> </w:t>
      </w:r>
      <w:r w:rsidRPr="00CA2CC1">
        <w:rPr>
          <w:rFonts w:cs="Calibri"/>
          <w:color w:val="414042"/>
        </w:rPr>
        <w:t>the</w:t>
      </w:r>
      <w:r w:rsidRPr="00CA2CC1">
        <w:rPr>
          <w:rFonts w:cs="Calibri"/>
          <w:color w:val="414042"/>
          <w:spacing w:val="-5"/>
        </w:rPr>
        <w:t xml:space="preserve"> </w:t>
      </w:r>
      <w:r w:rsidRPr="00CA2CC1">
        <w:rPr>
          <w:rFonts w:cs="Calibri"/>
          <w:color w:val="414042"/>
        </w:rPr>
        <w:t>current</w:t>
      </w:r>
      <w:r w:rsidRPr="00CA2CC1">
        <w:rPr>
          <w:rFonts w:cs="Calibri"/>
          <w:color w:val="414042"/>
          <w:spacing w:val="-5"/>
        </w:rPr>
        <w:t xml:space="preserve"> </w:t>
      </w:r>
      <w:r w:rsidRPr="00CA2CC1">
        <w:rPr>
          <w:rFonts w:cs="Calibri"/>
          <w:color w:val="414042"/>
        </w:rPr>
        <w:t>and</w:t>
      </w:r>
      <w:r w:rsidRPr="00CA2CC1">
        <w:rPr>
          <w:rFonts w:cs="Calibri"/>
          <w:color w:val="414042"/>
          <w:spacing w:val="-5"/>
        </w:rPr>
        <w:t xml:space="preserve"> </w:t>
      </w:r>
      <w:r w:rsidRPr="00CA2CC1">
        <w:rPr>
          <w:rFonts w:cs="Calibri"/>
          <w:color w:val="414042"/>
        </w:rPr>
        <w:t>corresponding previous</w:t>
      </w:r>
      <w:r w:rsidRPr="00CA2CC1">
        <w:rPr>
          <w:rFonts w:cs="Calibri"/>
          <w:color w:val="414042"/>
          <w:spacing w:val="-6"/>
        </w:rPr>
        <w:t xml:space="preserve"> </w:t>
      </w:r>
      <w:r w:rsidRPr="00CA2CC1">
        <w:rPr>
          <w:rFonts w:cs="Calibri"/>
          <w:color w:val="414042"/>
        </w:rPr>
        <w:t>reporting</w:t>
      </w:r>
      <w:r w:rsidRPr="00CA2CC1">
        <w:rPr>
          <w:rFonts w:cs="Calibri"/>
          <w:color w:val="414042"/>
          <w:spacing w:val="-6"/>
        </w:rPr>
        <w:t xml:space="preserve"> </w:t>
      </w:r>
      <w:r w:rsidRPr="00CA2CC1">
        <w:rPr>
          <w:rFonts w:cs="Calibri"/>
          <w:color w:val="414042"/>
        </w:rPr>
        <w:t>year</w:t>
      </w:r>
      <w:r w:rsidRPr="00CA2CC1">
        <w:rPr>
          <w:rFonts w:cs="Calibri"/>
          <w:color w:val="414042"/>
          <w:spacing w:val="-6"/>
        </w:rPr>
        <w:t xml:space="preserve"> </w:t>
      </w:r>
      <w:r w:rsidRPr="00CA2CC1">
        <w:rPr>
          <w:rFonts w:cs="Calibri"/>
          <w:color w:val="414042"/>
        </w:rPr>
        <w:t>broken</w:t>
      </w:r>
      <w:r w:rsidRPr="00CA2CC1">
        <w:rPr>
          <w:rFonts w:cs="Calibri"/>
          <w:color w:val="414042"/>
          <w:spacing w:val="-6"/>
        </w:rPr>
        <w:t xml:space="preserve"> </w:t>
      </w:r>
      <w:r w:rsidRPr="00CA2CC1">
        <w:rPr>
          <w:rFonts w:cs="Calibri"/>
          <w:color w:val="414042"/>
        </w:rPr>
        <w:t>down</w:t>
      </w:r>
      <w:r w:rsidRPr="00CA2CC1">
        <w:rPr>
          <w:rFonts w:cs="Calibri"/>
          <w:color w:val="414042"/>
          <w:spacing w:val="-6"/>
        </w:rPr>
        <w:t xml:space="preserve"> </w:t>
      </w:r>
      <w:r w:rsidRPr="00CA2CC1">
        <w:rPr>
          <w:rFonts w:cs="Calibri"/>
          <w:color w:val="414042"/>
        </w:rPr>
        <w:t>by</w:t>
      </w:r>
      <w:r w:rsidRPr="00CA2CC1">
        <w:rPr>
          <w:rFonts w:cs="Calibri"/>
          <w:color w:val="414042"/>
          <w:spacing w:val="-6"/>
        </w:rPr>
        <w:t xml:space="preserve"> </w:t>
      </w:r>
      <w:r w:rsidRPr="00CA2CC1">
        <w:rPr>
          <w:rFonts w:cs="Calibri"/>
          <w:color w:val="414042"/>
        </w:rPr>
        <w:t>gender</w:t>
      </w:r>
      <w:r w:rsidRPr="00CA2CC1">
        <w:rPr>
          <w:rFonts w:cs="Calibri"/>
          <w:color w:val="414042"/>
          <w:spacing w:val="-6"/>
        </w:rPr>
        <w:t xml:space="preserve"> </w:t>
      </w:r>
      <w:r w:rsidRPr="00CA2CC1">
        <w:rPr>
          <w:rFonts w:cs="Calibri"/>
          <w:color w:val="414042"/>
        </w:rPr>
        <w:t>against EO classification levels.</w:t>
      </w:r>
    </w:p>
    <w:p w14:paraId="1BE04F5C" w14:textId="77777777" w:rsidR="00FA4226" w:rsidRPr="00CA2CC1" w:rsidRDefault="00000000" w:rsidP="0043303B">
      <w:pPr>
        <w:pStyle w:val="BodyText"/>
        <w:spacing w:before="111"/>
        <w:rPr>
          <w:rFonts w:cs="Calibri"/>
        </w:rPr>
      </w:pPr>
      <w:r w:rsidRPr="00CA2CC1">
        <w:rPr>
          <w:rFonts w:cs="Calibri"/>
          <w:color w:val="414042"/>
        </w:rPr>
        <w:t>The</w:t>
      </w:r>
      <w:r w:rsidRPr="00CA2CC1">
        <w:rPr>
          <w:rFonts w:cs="Calibri"/>
          <w:color w:val="414042"/>
          <w:spacing w:val="-4"/>
        </w:rPr>
        <w:t xml:space="preserve"> </w:t>
      </w:r>
      <w:r w:rsidRPr="00CA2CC1">
        <w:rPr>
          <w:rFonts w:cs="Calibri"/>
          <w:color w:val="414042"/>
        </w:rPr>
        <w:t>definition</w:t>
      </w:r>
      <w:r w:rsidRPr="00CA2CC1">
        <w:rPr>
          <w:rFonts w:cs="Calibri"/>
          <w:color w:val="414042"/>
          <w:spacing w:val="-4"/>
        </w:rPr>
        <w:t xml:space="preserve"> </w:t>
      </w:r>
      <w:r w:rsidRPr="00CA2CC1">
        <w:rPr>
          <w:rFonts w:cs="Calibri"/>
          <w:color w:val="414042"/>
        </w:rPr>
        <w:t>of</w:t>
      </w:r>
      <w:r w:rsidRPr="00CA2CC1">
        <w:rPr>
          <w:rFonts w:cs="Calibri"/>
          <w:color w:val="414042"/>
          <w:spacing w:val="-4"/>
        </w:rPr>
        <w:t xml:space="preserve"> </w:t>
      </w:r>
      <w:r w:rsidRPr="00CA2CC1">
        <w:rPr>
          <w:rFonts w:cs="Calibri"/>
          <w:color w:val="414042"/>
        </w:rPr>
        <w:t>an</w:t>
      </w:r>
      <w:r w:rsidRPr="00CA2CC1">
        <w:rPr>
          <w:rFonts w:cs="Calibri"/>
          <w:color w:val="414042"/>
          <w:spacing w:val="-4"/>
        </w:rPr>
        <w:t xml:space="preserve"> </w:t>
      </w:r>
      <w:r w:rsidRPr="00CA2CC1">
        <w:rPr>
          <w:rFonts w:cs="Calibri"/>
          <w:color w:val="414042"/>
        </w:rPr>
        <w:t>EO</w:t>
      </w:r>
      <w:r w:rsidRPr="00CA2CC1">
        <w:rPr>
          <w:rFonts w:cs="Calibri"/>
          <w:color w:val="414042"/>
          <w:spacing w:val="-4"/>
        </w:rPr>
        <w:t xml:space="preserve"> </w:t>
      </w:r>
      <w:r w:rsidRPr="00CA2CC1">
        <w:rPr>
          <w:rFonts w:cs="Calibri"/>
          <w:color w:val="414042"/>
        </w:rPr>
        <w:t>does</w:t>
      </w:r>
      <w:r w:rsidRPr="00CA2CC1">
        <w:rPr>
          <w:rFonts w:cs="Calibri"/>
          <w:color w:val="414042"/>
          <w:spacing w:val="-4"/>
        </w:rPr>
        <w:t xml:space="preserve"> </w:t>
      </w:r>
      <w:r w:rsidRPr="00CA2CC1">
        <w:rPr>
          <w:rFonts w:cs="Calibri"/>
          <w:color w:val="414042"/>
        </w:rPr>
        <w:t>not</w:t>
      </w:r>
      <w:r w:rsidRPr="00CA2CC1">
        <w:rPr>
          <w:rFonts w:cs="Calibri"/>
          <w:color w:val="414042"/>
          <w:spacing w:val="-4"/>
        </w:rPr>
        <w:t xml:space="preserve"> </w:t>
      </w:r>
      <w:r w:rsidRPr="00CA2CC1">
        <w:rPr>
          <w:rFonts w:cs="Calibri"/>
          <w:color w:val="414042"/>
        </w:rPr>
        <w:t>include</w:t>
      </w:r>
      <w:r w:rsidRPr="00CA2CC1">
        <w:rPr>
          <w:rFonts w:cs="Calibri"/>
          <w:color w:val="414042"/>
          <w:spacing w:val="-4"/>
        </w:rPr>
        <w:t xml:space="preserve"> </w:t>
      </w:r>
      <w:r w:rsidRPr="00CA2CC1">
        <w:rPr>
          <w:rFonts w:cs="Calibri"/>
          <w:color w:val="414042"/>
        </w:rPr>
        <w:t>a</w:t>
      </w:r>
      <w:r w:rsidRPr="00CA2CC1">
        <w:rPr>
          <w:rFonts w:cs="Calibri"/>
          <w:color w:val="414042"/>
          <w:spacing w:val="-4"/>
        </w:rPr>
        <w:t xml:space="preserve"> </w:t>
      </w:r>
      <w:r w:rsidRPr="00CA2CC1">
        <w:rPr>
          <w:rFonts w:cs="Calibri"/>
          <w:color w:val="414042"/>
        </w:rPr>
        <w:t>statutory</w:t>
      </w:r>
      <w:r w:rsidRPr="00CA2CC1">
        <w:rPr>
          <w:rFonts w:cs="Calibri"/>
          <w:color w:val="414042"/>
          <w:spacing w:val="-4"/>
        </w:rPr>
        <w:t xml:space="preserve"> </w:t>
      </w:r>
      <w:r w:rsidRPr="00CA2CC1">
        <w:rPr>
          <w:rFonts w:cs="Calibri"/>
          <w:color w:val="414042"/>
        </w:rPr>
        <w:t>office holder or an accountable officer.</w:t>
      </w:r>
    </w:p>
    <w:p w14:paraId="07514D93" w14:textId="77777777" w:rsidR="00FA4226" w:rsidRPr="00CA2CC1" w:rsidRDefault="00FA4226" w:rsidP="0043303B">
      <w:pPr>
        <w:pStyle w:val="BodyText"/>
        <w:spacing w:before="6"/>
        <w:rPr>
          <w:rFonts w:cs="Calibri"/>
          <w:sz w:val="13"/>
        </w:rPr>
      </w:pPr>
    </w:p>
    <w:p w14:paraId="5475C329" w14:textId="77777777" w:rsidR="00FA4226" w:rsidRPr="00CA2CC1" w:rsidRDefault="00FA4226" w:rsidP="0043303B">
      <w:pPr>
        <w:pStyle w:val="BodyText"/>
        <w:spacing w:before="9"/>
        <w:rPr>
          <w:rFonts w:cs="Calibri"/>
          <w:sz w:val="4"/>
        </w:rPr>
      </w:pPr>
    </w:p>
    <w:tbl>
      <w:tblPr>
        <w:tblW w:w="9629" w:type="dxa"/>
        <w:tblBorders>
          <w:top w:val="single" w:sz="4" w:space="0" w:color="73777A"/>
          <w:left w:val="single" w:sz="4" w:space="0" w:color="73777A"/>
          <w:bottom w:val="single" w:sz="4" w:space="0" w:color="73777A"/>
          <w:right w:val="single" w:sz="4" w:space="0" w:color="73777A"/>
          <w:insideH w:val="single" w:sz="4" w:space="0" w:color="73777A"/>
          <w:insideV w:val="single" w:sz="4" w:space="0" w:color="73777A"/>
        </w:tblBorders>
        <w:tblLayout w:type="fixed"/>
        <w:tblCellMar>
          <w:left w:w="0" w:type="dxa"/>
          <w:right w:w="0" w:type="dxa"/>
        </w:tblCellMar>
        <w:tblLook w:val="01E0" w:firstRow="1" w:lastRow="1" w:firstColumn="1" w:lastColumn="1" w:noHBand="0" w:noVBand="0"/>
      </w:tblPr>
      <w:tblGrid>
        <w:gridCol w:w="685"/>
        <w:gridCol w:w="559"/>
        <w:gridCol w:w="559"/>
        <w:gridCol w:w="559"/>
        <w:gridCol w:w="559"/>
        <w:gridCol w:w="559"/>
        <w:gridCol w:w="559"/>
        <w:gridCol w:w="559"/>
        <w:gridCol w:w="559"/>
        <w:gridCol w:w="559"/>
        <w:gridCol w:w="559"/>
        <w:gridCol w:w="559"/>
        <w:gridCol w:w="559"/>
        <w:gridCol w:w="559"/>
        <w:gridCol w:w="559"/>
        <w:gridCol w:w="559"/>
        <w:gridCol w:w="559"/>
      </w:tblGrid>
      <w:tr w:rsidR="007255EC" w:rsidRPr="00CA2CC1" w14:paraId="67CAC525" w14:textId="77777777" w:rsidTr="007255EC">
        <w:trPr>
          <w:trHeight w:val="478"/>
        </w:trPr>
        <w:tc>
          <w:tcPr>
            <w:tcW w:w="685" w:type="dxa"/>
            <w:tcBorders>
              <w:top w:val="nil"/>
              <w:left w:val="nil"/>
              <w:right w:val="nil"/>
            </w:tcBorders>
          </w:tcPr>
          <w:p w14:paraId="1D9EE7E1" w14:textId="77777777" w:rsidR="007255EC" w:rsidRPr="00CA2CC1" w:rsidRDefault="007255EC" w:rsidP="0043303B">
            <w:pPr>
              <w:pStyle w:val="TableParagraph"/>
              <w:jc w:val="left"/>
              <w:rPr>
                <w:rFonts w:cs="Calibri"/>
                <w:sz w:val="16"/>
              </w:rPr>
            </w:pPr>
          </w:p>
        </w:tc>
        <w:tc>
          <w:tcPr>
            <w:tcW w:w="4472" w:type="dxa"/>
            <w:gridSpan w:val="8"/>
            <w:tcBorders>
              <w:top w:val="nil"/>
              <w:left w:val="nil"/>
            </w:tcBorders>
            <w:tcMar>
              <w:right w:w="57" w:type="dxa"/>
            </w:tcMar>
          </w:tcPr>
          <w:p w14:paraId="4469ACBD" w14:textId="2C7B7508" w:rsidR="007255EC" w:rsidRPr="003375C9" w:rsidRDefault="007255EC" w:rsidP="0043303B">
            <w:pPr>
              <w:pStyle w:val="TableParagraph"/>
              <w:spacing w:before="96"/>
              <w:jc w:val="center"/>
              <w:rPr>
                <w:rFonts w:cs="Calibri"/>
                <w:b/>
                <w:bCs/>
                <w:color w:val="000000" w:themeColor="text1"/>
                <w:spacing w:val="-2"/>
                <w:sz w:val="18"/>
              </w:rPr>
            </w:pPr>
            <w:r w:rsidRPr="003375C9">
              <w:rPr>
                <w:rFonts w:cs="Calibri"/>
                <w:b/>
                <w:bCs/>
                <w:color w:val="000000" w:themeColor="text1"/>
              </w:rPr>
              <w:t xml:space="preserve">June </w:t>
            </w:r>
            <w:r w:rsidRPr="003375C9">
              <w:rPr>
                <w:rFonts w:cs="Calibri"/>
                <w:b/>
                <w:bCs/>
                <w:color w:val="000000" w:themeColor="text1"/>
                <w:spacing w:val="-4"/>
              </w:rPr>
              <w:t>2023</w:t>
            </w:r>
          </w:p>
        </w:tc>
        <w:tc>
          <w:tcPr>
            <w:tcW w:w="4472" w:type="dxa"/>
            <w:gridSpan w:val="8"/>
            <w:tcBorders>
              <w:top w:val="nil"/>
              <w:right w:val="nil"/>
            </w:tcBorders>
            <w:tcMar>
              <w:right w:w="57" w:type="dxa"/>
            </w:tcMar>
          </w:tcPr>
          <w:p w14:paraId="442558C1" w14:textId="77DB2260" w:rsidR="007255EC" w:rsidRPr="003375C9" w:rsidRDefault="007255EC" w:rsidP="0043303B">
            <w:pPr>
              <w:pStyle w:val="TableParagraph"/>
              <w:spacing w:before="96"/>
              <w:jc w:val="center"/>
              <w:rPr>
                <w:rFonts w:cs="Calibri"/>
                <w:b/>
                <w:bCs/>
                <w:color w:val="000000" w:themeColor="text1"/>
                <w:spacing w:val="-2"/>
                <w:sz w:val="18"/>
              </w:rPr>
            </w:pPr>
            <w:r w:rsidRPr="003375C9">
              <w:rPr>
                <w:rFonts w:cs="Calibri"/>
                <w:b/>
                <w:bCs/>
                <w:color w:val="000000" w:themeColor="text1"/>
              </w:rPr>
              <w:t xml:space="preserve">June </w:t>
            </w:r>
            <w:r w:rsidRPr="003375C9">
              <w:rPr>
                <w:rFonts w:cs="Calibri"/>
                <w:b/>
                <w:bCs/>
                <w:color w:val="000000" w:themeColor="text1"/>
                <w:spacing w:val="-4"/>
              </w:rPr>
              <w:t>2022</w:t>
            </w:r>
          </w:p>
        </w:tc>
      </w:tr>
      <w:tr w:rsidR="00FA4226" w:rsidRPr="00CA2CC1" w14:paraId="384026DE" w14:textId="77777777" w:rsidTr="0019657D">
        <w:trPr>
          <w:trHeight w:val="478"/>
        </w:trPr>
        <w:tc>
          <w:tcPr>
            <w:tcW w:w="685" w:type="dxa"/>
            <w:vMerge w:val="restart"/>
            <w:tcBorders>
              <w:top w:val="nil"/>
              <w:left w:val="nil"/>
              <w:right w:val="nil"/>
            </w:tcBorders>
          </w:tcPr>
          <w:p w14:paraId="44CCEB63" w14:textId="77777777" w:rsidR="00FA4226" w:rsidRPr="00CA2CC1" w:rsidRDefault="00FA4226" w:rsidP="0043303B">
            <w:pPr>
              <w:pStyle w:val="TableParagraph"/>
              <w:jc w:val="left"/>
              <w:rPr>
                <w:rFonts w:cs="Calibri"/>
                <w:sz w:val="16"/>
              </w:rPr>
            </w:pPr>
          </w:p>
        </w:tc>
        <w:tc>
          <w:tcPr>
            <w:tcW w:w="1118" w:type="dxa"/>
            <w:gridSpan w:val="2"/>
            <w:tcBorders>
              <w:left w:val="nil"/>
            </w:tcBorders>
            <w:tcMar>
              <w:right w:w="57" w:type="dxa"/>
            </w:tcMar>
          </w:tcPr>
          <w:p w14:paraId="046F1999" w14:textId="77777777" w:rsidR="00FA4226" w:rsidRPr="00CA2CC1" w:rsidRDefault="00000000" w:rsidP="0043303B">
            <w:pPr>
              <w:pStyle w:val="TableParagraph"/>
              <w:spacing w:before="96"/>
              <w:rPr>
                <w:rFonts w:cs="Calibri"/>
                <w:sz w:val="18"/>
              </w:rPr>
            </w:pPr>
            <w:r w:rsidRPr="00CA2CC1">
              <w:rPr>
                <w:rFonts w:cs="Calibri"/>
                <w:color w:val="414042"/>
                <w:spacing w:val="-2"/>
                <w:sz w:val="18"/>
              </w:rPr>
              <w:t>Female</w:t>
            </w:r>
          </w:p>
        </w:tc>
        <w:tc>
          <w:tcPr>
            <w:tcW w:w="1118" w:type="dxa"/>
            <w:gridSpan w:val="2"/>
            <w:tcMar>
              <w:right w:w="57" w:type="dxa"/>
            </w:tcMar>
          </w:tcPr>
          <w:p w14:paraId="3535B3E3" w14:textId="77777777" w:rsidR="00FA4226" w:rsidRPr="00CA2CC1" w:rsidRDefault="00000000" w:rsidP="0043303B">
            <w:pPr>
              <w:pStyle w:val="TableParagraph"/>
              <w:spacing w:before="96"/>
              <w:rPr>
                <w:rFonts w:cs="Calibri"/>
                <w:sz w:val="18"/>
              </w:rPr>
            </w:pPr>
            <w:r w:rsidRPr="00CA2CC1">
              <w:rPr>
                <w:rFonts w:cs="Calibri"/>
                <w:color w:val="414042"/>
                <w:spacing w:val="-4"/>
                <w:sz w:val="18"/>
              </w:rPr>
              <w:t>Male</w:t>
            </w:r>
          </w:p>
        </w:tc>
        <w:tc>
          <w:tcPr>
            <w:tcW w:w="1118" w:type="dxa"/>
            <w:gridSpan w:val="2"/>
            <w:tcMar>
              <w:right w:w="57" w:type="dxa"/>
            </w:tcMar>
          </w:tcPr>
          <w:p w14:paraId="6842D2DF" w14:textId="5A246AB6" w:rsidR="00FA4226" w:rsidRPr="00CA2CC1" w:rsidRDefault="00000000" w:rsidP="0043303B">
            <w:pPr>
              <w:pStyle w:val="TableParagraph"/>
              <w:spacing w:before="35"/>
              <w:rPr>
                <w:rFonts w:cs="Calibri"/>
                <w:sz w:val="18"/>
              </w:rPr>
            </w:pPr>
            <w:r w:rsidRPr="00CA2CC1">
              <w:rPr>
                <w:rFonts w:cs="Calibri"/>
                <w:color w:val="414042"/>
                <w:spacing w:val="-2"/>
                <w:sz w:val="18"/>
              </w:rPr>
              <w:t xml:space="preserve">Self- </w:t>
            </w:r>
            <w:r w:rsidR="00524A88" w:rsidRPr="00CA2CC1">
              <w:rPr>
                <w:rFonts w:cs="Calibri"/>
                <w:color w:val="414042"/>
                <w:spacing w:val="-2"/>
                <w:sz w:val="18"/>
              </w:rPr>
              <w:br/>
            </w:r>
            <w:r w:rsidRPr="00CA2CC1">
              <w:rPr>
                <w:rFonts w:cs="Calibri"/>
                <w:color w:val="414042"/>
                <w:spacing w:val="-2"/>
                <w:sz w:val="18"/>
              </w:rPr>
              <w:t>described</w:t>
            </w:r>
          </w:p>
        </w:tc>
        <w:tc>
          <w:tcPr>
            <w:tcW w:w="1118" w:type="dxa"/>
            <w:gridSpan w:val="2"/>
            <w:shd w:val="clear" w:color="auto" w:fill="EDEFF0"/>
            <w:tcMar>
              <w:right w:w="57" w:type="dxa"/>
            </w:tcMar>
          </w:tcPr>
          <w:p w14:paraId="66A092D2" w14:textId="77777777" w:rsidR="00FA4226" w:rsidRPr="00CA2CC1" w:rsidRDefault="00000000" w:rsidP="0043303B">
            <w:pPr>
              <w:pStyle w:val="TableParagraph"/>
              <w:spacing w:before="96"/>
              <w:rPr>
                <w:rFonts w:cs="Calibri"/>
                <w:sz w:val="18"/>
              </w:rPr>
            </w:pPr>
            <w:r w:rsidRPr="00CA2CC1">
              <w:rPr>
                <w:rFonts w:cs="Calibri"/>
                <w:color w:val="414042"/>
                <w:spacing w:val="-2"/>
                <w:sz w:val="18"/>
              </w:rPr>
              <w:t>Total</w:t>
            </w:r>
          </w:p>
        </w:tc>
        <w:tc>
          <w:tcPr>
            <w:tcW w:w="1118" w:type="dxa"/>
            <w:gridSpan w:val="2"/>
            <w:tcMar>
              <w:right w:w="57" w:type="dxa"/>
            </w:tcMar>
          </w:tcPr>
          <w:p w14:paraId="392D6C03" w14:textId="77777777" w:rsidR="00FA4226" w:rsidRPr="00CA2CC1" w:rsidRDefault="00000000" w:rsidP="0043303B">
            <w:pPr>
              <w:pStyle w:val="TableParagraph"/>
              <w:spacing w:before="96"/>
              <w:rPr>
                <w:rFonts w:cs="Calibri"/>
                <w:sz w:val="18"/>
              </w:rPr>
            </w:pPr>
            <w:r w:rsidRPr="00CA2CC1">
              <w:rPr>
                <w:rFonts w:cs="Calibri"/>
                <w:color w:val="414042"/>
                <w:spacing w:val="-2"/>
                <w:sz w:val="18"/>
              </w:rPr>
              <w:t>Female</w:t>
            </w:r>
          </w:p>
        </w:tc>
        <w:tc>
          <w:tcPr>
            <w:tcW w:w="1118" w:type="dxa"/>
            <w:gridSpan w:val="2"/>
            <w:tcMar>
              <w:right w:w="57" w:type="dxa"/>
            </w:tcMar>
          </w:tcPr>
          <w:p w14:paraId="1E95943F" w14:textId="77777777" w:rsidR="00FA4226" w:rsidRPr="00CA2CC1" w:rsidRDefault="00000000" w:rsidP="0043303B">
            <w:pPr>
              <w:pStyle w:val="TableParagraph"/>
              <w:spacing w:before="96"/>
              <w:rPr>
                <w:rFonts w:cs="Calibri"/>
                <w:sz w:val="18"/>
              </w:rPr>
            </w:pPr>
            <w:r w:rsidRPr="00CA2CC1">
              <w:rPr>
                <w:rFonts w:cs="Calibri"/>
                <w:color w:val="414042"/>
                <w:spacing w:val="-4"/>
                <w:sz w:val="18"/>
              </w:rPr>
              <w:t>Male</w:t>
            </w:r>
          </w:p>
        </w:tc>
        <w:tc>
          <w:tcPr>
            <w:tcW w:w="1118" w:type="dxa"/>
            <w:gridSpan w:val="2"/>
            <w:tcMar>
              <w:right w:w="57" w:type="dxa"/>
            </w:tcMar>
          </w:tcPr>
          <w:p w14:paraId="6B64F09A" w14:textId="326B87D0" w:rsidR="00FA4226" w:rsidRPr="00CA2CC1" w:rsidRDefault="00000000" w:rsidP="0043303B">
            <w:pPr>
              <w:pStyle w:val="TableParagraph"/>
              <w:spacing w:before="35"/>
              <w:rPr>
                <w:rFonts w:cs="Calibri"/>
                <w:sz w:val="18"/>
              </w:rPr>
            </w:pPr>
            <w:r w:rsidRPr="00CA2CC1">
              <w:rPr>
                <w:rFonts w:cs="Calibri"/>
                <w:color w:val="414042"/>
                <w:spacing w:val="-2"/>
                <w:sz w:val="18"/>
              </w:rPr>
              <w:t xml:space="preserve">Self- </w:t>
            </w:r>
            <w:r w:rsidR="00524A88" w:rsidRPr="00CA2CC1">
              <w:rPr>
                <w:rFonts w:cs="Calibri"/>
                <w:color w:val="414042"/>
                <w:spacing w:val="-2"/>
                <w:sz w:val="18"/>
              </w:rPr>
              <w:br/>
            </w:r>
            <w:r w:rsidRPr="00CA2CC1">
              <w:rPr>
                <w:rFonts w:cs="Calibri"/>
                <w:color w:val="414042"/>
                <w:spacing w:val="-2"/>
                <w:sz w:val="18"/>
              </w:rPr>
              <w:t>described</w:t>
            </w:r>
          </w:p>
        </w:tc>
        <w:tc>
          <w:tcPr>
            <w:tcW w:w="1118" w:type="dxa"/>
            <w:gridSpan w:val="2"/>
            <w:tcBorders>
              <w:right w:val="nil"/>
            </w:tcBorders>
            <w:shd w:val="clear" w:color="auto" w:fill="EDEFF0"/>
            <w:tcMar>
              <w:right w:w="57" w:type="dxa"/>
            </w:tcMar>
          </w:tcPr>
          <w:p w14:paraId="1A6F3B3C" w14:textId="77777777" w:rsidR="00FA4226" w:rsidRPr="00CA2CC1" w:rsidRDefault="00000000" w:rsidP="0043303B">
            <w:pPr>
              <w:pStyle w:val="TableParagraph"/>
              <w:spacing w:before="96"/>
              <w:rPr>
                <w:rFonts w:cs="Calibri"/>
                <w:sz w:val="18"/>
              </w:rPr>
            </w:pPr>
            <w:r w:rsidRPr="00CA2CC1">
              <w:rPr>
                <w:rFonts w:cs="Calibri"/>
                <w:color w:val="414042"/>
                <w:spacing w:val="-2"/>
                <w:sz w:val="18"/>
              </w:rPr>
              <w:t>Total</w:t>
            </w:r>
          </w:p>
        </w:tc>
      </w:tr>
      <w:tr w:rsidR="00FA4226" w:rsidRPr="00CA2CC1" w14:paraId="2A6021D0" w14:textId="77777777" w:rsidTr="0019657D">
        <w:trPr>
          <w:trHeight w:val="1154"/>
        </w:trPr>
        <w:tc>
          <w:tcPr>
            <w:tcW w:w="685" w:type="dxa"/>
            <w:vMerge/>
            <w:tcBorders>
              <w:top w:val="nil"/>
              <w:left w:val="nil"/>
              <w:right w:val="nil"/>
            </w:tcBorders>
          </w:tcPr>
          <w:p w14:paraId="101FE3B9" w14:textId="77777777" w:rsidR="00FA4226" w:rsidRPr="00CA2CC1" w:rsidRDefault="00FA4226" w:rsidP="0043303B">
            <w:pPr>
              <w:rPr>
                <w:rFonts w:cs="Calibri"/>
                <w:sz w:val="2"/>
                <w:szCs w:val="2"/>
              </w:rPr>
            </w:pPr>
          </w:p>
        </w:tc>
        <w:tc>
          <w:tcPr>
            <w:tcW w:w="559" w:type="dxa"/>
            <w:tcBorders>
              <w:left w:val="nil"/>
            </w:tcBorders>
            <w:tcMar>
              <w:right w:w="57" w:type="dxa"/>
            </w:tcMar>
            <w:textDirection w:val="btLr"/>
          </w:tcPr>
          <w:p w14:paraId="326FF837" w14:textId="77777777" w:rsidR="00FA4226" w:rsidRPr="00CA2CC1" w:rsidRDefault="00000000" w:rsidP="0043303B">
            <w:pPr>
              <w:pStyle w:val="TableParagraph"/>
              <w:spacing w:before="136"/>
              <w:jc w:val="left"/>
              <w:rPr>
                <w:rFonts w:cs="Calibri"/>
                <w:sz w:val="18"/>
              </w:rPr>
            </w:pPr>
            <w:r w:rsidRPr="00CA2CC1">
              <w:rPr>
                <w:rFonts w:cs="Calibri"/>
                <w:color w:val="414042"/>
                <w:spacing w:val="-2"/>
                <w:sz w:val="18"/>
              </w:rPr>
              <w:t>Headcount</w:t>
            </w:r>
          </w:p>
        </w:tc>
        <w:tc>
          <w:tcPr>
            <w:tcW w:w="559" w:type="dxa"/>
            <w:tcMar>
              <w:right w:w="57" w:type="dxa"/>
            </w:tcMar>
            <w:textDirection w:val="btLr"/>
          </w:tcPr>
          <w:p w14:paraId="0C921ED0" w14:textId="77777777" w:rsidR="00FA4226" w:rsidRPr="00CA2CC1" w:rsidRDefault="00000000" w:rsidP="0043303B">
            <w:pPr>
              <w:pStyle w:val="TableParagraph"/>
              <w:spacing w:before="131"/>
              <w:jc w:val="left"/>
              <w:rPr>
                <w:rFonts w:cs="Calibri"/>
                <w:sz w:val="18"/>
              </w:rPr>
            </w:pPr>
            <w:r w:rsidRPr="00CA2CC1">
              <w:rPr>
                <w:rFonts w:cs="Calibri"/>
                <w:color w:val="414042"/>
                <w:spacing w:val="-5"/>
                <w:sz w:val="18"/>
              </w:rPr>
              <w:t>FTE</w:t>
            </w:r>
          </w:p>
        </w:tc>
        <w:tc>
          <w:tcPr>
            <w:tcW w:w="559" w:type="dxa"/>
            <w:tcMar>
              <w:right w:w="57" w:type="dxa"/>
            </w:tcMar>
            <w:textDirection w:val="btLr"/>
          </w:tcPr>
          <w:p w14:paraId="5CB4DA51" w14:textId="77777777" w:rsidR="00FA4226" w:rsidRPr="00CA2CC1" w:rsidRDefault="00000000" w:rsidP="0043303B">
            <w:pPr>
              <w:pStyle w:val="TableParagraph"/>
              <w:spacing w:before="132"/>
              <w:jc w:val="left"/>
              <w:rPr>
                <w:rFonts w:cs="Calibri"/>
                <w:sz w:val="18"/>
              </w:rPr>
            </w:pPr>
            <w:r w:rsidRPr="00CA2CC1">
              <w:rPr>
                <w:rFonts w:cs="Calibri"/>
                <w:color w:val="414042"/>
                <w:spacing w:val="-2"/>
                <w:sz w:val="18"/>
              </w:rPr>
              <w:t>Headcount</w:t>
            </w:r>
          </w:p>
        </w:tc>
        <w:tc>
          <w:tcPr>
            <w:tcW w:w="559" w:type="dxa"/>
            <w:tcMar>
              <w:right w:w="57" w:type="dxa"/>
            </w:tcMar>
            <w:textDirection w:val="btLr"/>
          </w:tcPr>
          <w:p w14:paraId="21283D94" w14:textId="77777777" w:rsidR="00FA4226" w:rsidRPr="00CA2CC1" w:rsidRDefault="00000000" w:rsidP="0043303B">
            <w:pPr>
              <w:pStyle w:val="TableParagraph"/>
              <w:spacing w:before="132"/>
              <w:jc w:val="left"/>
              <w:rPr>
                <w:rFonts w:cs="Calibri"/>
                <w:sz w:val="18"/>
              </w:rPr>
            </w:pPr>
            <w:r w:rsidRPr="00CA2CC1">
              <w:rPr>
                <w:rFonts w:cs="Calibri"/>
                <w:color w:val="414042"/>
                <w:spacing w:val="-5"/>
                <w:sz w:val="18"/>
              </w:rPr>
              <w:t>FTE</w:t>
            </w:r>
          </w:p>
        </w:tc>
        <w:tc>
          <w:tcPr>
            <w:tcW w:w="559" w:type="dxa"/>
            <w:tcMar>
              <w:right w:w="57" w:type="dxa"/>
            </w:tcMar>
            <w:textDirection w:val="btLr"/>
          </w:tcPr>
          <w:p w14:paraId="1FCF1CAD" w14:textId="77777777" w:rsidR="00FA4226" w:rsidRPr="00CA2CC1" w:rsidRDefault="00000000" w:rsidP="0043303B">
            <w:pPr>
              <w:pStyle w:val="TableParagraph"/>
              <w:spacing w:before="132"/>
              <w:jc w:val="left"/>
              <w:rPr>
                <w:rFonts w:cs="Calibri"/>
                <w:sz w:val="18"/>
              </w:rPr>
            </w:pPr>
            <w:r w:rsidRPr="00CA2CC1">
              <w:rPr>
                <w:rFonts w:cs="Calibri"/>
                <w:color w:val="414042"/>
                <w:spacing w:val="-2"/>
                <w:sz w:val="18"/>
              </w:rPr>
              <w:t>Headcount</w:t>
            </w:r>
          </w:p>
        </w:tc>
        <w:tc>
          <w:tcPr>
            <w:tcW w:w="559" w:type="dxa"/>
            <w:tcMar>
              <w:right w:w="57" w:type="dxa"/>
            </w:tcMar>
            <w:textDirection w:val="btLr"/>
          </w:tcPr>
          <w:p w14:paraId="678BDE61" w14:textId="77777777" w:rsidR="00FA4226" w:rsidRPr="00CA2CC1" w:rsidRDefault="00000000" w:rsidP="0043303B">
            <w:pPr>
              <w:pStyle w:val="TableParagraph"/>
              <w:spacing w:before="132"/>
              <w:jc w:val="left"/>
              <w:rPr>
                <w:rFonts w:cs="Calibri"/>
                <w:sz w:val="18"/>
              </w:rPr>
            </w:pPr>
            <w:r w:rsidRPr="00CA2CC1">
              <w:rPr>
                <w:rFonts w:cs="Calibri"/>
                <w:color w:val="414042"/>
                <w:spacing w:val="-5"/>
                <w:sz w:val="18"/>
              </w:rPr>
              <w:t>FTE</w:t>
            </w:r>
          </w:p>
        </w:tc>
        <w:tc>
          <w:tcPr>
            <w:tcW w:w="559" w:type="dxa"/>
            <w:shd w:val="clear" w:color="auto" w:fill="EDEFF0"/>
            <w:tcMar>
              <w:right w:w="57" w:type="dxa"/>
            </w:tcMar>
            <w:textDirection w:val="btLr"/>
          </w:tcPr>
          <w:p w14:paraId="7BDF1EA7" w14:textId="77777777" w:rsidR="00FA4226" w:rsidRPr="00CA2CC1" w:rsidRDefault="00000000" w:rsidP="0043303B">
            <w:pPr>
              <w:pStyle w:val="TableParagraph"/>
              <w:spacing w:before="133"/>
              <w:jc w:val="left"/>
              <w:rPr>
                <w:rFonts w:cs="Calibri"/>
                <w:sz w:val="18"/>
              </w:rPr>
            </w:pPr>
            <w:r w:rsidRPr="00CA2CC1">
              <w:rPr>
                <w:rFonts w:cs="Calibri"/>
                <w:color w:val="414042"/>
                <w:spacing w:val="-2"/>
                <w:sz w:val="18"/>
              </w:rPr>
              <w:t>Headcount</w:t>
            </w:r>
          </w:p>
        </w:tc>
        <w:tc>
          <w:tcPr>
            <w:tcW w:w="559" w:type="dxa"/>
            <w:shd w:val="clear" w:color="auto" w:fill="EDEFF0"/>
            <w:tcMar>
              <w:right w:w="57" w:type="dxa"/>
            </w:tcMar>
            <w:textDirection w:val="btLr"/>
          </w:tcPr>
          <w:p w14:paraId="39A7F0B1" w14:textId="77777777" w:rsidR="00FA4226" w:rsidRPr="00CA2CC1" w:rsidRDefault="00000000" w:rsidP="0043303B">
            <w:pPr>
              <w:pStyle w:val="TableParagraph"/>
              <w:spacing w:before="133"/>
              <w:jc w:val="left"/>
              <w:rPr>
                <w:rFonts w:cs="Calibri"/>
                <w:sz w:val="18"/>
              </w:rPr>
            </w:pPr>
            <w:r w:rsidRPr="00CA2CC1">
              <w:rPr>
                <w:rFonts w:cs="Calibri"/>
                <w:color w:val="414042"/>
                <w:spacing w:val="-5"/>
                <w:sz w:val="18"/>
              </w:rPr>
              <w:t>FTE</w:t>
            </w:r>
          </w:p>
        </w:tc>
        <w:tc>
          <w:tcPr>
            <w:tcW w:w="559" w:type="dxa"/>
            <w:tcMar>
              <w:right w:w="57" w:type="dxa"/>
            </w:tcMar>
            <w:textDirection w:val="btLr"/>
          </w:tcPr>
          <w:p w14:paraId="7AC99216" w14:textId="77777777" w:rsidR="00FA4226" w:rsidRPr="00CA2CC1" w:rsidRDefault="00000000" w:rsidP="0043303B">
            <w:pPr>
              <w:pStyle w:val="TableParagraph"/>
              <w:spacing w:before="133"/>
              <w:jc w:val="left"/>
              <w:rPr>
                <w:rFonts w:cs="Calibri"/>
                <w:sz w:val="18"/>
              </w:rPr>
            </w:pPr>
            <w:r w:rsidRPr="00CA2CC1">
              <w:rPr>
                <w:rFonts w:cs="Calibri"/>
                <w:color w:val="414042"/>
                <w:spacing w:val="-2"/>
                <w:sz w:val="18"/>
              </w:rPr>
              <w:t>Headcount</w:t>
            </w:r>
          </w:p>
        </w:tc>
        <w:tc>
          <w:tcPr>
            <w:tcW w:w="559" w:type="dxa"/>
            <w:tcMar>
              <w:right w:w="57" w:type="dxa"/>
            </w:tcMar>
            <w:textDirection w:val="btLr"/>
          </w:tcPr>
          <w:p w14:paraId="21F64364" w14:textId="77777777" w:rsidR="00FA4226" w:rsidRPr="00CA2CC1" w:rsidRDefault="00000000" w:rsidP="0043303B">
            <w:pPr>
              <w:pStyle w:val="TableParagraph"/>
              <w:spacing w:before="133"/>
              <w:jc w:val="left"/>
              <w:rPr>
                <w:rFonts w:cs="Calibri"/>
                <w:sz w:val="18"/>
              </w:rPr>
            </w:pPr>
            <w:r w:rsidRPr="00CA2CC1">
              <w:rPr>
                <w:rFonts w:cs="Calibri"/>
                <w:color w:val="414042"/>
                <w:spacing w:val="-5"/>
                <w:sz w:val="18"/>
              </w:rPr>
              <w:t>FTE</w:t>
            </w:r>
          </w:p>
        </w:tc>
        <w:tc>
          <w:tcPr>
            <w:tcW w:w="559" w:type="dxa"/>
            <w:tcMar>
              <w:right w:w="57" w:type="dxa"/>
            </w:tcMar>
            <w:textDirection w:val="btLr"/>
          </w:tcPr>
          <w:p w14:paraId="7F840E4B" w14:textId="77777777" w:rsidR="00FA4226" w:rsidRPr="00CA2CC1" w:rsidRDefault="00000000" w:rsidP="0043303B">
            <w:pPr>
              <w:pStyle w:val="TableParagraph"/>
              <w:spacing w:before="134"/>
              <w:jc w:val="left"/>
              <w:rPr>
                <w:rFonts w:cs="Calibri"/>
                <w:sz w:val="18"/>
              </w:rPr>
            </w:pPr>
            <w:r w:rsidRPr="00CA2CC1">
              <w:rPr>
                <w:rFonts w:cs="Calibri"/>
                <w:color w:val="414042"/>
                <w:spacing w:val="-2"/>
                <w:sz w:val="18"/>
              </w:rPr>
              <w:t>Headcount</w:t>
            </w:r>
          </w:p>
        </w:tc>
        <w:tc>
          <w:tcPr>
            <w:tcW w:w="559" w:type="dxa"/>
            <w:tcMar>
              <w:right w:w="57" w:type="dxa"/>
            </w:tcMar>
            <w:textDirection w:val="btLr"/>
          </w:tcPr>
          <w:p w14:paraId="08255194" w14:textId="77777777" w:rsidR="00FA4226" w:rsidRPr="00CA2CC1" w:rsidRDefault="00000000" w:rsidP="0043303B">
            <w:pPr>
              <w:pStyle w:val="TableParagraph"/>
              <w:spacing w:before="134"/>
              <w:jc w:val="left"/>
              <w:rPr>
                <w:rFonts w:cs="Calibri"/>
                <w:sz w:val="18"/>
              </w:rPr>
            </w:pPr>
            <w:r w:rsidRPr="00CA2CC1">
              <w:rPr>
                <w:rFonts w:cs="Calibri"/>
                <w:color w:val="414042"/>
                <w:spacing w:val="-5"/>
                <w:sz w:val="18"/>
              </w:rPr>
              <w:t>FTE</w:t>
            </w:r>
          </w:p>
        </w:tc>
        <w:tc>
          <w:tcPr>
            <w:tcW w:w="559" w:type="dxa"/>
            <w:tcMar>
              <w:right w:w="57" w:type="dxa"/>
            </w:tcMar>
            <w:textDirection w:val="btLr"/>
          </w:tcPr>
          <w:p w14:paraId="1AB757AF" w14:textId="77777777" w:rsidR="00FA4226" w:rsidRPr="00CA2CC1" w:rsidRDefault="00000000" w:rsidP="0043303B">
            <w:pPr>
              <w:pStyle w:val="TableParagraph"/>
              <w:spacing w:before="134"/>
              <w:jc w:val="left"/>
              <w:rPr>
                <w:rFonts w:cs="Calibri"/>
                <w:sz w:val="18"/>
              </w:rPr>
            </w:pPr>
            <w:r w:rsidRPr="00CA2CC1">
              <w:rPr>
                <w:rFonts w:cs="Calibri"/>
                <w:color w:val="414042"/>
                <w:spacing w:val="-2"/>
                <w:sz w:val="18"/>
              </w:rPr>
              <w:t>Headcount</w:t>
            </w:r>
          </w:p>
        </w:tc>
        <w:tc>
          <w:tcPr>
            <w:tcW w:w="559" w:type="dxa"/>
            <w:tcMar>
              <w:right w:w="57" w:type="dxa"/>
            </w:tcMar>
            <w:textDirection w:val="btLr"/>
          </w:tcPr>
          <w:p w14:paraId="06ABA1E7" w14:textId="77777777" w:rsidR="00FA4226" w:rsidRPr="00CA2CC1" w:rsidRDefault="00000000" w:rsidP="0043303B">
            <w:pPr>
              <w:pStyle w:val="TableParagraph"/>
              <w:spacing w:before="134"/>
              <w:jc w:val="left"/>
              <w:rPr>
                <w:rFonts w:cs="Calibri"/>
                <w:sz w:val="18"/>
              </w:rPr>
            </w:pPr>
            <w:r w:rsidRPr="00CA2CC1">
              <w:rPr>
                <w:rFonts w:cs="Calibri"/>
                <w:color w:val="414042"/>
                <w:spacing w:val="-5"/>
                <w:sz w:val="18"/>
              </w:rPr>
              <w:t>FTE</w:t>
            </w:r>
          </w:p>
        </w:tc>
        <w:tc>
          <w:tcPr>
            <w:tcW w:w="559" w:type="dxa"/>
            <w:shd w:val="clear" w:color="auto" w:fill="EDEFF0"/>
            <w:tcMar>
              <w:right w:w="57" w:type="dxa"/>
            </w:tcMar>
            <w:textDirection w:val="btLr"/>
          </w:tcPr>
          <w:p w14:paraId="016EDFC8" w14:textId="77777777" w:rsidR="00FA4226" w:rsidRPr="00CA2CC1" w:rsidRDefault="00000000" w:rsidP="0043303B">
            <w:pPr>
              <w:pStyle w:val="TableParagraph"/>
              <w:spacing w:before="135"/>
              <w:jc w:val="left"/>
              <w:rPr>
                <w:rFonts w:cs="Calibri"/>
                <w:sz w:val="18"/>
              </w:rPr>
            </w:pPr>
            <w:r w:rsidRPr="00CA2CC1">
              <w:rPr>
                <w:rFonts w:cs="Calibri"/>
                <w:color w:val="414042"/>
                <w:spacing w:val="-2"/>
                <w:sz w:val="18"/>
              </w:rPr>
              <w:t>Headcount</w:t>
            </w:r>
          </w:p>
        </w:tc>
        <w:tc>
          <w:tcPr>
            <w:tcW w:w="559" w:type="dxa"/>
            <w:tcBorders>
              <w:right w:val="nil"/>
            </w:tcBorders>
            <w:shd w:val="clear" w:color="auto" w:fill="EDEFF0"/>
            <w:tcMar>
              <w:right w:w="57" w:type="dxa"/>
            </w:tcMar>
            <w:textDirection w:val="btLr"/>
          </w:tcPr>
          <w:p w14:paraId="158BAC5D" w14:textId="77777777" w:rsidR="00FA4226" w:rsidRPr="00CA2CC1" w:rsidRDefault="00000000" w:rsidP="0043303B">
            <w:pPr>
              <w:pStyle w:val="TableParagraph"/>
              <w:spacing w:before="135"/>
              <w:jc w:val="left"/>
              <w:rPr>
                <w:rFonts w:cs="Calibri"/>
                <w:sz w:val="18"/>
              </w:rPr>
            </w:pPr>
            <w:r w:rsidRPr="00CA2CC1">
              <w:rPr>
                <w:rFonts w:cs="Calibri"/>
                <w:color w:val="414042"/>
                <w:spacing w:val="-5"/>
                <w:sz w:val="18"/>
              </w:rPr>
              <w:t>FTE</w:t>
            </w:r>
          </w:p>
        </w:tc>
      </w:tr>
      <w:tr w:rsidR="00FA4226" w:rsidRPr="00CA2CC1" w14:paraId="06B88E4D" w14:textId="77777777" w:rsidTr="0019657D">
        <w:trPr>
          <w:trHeight w:val="280"/>
        </w:trPr>
        <w:tc>
          <w:tcPr>
            <w:tcW w:w="685" w:type="dxa"/>
            <w:tcBorders>
              <w:left w:val="nil"/>
            </w:tcBorders>
          </w:tcPr>
          <w:p w14:paraId="44FDE61E" w14:textId="77777777" w:rsidR="00FA4226" w:rsidRPr="00CA2CC1" w:rsidRDefault="00000000" w:rsidP="0043303B">
            <w:pPr>
              <w:pStyle w:val="TableParagraph"/>
              <w:spacing w:before="18"/>
              <w:jc w:val="left"/>
              <w:rPr>
                <w:rFonts w:cs="Calibri"/>
                <w:sz w:val="16"/>
              </w:rPr>
            </w:pPr>
            <w:r w:rsidRPr="00CA2CC1">
              <w:rPr>
                <w:rFonts w:cs="Calibri"/>
                <w:color w:val="414042"/>
                <w:sz w:val="16"/>
              </w:rPr>
              <w:t>SES-</w:t>
            </w:r>
            <w:r w:rsidRPr="00CA2CC1">
              <w:rPr>
                <w:rFonts w:cs="Calibri"/>
                <w:color w:val="414042"/>
                <w:spacing w:val="-10"/>
                <w:sz w:val="16"/>
              </w:rPr>
              <w:t>3</w:t>
            </w:r>
          </w:p>
        </w:tc>
        <w:tc>
          <w:tcPr>
            <w:tcW w:w="559" w:type="dxa"/>
            <w:tcMar>
              <w:right w:w="57" w:type="dxa"/>
            </w:tcMar>
          </w:tcPr>
          <w:p w14:paraId="5B71DBE9" w14:textId="77777777" w:rsidR="00FA4226" w:rsidRPr="00CA2CC1" w:rsidRDefault="00000000" w:rsidP="0043303B">
            <w:pPr>
              <w:pStyle w:val="TableParagraph"/>
              <w:spacing w:before="18"/>
              <w:rPr>
                <w:rFonts w:cs="Calibri"/>
                <w:sz w:val="16"/>
              </w:rPr>
            </w:pPr>
            <w:r w:rsidRPr="00CA2CC1">
              <w:rPr>
                <w:rFonts w:cs="Calibri"/>
                <w:color w:val="414042"/>
                <w:sz w:val="16"/>
              </w:rPr>
              <w:t>0</w:t>
            </w:r>
          </w:p>
        </w:tc>
        <w:tc>
          <w:tcPr>
            <w:tcW w:w="559" w:type="dxa"/>
            <w:tcMar>
              <w:right w:w="57" w:type="dxa"/>
            </w:tcMar>
          </w:tcPr>
          <w:p w14:paraId="3A0E550F" w14:textId="77777777" w:rsidR="00FA4226" w:rsidRPr="00CA2CC1" w:rsidRDefault="00000000" w:rsidP="0043303B">
            <w:pPr>
              <w:pStyle w:val="TableParagraph"/>
              <w:spacing w:before="18"/>
              <w:rPr>
                <w:rFonts w:cs="Calibri"/>
                <w:sz w:val="16"/>
              </w:rPr>
            </w:pPr>
            <w:r w:rsidRPr="00CA2CC1">
              <w:rPr>
                <w:rFonts w:cs="Calibri"/>
                <w:color w:val="414042"/>
                <w:spacing w:val="-4"/>
                <w:sz w:val="16"/>
              </w:rPr>
              <w:t>0.00</w:t>
            </w:r>
          </w:p>
        </w:tc>
        <w:tc>
          <w:tcPr>
            <w:tcW w:w="559" w:type="dxa"/>
            <w:tcMar>
              <w:right w:w="57" w:type="dxa"/>
            </w:tcMar>
          </w:tcPr>
          <w:p w14:paraId="52E1EB01" w14:textId="77777777" w:rsidR="00FA4226" w:rsidRPr="00CA2CC1" w:rsidRDefault="00000000" w:rsidP="0043303B">
            <w:pPr>
              <w:pStyle w:val="TableParagraph"/>
              <w:spacing w:before="18"/>
              <w:rPr>
                <w:rFonts w:cs="Calibri"/>
                <w:sz w:val="16"/>
              </w:rPr>
            </w:pPr>
            <w:r w:rsidRPr="00CA2CC1">
              <w:rPr>
                <w:rFonts w:cs="Calibri"/>
                <w:color w:val="414042"/>
                <w:sz w:val="16"/>
              </w:rPr>
              <w:t>0</w:t>
            </w:r>
          </w:p>
        </w:tc>
        <w:tc>
          <w:tcPr>
            <w:tcW w:w="559" w:type="dxa"/>
            <w:tcMar>
              <w:right w:w="57" w:type="dxa"/>
            </w:tcMar>
          </w:tcPr>
          <w:p w14:paraId="400154F0" w14:textId="77777777" w:rsidR="00FA4226" w:rsidRPr="00CA2CC1" w:rsidRDefault="00000000" w:rsidP="0043303B">
            <w:pPr>
              <w:pStyle w:val="TableParagraph"/>
              <w:spacing w:before="18"/>
              <w:rPr>
                <w:rFonts w:cs="Calibri"/>
                <w:sz w:val="16"/>
              </w:rPr>
            </w:pPr>
            <w:r w:rsidRPr="00CA2CC1">
              <w:rPr>
                <w:rFonts w:cs="Calibri"/>
                <w:color w:val="414042"/>
                <w:spacing w:val="-4"/>
                <w:sz w:val="16"/>
              </w:rPr>
              <w:t>0.00</w:t>
            </w:r>
          </w:p>
        </w:tc>
        <w:tc>
          <w:tcPr>
            <w:tcW w:w="559" w:type="dxa"/>
            <w:tcMar>
              <w:right w:w="57" w:type="dxa"/>
            </w:tcMar>
          </w:tcPr>
          <w:p w14:paraId="0E245149" w14:textId="77777777" w:rsidR="00FA4226" w:rsidRPr="00CA2CC1" w:rsidRDefault="00000000" w:rsidP="0043303B">
            <w:pPr>
              <w:pStyle w:val="TableParagraph"/>
              <w:spacing w:before="18"/>
              <w:rPr>
                <w:rFonts w:cs="Calibri"/>
                <w:sz w:val="16"/>
              </w:rPr>
            </w:pPr>
            <w:r w:rsidRPr="00CA2CC1">
              <w:rPr>
                <w:rFonts w:cs="Calibri"/>
                <w:color w:val="414042"/>
                <w:sz w:val="16"/>
              </w:rPr>
              <w:t>0</w:t>
            </w:r>
          </w:p>
        </w:tc>
        <w:tc>
          <w:tcPr>
            <w:tcW w:w="559" w:type="dxa"/>
            <w:tcMar>
              <w:right w:w="57" w:type="dxa"/>
            </w:tcMar>
          </w:tcPr>
          <w:p w14:paraId="224F05AF" w14:textId="77777777" w:rsidR="00FA4226" w:rsidRPr="00CA2CC1" w:rsidRDefault="00000000" w:rsidP="0043303B">
            <w:pPr>
              <w:pStyle w:val="TableParagraph"/>
              <w:spacing w:before="18"/>
              <w:rPr>
                <w:rFonts w:cs="Calibri"/>
                <w:sz w:val="16"/>
              </w:rPr>
            </w:pPr>
            <w:r w:rsidRPr="00CA2CC1">
              <w:rPr>
                <w:rFonts w:cs="Calibri"/>
                <w:color w:val="414042"/>
                <w:spacing w:val="-4"/>
                <w:sz w:val="16"/>
              </w:rPr>
              <w:t>0.00</w:t>
            </w:r>
          </w:p>
        </w:tc>
        <w:tc>
          <w:tcPr>
            <w:tcW w:w="559" w:type="dxa"/>
            <w:shd w:val="clear" w:color="auto" w:fill="EDEFF0"/>
            <w:tcMar>
              <w:right w:w="57" w:type="dxa"/>
            </w:tcMar>
          </w:tcPr>
          <w:p w14:paraId="4C99CBD6" w14:textId="77777777" w:rsidR="00FA4226" w:rsidRPr="00CA2CC1" w:rsidRDefault="00000000" w:rsidP="0043303B">
            <w:pPr>
              <w:pStyle w:val="TableParagraph"/>
              <w:spacing w:before="18"/>
              <w:rPr>
                <w:rFonts w:cs="Calibri"/>
                <w:sz w:val="16"/>
              </w:rPr>
            </w:pPr>
            <w:r w:rsidRPr="00CA2CC1">
              <w:rPr>
                <w:rFonts w:cs="Calibri"/>
                <w:color w:val="414042"/>
                <w:sz w:val="16"/>
              </w:rPr>
              <w:t>0</w:t>
            </w:r>
          </w:p>
        </w:tc>
        <w:tc>
          <w:tcPr>
            <w:tcW w:w="559" w:type="dxa"/>
            <w:shd w:val="clear" w:color="auto" w:fill="EDEFF0"/>
            <w:tcMar>
              <w:right w:w="57" w:type="dxa"/>
            </w:tcMar>
          </w:tcPr>
          <w:p w14:paraId="432DB299" w14:textId="77777777" w:rsidR="00FA4226" w:rsidRPr="00CA2CC1" w:rsidRDefault="00000000" w:rsidP="0043303B">
            <w:pPr>
              <w:pStyle w:val="TableParagraph"/>
              <w:spacing w:before="18"/>
              <w:rPr>
                <w:rFonts w:cs="Calibri"/>
                <w:sz w:val="16"/>
              </w:rPr>
            </w:pPr>
            <w:r w:rsidRPr="00CA2CC1">
              <w:rPr>
                <w:rFonts w:cs="Calibri"/>
                <w:color w:val="414042"/>
                <w:spacing w:val="-4"/>
                <w:sz w:val="16"/>
              </w:rPr>
              <w:t>0.00</w:t>
            </w:r>
          </w:p>
        </w:tc>
        <w:tc>
          <w:tcPr>
            <w:tcW w:w="559" w:type="dxa"/>
            <w:tcMar>
              <w:right w:w="57" w:type="dxa"/>
            </w:tcMar>
          </w:tcPr>
          <w:p w14:paraId="4B2979F6" w14:textId="77777777" w:rsidR="00FA4226" w:rsidRPr="00CA2CC1" w:rsidRDefault="00000000" w:rsidP="0043303B">
            <w:pPr>
              <w:pStyle w:val="TableParagraph"/>
              <w:spacing w:before="18"/>
              <w:rPr>
                <w:rFonts w:cs="Calibri"/>
                <w:sz w:val="16"/>
              </w:rPr>
            </w:pPr>
            <w:r w:rsidRPr="00CA2CC1">
              <w:rPr>
                <w:rFonts w:cs="Calibri"/>
                <w:color w:val="414042"/>
                <w:sz w:val="16"/>
              </w:rPr>
              <w:t>0</w:t>
            </w:r>
          </w:p>
        </w:tc>
        <w:tc>
          <w:tcPr>
            <w:tcW w:w="559" w:type="dxa"/>
            <w:tcMar>
              <w:right w:w="57" w:type="dxa"/>
            </w:tcMar>
          </w:tcPr>
          <w:p w14:paraId="1138BF2B" w14:textId="77777777" w:rsidR="00FA4226" w:rsidRPr="00CA2CC1" w:rsidRDefault="00000000" w:rsidP="0043303B">
            <w:pPr>
              <w:pStyle w:val="TableParagraph"/>
              <w:spacing w:before="18"/>
              <w:rPr>
                <w:rFonts w:cs="Calibri"/>
                <w:sz w:val="16"/>
              </w:rPr>
            </w:pPr>
            <w:r w:rsidRPr="00CA2CC1">
              <w:rPr>
                <w:rFonts w:cs="Calibri"/>
                <w:color w:val="414042"/>
                <w:spacing w:val="-4"/>
                <w:sz w:val="16"/>
              </w:rPr>
              <w:t>0.00</w:t>
            </w:r>
          </w:p>
        </w:tc>
        <w:tc>
          <w:tcPr>
            <w:tcW w:w="559" w:type="dxa"/>
            <w:tcMar>
              <w:right w:w="57" w:type="dxa"/>
            </w:tcMar>
          </w:tcPr>
          <w:p w14:paraId="490A7E35" w14:textId="77777777" w:rsidR="00FA4226" w:rsidRPr="00CA2CC1" w:rsidRDefault="00000000" w:rsidP="0043303B">
            <w:pPr>
              <w:pStyle w:val="TableParagraph"/>
              <w:spacing w:before="18"/>
              <w:rPr>
                <w:rFonts w:cs="Calibri"/>
                <w:sz w:val="16"/>
              </w:rPr>
            </w:pPr>
            <w:r w:rsidRPr="00CA2CC1">
              <w:rPr>
                <w:rFonts w:cs="Calibri"/>
                <w:color w:val="414042"/>
                <w:sz w:val="16"/>
              </w:rPr>
              <w:t>0</w:t>
            </w:r>
          </w:p>
        </w:tc>
        <w:tc>
          <w:tcPr>
            <w:tcW w:w="559" w:type="dxa"/>
            <w:tcMar>
              <w:right w:w="57" w:type="dxa"/>
            </w:tcMar>
          </w:tcPr>
          <w:p w14:paraId="329889D3" w14:textId="77777777" w:rsidR="00FA4226" w:rsidRPr="00CA2CC1" w:rsidRDefault="00000000" w:rsidP="0043303B">
            <w:pPr>
              <w:pStyle w:val="TableParagraph"/>
              <w:spacing w:before="18"/>
              <w:rPr>
                <w:rFonts w:cs="Calibri"/>
                <w:sz w:val="16"/>
              </w:rPr>
            </w:pPr>
            <w:r w:rsidRPr="00CA2CC1">
              <w:rPr>
                <w:rFonts w:cs="Calibri"/>
                <w:color w:val="414042"/>
                <w:spacing w:val="-4"/>
                <w:sz w:val="16"/>
              </w:rPr>
              <w:t>0.00</w:t>
            </w:r>
          </w:p>
        </w:tc>
        <w:tc>
          <w:tcPr>
            <w:tcW w:w="559" w:type="dxa"/>
            <w:tcMar>
              <w:right w:w="57" w:type="dxa"/>
            </w:tcMar>
          </w:tcPr>
          <w:p w14:paraId="20EC43F0" w14:textId="77777777" w:rsidR="00FA4226" w:rsidRPr="00CA2CC1" w:rsidRDefault="00000000" w:rsidP="0043303B">
            <w:pPr>
              <w:pStyle w:val="TableParagraph"/>
              <w:spacing w:before="18"/>
              <w:rPr>
                <w:rFonts w:cs="Calibri"/>
                <w:sz w:val="16"/>
              </w:rPr>
            </w:pPr>
            <w:r w:rsidRPr="00CA2CC1">
              <w:rPr>
                <w:rFonts w:cs="Calibri"/>
                <w:color w:val="414042"/>
                <w:sz w:val="16"/>
              </w:rPr>
              <w:t>0</w:t>
            </w:r>
          </w:p>
        </w:tc>
        <w:tc>
          <w:tcPr>
            <w:tcW w:w="559" w:type="dxa"/>
            <w:tcMar>
              <w:right w:w="57" w:type="dxa"/>
            </w:tcMar>
          </w:tcPr>
          <w:p w14:paraId="22F71153" w14:textId="77777777" w:rsidR="00FA4226" w:rsidRPr="00CA2CC1" w:rsidRDefault="00000000" w:rsidP="0043303B">
            <w:pPr>
              <w:pStyle w:val="TableParagraph"/>
              <w:spacing w:before="18"/>
              <w:rPr>
                <w:rFonts w:cs="Calibri"/>
                <w:sz w:val="16"/>
              </w:rPr>
            </w:pPr>
            <w:r w:rsidRPr="00CA2CC1">
              <w:rPr>
                <w:rFonts w:cs="Calibri"/>
                <w:color w:val="414042"/>
                <w:spacing w:val="-4"/>
                <w:sz w:val="16"/>
              </w:rPr>
              <w:t>0.00</w:t>
            </w:r>
          </w:p>
        </w:tc>
        <w:tc>
          <w:tcPr>
            <w:tcW w:w="559" w:type="dxa"/>
            <w:shd w:val="clear" w:color="auto" w:fill="EDEFF0"/>
            <w:tcMar>
              <w:right w:w="57" w:type="dxa"/>
            </w:tcMar>
          </w:tcPr>
          <w:p w14:paraId="7B606D66" w14:textId="77777777" w:rsidR="00FA4226" w:rsidRPr="00CA2CC1" w:rsidRDefault="00000000" w:rsidP="0043303B">
            <w:pPr>
              <w:pStyle w:val="TableParagraph"/>
              <w:spacing w:before="18"/>
              <w:rPr>
                <w:rFonts w:cs="Calibri"/>
                <w:sz w:val="16"/>
              </w:rPr>
            </w:pPr>
            <w:r w:rsidRPr="00CA2CC1">
              <w:rPr>
                <w:rFonts w:cs="Calibri"/>
                <w:color w:val="414042"/>
                <w:sz w:val="16"/>
              </w:rPr>
              <w:t>0</w:t>
            </w:r>
          </w:p>
        </w:tc>
        <w:tc>
          <w:tcPr>
            <w:tcW w:w="559" w:type="dxa"/>
            <w:tcBorders>
              <w:right w:val="nil"/>
            </w:tcBorders>
            <w:shd w:val="clear" w:color="auto" w:fill="EDEFF0"/>
            <w:tcMar>
              <w:right w:w="57" w:type="dxa"/>
            </w:tcMar>
          </w:tcPr>
          <w:p w14:paraId="3D51D080" w14:textId="77777777" w:rsidR="00FA4226" w:rsidRPr="00CA2CC1" w:rsidRDefault="00000000" w:rsidP="0043303B">
            <w:pPr>
              <w:pStyle w:val="TableParagraph"/>
              <w:spacing w:before="18"/>
              <w:rPr>
                <w:rFonts w:cs="Calibri"/>
                <w:sz w:val="16"/>
              </w:rPr>
            </w:pPr>
            <w:r w:rsidRPr="00CA2CC1">
              <w:rPr>
                <w:rFonts w:cs="Calibri"/>
                <w:color w:val="414042"/>
                <w:spacing w:val="-4"/>
                <w:sz w:val="16"/>
              </w:rPr>
              <w:t>0.00</w:t>
            </w:r>
          </w:p>
        </w:tc>
      </w:tr>
      <w:tr w:rsidR="00FA4226" w:rsidRPr="00CA2CC1" w14:paraId="339C2B4C" w14:textId="77777777" w:rsidTr="0019657D">
        <w:trPr>
          <w:trHeight w:val="280"/>
        </w:trPr>
        <w:tc>
          <w:tcPr>
            <w:tcW w:w="685" w:type="dxa"/>
            <w:tcBorders>
              <w:left w:val="nil"/>
            </w:tcBorders>
          </w:tcPr>
          <w:p w14:paraId="7137E49B" w14:textId="77777777" w:rsidR="00FA4226" w:rsidRPr="00CA2CC1" w:rsidRDefault="00000000" w:rsidP="0043303B">
            <w:pPr>
              <w:pStyle w:val="TableParagraph"/>
              <w:spacing w:before="18"/>
              <w:jc w:val="left"/>
              <w:rPr>
                <w:rFonts w:cs="Calibri"/>
                <w:sz w:val="16"/>
              </w:rPr>
            </w:pPr>
            <w:r w:rsidRPr="00CA2CC1">
              <w:rPr>
                <w:rFonts w:cs="Calibri"/>
                <w:color w:val="414042"/>
                <w:sz w:val="16"/>
              </w:rPr>
              <w:t>SES-</w:t>
            </w:r>
            <w:r w:rsidRPr="00CA2CC1">
              <w:rPr>
                <w:rFonts w:cs="Calibri"/>
                <w:color w:val="414042"/>
                <w:spacing w:val="-10"/>
                <w:sz w:val="16"/>
              </w:rPr>
              <w:t>2</w:t>
            </w:r>
          </w:p>
        </w:tc>
        <w:tc>
          <w:tcPr>
            <w:tcW w:w="559" w:type="dxa"/>
            <w:tcMar>
              <w:right w:w="57" w:type="dxa"/>
            </w:tcMar>
          </w:tcPr>
          <w:p w14:paraId="0849F6D6" w14:textId="77777777" w:rsidR="00FA4226" w:rsidRPr="00CA2CC1" w:rsidRDefault="00000000" w:rsidP="0043303B">
            <w:pPr>
              <w:pStyle w:val="TableParagraph"/>
              <w:spacing w:before="18"/>
              <w:rPr>
                <w:rFonts w:cs="Calibri"/>
                <w:sz w:val="16"/>
              </w:rPr>
            </w:pPr>
            <w:r w:rsidRPr="00CA2CC1">
              <w:rPr>
                <w:rFonts w:cs="Calibri"/>
                <w:color w:val="414042"/>
                <w:sz w:val="16"/>
              </w:rPr>
              <w:t>2</w:t>
            </w:r>
          </w:p>
        </w:tc>
        <w:tc>
          <w:tcPr>
            <w:tcW w:w="559" w:type="dxa"/>
            <w:tcMar>
              <w:right w:w="57" w:type="dxa"/>
            </w:tcMar>
          </w:tcPr>
          <w:p w14:paraId="188F3235" w14:textId="77777777" w:rsidR="00FA4226" w:rsidRPr="00CA2CC1" w:rsidRDefault="00000000" w:rsidP="0043303B">
            <w:pPr>
              <w:pStyle w:val="TableParagraph"/>
              <w:spacing w:before="18"/>
              <w:rPr>
                <w:rFonts w:cs="Calibri"/>
                <w:sz w:val="16"/>
              </w:rPr>
            </w:pPr>
            <w:r w:rsidRPr="00CA2CC1">
              <w:rPr>
                <w:rFonts w:cs="Calibri"/>
                <w:color w:val="414042"/>
                <w:spacing w:val="-4"/>
                <w:sz w:val="16"/>
              </w:rPr>
              <w:t>2.00</w:t>
            </w:r>
          </w:p>
        </w:tc>
        <w:tc>
          <w:tcPr>
            <w:tcW w:w="559" w:type="dxa"/>
            <w:tcMar>
              <w:right w:w="57" w:type="dxa"/>
            </w:tcMar>
          </w:tcPr>
          <w:p w14:paraId="4885D326" w14:textId="77777777" w:rsidR="00FA4226" w:rsidRPr="00CA2CC1" w:rsidRDefault="00000000" w:rsidP="0043303B">
            <w:pPr>
              <w:pStyle w:val="TableParagraph"/>
              <w:spacing w:before="18"/>
              <w:rPr>
                <w:rFonts w:cs="Calibri"/>
                <w:sz w:val="16"/>
              </w:rPr>
            </w:pPr>
            <w:r w:rsidRPr="00CA2CC1">
              <w:rPr>
                <w:rFonts w:cs="Calibri"/>
                <w:color w:val="414042"/>
                <w:sz w:val="16"/>
              </w:rPr>
              <w:t>0</w:t>
            </w:r>
          </w:p>
        </w:tc>
        <w:tc>
          <w:tcPr>
            <w:tcW w:w="559" w:type="dxa"/>
            <w:tcMar>
              <w:right w:w="57" w:type="dxa"/>
            </w:tcMar>
          </w:tcPr>
          <w:p w14:paraId="510245F9" w14:textId="77777777" w:rsidR="00FA4226" w:rsidRPr="00CA2CC1" w:rsidRDefault="00000000" w:rsidP="0043303B">
            <w:pPr>
              <w:pStyle w:val="TableParagraph"/>
              <w:spacing w:before="18"/>
              <w:rPr>
                <w:rFonts w:cs="Calibri"/>
                <w:sz w:val="16"/>
              </w:rPr>
            </w:pPr>
            <w:r w:rsidRPr="00CA2CC1">
              <w:rPr>
                <w:rFonts w:cs="Calibri"/>
                <w:color w:val="414042"/>
                <w:spacing w:val="-4"/>
                <w:sz w:val="16"/>
              </w:rPr>
              <w:t>0.00</w:t>
            </w:r>
          </w:p>
        </w:tc>
        <w:tc>
          <w:tcPr>
            <w:tcW w:w="559" w:type="dxa"/>
            <w:tcMar>
              <w:right w:w="57" w:type="dxa"/>
            </w:tcMar>
          </w:tcPr>
          <w:p w14:paraId="5F43543F" w14:textId="77777777" w:rsidR="00FA4226" w:rsidRPr="00CA2CC1" w:rsidRDefault="00000000" w:rsidP="0043303B">
            <w:pPr>
              <w:pStyle w:val="TableParagraph"/>
              <w:spacing w:before="18"/>
              <w:rPr>
                <w:rFonts w:cs="Calibri"/>
                <w:sz w:val="16"/>
              </w:rPr>
            </w:pPr>
            <w:r w:rsidRPr="00CA2CC1">
              <w:rPr>
                <w:rFonts w:cs="Calibri"/>
                <w:color w:val="414042"/>
                <w:sz w:val="16"/>
              </w:rPr>
              <w:t>0</w:t>
            </w:r>
          </w:p>
        </w:tc>
        <w:tc>
          <w:tcPr>
            <w:tcW w:w="559" w:type="dxa"/>
            <w:tcMar>
              <w:right w:w="57" w:type="dxa"/>
            </w:tcMar>
          </w:tcPr>
          <w:p w14:paraId="3503D937" w14:textId="77777777" w:rsidR="00FA4226" w:rsidRPr="00CA2CC1" w:rsidRDefault="00000000" w:rsidP="0043303B">
            <w:pPr>
              <w:pStyle w:val="TableParagraph"/>
              <w:spacing w:before="18"/>
              <w:rPr>
                <w:rFonts w:cs="Calibri"/>
                <w:sz w:val="16"/>
              </w:rPr>
            </w:pPr>
            <w:r w:rsidRPr="00CA2CC1">
              <w:rPr>
                <w:rFonts w:cs="Calibri"/>
                <w:color w:val="414042"/>
                <w:spacing w:val="-4"/>
                <w:sz w:val="16"/>
              </w:rPr>
              <w:t>0.00</w:t>
            </w:r>
          </w:p>
        </w:tc>
        <w:tc>
          <w:tcPr>
            <w:tcW w:w="559" w:type="dxa"/>
            <w:shd w:val="clear" w:color="auto" w:fill="EDEFF0"/>
            <w:tcMar>
              <w:right w:w="57" w:type="dxa"/>
            </w:tcMar>
          </w:tcPr>
          <w:p w14:paraId="6FB0F522" w14:textId="77777777" w:rsidR="00FA4226" w:rsidRPr="00CA2CC1" w:rsidRDefault="00000000" w:rsidP="0043303B">
            <w:pPr>
              <w:pStyle w:val="TableParagraph"/>
              <w:spacing w:before="18"/>
              <w:rPr>
                <w:rFonts w:cs="Calibri"/>
                <w:sz w:val="16"/>
              </w:rPr>
            </w:pPr>
            <w:r w:rsidRPr="00CA2CC1">
              <w:rPr>
                <w:rFonts w:cs="Calibri"/>
                <w:color w:val="414042"/>
                <w:sz w:val="16"/>
              </w:rPr>
              <w:t>2</w:t>
            </w:r>
          </w:p>
        </w:tc>
        <w:tc>
          <w:tcPr>
            <w:tcW w:w="559" w:type="dxa"/>
            <w:shd w:val="clear" w:color="auto" w:fill="EDEFF0"/>
            <w:tcMar>
              <w:right w:w="57" w:type="dxa"/>
            </w:tcMar>
          </w:tcPr>
          <w:p w14:paraId="72B9179A" w14:textId="77777777" w:rsidR="00FA4226" w:rsidRPr="00CA2CC1" w:rsidRDefault="00000000" w:rsidP="0043303B">
            <w:pPr>
              <w:pStyle w:val="TableParagraph"/>
              <w:spacing w:before="18"/>
              <w:rPr>
                <w:rFonts w:cs="Calibri"/>
                <w:sz w:val="16"/>
              </w:rPr>
            </w:pPr>
            <w:r w:rsidRPr="00CA2CC1">
              <w:rPr>
                <w:rFonts w:cs="Calibri"/>
                <w:color w:val="414042"/>
                <w:spacing w:val="-4"/>
                <w:sz w:val="16"/>
              </w:rPr>
              <w:t>2.00</w:t>
            </w:r>
          </w:p>
        </w:tc>
        <w:tc>
          <w:tcPr>
            <w:tcW w:w="559" w:type="dxa"/>
            <w:tcMar>
              <w:right w:w="57" w:type="dxa"/>
            </w:tcMar>
          </w:tcPr>
          <w:p w14:paraId="41CB71B2" w14:textId="77777777" w:rsidR="00FA4226" w:rsidRPr="00CA2CC1" w:rsidRDefault="00000000" w:rsidP="0043303B">
            <w:pPr>
              <w:pStyle w:val="TableParagraph"/>
              <w:spacing w:before="18"/>
              <w:rPr>
                <w:rFonts w:cs="Calibri"/>
                <w:sz w:val="16"/>
              </w:rPr>
            </w:pPr>
            <w:r w:rsidRPr="00CA2CC1">
              <w:rPr>
                <w:rFonts w:cs="Calibri"/>
                <w:color w:val="414042"/>
                <w:sz w:val="16"/>
              </w:rPr>
              <w:t>2</w:t>
            </w:r>
          </w:p>
        </w:tc>
        <w:tc>
          <w:tcPr>
            <w:tcW w:w="559" w:type="dxa"/>
            <w:tcMar>
              <w:right w:w="57" w:type="dxa"/>
            </w:tcMar>
          </w:tcPr>
          <w:p w14:paraId="34D59228" w14:textId="77777777" w:rsidR="00FA4226" w:rsidRPr="00CA2CC1" w:rsidRDefault="00000000" w:rsidP="0043303B">
            <w:pPr>
              <w:pStyle w:val="TableParagraph"/>
              <w:spacing w:before="18"/>
              <w:rPr>
                <w:rFonts w:cs="Calibri"/>
                <w:sz w:val="16"/>
              </w:rPr>
            </w:pPr>
            <w:r w:rsidRPr="00CA2CC1">
              <w:rPr>
                <w:rFonts w:cs="Calibri"/>
                <w:color w:val="414042"/>
                <w:spacing w:val="-4"/>
                <w:sz w:val="16"/>
              </w:rPr>
              <w:t>2.00</w:t>
            </w:r>
          </w:p>
        </w:tc>
        <w:tc>
          <w:tcPr>
            <w:tcW w:w="559" w:type="dxa"/>
            <w:tcMar>
              <w:right w:w="57" w:type="dxa"/>
            </w:tcMar>
          </w:tcPr>
          <w:p w14:paraId="0054CFDE" w14:textId="77777777" w:rsidR="00FA4226" w:rsidRPr="00CA2CC1" w:rsidRDefault="00000000" w:rsidP="0043303B">
            <w:pPr>
              <w:pStyle w:val="TableParagraph"/>
              <w:spacing w:before="18"/>
              <w:rPr>
                <w:rFonts w:cs="Calibri"/>
                <w:sz w:val="16"/>
              </w:rPr>
            </w:pPr>
            <w:r w:rsidRPr="00CA2CC1">
              <w:rPr>
                <w:rFonts w:cs="Calibri"/>
                <w:color w:val="414042"/>
                <w:sz w:val="16"/>
              </w:rPr>
              <w:t>0</w:t>
            </w:r>
          </w:p>
        </w:tc>
        <w:tc>
          <w:tcPr>
            <w:tcW w:w="559" w:type="dxa"/>
            <w:tcMar>
              <w:right w:w="57" w:type="dxa"/>
            </w:tcMar>
          </w:tcPr>
          <w:p w14:paraId="50B72820" w14:textId="77777777" w:rsidR="00FA4226" w:rsidRPr="00CA2CC1" w:rsidRDefault="00000000" w:rsidP="0043303B">
            <w:pPr>
              <w:pStyle w:val="TableParagraph"/>
              <w:spacing w:before="18"/>
              <w:rPr>
                <w:rFonts w:cs="Calibri"/>
                <w:sz w:val="16"/>
              </w:rPr>
            </w:pPr>
            <w:r w:rsidRPr="00CA2CC1">
              <w:rPr>
                <w:rFonts w:cs="Calibri"/>
                <w:color w:val="414042"/>
                <w:spacing w:val="-4"/>
                <w:sz w:val="16"/>
              </w:rPr>
              <w:t>0.00</w:t>
            </w:r>
          </w:p>
        </w:tc>
        <w:tc>
          <w:tcPr>
            <w:tcW w:w="559" w:type="dxa"/>
            <w:tcMar>
              <w:right w:w="57" w:type="dxa"/>
            </w:tcMar>
          </w:tcPr>
          <w:p w14:paraId="1D8B4179" w14:textId="77777777" w:rsidR="00FA4226" w:rsidRPr="00CA2CC1" w:rsidRDefault="00000000" w:rsidP="0043303B">
            <w:pPr>
              <w:pStyle w:val="TableParagraph"/>
              <w:spacing w:before="18"/>
              <w:rPr>
                <w:rFonts w:cs="Calibri"/>
                <w:sz w:val="16"/>
              </w:rPr>
            </w:pPr>
            <w:r w:rsidRPr="00CA2CC1">
              <w:rPr>
                <w:rFonts w:cs="Calibri"/>
                <w:color w:val="414042"/>
                <w:sz w:val="16"/>
              </w:rPr>
              <w:t>0</w:t>
            </w:r>
          </w:p>
        </w:tc>
        <w:tc>
          <w:tcPr>
            <w:tcW w:w="559" w:type="dxa"/>
            <w:tcMar>
              <w:right w:w="57" w:type="dxa"/>
            </w:tcMar>
          </w:tcPr>
          <w:p w14:paraId="025B8BC3" w14:textId="77777777" w:rsidR="00FA4226" w:rsidRPr="00CA2CC1" w:rsidRDefault="00000000" w:rsidP="0043303B">
            <w:pPr>
              <w:pStyle w:val="TableParagraph"/>
              <w:spacing w:before="18"/>
              <w:rPr>
                <w:rFonts w:cs="Calibri"/>
                <w:sz w:val="16"/>
              </w:rPr>
            </w:pPr>
            <w:r w:rsidRPr="00CA2CC1">
              <w:rPr>
                <w:rFonts w:cs="Calibri"/>
                <w:color w:val="414042"/>
                <w:spacing w:val="-4"/>
                <w:sz w:val="16"/>
              </w:rPr>
              <w:t>0.00</w:t>
            </w:r>
          </w:p>
        </w:tc>
        <w:tc>
          <w:tcPr>
            <w:tcW w:w="559" w:type="dxa"/>
            <w:shd w:val="clear" w:color="auto" w:fill="EDEFF0"/>
            <w:tcMar>
              <w:right w:w="57" w:type="dxa"/>
            </w:tcMar>
          </w:tcPr>
          <w:p w14:paraId="0D0D724A" w14:textId="77777777" w:rsidR="00FA4226" w:rsidRPr="00CA2CC1" w:rsidRDefault="00000000" w:rsidP="0043303B">
            <w:pPr>
              <w:pStyle w:val="TableParagraph"/>
              <w:spacing w:before="18"/>
              <w:rPr>
                <w:rFonts w:cs="Calibri"/>
                <w:sz w:val="16"/>
              </w:rPr>
            </w:pPr>
            <w:r w:rsidRPr="00CA2CC1">
              <w:rPr>
                <w:rFonts w:cs="Calibri"/>
                <w:color w:val="414042"/>
                <w:sz w:val="16"/>
              </w:rPr>
              <w:t>2</w:t>
            </w:r>
          </w:p>
        </w:tc>
        <w:tc>
          <w:tcPr>
            <w:tcW w:w="559" w:type="dxa"/>
            <w:tcBorders>
              <w:right w:val="nil"/>
            </w:tcBorders>
            <w:shd w:val="clear" w:color="auto" w:fill="EDEFF0"/>
            <w:tcMar>
              <w:right w:w="57" w:type="dxa"/>
            </w:tcMar>
          </w:tcPr>
          <w:p w14:paraId="57E62812" w14:textId="77777777" w:rsidR="00FA4226" w:rsidRPr="00CA2CC1" w:rsidRDefault="00000000" w:rsidP="0043303B">
            <w:pPr>
              <w:pStyle w:val="TableParagraph"/>
              <w:spacing w:before="18"/>
              <w:rPr>
                <w:rFonts w:cs="Calibri"/>
                <w:sz w:val="16"/>
              </w:rPr>
            </w:pPr>
            <w:r w:rsidRPr="00CA2CC1">
              <w:rPr>
                <w:rFonts w:cs="Calibri"/>
                <w:color w:val="414042"/>
                <w:spacing w:val="-4"/>
                <w:sz w:val="16"/>
              </w:rPr>
              <w:t>2.00</w:t>
            </w:r>
          </w:p>
        </w:tc>
      </w:tr>
      <w:tr w:rsidR="00FA4226" w:rsidRPr="00CA2CC1" w14:paraId="1738AF23" w14:textId="77777777" w:rsidTr="0019657D">
        <w:trPr>
          <w:trHeight w:val="304"/>
        </w:trPr>
        <w:tc>
          <w:tcPr>
            <w:tcW w:w="685" w:type="dxa"/>
            <w:tcBorders>
              <w:left w:val="nil"/>
            </w:tcBorders>
          </w:tcPr>
          <w:p w14:paraId="0935DB54" w14:textId="77777777" w:rsidR="00FA4226" w:rsidRPr="00CA2CC1" w:rsidRDefault="00000000" w:rsidP="0043303B">
            <w:pPr>
              <w:pStyle w:val="TableParagraph"/>
              <w:spacing w:before="43"/>
              <w:jc w:val="left"/>
              <w:rPr>
                <w:rFonts w:cs="Calibri"/>
                <w:sz w:val="16"/>
              </w:rPr>
            </w:pPr>
            <w:r w:rsidRPr="00CA2CC1">
              <w:rPr>
                <w:rFonts w:cs="Calibri"/>
                <w:color w:val="414042"/>
                <w:sz w:val="16"/>
              </w:rPr>
              <w:t>SES-</w:t>
            </w:r>
            <w:r w:rsidRPr="00CA2CC1">
              <w:rPr>
                <w:rFonts w:cs="Calibri"/>
                <w:color w:val="414042"/>
                <w:spacing w:val="-10"/>
                <w:sz w:val="16"/>
              </w:rPr>
              <w:t>1</w:t>
            </w:r>
          </w:p>
        </w:tc>
        <w:tc>
          <w:tcPr>
            <w:tcW w:w="559" w:type="dxa"/>
            <w:tcMar>
              <w:right w:w="57" w:type="dxa"/>
            </w:tcMar>
          </w:tcPr>
          <w:p w14:paraId="722BDB63" w14:textId="77777777" w:rsidR="00FA4226" w:rsidRPr="00CA2CC1" w:rsidRDefault="00000000" w:rsidP="0043303B">
            <w:pPr>
              <w:pStyle w:val="TableParagraph"/>
              <w:spacing w:before="43"/>
              <w:rPr>
                <w:rFonts w:cs="Calibri"/>
                <w:sz w:val="16"/>
              </w:rPr>
            </w:pPr>
            <w:r w:rsidRPr="00CA2CC1">
              <w:rPr>
                <w:rFonts w:cs="Calibri"/>
                <w:color w:val="414042"/>
                <w:sz w:val="16"/>
              </w:rPr>
              <w:t>1</w:t>
            </w:r>
          </w:p>
        </w:tc>
        <w:tc>
          <w:tcPr>
            <w:tcW w:w="559" w:type="dxa"/>
            <w:tcMar>
              <w:right w:w="57" w:type="dxa"/>
            </w:tcMar>
          </w:tcPr>
          <w:p w14:paraId="178C55CF" w14:textId="77777777" w:rsidR="00FA4226" w:rsidRPr="00CA2CC1" w:rsidRDefault="00000000" w:rsidP="0043303B">
            <w:pPr>
              <w:pStyle w:val="TableParagraph"/>
              <w:spacing w:before="43"/>
              <w:rPr>
                <w:rFonts w:cs="Calibri"/>
                <w:sz w:val="16"/>
              </w:rPr>
            </w:pPr>
            <w:r w:rsidRPr="00CA2CC1">
              <w:rPr>
                <w:rFonts w:cs="Calibri"/>
                <w:color w:val="414042"/>
                <w:spacing w:val="-4"/>
                <w:sz w:val="16"/>
              </w:rPr>
              <w:t>1.00</w:t>
            </w:r>
          </w:p>
        </w:tc>
        <w:tc>
          <w:tcPr>
            <w:tcW w:w="559" w:type="dxa"/>
            <w:tcMar>
              <w:right w:w="57" w:type="dxa"/>
            </w:tcMar>
          </w:tcPr>
          <w:p w14:paraId="7DC4AECD" w14:textId="77777777" w:rsidR="00FA4226" w:rsidRPr="00CA2CC1" w:rsidRDefault="00000000" w:rsidP="0043303B">
            <w:pPr>
              <w:pStyle w:val="TableParagraph"/>
              <w:spacing w:before="43"/>
              <w:rPr>
                <w:rFonts w:cs="Calibri"/>
                <w:sz w:val="16"/>
              </w:rPr>
            </w:pPr>
            <w:r w:rsidRPr="00CA2CC1">
              <w:rPr>
                <w:rFonts w:cs="Calibri"/>
                <w:color w:val="414042"/>
                <w:sz w:val="16"/>
              </w:rPr>
              <w:t>2</w:t>
            </w:r>
          </w:p>
        </w:tc>
        <w:tc>
          <w:tcPr>
            <w:tcW w:w="559" w:type="dxa"/>
            <w:tcMar>
              <w:right w:w="57" w:type="dxa"/>
            </w:tcMar>
          </w:tcPr>
          <w:p w14:paraId="7D72EF0C" w14:textId="77777777" w:rsidR="00FA4226" w:rsidRPr="00CA2CC1" w:rsidRDefault="00000000" w:rsidP="0043303B">
            <w:pPr>
              <w:pStyle w:val="TableParagraph"/>
              <w:spacing w:before="43"/>
              <w:rPr>
                <w:rFonts w:cs="Calibri"/>
                <w:sz w:val="16"/>
              </w:rPr>
            </w:pPr>
            <w:r w:rsidRPr="00CA2CC1">
              <w:rPr>
                <w:rFonts w:cs="Calibri"/>
                <w:color w:val="414042"/>
                <w:spacing w:val="-4"/>
                <w:sz w:val="16"/>
              </w:rPr>
              <w:t>2.00</w:t>
            </w:r>
          </w:p>
        </w:tc>
        <w:tc>
          <w:tcPr>
            <w:tcW w:w="559" w:type="dxa"/>
            <w:tcMar>
              <w:right w:w="57" w:type="dxa"/>
            </w:tcMar>
          </w:tcPr>
          <w:p w14:paraId="3D4993E0" w14:textId="77777777" w:rsidR="00FA4226" w:rsidRPr="00CA2CC1" w:rsidRDefault="00000000" w:rsidP="0043303B">
            <w:pPr>
              <w:pStyle w:val="TableParagraph"/>
              <w:spacing w:before="43"/>
              <w:rPr>
                <w:rFonts w:cs="Calibri"/>
                <w:sz w:val="16"/>
              </w:rPr>
            </w:pPr>
            <w:r w:rsidRPr="00CA2CC1">
              <w:rPr>
                <w:rFonts w:cs="Calibri"/>
                <w:color w:val="414042"/>
                <w:sz w:val="16"/>
              </w:rPr>
              <w:t>0</w:t>
            </w:r>
          </w:p>
        </w:tc>
        <w:tc>
          <w:tcPr>
            <w:tcW w:w="559" w:type="dxa"/>
            <w:tcMar>
              <w:right w:w="57" w:type="dxa"/>
            </w:tcMar>
          </w:tcPr>
          <w:p w14:paraId="4ABABD3C" w14:textId="77777777" w:rsidR="00FA4226" w:rsidRPr="00CA2CC1" w:rsidRDefault="00000000" w:rsidP="0043303B">
            <w:pPr>
              <w:pStyle w:val="TableParagraph"/>
              <w:spacing w:before="43"/>
              <w:rPr>
                <w:rFonts w:cs="Calibri"/>
                <w:sz w:val="16"/>
              </w:rPr>
            </w:pPr>
            <w:r w:rsidRPr="00CA2CC1">
              <w:rPr>
                <w:rFonts w:cs="Calibri"/>
                <w:color w:val="414042"/>
                <w:spacing w:val="-4"/>
                <w:sz w:val="16"/>
              </w:rPr>
              <w:t>0.00</w:t>
            </w:r>
          </w:p>
        </w:tc>
        <w:tc>
          <w:tcPr>
            <w:tcW w:w="559" w:type="dxa"/>
            <w:shd w:val="clear" w:color="auto" w:fill="EDEFF0"/>
            <w:tcMar>
              <w:right w:w="57" w:type="dxa"/>
            </w:tcMar>
          </w:tcPr>
          <w:p w14:paraId="78FA7DDC" w14:textId="77777777" w:rsidR="00FA4226" w:rsidRPr="00CA2CC1" w:rsidRDefault="00000000" w:rsidP="0043303B">
            <w:pPr>
              <w:pStyle w:val="TableParagraph"/>
              <w:spacing w:before="43"/>
              <w:rPr>
                <w:rFonts w:cs="Calibri"/>
                <w:sz w:val="16"/>
              </w:rPr>
            </w:pPr>
            <w:r w:rsidRPr="00CA2CC1">
              <w:rPr>
                <w:rFonts w:cs="Calibri"/>
                <w:color w:val="414042"/>
                <w:sz w:val="16"/>
              </w:rPr>
              <w:t>3</w:t>
            </w:r>
          </w:p>
        </w:tc>
        <w:tc>
          <w:tcPr>
            <w:tcW w:w="559" w:type="dxa"/>
            <w:shd w:val="clear" w:color="auto" w:fill="EDEFF0"/>
            <w:tcMar>
              <w:right w:w="57" w:type="dxa"/>
            </w:tcMar>
          </w:tcPr>
          <w:p w14:paraId="3CBB63AC" w14:textId="77777777" w:rsidR="00FA4226" w:rsidRPr="00CA2CC1" w:rsidRDefault="00000000" w:rsidP="0043303B">
            <w:pPr>
              <w:pStyle w:val="TableParagraph"/>
              <w:spacing w:before="43"/>
              <w:rPr>
                <w:rFonts w:cs="Calibri"/>
                <w:sz w:val="16"/>
              </w:rPr>
            </w:pPr>
            <w:r w:rsidRPr="00CA2CC1">
              <w:rPr>
                <w:rFonts w:cs="Calibri"/>
                <w:color w:val="414042"/>
                <w:spacing w:val="-4"/>
                <w:sz w:val="16"/>
              </w:rPr>
              <w:t>3.00</w:t>
            </w:r>
          </w:p>
        </w:tc>
        <w:tc>
          <w:tcPr>
            <w:tcW w:w="559" w:type="dxa"/>
            <w:tcMar>
              <w:right w:w="57" w:type="dxa"/>
            </w:tcMar>
          </w:tcPr>
          <w:p w14:paraId="7BEB95F9" w14:textId="77777777" w:rsidR="00FA4226" w:rsidRPr="00CA2CC1" w:rsidRDefault="00000000" w:rsidP="0043303B">
            <w:pPr>
              <w:pStyle w:val="TableParagraph"/>
              <w:spacing w:before="43"/>
              <w:rPr>
                <w:rFonts w:cs="Calibri"/>
                <w:sz w:val="16"/>
              </w:rPr>
            </w:pPr>
            <w:r w:rsidRPr="00CA2CC1">
              <w:rPr>
                <w:rFonts w:cs="Calibri"/>
                <w:color w:val="414042"/>
                <w:sz w:val="16"/>
              </w:rPr>
              <w:t>1</w:t>
            </w:r>
          </w:p>
        </w:tc>
        <w:tc>
          <w:tcPr>
            <w:tcW w:w="559" w:type="dxa"/>
            <w:tcMar>
              <w:right w:w="57" w:type="dxa"/>
            </w:tcMar>
          </w:tcPr>
          <w:p w14:paraId="17E55F28" w14:textId="77777777" w:rsidR="00FA4226" w:rsidRPr="00CA2CC1" w:rsidRDefault="00000000" w:rsidP="0043303B">
            <w:pPr>
              <w:pStyle w:val="TableParagraph"/>
              <w:spacing w:before="43"/>
              <w:rPr>
                <w:rFonts w:cs="Calibri"/>
                <w:sz w:val="16"/>
              </w:rPr>
            </w:pPr>
            <w:r w:rsidRPr="00CA2CC1">
              <w:rPr>
                <w:rFonts w:cs="Calibri"/>
                <w:color w:val="414042"/>
                <w:spacing w:val="-4"/>
                <w:sz w:val="16"/>
              </w:rPr>
              <w:t>1.00</w:t>
            </w:r>
          </w:p>
        </w:tc>
        <w:tc>
          <w:tcPr>
            <w:tcW w:w="559" w:type="dxa"/>
            <w:tcMar>
              <w:right w:w="57" w:type="dxa"/>
            </w:tcMar>
          </w:tcPr>
          <w:p w14:paraId="55803202" w14:textId="77777777" w:rsidR="00FA4226" w:rsidRPr="00CA2CC1" w:rsidRDefault="00000000" w:rsidP="0043303B">
            <w:pPr>
              <w:pStyle w:val="TableParagraph"/>
              <w:spacing w:before="43"/>
              <w:rPr>
                <w:rFonts w:cs="Calibri"/>
                <w:sz w:val="16"/>
              </w:rPr>
            </w:pPr>
            <w:r w:rsidRPr="00CA2CC1">
              <w:rPr>
                <w:rFonts w:cs="Calibri"/>
                <w:color w:val="414042"/>
                <w:sz w:val="16"/>
              </w:rPr>
              <w:t>2</w:t>
            </w:r>
          </w:p>
        </w:tc>
        <w:tc>
          <w:tcPr>
            <w:tcW w:w="559" w:type="dxa"/>
            <w:tcMar>
              <w:right w:w="57" w:type="dxa"/>
            </w:tcMar>
          </w:tcPr>
          <w:p w14:paraId="320B6493" w14:textId="77777777" w:rsidR="00FA4226" w:rsidRPr="00CA2CC1" w:rsidRDefault="00000000" w:rsidP="0043303B">
            <w:pPr>
              <w:pStyle w:val="TableParagraph"/>
              <w:spacing w:before="43"/>
              <w:rPr>
                <w:rFonts w:cs="Calibri"/>
                <w:sz w:val="16"/>
              </w:rPr>
            </w:pPr>
            <w:r w:rsidRPr="00CA2CC1">
              <w:rPr>
                <w:rFonts w:cs="Calibri"/>
                <w:color w:val="414042"/>
                <w:spacing w:val="-4"/>
                <w:sz w:val="16"/>
              </w:rPr>
              <w:t>2.00</w:t>
            </w:r>
          </w:p>
        </w:tc>
        <w:tc>
          <w:tcPr>
            <w:tcW w:w="559" w:type="dxa"/>
            <w:tcMar>
              <w:right w:w="57" w:type="dxa"/>
            </w:tcMar>
          </w:tcPr>
          <w:p w14:paraId="7A1E19D0" w14:textId="77777777" w:rsidR="00FA4226" w:rsidRPr="00CA2CC1" w:rsidRDefault="00000000" w:rsidP="0043303B">
            <w:pPr>
              <w:pStyle w:val="TableParagraph"/>
              <w:spacing w:before="43"/>
              <w:rPr>
                <w:rFonts w:cs="Calibri"/>
                <w:sz w:val="16"/>
              </w:rPr>
            </w:pPr>
            <w:r w:rsidRPr="00CA2CC1">
              <w:rPr>
                <w:rFonts w:cs="Calibri"/>
                <w:color w:val="414042"/>
                <w:sz w:val="16"/>
              </w:rPr>
              <w:t>0</w:t>
            </w:r>
          </w:p>
        </w:tc>
        <w:tc>
          <w:tcPr>
            <w:tcW w:w="559" w:type="dxa"/>
            <w:tcMar>
              <w:right w:w="57" w:type="dxa"/>
            </w:tcMar>
          </w:tcPr>
          <w:p w14:paraId="6FD14C87" w14:textId="77777777" w:rsidR="00FA4226" w:rsidRPr="00CA2CC1" w:rsidRDefault="00000000" w:rsidP="0043303B">
            <w:pPr>
              <w:pStyle w:val="TableParagraph"/>
              <w:spacing w:before="43"/>
              <w:rPr>
                <w:rFonts w:cs="Calibri"/>
                <w:sz w:val="16"/>
              </w:rPr>
            </w:pPr>
            <w:r w:rsidRPr="00CA2CC1">
              <w:rPr>
                <w:rFonts w:cs="Calibri"/>
                <w:color w:val="414042"/>
                <w:spacing w:val="-4"/>
                <w:sz w:val="16"/>
              </w:rPr>
              <w:t>0.00</w:t>
            </w:r>
          </w:p>
        </w:tc>
        <w:tc>
          <w:tcPr>
            <w:tcW w:w="559" w:type="dxa"/>
            <w:shd w:val="clear" w:color="auto" w:fill="EDEFF0"/>
            <w:tcMar>
              <w:right w:w="57" w:type="dxa"/>
            </w:tcMar>
          </w:tcPr>
          <w:p w14:paraId="4B71BC92" w14:textId="77777777" w:rsidR="00FA4226" w:rsidRPr="00CA2CC1" w:rsidRDefault="00000000" w:rsidP="0043303B">
            <w:pPr>
              <w:pStyle w:val="TableParagraph"/>
              <w:spacing w:before="43"/>
              <w:rPr>
                <w:rFonts w:cs="Calibri"/>
                <w:sz w:val="16"/>
              </w:rPr>
            </w:pPr>
            <w:r w:rsidRPr="00CA2CC1">
              <w:rPr>
                <w:rFonts w:cs="Calibri"/>
                <w:color w:val="414042"/>
                <w:sz w:val="16"/>
              </w:rPr>
              <w:t>3</w:t>
            </w:r>
          </w:p>
        </w:tc>
        <w:tc>
          <w:tcPr>
            <w:tcW w:w="559" w:type="dxa"/>
            <w:tcBorders>
              <w:right w:val="nil"/>
            </w:tcBorders>
            <w:shd w:val="clear" w:color="auto" w:fill="EDEFF0"/>
            <w:tcMar>
              <w:right w:w="57" w:type="dxa"/>
            </w:tcMar>
          </w:tcPr>
          <w:p w14:paraId="655C0BAC" w14:textId="77777777" w:rsidR="00FA4226" w:rsidRPr="00CA2CC1" w:rsidRDefault="00000000" w:rsidP="0043303B">
            <w:pPr>
              <w:pStyle w:val="TableParagraph"/>
              <w:spacing w:before="43"/>
              <w:rPr>
                <w:rFonts w:cs="Calibri"/>
                <w:sz w:val="16"/>
              </w:rPr>
            </w:pPr>
            <w:r w:rsidRPr="00CA2CC1">
              <w:rPr>
                <w:rFonts w:cs="Calibri"/>
                <w:color w:val="414042"/>
                <w:spacing w:val="-4"/>
                <w:sz w:val="16"/>
              </w:rPr>
              <w:t>3.00</w:t>
            </w:r>
          </w:p>
        </w:tc>
      </w:tr>
      <w:tr w:rsidR="00FA4226" w:rsidRPr="00CA2CC1" w14:paraId="17FC99B7" w14:textId="77777777" w:rsidTr="0019657D">
        <w:trPr>
          <w:trHeight w:val="305"/>
        </w:trPr>
        <w:tc>
          <w:tcPr>
            <w:tcW w:w="685" w:type="dxa"/>
            <w:tcBorders>
              <w:left w:val="nil"/>
            </w:tcBorders>
            <w:shd w:val="clear" w:color="auto" w:fill="D8E9EF"/>
          </w:tcPr>
          <w:p w14:paraId="74A38989" w14:textId="77777777" w:rsidR="00FA4226" w:rsidRPr="00CA2CC1" w:rsidRDefault="00000000" w:rsidP="0043303B">
            <w:pPr>
              <w:pStyle w:val="TableParagraph"/>
              <w:spacing w:before="22"/>
              <w:jc w:val="left"/>
              <w:rPr>
                <w:rFonts w:cs="Calibri"/>
                <w:sz w:val="18"/>
              </w:rPr>
            </w:pPr>
            <w:r w:rsidRPr="00CA2CC1">
              <w:rPr>
                <w:rFonts w:cs="Calibri"/>
                <w:color w:val="414042"/>
                <w:spacing w:val="-2"/>
                <w:sz w:val="18"/>
              </w:rPr>
              <w:t>Total</w:t>
            </w:r>
          </w:p>
        </w:tc>
        <w:tc>
          <w:tcPr>
            <w:tcW w:w="559" w:type="dxa"/>
            <w:shd w:val="clear" w:color="auto" w:fill="D8E9EF"/>
            <w:tcMar>
              <w:right w:w="57" w:type="dxa"/>
            </w:tcMar>
          </w:tcPr>
          <w:p w14:paraId="40E032F9" w14:textId="77777777" w:rsidR="00FA4226" w:rsidRPr="00CA2CC1" w:rsidRDefault="00000000" w:rsidP="0043303B">
            <w:pPr>
              <w:pStyle w:val="TableParagraph"/>
              <w:spacing w:before="22"/>
              <w:rPr>
                <w:rFonts w:cs="Calibri"/>
                <w:sz w:val="18"/>
              </w:rPr>
            </w:pPr>
            <w:r w:rsidRPr="00CA2CC1">
              <w:rPr>
                <w:rFonts w:cs="Calibri"/>
                <w:color w:val="414042"/>
                <w:sz w:val="18"/>
              </w:rPr>
              <w:t>3</w:t>
            </w:r>
          </w:p>
        </w:tc>
        <w:tc>
          <w:tcPr>
            <w:tcW w:w="559" w:type="dxa"/>
            <w:shd w:val="clear" w:color="auto" w:fill="D8E9EF"/>
            <w:tcMar>
              <w:right w:w="57" w:type="dxa"/>
            </w:tcMar>
          </w:tcPr>
          <w:p w14:paraId="74104B01" w14:textId="77777777" w:rsidR="00FA4226" w:rsidRPr="00CA2CC1" w:rsidRDefault="00000000" w:rsidP="0043303B">
            <w:pPr>
              <w:pStyle w:val="TableParagraph"/>
              <w:spacing w:before="22"/>
              <w:rPr>
                <w:rFonts w:cs="Calibri"/>
                <w:sz w:val="18"/>
              </w:rPr>
            </w:pPr>
            <w:r w:rsidRPr="00CA2CC1">
              <w:rPr>
                <w:rFonts w:cs="Calibri"/>
                <w:color w:val="414042"/>
                <w:spacing w:val="-4"/>
                <w:sz w:val="18"/>
              </w:rPr>
              <w:t>3.00</w:t>
            </w:r>
          </w:p>
        </w:tc>
        <w:tc>
          <w:tcPr>
            <w:tcW w:w="559" w:type="dxa"/>
            <w:shd w:val="clear" w:color="auto" w:fill="D8E9EF"/>
            <w:tcMar>
              <w:right w:w="57" w:type="dxa"/>
            </w:tcMar>
          </w:tcPr>
          <w:p w14:paraId="301A4952" w14:textId="77777777" w:rsidR="00FA4226" w:rsidRPr="00CA2CC1" w:rsidRDefault="00000000" w:rsidP="0043303B">
            <w:pPr>
              <w:pStyle w:val="TableParagraph"/>
              <w:spacing w:before="22"/>
              <w:rPr>
                <w:rFonts w:cs="Calibri"/>
                <w:sz w:val="18"/>
              </w:rPr>
            </w:pPr>
            <w:r w:rsidRPr="00CA2CC1">
              <w:rPr>
                <w:rFonts w:cs="Calibri"/>
                <w:color w:val="414042"/>
                <w:sz w:val="18"/>
              </w:rPr>
              <w:t>2</w:t>
            </w:r>
          </w:p>
        </w:tc>
        <w:tc>
          <w:tcPr>
            <w:tcW w:w="559" w:type="dxa"/>
            <w:shd w:val="clear" w:color="auto" w:fill="D8E9EF"/>
            <w:tcMar>
              <w:right w:w="57" w:type="dxa"/>
            </w:tcMar>
          </w:tcPr>
          <w:p w14:paraId="7B7B8E1A" w14:textId="77777777" w:rsidR="00FA4226" w:rsidRPr="00CA2CC1" w:rsidRDefault="00000000" w:rsidP="0043303B">
            <w:pPr>
              <w:pStyle w:val="TableParagraph"/>
              <w:spacing w:before="22"/>
              <w:rPr>
                <w:rFonts w:cs="Calibri"/>
                <w:sz w:val="18"/>
              </w:rPr>
            </w:pPr>
            <w:r w:rsidRPr="00CA2CC1">
              <w:rPr>
                <w:rFonts w:cs="Calibri"/>
                <w:color w:val="414042"/>
                <w:spacing w:val="-4"/>
                <w:sz w:val="18"/>
              </w:rPr>
              <w:t>2.00</w:t>
            </w:r>
          </w:p>
        </w:tc>
        <w:tc>
          <w:tcPr>
            <w:tcW w:w="559" w:type="dxa"/>
            <w:shd w:val="clear" w:color="auto" w:fill="D8E9EF"/>
            <w:tcMar>
              <w:right w:w="57" w:type="dxa"/>
            </w:tcMar>
          </w:tcPr>
          <w:p w14:paraId="4E0767F1" w14:textId="77777777" w:rsidR="00FA4226" w:rsidRPr="00CA2CC1" w:rsidRDefault="00000000" w:rsidP="0043303B">
            <w:pPr>
              <w:pStyle w:val="TableParagraph"/>
              <w:spacing w:before="22"/>
              <w:rPr>
                <w:rFonts w:cs="Calibri"/>
                <w:sz w:val="18"/>
              </w:rPr>
            </w:pPr>
            <w:r w:rsidRPr="00CA2CC1">
              <w:rPr>
                <w:rFonts w:cs="Calibri"/>
                <w:color w:val="414042"/>
                <w:sz w:val="18"/>
              </w:rPr>
              <w:t>0</w:t>
            </w:r>
          </w:p>
        </w:tc>
        <w:tc>
          <w:tcPr>
            <w:tcW w:w="559" w:type="dxa"/>
            <w:shd w:val="clear" w:color="auto" w:fill="D8E9EF"/>
            <w:tcMar>
              <w:right w:w="57" w:type="dxa"/>
            </w:tcMar>
          </w:tcPr>
          <w:p w14:paraId="0D2B62FE" w14:textId="77777777" w:rsidR="00FA4226" w:rsidRPr="00CA2CC1" w:rsidRDefault="00000000" w:rsidP="0043303B">
            <w:pPr>
              <w:pStyle w:val="TableParagraph"/>
              <w:spacing w:before="22"/>
              <w:rPr>
                <w:rFonts w:cs="Calibri"/>
                <w:sz w:val="18"/>
              </w:rPr>
            </w:pPr>
            <w:r w:rsidRPr="00CA2CC1">
              <w:rPr>
                <w:rFonts w:cs="Calibri"/>
                <w:color w:val="414042"/>
                <w:spacing w:val="-4"/>
                <w:sz w:val="18"/>
              </w:rPr>
              <w:t>0.00</w:t>
            </w:r>
          </w:p>
        </w:tc>
        <w:tc>
          <w:tcPr>
            <w:tcW w:w="559" w:type="dxa"/>
            <w:shd w:val="clear" w:color="auto" w:fill="D8E9EF"/>
            <w:tcMar>
              <w:right w:w="57" w:type="dxa"/>
            </w:tcMar>
          </w:tcPr>
          <w:p w14:paraId="548166F7" w14:textId="77777777" w:rsidR="00FA4226" w:rsidRPr="00CA2CC1" w:rsidRDefault="00000000" w:rsidP="0043303B">
            <w:pPr>
              <w:pStyle w:val="TableParagraph"/>
              <w:spacing w:before="22"/>
              <w:rPr>
                <w:rFonts w:cs="Calibri"/>
                <w:sz w:val="18"/>
              </w:rPr>
            </w:pPr>
            <w:r w:rsidRPr="00CA2CC1">
              <w:rPr>
                <w:rFonts w:cs="Calibri"/>
                <w:color w:val="414042"/>
                <w:sz w:val="18"/>
              </w:rPr>
              <w:t>5</w:t>
            </w:r>
          </w:p>
        </w:tc>
        <w:tc>
          <w:tcPr>
            <w:tcW w:w="559" w:type="dxa"/>
            <w:shd w:val="clear" w:color="auto" w:fill="D8E9EF"/>
            <w:tcMar>
              <w:right w:w="57" w:type="dxa"/>
            </w:tcMar>
          </w:tcPr>
          <w:p w14:paraId="0357F085" w14:textId="77777777" w:rsidR="00FA4226" w:rsidRPr="00CA2CC1" w:rsidRDefault="00000000" w:rsidP="0043303B">
            <w:pPr>
              <w:pStyle w:val="TableParagraph"/>
              <w:spacing w:before="22"/>
              <w:rPr>
                <w:rFonts w:cs="Calibri"/>
                <w:sz w:val="18"/>
              </w:rPr>
            </w:pPr>
            <w:r w:rsidRPr="00CA2CC1">
              <w:rPr>
                <w:rFonts w:cs="Calibri"/>
                <w:color w:val="414042"/>
                <w:spacing w:val="-4"/>
                <w:sz w:val="18"/>
              </w:rPr>
              <w:t>5.00</w:t>
            </w:r>
          </w:p>
        </w:tc>
        <w:tc>
          <w:tcPr>
            <w:tcW w:w="559" w:type="dxa"/>
            <w:shd w:val="clear" w:color="auto" w:fill="D8E9EF"/>
            <w:tcMar>
              <w:right w:w="57" w:type="dxa"/>
            </w:tcMar>
          </w:tcPr>
          <w:p w14:paraId="5FB2C92C" w14:textId="77777777" w:rsidR="00FA4226" w:rsidRPr="00CA2CC1" w:rsidRDefault="00000000" w:rsidP="0043303B">
            <w:pPr>
              <w:pStyle w:val="TableParagraph"/>
              <w:spacing w:before="22"/>
              <w:rPr>
                <w:rFonts w:cs="Calibri"/>
                <w:sz w:val="18"/>
              </w:rPr>
            </w:pPr>
            <w:r w:rsidRPr="00CA2CC1">
              <w:rPr>
                <w:rFonts w:cs="Calibri"/>
                <w:color w:val="414042"/>
                <w:sz w:val="18"/>
              </w:rPr>
              <w:t>3</w:t>
            </w:r>
          </w:p>
        </w:tc>
        <w:tc>
          <w:tcPr>
            <w:tcW w:w="559" w:type="dxa"/>
            <w:shd w:val="clear" w:color="auto" w:fill="D8E9EF"/>
            <w:tcMar>
              <w:right w:w="57" w:type="dxa"/>
            </w:tcMar>
          </w:tcPr>
          <w:p w14:paraId="68DC994A" w14:textId="77777777" w:rsidR="00FA4226" w:rsidRPr="00CA2CC1" w:rsidRDefault="00000000" w:rsidP="0043303B">
            <w:pPr>
              <w:pStyle w:val="TableParagraph"/>
              <w:spacing w:before="22"/>
              <w:rPr>
                <w:rFonts w:cs="Calibri"/>
                <w:sz w:val="18"/>
              </w:rPr>
            </w:pPr>
            <w:r w:rsidRPr="00CA2CC1">
              <w:rPr>
                <w:rFonts w:cs="Calibri"/>
                <w:color w:val="414042"/>
                <w:spacing w:val="-4"/>
                <w:sz w:val="18"/>
              </w:rPr>
              <w:t>3.00</w:t>
            </w:r>
          </w:p>
        </w:tc>
        <w:tc>
          <w:tcPr>
            <w:tcW w:w="559" w:type="dxa"/>
            <w:shd w:val="clear" w:color="auto" w:fill="D8E9EF"/>
            <w:tcMar>
              <w:right w:w="57" w:type="dxa"/>
            </w:tcMar>
          </w:tcPr>
          <w:p w14:paraId="71F192D5" w14:textId="77777777" w:rsidR="00FA4226" w:rsidRPr="00CA2CC1" w:rsidRDefault="00000000" w:rsidP="0043303B">
            <w:pPr>
              <w:pStyle w:val="TableParagraph"/>
              <w:spacing w:before="22"/>
              <w:rPr>
                <w:rFonts w:cs="Calibri"/>
                <w:sz w:val="18"/>
              </w:rPr>
            </w:pPr>
            <w:r w:rsidRPr="00CA2CC1">
              <w:rPr>
                <w:rFonts w:cs="Calibri"/>
                <w:color w:val="414042"/>
                <w:sz w:val="18"/>
              </w:rPr>
              <w:t>2</w:t>
            </w:r>
          </w:p>
        </w:tc>
        <w:tc>
          <w:tcPr>
            <w:tcW w:w="559" w:type="dxa"/>
            <w:shd w:val="clear" w:color="auto" w:fill="D8E9EF"/>
            <w:tcMar>
              <w:right w:w="57" w:type="dxa"/>
            </w:tcMar>
          </w:tcPr>
          <w:p w14:paraId="5B9AE53F" w14:textId="77777777" w:rsidR="00FA4226" w:rsidRPr="00CA2CC1" w:rsidRDefault="00000000" w:rsidP="0043303B">
            <w:pPr>
              <w:pStyle w:val="TableParagraph"/>
              <w:spacing w:before="22"/>
              <w:rPr>
                <w:rFonts w:cs="Calibri"/>
                <w:sz w:val="18"/>
              </w:rPr>
            </w:pPr>
            <w:r w:rsidRPr="00CA2CC1">
              <w:rPr>
                <w:rFonts w:cs="Calibri"/>
                <w:color w:val="414042"/>
                <w:spacing w:val="-4"/>
                <w:sz w:val="18"/>
              </w:rPr>
              <w:t>2.00</w:t>
            </w:r>
          </w:p>
        </w:tc>
        <w:tc>
          <w:tcPr>
            <w:tcW w:w="559" w:type="dxa"/>
            <w:shd w:val="clear" w:color="auto" w:fill="D8E9EF"/>
            <w:tcMar>
              <w:right w:w="57" w:type="dxa"/>
            </w:tcMar>
          </w:tcPr>
          <w:p w14:paraId="60598311" w14:textId="77777777" w:rsidR="00FA4226" w:rsidRPr="00CA2CC1" w:rsidRDefault="00000000" w:rsidP="0043303B">
            <w:pPr>
              <w:pStyle w:val="TableParagraph"/>
              <w:spacing w:before="22"/>
              <w:rPr>
                <w:rFonts w:cs="Calibri"/>
                <w:sz w:val="18"/>
              </w:rPr>
            </w:pPr>
            <w:r w:rsidRPr="00CA2CC1">
              <w:rPr>
                <w:rFonts w:cs="Calibri"/>
                <w:color w:val="414042"/>
                <w:sz w:val="18"/>
              </w:rPr>
              <w:t>0</w:t>
            </w:r>
          </w:p>
        </w:tc>
        <w:tc>
          <w:tcPr>
            <w:tcW w:w="559" w:type="dxa"/>
            <w:shd w:val="clear" w:color="auto" w:fill="D8E9EF"/>
            <w:tcMar>
              <w:right w:w="57" w:type="dxa"/>
            </w:tcMar>
          </w:tcPr>
          <w:p w14:paraId="65061391" w14:textId="77777777" w:rsidR="00FA4226" w:rsidRPr="00CA2CC1" w:rsidRDefault="00000000" w:rsidP="0043303B">
            <w:pPr>
              <w:pStyle w:val="TableParagraph"/>
              <w:spacing w:before="22"/>
              <w:rPr>
                <w:rFonts w:cs="Calibri"/>
                <w:sz w:val="18"/>
              </w:rPr>
            </w:pPr>
            <w:r w:rsidRPr="00CA2CC1">
              <w:rPr>
                <w:rFonts w:cs="Calibri"/>
                <w:color w:val="414042"/>
                <w:spacing w:val="-4"/>
                <w:sz w:val="18"/>
              </w:rPr>
              <w:t>0.00</w:t>
            </w:r>
          </w:p>
        </w:tc>
        <w:tc>
          <w:tcPr>
            <w:tcW w:w="559" w:type="dxa"/>
            <w:shd w:val="clear" w:color="auto" w:fill="D8E9EF"/>
            <w:tcMar>
              <w:right w:w="57" w:type="dxa"/>
            </w:tcMar>
          </w:tcPr>
          <w:p w14:paraId="35298D33" w14:textId="77777777" w:rsidR="00FA4226" w:rsidRPr="00CA2CC1" w:rsidRDefault="00000000" w:rsidP="0043303B">
            <w:pPr>
              <w:pStyle w:val="TableParagraph"/>
              <w:spacing w:before="22"/>
              <w:rPr>
                <w:rFonts w:cs="Calibri"/>
                <w:sz w:val="18"/>
              </w:rPr>
            </w:pPr>
            <w:r w:rsidRPr="00CA2CC1">
              <w:rPr>
                <w:rFonts w:cs="Calibri"/>
                <w:color w:val="414042"/>
                <w:sz w:val="18"/>
              </w:rPr>
              <w:t>5</w:t>
            </w:r>
          </w:p>
        </w:tc>
        <w:tc>
          <w:tcPr>
            <w:tcW w:w="559" w:type="dxa"/>
            <w:tcBorders>
              <w:right w:val="nil"/>
            </w:tcBorders>
            <w:shd w:val="clear" w:color="auto" w:fill="D8E9EF"/>
            <w:tcMar>
              <w:right w:w="57" w:type="dxa"/>
            </w:tcMar>
          </w:tcPr>
          <w:p w14:paraId="161AAA1B" w14:textId="77777777" w:rsidR="00FA4226" w:rsidRPr="00CA2CC1" w:rsidRDefault="00000000" w:rsidP="0043303B">
            <w:pPr>
              <w:pStyle w:val="TableParagraph"/>
              <w:spacing w:before="22"/>
              <w:rPr>
                <w:rFonts w:cs="Calibri"/>
                <w:sz w:val="18"/>
              </w:rPr>
            </w:pPr>
            <w:r w:rsidRPr="00CA2CC1">
              <w:rPr>
                <w:rFonts w:cs="Calibri"/>
                <w:color w:val="414042"/>
                <w:spacing w:val="-4"/>
                <w:sz w:val="18"/>
              </w:rPr>
              <w:t>5.00</w:t>
            </w:r>
          </w:p>
        </w:tc>
      </w:tr>
    </w:tbl>
    <w:p w14:paraId="50A1B508" w14:textId="77777777" w:rsidR="00FA4226" w:rsidRPr="00CA2CC1" w:rsidRDefault="00FA4226" w:rsidP="0043303B">
      <w:pPr>
        <w:pStyle w:val="BodyText"/>
        <w:spacing w:before="2"/>
        <w:rPr>
          <w:rFonts w:cs="Calibri"/>
          <w:sz w:val="27"/>
        </w:rPr>
      </w:pPr>
    </w:p>
    <w:p w14:paraId="66AACC8B" w14:textId="77777777" w:rsidR="00FA4226" w:rsidRPr="00CA2CC1" w:rsidRDefault="00FA4226" w:rsidP="0043303B">
      <w:pPr>
        <w:rPr>
          <w:rFonts w:cs="Calibri"/>
          <w:sz w:val="27"/>
        </w:rPr>
        <w:sectPr w:rsidR="00FA4226" w:rsidRPr="00CA2CC1" w:rsidSect="00E941A5">
          <w:pgSz w:w="11910" w:h="16840"/>
          <w:pgMar w:top="1134" w:right="1278" w:bottom="1134" w:left="1134" w:header="720" w:footer="720" w:gutter="0"/>
          <w:cols w:space="720"/>
        </w:sectPr>
      </w:pPr>
    </w:p>
    <w:p w14:paraId="1809825A" w14:textId="77777777" w:rsidR="00AD12DA" w:rsidRPr="00CA2CC1" w:rsidRDefault="00000000" w:rsidP="0043303B">
      <w:pPr>
        <w:pStyle w:val="BodyText"/>
        <w:spacing w:before="70"/>
        <w:rPr>
          <w:rFonts w:cs="Calibri"/>
        </w:rPr>
      </w:pPr>
      <w:r w:rsidRPr="00CA2CC1">
        <w:rPr>
          <w:rFonts w:cs="Calibri"/>
          <w:color w:val="414042"/>
        </w:rPr>
        <w:t>The number of executives in the Report of Operations is based on the number of executive positions that were occupied at the end of the financial year. Note 8.2 in the financial statements lists the total number of EOs and</w:t>
      </w:r>
      <w:r w:rsidRPr="00CA2CC1">
        <w:rPr>
          <w:rFonts w:cs="Calibri"/>
          <w:color w:val="414042"/>
          <w:spacing w:val="40"/>
        </w:rPr>
        <w:t xml:space="preserve"> </w:t>
      </w:r>
      <w:r w:rsidRPr="00CA2CC1">
        <w:rPr>
          <w:rFonts w:cs="Calibri"/>
          <w:color w:val="414042"/>
        </w:rPr>
        <w:t>the</w:t>
      </w:r>
      <w:r w:rsidRPr="00CA2CC1">
        <w:rPr>
          <w:rFonts w:cs="Calibri"/>
          <w:color w:val="414042"/>
          <w:spacing w:val="-5"/>
        </w:rPr>
        <w:t xml:space="preserve"> </w:t>
      </w:r>
      <w:r w:rsidRPr="00CA2CC1">
        <w:rPr>
          <w:rFonts w:cs="Calibri"/>
          <w:color w:val="414042"/>
        </w:rPr>
        <w:t>total</w:t>
      </w:r>
      <w:r w:rsidRPr="00CA2CC1">
        <w:rPr>
          <w:rFonts w:cs="Calibri"/>
          <w:color w:val="414042"/>
          <w:spacing w:val="-5"/>
        </w:rPr>
        <w:t xml:space="preserve"> </w:t>
      </w:r>
      <w:r w:rsidRPr="00CA2CC1">
        <w:rPr>
          <w:rFonts w:cs="Calibri"/>
          <w:color w:val="414042"/>
        </w:rPr>
        <w:t>remuneration</w:t>
      </w:r>
      <w:r w:rsidRPr="00CA2CC1">
        <w:rPr>
          <w:rFonts w:cs="Calibri"/>
          <w:color w:val="414042"/>
          <w:spacing w:val="-5"/>
        </w:rPr>
        <w:t xml:space="preserve"> </w:t>
      </w:r>
      <w:r w:rsidRPr="00CA2CC1">
        <w:rPr>
          <w:rFonts w:cs="Calibri"/>
          <w:color w:val="414042"/>
        </w:rPr>
        <w:t>paid</w:t>
      </w:r>
      <w:r w:rsidRPr="00CA2CC1">
        <w:rPr>
          <w:rFonts w:cs="Calibri"/>
          <w:color w:val="414042"/>
          <w:spacing w:val="-5"/>
        </w:rPr>
        <w:t xml:space="preserve"> </w:t>
      </w:r>
      <w:r w:rsidRPr="00CA2CC1">
        <w:rPr>
          <w:rFonts w:cs="Calibri"/>
          <w:color w:val="414042"/>
        </w:rPr>
        <w:t>to</w:t>
      </w:r>
      <w:r w:rsidRPr="00CA2CC1">
        <w:rPr>
          <w:rFonts w:cs="Calibri"/>
          <w:color w:val="414042"/>
          <w:spacing w:val="-5"/>
        </w:rPr>
        <w:t xml:space="preserve"> </w:t>
      </w:r>
      <w:r w:rsidRPr="00CA2CC1">
        <w:rPr>
          <w:rFonts w:cs="Calibri"/>
          <w:color w:val="414042"/>
        </w:rPr>
        <w:t>EOs</w:t>
      </w:r>
      <w:r w:rsidRPr="00CA2CC1">
        <w:rPr>
          <w:rFonts w:cs="Calibri"/>
          <w:color w:val="414042"/>
          <w:spacing w:val="-5"/>
        </w:rPr>
        <w:t xml:space="preserve"> </w:t>
      </w:r>
      <w:r w:rsidRPr="00CA2CC1">
        <w:rPr>
          <w:rFonts w:cs="Calibri"/>
          <w:color w:val="414042"/>
        </w:rPr>
        <w:t>over</w:t>
      </w:r>
      <w:r w:rsidRPr="00CA2CC1">
        <w:rPr>
          <w:rFonts w:cs="Calibri"/>
          <w:color w:val="414042"/>
          <w:spacing w:val="-5"/>
        </w:rPr>
        <w:t xml:space="preserve"> </w:t>
      </w:r>
      <w:r w:rsidRPr="00CA2CC1">
        <w:rPr>
          <w:rFonts w:cs="Calibri"/>
          <w:color w:val="414042"/>
        </w:rPr>
        <w:t>the</w:t>
      </w:r>
      <w:r w:rsidRPr="00CA2CC1">
        <w:rPr>
          <w:rFonts w:cs="Calibri"/>
          <w:color w:val="414042"/>
          <w:spacing w:val="-5"/>
        </w:rPr>
        <w:t xml:space="preserve"> </w:t>
      </w:r>
      <w:r w:rsidRPr="00CA2CC1">
        <w:rPr>
          <w:rFonts w:cs="Calibri"/>
          <w:color w:val="414042"/>
        </w:rPr>
        <w:t>course</w:t>
      </w:r>
      <w:r w:rsidRPr="00CA2CC1">
        <w:rPr>
          <w:rFonts w:cs="Calibri"/>
          <w:color w:val="414042"/>
          <w:spacing w:val="-5"/>
        </w:rPr>
        <w:t xml:space="preserve"> </w:t>
      </w:r>
      <w:r w:rsidRPr="00CA2CC1">
        <w:rPr>
          <w:rFonts w:cs="Calibri"/>
          <w:color w:val="414042"/>
        </w:rPr>
        <w:t>of</w:t>
      </w:r>
      <w:r w:rsidRPr="00CA2CC1">
        <w:rPr>
          <w:rFonts w:cs="Calibri"/>
          <w:color w:val="414042"/>
          <w:spacing w:val="-5"/>
        </w:rPr>
        <w:t xml:space="preserve"> </w:t>
      </w:r>
      <w:r w:rsidRPr="00CA2CC1">
        <w:rPr>
          <w:rFonts w:cs="Calibri"/>
          <w:color w:val="414042"/>
        </w:rPr>
        <w:t>the reporting period. The financial statements note does not include the Accountable Officer, nor does it distinguish between executive levels or disclose separations of executives who have left Infrastructure Victoria during</w:t>
      </w:r>
      <w:r w:rsidRPr="00CA2CC1">
        <w:rPr>
          <w:rFonts w:cs="Calibri"/>
          <w:color w:val="414042"/>
          <w:spacing w:val="40"/>
        </w:rPr>
        <w:t xml:space="preserve"> </w:t>
      </w:r>
      <w:r w:rsidRPr="00CA2CC1">
        <w:rPr>
          <w:rFonts w:cs="Calibri"/>
          <w:color w:val="414042"/>
        </w:rPr>
        <w:t>the 2022-23 financial year.</w:t>
      </w:r>
    </w:p>
    <w:p w14:paraId="63F07C96" w14:textId="37BAE5AA" w:rsidR="00FA4226" w:rsidRPr="00CA2CC1" w:rsidRDefault="00000000" w:rsidP="0043303B">
      <w:pPr>
        <w:pStyle w:val="BodyText"/>
        <w:spacing w:before="70"/>
        <w:rPr>
          <w:rFonts w:cs="Calibri"/>
        </w:rPr>
      </w:pPr>
      <w:r w:rsidRPr="00CA2CC1">
        <w:rPr>
          <w:rFonts w:cs="Calibri"/>
          <w:color w:val="414042"/>
        </w:rPr>
        <w:t>These</w:t>
      </w:r>
      <w:r w:rsidRPr="00CA2CC1">
        <w:rPr>
          <w:rFonts w:cs="Calibri"/>
          <w:color w:val="414042"/>
          <w:spacing w:val="-2"/>
        </w:rPr>
        <w:t xml:space="preserve"> </w:t>
      </w:r>
      <w:r w:rsidRPr="00CA2CC1">
        <w:rPr>
          <w:rFonts w:cs="Calibri"/>
          <w:color w:val="414042"/>
        </w:rPr>
        <w:t>disclosures</w:t>
      </w:r>
      <w:r w:rsidRPr="00CA2CC1">
        <w:rPr>
          <w:rFonts w:cs="Calibri"/>
          <w:color w:val="414042"/>
          <w:spacing w:val="-2"/>
        </w:rPr>
        <w:t xml:space="preserve"> </w:t>
      </w:r>
      <w:r w:rsidRPr="00CA2CC1">
        <w:rPr>
          <w:rFonts w:cs="Calibri"/>
          <w:color w:val="414042"/>
        </w:rPr>
        <w:t>are</w:t>
      </w:r>
      <w:r w:rsidRPr="00CA2CC1">
        <w:rPr>
          <w:rFonts w:cs="Calibri"/>
          <w:color w:val="414042"/>
          <w:spacing w:val="-2"/>
        </w:rPr>
        <w:t xml:space="preserve"> </w:t>
      </w:r>
      <w:r w:rsidRPr="00CA2CC1">
        <w:rPr>
          <w:rFonts w:cs="Calibri"/>
          <w:color w:val="414042"/>
        </w:rPr>
        <w:t>reconciled</w:t>
      </w:r>
      <w:r w:rsidRPr="00CA2CC1">
        <w:rPr>
          <w:rFonts w:cs="Calibri"/>
          <w:color w:val="414042"/>
          <w:spacing w:val="-1"/>
        </w:rPr>
        <w:t xml:space="preserve"> </w:t>
      </w:r>
      <w:r w:rsidRPr="00CA2CC1">
        <w:rPr>
          <w:rFonts w:cs="Calibri"/>
          <w:color w:val="414042"/>
        </w:rPr>
        <w:t>in</w:t>
      </w:r>
      <w:r w:rsidRPr="00CA2CC1">
        <w:rPr>
          <w:rFonts w:cs="Calibri"/>
          <w:color w:val="414042"/>
          <w:spacing w:val="-2"/>
        </w:rPr>
        <w:t xml:space="preserve"> </w:t>
      </w:r>
      <w:r w:rsidRPr="00CA2CC1">
        <w:rPr>
          <w:rFonts w:cs="Calibri"/>
          <w:color w:val="414042"/>
        </w:rPr>
        <w:t>the</w:t>
      </w:r>
      <w:r w:rsidRPr="00CA2CC1">
        <w:rPr>
          <w:rFonts w:cs="Calibri"/>
          <w:color w:val="414042"/>
          <w:spacing w:val="-2"/>
        </w:rPr>
        <w:t xml:space="preserve"> </w:t>
      </w:r>
      <w:r w:rsidRPr="00CA2CC1">
        <w:rPr>
          <w:rFonts w:cs="Calibri"/>
          <w:color w:val="414042"/>
        </w:rPr>
        <w:t>table</w:t>
      </w:r>
      <w:r w:rsidRPr="00CA2CC1">
        <w:rPr>
          <w:rFonts w:cs="Calibri"/>
          <w:color w:val="414042"/>
          <w:spacing w:val="-1"/>
        </w:rPr>
        <w:t xml:space="preserve"> </w:t>
      </w:r>
      <w:r w:rsidRPr="00CA2CC1">
        <w:rPr>
          <w:rFonts w:cs="Calibri"/>
          <w:color w:val="414042"/>
          <w:spacing w:val="-2"/>
        </w:rPr>
        <w:t>below:</w:t>
      </w:r>
    </w:p>
    <w:p w14:paraId="1BE87517" w14:textId="77777777" w:rsidR="00FA4226" w:rsidRPr="00CA2CC1" w:rsidRDefault="00FA4226" w:rsidP="0043303B">
      <w:pPr>
        <w:pStyle w:val="BodyText"/>
        <w:spacing w:before="11" w:after="1"/>
        <w:rPr>
          <w:rFonts w:cs="Calibri"/>
          <w:sz w:val="10"/>
        </w:rPr>
      </w:pPr>
    </w:p>
    <w:tbl>
      <w:tblPr>
        <w:tblW w:w="0" w:type="auto"/>
        <w:tblBorders>
          <w:top w:val="single" w:sz="4" w:space="0" w:color="73777A"/>
          <w:left w:val="single" w:sz="4" w:space="0" w:color="73777A"/>
          <w:bottom w:val="single" w:sz="4" w:space="0" w:color="73777A"/>
          <w:right w:val="single" w:sz="4" w:space="0" w:color="73777A"/>
          <w:insideH w:val="single" w:sz="4" w:space="0" w:color="73777A"/>
          <w:insideV w:val="single" w:sz="4" w:space="0" w:color="73777A"/>
        </w:tblBorders>
        <w:tblLayout w:type="fixed"/>
        <w:tblCellMar>
          <w:left w:w="0" w:type="dxa"/>
          <w:right w:w="0" w:type="dxa"/>
        </w:tblCellMar>
        <w:tblLook w:val="01E0" w:firstRow="1" w:lastRow="1" w:firstColumn="1" w:lastColumn="1" w:noHBand="0" w:noVBand="0"/>
      </w:tblPr>
      <w:tblGrid>
        <w:gridCol w:w="2740"/>
        <w:gridCol w:w="969"/>
        <w:gridCol w:w="969"/>
      </w:tblGrid>
      <w:tr w:rsidR="00FA4226" w:rsidRPr="00CA2CC1" w14:paraId="29666B55" w14:textId="77777777" w:rsidTr="009203E7">
        <w:trPr>
          <w:trHeight w:val="516"/>
        </w:trPr>
        <w:tc>
          <w:tcPr>
            <w:tcW w:w="2740" w:type="dxa"/>
            <w:tcBorders>
              <w:top w:val="nil"/>
              <w:left w:val="nil"/>
            </w:tcBorders>
          </w:tcPr>
          <w:p w14:paraId="3FE0AABA" w14:textId="771FB641" w:rsidR="00FA4226" w:rsidRPr="003375C9" w:rsidRDefault="00000000" w:rsidP="0043303B">
            <w:pPr>
              <w:pStyle w:val="TableParagraph"/>
              <w:spacing w:before="40"/>
              <w:jc w:val="left"/>
              <w:rPr>
                <w:rFonts w:cs="Calibri"/>
                <w:b/>
                <w:bCs/>
                <w:color w:val="000000" w:themeColor="text1"/>
                <w:sz w:val="18"/>
              </w:rPr>
            </w:pPr>
            <w:r w:rsidRPr="003375C9">
              <w:rPr>
                <w:rFonts w:cs="Calibri"/>
                <w:b/>
                <w:bCs/>
                <w:color w:val="000000" w:themeColor="text1"/>
                <w:sz w:val="18"/>
              </w:rPr>
              <w:t xml:space="preserve">Reconciliation of </w:t>
            </w:r>
            <w:r w:rsidR="00A078C9" w:rsidRPr="003375C9">
              <w:rPr>
                <w:rFonts w:cs="Calibri"/>
                <w:b/>
                <w:bCs/>
                <w:color w:val="000000" w:themeColor="text1"/>
                <w:sz w:val="18"/>
              </w:rPr>
              <w:br/>
            </w:r>
            <w:r w:rsidRPr="003375C9">
              <w:rPr>
                <w:rFonts w:cs="Calibri"/>
                <w:b/>
                <w:bCs/>
                <w:color w:val="000000" w:themeColor="text1"/>
                <w:sz w:val="18"/>
              </w:rPr>
              <w:t>executive</w:t>
            </w:r>
            <w:r w:rsidRPr="003375C9">
              <w:rPr>
                <w:rFonts w:cs="Calibri"/>
                <w:b/>
                <w:bCs/>
                <w:color w:val="000000" w:themeColor="text1"/>
                <w:spacing w:val="-13"/>
                <w:sz w:val="18"/>
              </w:rPr>
              <w:t xml:space="preserve"> </w:t>
            </w:r>
            <w:r w:rsidRPr="003375C9">
              <w:rPr>
                <w:rFonts w:cs="Calibri"/>
                <w:b/>
                <w:bCs/>
                <w:color w:val="000000" w:themeColor="text1"/>
                <w:sz w:val="18"/>
              </w:rPr>
              <w:t>numbers</w:t>
            </w:r>
          </w:p>
        </w:tc>
        <w:tc>
          <w:tcPr>
            <w:tcW w:w="969" w:type="dxa"/>
            <w:tcBorders>
              <w:top w:val="nil"/>
            </w:tcBorders>
            <w:tcMar>
              <w:right w:w="57" w:type="dxa"/>
            </w:tcMar>
          </w:tcPr>
          <w:p w14:paraId="29028454" w14:textId="77777777" w:rsidR="00FA4226" w:rsidRPr="003375C9" w:rsidRDefault="00FA4226" w:rsidP="0043303B">
            <w:pPr>
              <w:pStyle w:val="TableParagraph"/>
              <w:spacing w:before="7"/>
              <w:jc w:val="left"/>
              <w:rPr>
                <w:rFonts w:cs="Calibri"/>
                <w:b/>
                <w:bCs/>
                <w:color w:val="000000" w:themeColor="text1"/>
                <w:sz w:val="14"/>
              </w:rPr>
            </w:pPr>
          </w:p>
          <w:p w14:paraId="609B4D6D" w14:textId="77777777" w:rsidR="00FA4226" w:rsidRPr="003375C9" w:rsidRDefault="00000000" w:rsidP="0043303B">
            <w:pPr>
              <w:pStyle w:val="TableParagraph"/>
              <w:spacing w:before="1"/>
              <w:rPr>
                <w:rFonts w:cs="Calibri"/>
                <w:b/>
                <w:bCs/>
                <w:color w:val="000000" w:themeColor="text1"/>
                <w:sz w:val="18"/>
              </w:rPr>
            </w:pPr>
            <w:r w:rsidRPr="003375C9">
              <w:rPr>
                <w:rFonts w:cs="Calibri"/>
                <w:b/>
                <w:bCs/>
                <w:color w:val="000000" w:themeColor="text1"/>
                <w:sz w:val="18"/>
              </w:rPr>
              <w:t>2021-</w:t>
            </w:r>
            <w:r w:rsidRPr="003375C9">
              <w:rPr>
                <w:rFonts w:cs="Calibri"/>
                <w:b/>
                <w:bCs/>
                <w:color w:val="000000" w:themeColor="text1"/>
                <w:spacing w:val="-5"/>
                <w:sz w:val="18"/>
              </w:rPr>
              <w:t>22</w:t>
            </w:r>
          </w:p>
        </w:tc>
        <w:tc>
          <w:tcPr>
            <w:tcW w:w="969" w:type="dxa"/>
            <w:tcBorders>
              <w:top w:val="nil"/>
              <w:right w:val="nil"/>
            </w:tcBorders>
            <w:tcMar>
              <w:right w:w="57" w:type="dxa"/>
            </w:tcMar>
          </w:tcPr>
          <w:p w14:paraId="40F6304E" w14:textId="77777777" w:rsidR="00FA4226" w:rsidRPr="003375C9" w:rsidRDefault="00FA4226" w:rsidP="0043303B">
            <w:pPr>
              <w:pStyle w:val="TableParagraph"/>
              <w:spacing w:before="7"/>
              <w:jc w:val="left"/>
              <w:rPr>
                <w:rFonts w:cs="Calibri"/>
                <w:b/>
                <w:bCs/>
                <w:color w:val="000000" w:themeColor="text1"/>
                <w:sz w:val="14"/>
              </w:rPr>
            </w:pPr>
          </w:p>
          <w:p w14:paraId="3FA7F4C8" w14:textId="77777777" w:rsidR="00FA4226" w:rsidRPr="003375C9" w:rsidRDefault="00000000" w:rsidP="0043303B">
            <w:pPr>
              <w:pStyle w:val="TableParagraph"/>
              <w:spacing w:before="1"/>
              <w:rPr>
                <w:rFonts w:cs="Calibri"/>
                <w:b/>
                <w:bCs/>
                <w:color w:val="000000" w:themeColor="text1"/>
                <w:sz w:val="18"/>
              </w:rPr>
            </w:pPr>
            <w:r w:rsidRPr="003375C9">
              <w:rPr>
                <w:rFonts w:cs="Calibri"/>
                <w:b/>
                <w:bCs/>
                <w:color w:val="000000" w:themeColor="text1"/>
                <w:sz w:val="18"/>
              </w:rPr>
              <w:t>2020-</w:t>
            </w:r>
            <w:r w:rsidRPr="003375C9">
              <w:rPr>
                <w:rFonts w:cs="Calibri"/>
                <w:b/>
                <w:bCs/>
                <w:color w:val="000000" w:themeColor="text1"/>
                <w:spacing w:val="-5"/>
                <w:sz w:val="18"/>
              </w:rPr>
              <w:t>21</w:t>
            </w:r>
          </w:p>
        </w:tc>
      </w:tr>
      <w:tr w:rsidR="00FA4226" w:rsidRPr="00CA2CC1" w14:paraId="426ACB67" w14:textId="77777777" w:rsidTr="009203E7">
        <w:trPr>
          <w:trHeight w:val="280"/>
        </w:trPr>
        <w:tc>
          <w:tcPr>
            <w:tcW w:w="2740" w:type="dxa"/>
            <w:tcBorders>
              <w:left w:val="nil"/>
            </w:tcBorders>
          </w:tcPr>
          <w:p w14:paraId="59306B14" w14:textId="77777777" w:rsidR="00FA4226" w:rsidRPr="00CA2CC1" w:rsidRDefault="00000000" w:rsidP="0043303B">
            <w:pPr>
              <w:pStyle w:val="TableParagraph"/>
              <w:jc w:val="left"/>
              <w:rPr>
                <w:rFonts w:cs="Calibri"/>
                <w:sz w:val="18"/>
              </w:rPr>
            </w:pPr>
            <w:r w:rsidRPr="00CA2CC1">
              <w:rPr>
                <w:rFonts w:cs="Calibri"/>
                <w:color w:val="414042"/>
                <w:sz w:val="18"/>
              </w:rPr>
              <w:t xml:space="preserve">Executives (as per Note </w:t>
            </w:r>
            <w:r w:rsidRPr="00CA2CC1">
              <w:rPr>
                <w:rFonts w:cs="Calibri"/>
                <w:color w:val="414042"/>
                <w:spacing w:val="-4"/>
                <w:sz w:val="18"/>
              </w:rPr>
              <w:t>8.3)</w:t>
            </w:r>
          </w:p>
        </w:tc>
        <w:tc>
          <w:tcPr>
            <w:tcW w:w="969" w:type="dxa"/>
            <w:tcMar>
              <w:right w:w="57" w:type="dxa"/>
            </w:tcMar>
          </w:tcPr>
          <w:p w14:paraId="3188B7E2" w14:textId="77777777" w:rsidR="00FA4226" w:rsidRPr="00CA2CC1" w:rsidRDefault="00000000" w:rsidP="0043303B">
            <w:pPr>
              <w:pStyle w:val="TableParagraph"/>
              <w:rPr>
                <w:rFonts w:cs="Calibri"/>
                <w:sz w:val="18"/>
              </w:rPr>
            </w:pPr>
            <w:r w:rsidRPr="00CA2CC1">
              <w:rPr>
                <w:rFonts w:cs="Calibri"/>
                <w:color w:val="414042"/>
                <w:sz w:val="18"/>
              </w:rPr>
              <w:t>5</w:t>
            </w:r>
          </w:p>
        </w:tc>
        <w:tc>
          <w:tcPr>
            <w:tcW w:w="969" w:type="dxa"/>
            <w:tcBorders>
              <w:right w:val="nil"/>
            </w:tcBorders>
            <w:tcMar>
              <w:right w:w="57" w:type="dxa"/>
            </w:tcMar>
          </w:tcPr>
          <w:p w14:paraId="650315DE" w14:textId="77777777" w:rsidR="00FA4226" w:rsidRPr="00CA2CC1" w:rsidRDefault="00000000" w:rsidP="0043303B">
            <w:pPr>
              <w:pStyle w:val="TableParagraph"/>
              <w:rPr>
                <w:rFonts w:cs="Calibri"/>
                <w:sz w:val="18"/>
              </w:rPr>
            </w:pPr>
            <w:r w:rsidRPr="00CA2CC1">
              <w:rPr>
                <w:rFonts w:cs="Calibri"/>
                <w:color w:val="414042"/>
                <w:sz w:val="18"/>
              </w:rPr>
              <w:t>5</w:t>
            </w:r>
          </w:p>
        </w:tc>
      </w:tr>
      <w:tr w:rsidR="00FA4226" w:rsidRPr="00CA2CC1" w14:paraId="508BB26B" w14:textId="77777777" w:rsidTr="009203E7">
        <w:trPr>
          <w:trHeight w:val="280"/>
        </w:trPr>
        <w:tc>
          <w:tcPr>
            <w:tcW w:w="2740" w:type="dxa"/>
            <w:tcBorders>
              <w:left w:val="nil"/>
            </w:tcBorders>
          </w:tcPr>
          <w:p w14:paraId="1609FB86" w14:textId="77777777" w:rsidR="00FA4226" w:rsidRPr="00CA2CC1" w:rsidRDefault="00000000" w:rsidP="0043303B">
            <w:pPr>
              <w:pStyle w:val="TableParagraph"/>
              <w:jc w:val="left"/>
              <w:rPr>
                <w:rFonts w:cs="Calibri"/>
                <w:sz w:val="18"/>
              </w:rPr>
            </w:pPr>
            <w:r w:rsidRPr="00CA2CC1">
              <w:rPr>
                <w:rFonts w:cs="Calibri"/>
                <w:color w:val="414042"/>
                <w:sz w:val="18"/>
              </w:rPr>
              <w:t xml:space="preserve">Accountable </w:t>
            </w:r>
            <w:r w:rsidRPr="00CA2CC1">
              <w:rPr>
                <w:rFonts w:cs="Calibri"/>
                <w:color w:val="414042"/>
                <w:spacing w:val="-2"/>
                <w:sz w:val="18"/>
              </w:rPr>
              <w:t>Officer</w:t>
            </w:r>
          </w:p>
        </w:tc>
        <w:tc>
          <w:tcPr>
            <w:tcW w:w="969" w:type="dxa"/>
            <w:tcMar>
              <w:right w:w="57" w:type="dxa"/>
            </w:tcMar>
          </w:tcPr>
          <w:p w14:paraId="1802F3A3" w14:textId="77777777" w:rsidR="00FA4226" w:rsidRPr="00CA2CC1" w:rsidRDefault="00000000" w:rsidP="0043303B">
            <w:pPr>
              <w:pStyle w:val="TableParagraph"/>
              <w:rPr>
                <w:rFonts w:cs="Calibri"/>
                <w:sz w:val="18"/>
              </w:rPr>
            </w:pPr>
            <w:r w:rsidRPr="00CA2CC1">
              <w:rPr>
                <w:rFonts w:cs="Calibri"/>
                <w:color w:val="414042"/>
                <w:sz w:val="18"/>
              </w:rPr>
              <w:t>1</w:t>
            </w:r>
          </w:p>
        </w:tc>
        <w:tc>
          <w:tcPr>
            <w:tcW w:w="969" w:type="dxa"/>
            <w:tcBorders>
              <w:right w:val="nil"/>
            </w:tcBorders>
            <w:tcMar>
              <w:right w:w="57" w:type="dxa"/>
            </w:tcMar>
          </w:tcPr>
          <w:p w14:paraId="44497148" w14:textId="77777777" w:rsidR="00FA4226" w:rsidRPr="00CA2CC1" w:rsidRDefault="00000000" w:rsidP="0043303B">
            <w:pPr>
              <w:pStyle w:val="TableParagraph"/>
              <w:rPr>
                <w:rFonts w:cs="Calibri"/>
                <w:sz w:val="18"/>
              </w:rPr>
            </w:pPr>
            <w:r w:rsidRPr="00CA2CC1">
              <w:rPr>
                <w:rFonts w:cs="Calibri"/>
                <w:color w:val="414042"/>
                <w:sz w:val="18"/>
              </w:rPr>
              <w:t>1</w:t>
            </w:r>
          </w:p>
        </w:tc>
      </w:tr>
      <w:tr w:rsidR="00FA4226" w:rsidRPr="00CA2CC1" w14:paraId="1BE663F8" w14:textId="77777777" w:rsidTr="009203E7">
        <w:trPr>
          <w:trHeight w:val="289"/>
        </w:trPr>
        <w:tc>
          <w:tcPr>
            <w:tcW w:w="2740" w:type="dxa"/>
            <w:tcBorders>
              <w:left w:val="nil"/>
            </w:tcBorders>
          </w:tcPr>
          <w:p w14:paraId="1A4895DB" w14:textId="77777777" w:rsidR="00FA4226" w:rsidRPr="00CA2CC1" w:rsidRDefault="00000000" w:rsidP="0043303B">
            <w:pPr>
              <w:pStyle w:val="TableParagraph"/>
              <w:spacing w:before="5"/>
              <w:jc w:val="left"/>
              <w:rPr>
                <w:rFonts w:cs="Calibri"/>
                <w:sz w:val="18"/>
              </w:rPr>
            </w:pPr>
            <w:r w:rsidRPr="00CA2CC1">
              <w:rPr>
                <w:rFonts w:cs="Calibri"/>
                <w:color w:val="414042"/>
                <w:spacing w:val="-2"/>
                <w:sz w:val="18"/>
              </w:rPr>
              <w:t>Separations</w:t>
            </w:r>
          </w:p>
        </w:tc>
        <w:tc>
          <w:tcPr>
            <w:tcW w:w="969" w:type="dxa"/>
            <w:tcMar>
              <w:right w:w="57" w:type="dxa"/>
            </w:tcMar>
          </w:tcPr>
          <w:p w14:paraId="6DA9A402" w14:textId="77777777" w:rsidR="00FA4226" w:rsidRPr="00CA2CC1" w:rsidRDefault="00000000" w:rsidP="0043303B">
            <w:pPr>
              <w:pStyle w:val="TableParagraph"/>
              <w:spacing w:before="5"/>
              <w:rPr>
                <w:rFonts w:cs="Calibri"/>
                <w:sz w:val="18"/>
              </w:rPr>
            </w:pPr>
            <w:r w:rsidRPr="00CA2CC1">
              <w:rPr>
                <w:rFonts w:cs="Calibri"/>
                <w:color w:val="414042"/>
                <w:sz w:val="18"/>
              </w:rPr>
              <w:t>0</w:t>
            </w:r>
          </w:p>
        </w:tc>
        <w:tc>
          <w:tcPr>
            <w:tcW w:w="969" w:type="dxa"/>
            <w:tcBorders>
              <w:right w:val="nil"/>
            </w:tcBorders>
            <w:tcMar>
              <w:right w:w="57" w:type="dxa"/>
            </w:tcMar>
          </w:tcPr>
          <w:p w14:paraId="2005DC6F" w14:textId="77777777" w:rsidR="00FA4226" w:rsidRPr="00CA2CC1" w:rsidRDefault="00000000" w:rsidP="0043303B">
            <w:pPr>
              <w:pStyle w:val="TableParagraph"/>
              <w:spacing w:before="5"/>
              <w:rPr>
                <w:rFonts w:cs="Calibri"/>
                <w:sz w:val="18"/>
              </w:rPr>
            </w:pPr>
            <w:r w:rsidRPr="00CA2CC1">
              <w:rPr>
                <w:rFonts w:cs="Calibri"/>
                <w:color w:val="414042"/>
                <w:sz w:val="18"/>
              </w:rPr>
              <w:t>0</w:t>
            </w:r>
          </w:p>
        </w:tc>
      </w:tr>
      <w:tr w:rsidR="00FA4226" w:rsidRPr="00CA2CC1" w14:paraId="46899BE6" w14:textId="77777777" w:rsidTr="00883FE2">
        <w:trPr>
          <w:trHeight w:val="67"/>
        </w:trPr>
        <w:tc>
          <w:tcPr>
            <w:tcW w:w="2740" w:type="dxa"/>
            <w:tcBorders>
              <w:left w:val="nil"/>
            </w:tcBorders>
            <w:shd w:val="clear" w:color="auto" w:fill="D8E9EF"/>
          </w:tcPr>
          <w:p w14:paraId="7095EC2B" w14:textId="3F18708A" w:rsidR="00FA4226" w:rsidRPr="00CA2CC1" w:rsidRDefault="00000000" w:rsidP="0043303B">
            <w:pPr>
              <w:pStyle w:val="TableParagraph"/>
              <w:spacing w:before="35"/>
              <w:jc w:val="left"/>
              <w:rPr>
                <w:rFonts w:cs="Calibri"/>
                <w:sz w:val="18"/>
              </w:rPr>
            </w:pPr>
            <w:r w:rsidRPr="00CA2CC1">
              <w:rPr>
                <w:rFonts w:cs="Calibri"/>
                <w:color w:val="414042"/>
                <w:spacing w:val="-2"/>
                <w:sz w:val="18"/>
              </w:rPr>
              <w:t>Total</w:t>
            </w:r>
            <w:r w:rsidRPr="00CA2CC1">
              <w:rPr>
                <w:rFonts w:cs="Calibri"/>
                <w:color w:val="414042"/>
                <w:spacing w:val="-9"/>
                <w:sz w:val="18"/>
              </w:rPr>
              <w:t xml:space="preserve"> </w:t>
            </w:r>
            <w:r w:rsidRPr="00CA2CC1">
              <w:rPr>
                <w:rFonts w:cs="Calibri"/>
                <w:color w:val="414042"/>
                <w:spacing w:val="-2"/>
                <w:sz w:val="18"/>
              </w:rPr>
              <w:t>executive</w:t>
            </w:r>
            <w:r w:rsidRPr="00CA2CC1">
              <w:rPr>
                <w:rFonts w:cs="Calibri"/>
                <w:color w:val="414042"/>
                <w:spacing w:val="-9"/>
                <w:sz w:val="18"/>
              </w:rPr>
              <w:t xml:space="preserve"> </w:t>
            </w:r>
            <w:r w:rsidRPr="00CA2CC1">
              <w:rPr>
                <w:rFonts w:cs="Calibri"/>
                <w:color w:val="414042"/>
                <w:spacing w:val="-2"/>
                <w:sz w:val="18"/>
              </w:rPr>
              <w:t xml:space="preserve">number </w:t>
            </w:r>
            <w:r w:rsidR="00883FE2" w:rsidRPr="00CA2CC1">
              <w:rPr>
                <w:rFonts w:cs="Calibri"/>
                <w:color w:val="414042"/>
                <w:spacing w:val="-2"/>
                <w:sz w:val="18"/>
              </w:rPr>
              <w:br/>
            </w:r>
            <w:r w:rsidRPr="00CA2CC1">
              <w:rPr>
                <w:rFonts w:cs="Calibri"/>
                <w:color w:val="414042"/>
                <w:sz w:val="18"/>
              </w:rPr>
              <w:t>30 June</w:t>
            </w:r>
          </w:p>
        </w:tc>
        <w:tc>
          <w:tcPr>
            <w:tcW w:w="969" w:type="dxa"/>
            <w:shd w:val="clear" w:color="auto" w:fill="D8E9EF"/>
            <w:tcMar>
              <w:right w:w="57" w:type="dxa"/>
            </w:tcMar>
          </w:tcPr>
          <w:p w14:paraId="42922DF9" w14:textId="77777777" w:rsidR="00FA4226" w:rsidRPr="00CA2CC1" w:rsidRDefault="00FA4226" w:rsidP="0043303B">
            <w:pPr>
              <w:pStyle w:val="TableParagraph"/>
              <w:spacing w:before="2"/>
              <w:jc w:val="left"/>
              <w:rPr>
                <w:rFonts w:cs="Calibri"/>
                <w:sz w:val="14"/>
              </w:rPr>
            </w:pPr>
          </w:p>
          <w:p w14:paraId="7CFA8923" w14:textId="77777777" w:rsidR="00FA4226" w:rsidRPr="00CA2CC1" w:rsidRDefault="00000000" w:rsidP="0043303B">
            <w:pPr>
              <w:pStyle w:val="TableParagraph"/>
              <w:spacing w:before="1"/>
              <w:rPr>
                <w:rFonts w:cs="Calibri"/>
                <w:sz w:val="18"/>
              </w:rPr>
            </w:pPr>
            <w:r w:rsidRPr="00CA2CC1">
              <w:rPr>
                <w:rFonts w:cs="Calibri"/>
                <w:color w:val="414042"/>
                <w:sz w:val="18"/>
              </w:rPr>
              <w:t>6</w:t>
            </w:r>
          </w:p>
        </w:tc>
        <w:tc>
          <w:tcPr>
            <w:tcW w:w="969" w:type="dxa"/>
            <w:tcBorders>
              <w:right w:val="nil"/>
            </w:tcBorders>
            <w:shd w:val="clear" w:color="auto" w:fill="D8E9EF"/>
            <w:tcMar>
              <w:right w:w="57" w:type="dxa"/>
            </w:tcMar>
          </w:tcPr>
          <w:p w14:paraId="326C0232" w14:textId="77777777" w:rsidR="00FA4226" w:rsidRPr="00CA2CC1" w:rsidRDefault="00FA4226" w:rsidP="0043303B">
            <w:pPr>
              <w:pStyle w:val="TableParagraph"/>
              <w:spacing w:before="2"/>
              <w:jc w:val="left"/>
              <w:rPr>
                <w:rFonts w:cs="Calibri"/>
                <w:sz w:val="14"/>
              </w:rPr>
            </w:pPr>
          </w:p>
          <w:p w14:paraId="749D0304" w14:textId="77777777" w:rsidR="00FA4226" w:rsidRPr="00CA2CC1" w:rsidRDefault="00000000" w:rsidP="0043303B">
            <w:pPr>
              <w:pStyle w:val="TableParagraph"/>
              <w:spacing w:before="1"/>
              <w:rPr>
                <w:rFonts w:cs="Calibri"/>
                <w:sz w:val="18"/>
              </w:rPr>
            </w:pPr>
            <w:r w:rsidRPr="00CA2CC1">
              <w:rPr>
                <w:rFonts w:cs="Calibri"/>
                <w:color w:val="414042"/>
                <w:sz w:val="18"/>
              </w:rPr>
              <w:t>6</w:t>
            </w:r>
          </w:p>
        </w:tc>
      </w:tr>
    </w:tbl>
    <w:p w14:paraId="282EB287" w14:textId="77777777" w:rsidR="00FA4226" w:rsidRPr="00CA2CC1" w:rsidRDefault="00FA4226" w:rsidP="0043303B">
      <w:pPr>
        <w:rPr>
          <w:rFonts w:cs="Calibri"/>
          <w:sz w:val="18"/>
        </w:rPr>
        <w:sectPr w:rsidR="00FA4226" w:rsidRPr="00CA2CC1" w:rsidSect="00E941A5">
          <w:type w:val="continuous"/>
          <w:pgSz w:w="11910" w:h="16840"/>
          <w:pgMar w:top="1134" w:right="1278" w:bottom="1134" w:left="1134" w:header="720" w:footer="720" w:gutter="0"/>
          <w:cols w:space="720"/>
        </w:sectPr>
      </w:pPr>
    </w:p>
    <w:p w14:paraId="24C9677D" w14:textId="77777777" w:rsidR="00FA4226" w:rsidRPr="00CA2CC1" w:rsidRDefault="00FA4226" w:rsidP="0043303B">
      <w:pPr>
        <w:jc w:val="center"/>
        <w:rPr>
          <w:rFonts w:cs="Calibri"/>
          <w:sz w:val="16"/>
        </w:rPr>
        <w:sectPr w:rsidR="00FA4226" w:rsidRPr="00CA2CC1" w:rsidSect="00E941A5">
          <w:type w:val="continuous"/>
          <w:pgSz w:w="11910" w:h="16840"/>
          <w:pgMar w:top="1134" w:right="1278" w:bottom="1134" w:left="1134" w:header="720" w:footer="720" w:gutter="0"/>
          <w:cols w:space="720"/>
        </w:sectPr>
      </w:pPr>
    </w:p>
    <w:p w14:paraId="5D93F815" w14:textId="44A663E1" w:rsidR="00FA4226" w:rsidRPr="00CA2CC1" w:rsidRDefault="00000000" w:rsidP="0043303B">
      <w:pPr>
        <w:pStyle w:val="Heading1"/>
        <w:rPr>
          <w:rFonts w:cs="Calibri"/>
        </w:rPr>
      </w:pPr>
      <w:bookmarkStart w:id="42" w:name="Other_disclosures_"/>
      <w:bookmarkStart w:id="43" w:name="_bookmark20"/>
      <w:bookmarkEnd w:id="42"/>
      <w:bookmarkEnd w:id="43"/>
      <w:r w:rsidRPr="00CA2CC1">
        <w:rPr>
          <w:rFonts w:cs="Calibri"/>
          <w:color w:val="231F20"/>
          <w:w w:val="110"/>
        </w:rPr>
        <w:lastRenderedPageBreak/>
        <w:t>Other</w:t>
      </w:r>
      <w:r w:rsidRPr="00CA2CC1">
        <w:rPr>
          <w:rFonts w:cs="Calibri"/>
          <w:color w:val="231F20"/>
          <w:spacing w:val="28"/>
          <w:w w:val="110"/>
        </w:rPr>
        <w:t xml:space="preserve"> </w:t>
      </w:r>
      <w:r w:rsidRPr="00CA2CC1">
        <w:rPr>
          <w:rFonts w:cs="Calibri"/>
          <w:color w:val="231F20"/>
          <w:spacing w:val="-2"/>
          <w:w w:val="110"/>
        </w:rPr>
        <w:t>disclosures</w:t>
      </w:r>
    </w:p>
    <w:p w14:paraId="6DB2641B" w14:textId="77777777" w:rsidR="00FA4226" w:rsidRPr="00CA2CC1" w:rsidRDefault="00FA4226" w:rsidP="0043303B">
      <w:pPr>
        <w:rPr>
          <w:rFonts w:cs="Calibri"/>
          <w:sz w:val="21"/>
        </w:rPr>
        <w:sectPr w:rsidR="00FA4226" w:rsidRPr="00CA2CC1" w:rsidSect="00E941A5">
          <w:pgSz w:w="11910" w:h="16840"/>
          <w:pgMar w:top="1134" w:right="1278" w:bottom="1134" w:left="1134" w:header="720" w:footer="720" w:gutter="0"/>
          <w:cols w:space="720"/>
        </w:sectPr>
      </w:pPr>
    </w:p>
    <w:p w14:paraId="6FB73F6A" w14:textId="77777777" w:rsidR="00FA4226" w:rsidRPr="003375C9" w:rsidRDefault="00000000" w:rsidP="003375C9">
      <w:pPr>
        <w:pStyle w:val="Heading3"/>
      </w:pPr>
      <w:r w:rsidRPr="003375C9">
        <w:t>Local Jobs First</w:t>
      </w:r>
    </w:p>
    <w:p w14:paraId="6408BD04" w14:textId="77777777" w:rsidR="00FA4226" w:rsidRPr="00CA2CC1" w:rsidRDefault="00000000" w:rsidP="0043303B">
      <w:pPr>
        <w:pStyle w:val="BodyText"/>
        <w:rPr>
          <w:rFonts w:cs="Calibri"/>
        </w:rPr>
      </w:pPr>
      <w:r w:rsidRPr="00CA2CC1">
        <w:rPr>
          <w:rFonts w:cs="Calibri"/>
        </w:rPr>
        <w:t>The</w:t>
      </w:r>
      <w:r w:rsidRPr="00CA2CC1">
        <w:rPr>
          <w:rFonts w:cs="Calibri"/>
          <w:spacing w:val="-5"/>
        </w:rPr>
        <w:t xml:space="preserve"> </w:t>
      </w:r>
      <w:r w:rsidRPr="00CA2CC1">
        <w:rPr>
          <w:rFonts w:cs="Calibri"/>
          <w:i/>
        </w:rPr>
        <w:t>Local</w:t>
      </w:r>
      <w:r w:rsidRPr="00CA2CC1">
        <w:rPr>
          <w:rFonts w:cs="Calibri"/>
          <w:i/>
          <w:spacing w:val="-5"/>
        </w:rPr>
        <w:t xml:space="preserve"> </w:t>
      </w:r>
      <w:r w:rsidRPr="00CA2CC1">
        <w:rPr>
          <w:rFonts w:cs="Calibri"/>
          <w:i/>
        </w:rPr>
        <w:t>Jobs</w:t>
      </w:r>
      <w:r w:rsidRPr="00CA2CC1">
        <w:rPr>
          <w:rFonts w:cs="Calibri"/>
          <w:i/>
          <w:spacing w:val="-5"/>
        </w:rPr>
        <w:t xml:space="preserve"> </w:t>
      </w:r>
      <w:r w:rsidRPr="00CA2CC1">
        <w:rPr>
          <w:rFonts w:cs="Calibri"/>
          <w:i/>
        </w:rPr>
        <w:t>First</w:t>
      </w:r>
      <w:r w:rsidRPr="00CA2CC1">
        <w:rPr>
          <w:rFonts w:cs="Calibri"/>
          <w:i/>
          <w:spacing w:val="-5"/>
        </w:rPr>
        <w:t xml:space="preserve"> </w:t>
      </w:r>
      <w:r w:rsidRPr="00CA2CC1">
        <w:rPr>
          <w:rFonts w:cs="Calibri"/>
          <w:i/>
        </w:rPr>
        <w:t>Act</w:t>
      </w:r>
      <w:r w:rsidRPr="00CA2CC1">
        <w:rPr>
          <w:rFonts w:cs="Calibri"/>
          <w:i/>
          <w:spacing w:val="-5"/>
        </w:rPr>
        <w:t xml:space="preserve"> </w:t>
      </w:r>
      <w:r w:rsidRPr="00CA2CC1">
        <w:rPr>
          <w:rFonts w:cs="Calibri"/>
          <w:i/>
        </w:rPr>
        <w:t>2003,</w:t>
      </w:r>
      <w:r w:rsidRPr="00CA2CC1">
        <w:rPr>
          <w:rFonts w:cs="Calibri"/>
          <w:i/>
          <w:spacing w:val="-6"/>
        </w:rPr>
        <w:t xml:space="preserve"> </w:t>
      </w:r>
      <w:r w:rsidRPr="00CA2CC1">
        <w:rPr>
          <w:rFonts w:cs="Calibri"/>
        </w:rPr>
        <w:t>introduced</w:t>
      </w:r>
      <w:r w:rsidRPr="00CA2CC1">
        <w:rPr>
          <w:rFonts w:cs="Calibri"/>
          <w:spacing w:val="-5"/>
        </w:rPr>
        <w:t xml:space="preserve"> </w:t>
      </w:r>
      <w:r w:rsidRPr="00CA2CC1">
        <w:rPr>
          <w:rFonts w:cs="Calibri"/>
        </w:rPr>
        <w:t>in</w:t>
      </w:r>
      <w:r w:rsidRPr="00CA2CC1">
        <w:rPr>
          <w:rFonts w:cs="Calibri"/>
          <w:spacing w:val="-5"/>
        </w:rPr>
        <w:t xml:space="preserve"> </w:t>
      </w:r>
      <w:r w:rsidRPr="00CA2CC1">
        <w:rPr>
          <w:rFonts w:cs="Calibri"/>
        </w:rPr>
        <w:t>August</w:t>
      </w:r>
      <w:r w:rsidRPr="00CA2CC1">
        <w:rPr>
          <w:rFonts w:cs="Calibri"/>
          <w:spacing w:val="-5"/>
        </w:rPr>
        <w:t xml:space="preserve"> </w:t>
      </w:r>
      <w:r w:rsidRPr="00CA2CC1">
        <w:rPr>
          <w:rFonts w:cs="Calibri"/>
        </w:rPr>
        <w:t>2018, brings together the Victorian Industry Participation Policy (VIPP) and Major Project Skills Guarantee (MPSG) policy which were previously administered separately.</w:t>
      </w:r>
    </w:p>
    <w:p w14:paraId="3E4837DE" w14:textId="77777777" w:rsidR="00FA4226" w:rsidRPr="00CA2CC1" w:rsidRDefault="00000000" w:rsidP="0043303B">
      <w:pPr>
        <w:pStyle w:val="BodyText"/>
        <w:rPr>
          <w:rFonts w:cs="Calibri"/>
        </w:rPr>
      </w:pPr>
      <w:r w:rsidRPr="00CA2CC1">
        <w:rPr>
          <w:rFonts w:cs="Calibri"/>
        </w:rPr>
        <w:t>Infrastructure Victoria is required to apply the Local Jobs First policy to all Metropolitan Melbourne or state-wide projects</w:t>
      </w:r>
      <w:r w:rsidRPr="00CA2CC1">
        <w:rPr>
          <w:rFonts w:cs="Calibri"/>
          <w:spacing w:val="-4"/>
        </w:rPr>
        <w:t xml:space="preserve"> </w:t>
      </w:r>
      <w:r w:rsidRPr="00CA2CC1">
        <w:rPr>
          <w:rFonts w:cs="Calibri"/>
        </w:rPr>
        <w:t>valued</w:t>
      </w:r>
      <w:r w:rsidRPr="00CA2CC1">
        <w:rPr>
          <w:rFonts w:cs="Calibri"/>
          <w:spacing w:val="-4"/>
        </w:rPr>
        <w:t xml:space="preserve"> </w:t>
      </w:r>
      <w:r w:rsidRPr="00CA2CC1">
        <w:rPr>
          <w:rFonts w:cs="Calibri"/>
        </w:rPr>
        <w:t>at</w:t>
      </w:r>
      <w:r w:rsidRPr="00CA2CC1">
        <w:rPr>
          <w:rFonts w:cs="Calibri"/>
          <w:spacing w:val="-4"/>
        </w:rPr>
        <w:t xml:space="preserve"> </w:t>
      </w:r>
      <w:r w:rsidRPr="00CA2CC1">
        <w:rPr>
          <w:rFonts w:cs="Calibri"/>
        </w:rPr>
        <w:t>$3</w:t>
      </w:r>
      <w:r w:rsidRPr="00CA2CC1">
        <w:rPr>
          <w:rFonts w:cs="Calibri"/>
          <w:spacing w:val="-4"/>
        </w:rPr>
        <w:t xml:space="preserve"> </w:t>
      </w:r>
      <w:r w:rsidRPr="00CA2CC1">
        <w:rPr>
          <w:rFonts w:cs="Calibri"/>
        </w:rPr>
        <w:t>million</w:t>
      </w:r>
      <w:r w:rsidRPr="00CA2CC1">
        <w:rPr>
          <w:rFonts w:cs="Calibri"/>
          <w:spacing w:val="-4"/>
        </w:rPr>
        <w:t xml:space="preserve"> </w:t>
      </w:r>
      <w:r w:rsidRPr="00CA2CC1">
        <w:rPr>
          <w:rFonts w:cs="Calibri"/>
        </w:rPr>
        <w:t>or</w:t>
      </w:r>
      <w:r w:rsidRPr="00CA2CC1">
        <w:rPr>
          <w:rFonts w:cs="Calibri"/>
          <w:spacing w:val="-4"/>
        </w:rPr>
        <w:t xml:space="preserve"> </w:t>
      </w:r>
      <w:r w:rsidRPr="00CA2CC1">
        <w:rPr>
          <w:rFonts w:cs="Calibri"/>
        </w:rPr>
        <w:t>more.</w:t>
      </w:r>
      <w:r w:rsidRPr="00CA2CC1">
        <w:rPr>
          <w:rFonts w:cs="Calibri"/>
          <w:spacing w:val="-4"/>
        </w:rPr>
        <w:t xml:space="preserve"> </w:t>
      </w:r>
      <w:r w:rsidRPr="00CA2CC1">
        <w:rPr>
          <w:rFonts w:cs="Calibri"/>
        </w:rPr>
        <w:t>Additionally,</w:t>
      </w:r>
      <w:r w:rsidRPr="00CA2CC1">
        <w:rPr>
          <w:rFonts w:cs="Calibri"/>
          <w:spacing w:val="-4"/>
        </w:rPr>
        <w:t xml:space="preserve"> </w:t>
      </w:r>
      <w:r w:rsidRPr="00CA2CC1">
        <w:rPr>
          <w:rFonts w:cs="Calibri"/>
        </w:rPr>
        <w:t>the</w:t>
      </w:r>
      <w:r w:rsidRPr="00CA2CC1">
        <w:rPr>
          <w:rFonts w:cs="Calibri"/>
          <w:spacing w:val="-4"/>
        </w:rPr>
        <w:t xml:space="preserve"> </w:t>
      </w:r>
      <w:r w:rsidRPr="00CA2CC1">
        <w:rPr>
          <w:rFonts w:cs="Calibri"/>
        </w:rPr>
        <w:t>policy must</w:t>
      </w:r>
      <w:r w:rsidRPr="00CA2CC1">
        <w:rPr>
          <w:rFonts w:cs="Calibri"/>
          <w:spacing w:val="-5"/>
        </w:rPr>
        <w:t xml:space="preserve"> </w:t>
      </w:r>
      <w:r w:rsidRPr="00CA2CC1">
        <w:rPr>
          <w:rFonts w:cs="Calibri"/>
        </w:rPr>
        <w:t>also</w:t>
      </w:r>
      <w:r w:rsidRPr="00CA2CC1">
        <w:rPr>
          <w:rFonts w:cs="Calibri"/>
          <w:spacing w:val="-5"/>
        </w:rPr>
        <w:t xml:space="preserve"> </w:t>
      </w:r>
      <w:r w:rsidRPr="00CA2CC1">
        <w:rPr>
          <w:rFonts w:cs="Calibri"/>
        </w:rPr>
        <w:t>be</w:t>
      </w:r>
      <w:r w:rsidRPr="00CA2CC1">
        <w:rPr>
          <w:rFonts w:cs="Calibri"/>
          <w:spacing w:val="-5"/>
        </w:rPr>
        <w:t xml:space="preserve"> </w:t>
      </w:r>
      <w:r w:rsidRPr="00CA2CC1">
        <w:rPr>
          <w:rFonts w:cs="Calibri"/>
        </w:rPr>
        <w:t>applied</w:t>
      </w:r>
      <w:r w:rsidRPr="00CA2CC1">
        <w:rPr>
          <w:rFonts w:cs="Calibri"/>
          <w:spacing w:val="-5"/>
        </w:rPr>
        <w:t xml:space="preserve"> </w:t>
      </w:r>
      <w:r w:rsidRPr="00CA2CC1">
        <w:rPr>
          <w:rFonts w:cs="Calibri"/>
        </w:rPr>
        <w:t>to</w:t>
      </w:r>
      <w:r w:rsidRPr="00CA2CC1">
        <w:rPr>
          <w:rFonts w:cs="Calibri"/>
          <w:spacing w:val="-5"/>
        </w:rPr>
        <w:t xml:space="preserve"> </w:t>
      </w:r>
      <w:r w:rsidRPr="00CA2CC1">
        <w:rPr>
          <w:rFonts w:cs="Calibri"/>
        </w:rPr>
        <w:t>any</w:t>
      </w:r>
      <w:r w:rsidRPr="00CA2CC1">
        <w:rPr>
          <w:rFonts w:cs="Calibri"/>
          <w:spacing w:val="-5"/>
        </w:rPr>
        <w:t xml:space="preserve"> </w:t>
      </w:r>
      <w:r w:rsidRPr="00CA2CC1">
        <w:rPr>
          <w:rFonts w:cs="Calibri"/>
        </w:rPr>
        <w:t>regional</w:t>
      </w:r>
      <w:r w:rsidRPr="00CA2CC1">
        <w:rPr>
          <w:rFonts w:cs="Calibri"/>
          <w:spacing w:val="-5"/>
        </w:rPr>
        <w:t xml:space="preserve"> </w:t>
      </w:r>
      <w:r w:rsidRPr="00CA2CC1">
        <w:rPr>
          <w:rFonts w:cs="Calibri"/>
        </w:rPr>
        <w:t>Victoria</w:t>
      </w:r>
      <w:r w:rsidRPr="00CA2CC1">
        <w:rPr>
          <w:rFonts w:cs="Calibri"/>
          <w:spacing w:val="-5"/>
        </w:rPr>
        <w:t xml:space="preserve"> </w:t>
      </w:r>
      <w:r w:rsidRPr="00CA2CC1">
        <w:rPr>
          <w:rFonts w:cs="Calibri"/>
        </w:rPr>
        <w:t>projects</w:t>
      </w:r>
      <w:r w:rsidRPr="00CA2CC1">
        <w:rPr>
          <w:rFonts w:cs="Calibri"/>
          <w:spacing w:val="-5"/>
        </w:rPr>
        <w:t xml:space="preserve"> </w:t>
      </w:r>
      <w:r w:rsidRPr="00CA2CC1">
        <w:rPr>
          <w:rFonts w:cs="Calibri"/>
        </w:rPr>
        <w:t>valued at $1 million or more. MPSG applies to all construction projects valued at $20 million or more.</w:t>
      </w:r>
    </w:p>
    <w:p w14:paraId="73940B53" w14:textId="77777777" w:rsidR="00FA4226" w:rsidRPr="00CA2CC1" w:rsidRDefault="00000000" w:rsidP="0043303B">
      <w:pPr>
        <w:pStyle w:val="BodyText"/>
        <w:rPr>
          <w:rFonts w:cs="Calibri"/>
          <w:szCs w:val="22"/>
        </w:rPr>
      </w:pPr>
      <w:r w:rsidRPr="00CA2CC1">
        <w:rPr>
          <w:rFonts w:cs="Calibri"/>
          <w:szCs w:val="22"/>
        </w:rPr>
        <w:t>Infrastructure</w:t>
      </w:r>
      <w:r w:rsidRPr="00CA2CC1">
        <w:rPr>
          <w:rFonts w:cs="Calibri"/>
          <w:spacing w:val="-7"/>
          <w:szCs w:val="22"/>
        </w:rPr>
        <w:t xml:space="preserve"> </w:t>
      </w:r>
      <w:r w:rsidRPr="00CA2CC1">
        <w:rPr>
          <w:rFonts w:cs="Calibri"/>
          <w:szCs w:val="22"/>
        </w:rPr>
        <w:t>Victoria</w:t>
      </w:r>
      <w:r w:rsidRPr="00CA2CC1">
        <w:rPr>
          <w:rFonts w:cs="Calibri"/>
          <w:spacing w:val="-7"/>
          <w:szCs w:val="22"/>
        </w:rPr>
        <w:t xml:space="preserve"> </w:t>
      </w:r>
      <w:r w:rsidRPr="00CA2CC1">
        <w:rPr>
          <w:rFonts w:cs="Calibri"/>
          <w:szCs w:val="22"/>
        </w:rPr>
        <w:t>undertook</w:t>
      </w:r>
      <w:r w:rsidRPr="00CA2CC1">
        <w:rPr>
          <w:rFonts w:cs="Calibri"/>
          <w:spacing w:val="-7"/>
          <w:szCs w:val="22"/>
        </w:rPr>
        <w:t xml:space="preserve"> </w:t>
      </w:r>
      <w:r w:rsidRPr="00CA2CC1">
        <w:rPr>
          <w:rFonts w:cs="Calibri"/>
          <w:szCs w:val="22"/>
        </w:rPr>
        <w:t>no</w:t>
      </w:r>
      <w:r w:rsidRPr="00CA2CC1">
        <w:rPr>
          <w:rFonts w:cs="Calibri"/>
          <w:spacing w:val="-7"/>
          <w:szCs w:val="22"/>
        </w:rPr>
        <w:t xml:space="preserve"> </w:t>
      </w:r>
      <w:r w:rsidRPr="00CA2CC1">
        <w:rPr>
          <w:rFonts w:cs="Calibri"/>
          <w:szCs w:val="22"/>
        </w:rPr>
        <w:t>projects</w:t>
      </w:r>
      <w:r w:rsidRPr="00CA2CC1">
        <w:rPr>
          <w:rFonts w:cs="Calibri"/>
          <w:spacing w:val="-7"/>
          <w:szCs w:val="22"/>
        </w:rPr>
        <w:t xml:space="preserve"> </w:t>
      </w:r>
      <w:r w:rsidRPr="00CA2CC1">
        <w:rPr>
          <w:rFonts w:cs="Calibri"/>
          <w:szCs w:val="22"/>
        </w:rPr>
        <w:t>subject</w:t>
      </w:r>
      <w:r w:rsidRPr="00CA2CC1">
        <w:rPr>
          <w:rFonts w:cs="Calibri"/>
          <w:spacing w:val="-7"/>
          <w:szCs w:val="22"/>
        </w:rPr>
        <w:t xml:space="preserve"> </w:t>
      </w:r>
      <w:r w:rsidRPr="00CA2CC1">
        <w:rPr>
          <w:rFonts w:cs="Calibri"/>
          <w:szCs w:val="22"/>
        </w:rPr>
        <w:t xml:space="preserve">to the </w:t>
      </w:r>
      <w:r w:rsidRPr="00CA2CC1">
        <w:rPr>
          <w:rFonts w:cs="Calibri"/>
          <w:i/>
          <w:szCs w:val="22"/>
        </w:rPr>
        <w:t xml:space="preserve">Local Jobs First Act 2003 </w:t>
      </w:r>
      <w:r w:rsidRPr="00CA2CC1">
        <w:rPr>
          <w:rFonts w:cs="Calibri"/>
          <w:szCs w:val="22"/>
        </w:rPr>
        <w:t>during the 2022–2023 reporting period.</w:t>
      </w:r>
    </w:p>
    <w:p w14:paraId="11835A87" w14:textId="77777777" w:rsidR="00FA4226" w:rsidRPr="00CA2CC1" w:rsidRDefault="00FA4226" w:rsidP="0043303B">
      <w:pPr>
        <w:pStyle w:val="BodyText"/>
        <w:rPr>
          <w:rFonts w:cs="Calibri"/>
          <w:sz w:val="27"/>
        </w:rPr>
      </w:pPr>
    </w:p>
    <w:p w14:paraId="7734ABC1" w14:textId="77777777" w:rsidR="00FA4226" w:rsidRPr="003375C9" w:rsidRDefault="00000000" w:rsidP="003375C9">
      <w:pPr>
        <w:pStyle w:val="Heading3"/>
      </w:pPr>
      <w:r w:rsidRPr="003375C9">
        <w:t>Government advertising expenditure</w:t>
      </w:r>
    </w:p>
    <w:p w14:paraId="3090A24E" w14:textId="77777777" w:rsidR="0023193E" w:rsidRPr="00CA2CC1" w:rsidRDefault="00000000" w:rsidP="0043303B">
      <w:pPr>
        <w:pStyle w:val="BodyText"/>
        <w:rPr>
          <w:rFonts w:cs="Calibri"/>
        </w:rPr>
      </w:pPr>
      <w:r w:rsidRPr="00CA2CC1">
        <w:rPr>
          <w:rFonts w:cs="Calibri"/>
        </w:rPr>
        <w:t>In 2022-2023, Infrastructure Victoria undertook no government advertising campaigns.</w:t>
      </w:r>
    </w:p>
    <w:p w14:paraId="12B1BE6D" w14:textId="77777777" w:rsidR="000A0029" w:rsidRPr="00CA2CC1" w:rsidRDefault="000A0029" w:rsidP="0043303B">
      <w:pPr>
        <w:pStyle w:val="BodyText"/>
        <w:rPr>
          <w:rFonts w:cs="Calibri"/>
          <w:color w:val="34AFC8"/>
          <w:sz w:val="32"/>
          <w:szCs w:val="32"/>
        </w:rPr>
      </w:pPr>
    </w:p>
    <w:p w14:paraId="4225D1E6" w14:textId="590AE9A2" w:rsidR="00FA4226" w:rsidRPr="00CA2CC1" w:rsidRDefault="00000000" w:rsidP="003375C9">
      <w:pPr>
        <w:pStyle w:val="Heading3"/>
      </w:pPr>
      <w:r w:rsidRPr="00CA2CC1">
        <w:t xml:space="preserve">Consultancy </w:t>
      </w:r>
      <w:r w:rsidRPr="00CA2CC1">
        <w:rPr>
          <w:spacing w:val="-2"/>
        </w:rPr>
        <w:t>expenditure</w:t>
      </w:r>
    </w:p>
    <w:p w14:paraId="3FF2449D" w14:textId="77777777" w:rsidR="00FA4226" w:rsidRPr="00CA2CC1" w:rsidRDefault="00000000" w:rsidP="003375C9">
      <w:pPr>
        <w:pStyle w:val="Heading4"/>
      </w:pPr>
      <w:r w:rsidRPr="00CA2CC1">
        <w:t>Details</w:t>
      </w:r>
      <w:r w:rsidRPr="00CA2CC1">
        <w:rPr>
          <w:spacing w:val="-7"/>
        </w:rPr>
        <w:t xml:space="preserve"> </w:t>
      </w:r>
      <w:r w:rsidRPr="00CA2CC1">
        <w:t>of</w:t>
      </w:r>
      <w:r w:rsidRPr="00CA2CC1">
        <w:rPr>
          <w:spacing w:val="-7"/>
        </w:rPr>
        <w:t xml:space="preserve"> </w:t>
      </w:r>
      <w:r w:rsidRPr="00CA2CC1">
        <w:t>consultancies</w:t>
      </w:r>
      <w:r w:rsidRPr="00CA2CC1">
        <w:rPr>
          <w:spacing w:val="-7"/>
        </w:rPr>
        <w:t xml:space="preserve"> </w:t>
      </w:r>
      <w:r w:rsidRPr="00CA2CC1">
        <w:t>(valued</w:t>
      </w:r>
      <w:r w:rsidRPr="00CA2CC1">
        <w:rPr>
          <w:spacing w:val="-7"/>
        </w:rPr>
        <w:t xml:space="preserve"> </w:t>
      </w:r>
      <w:r w:rsidRPr="00CA2CC1">
        <w:t>at</w:t>
      </w:r>
      <w:r w:rsidRPr="00CA2CC1">
        <w:rPr>
          <w:spacing w:val="-7"/>
        </w:rPr>
        <w:t xml:space="preserve"> </w:t>
      </w:r>
      <w:r w:rsidRPr="00CA2CC1">
        <w:t>$10,000 or greater)</w:t>
      </w:r>
    </w:p>
    <w:p w14:paraId="4C3F0FA1" w14:textId="77777777" w:rsidR="00FA4226" w:rsidRPr="00CA2CC1" w:rsidRDefault="00000000" w:rsidP="0043303B">
      <w:pPr>
        <w:pStyle w:val="BodyText"/>
        <w:spacing w:before="119"/>
        <w:rPr>
          <w:rFonts w:cs="Calibri"/>
          <w:szCs w:val="22"/>
        </w:rPr>
      </w:pPr>
      <w:r w:rsidRPr="00CA2CC1">
        <w:rPr>
          <w:rFonts w:cs="Calibri"/>
          <w:color w:val="414042"/>
          <w:szCs w:val="22"/>
        </w:rPr>
        <w:t>In</w:t>
      </w:r>
      <w:r w:rsidRPr="00CA2CC1">
        <w:rPr>
          <w:rFonts w:cs="Calibri"/>
          <w:color w:val="414042"/>
          <w:spacing w:val="-7"/>
          <w:szCs w:val="22"/>
        </w:rPr>
        <w:t xml:space="preserve"> </w:t>
      </w:r>
      <w:r w:rsidRPr="00CA2CC1">
        <w:rPr>
          <w:rFonts w:cs="Calibri"/>
          <w:color w:val="414042"/>
          <w:szCs w:val="22"/>
        </w:rPr>
        <w:t>2022–23,</w:t>
      </w:r>
      <w:r w:rsidRPr="00CA2CC1">
        <w:rPr>
          <w:rFonts w:cs="Calibri"/>
          <w:color w:val="414042"/>
          <w:spacing w:val="-7"/>
          <w:szCs w:val="22"/>
        </w:rPr>
        <w:t xml:space="preserve"> </w:t>
      </w:r>
      <w:r w:rsidRPr="00CA2CC1">
        <w:rPr>
          <w:rFonts w:cs="Calibri"/>
          <w:color w:val="414042"/>
          <w:szCs w:val="22"/>
        </w:rPr>
        <w:t>Infrastructure</w:t>
      </w:r>
      <w:r w:rsidRPr="00CA2CC1">
        <w:rPr>
          <w:rFonts w:cs="Calibri"/>
          <w:color w:val="414042"/>
          <w:spacing w:val="-7"/>
          <w:szCs w:val="22"/>
        </w:rPr>
        <w:t xml:space="preserve"> </w:t>
      </w:r>
      <w:r w:rsidRPr="00CA2CC1">
        <w:rPr>
          <w:rFonts w:cs="Calibri"/>
          <w:color w:val="414042"/>
          <w:szCs w:val="22"/>
        </w:rPr>
        <w:t>Victoria</w:t>
      </w:r>
      <w:r w:rsidRPr="00CA2CC1">
        <w:rPr>
          <w:rFonts w:cs="Calibri"/>
          <w:color w:val="414042"/>
          <w:spacing w:val="-7"/>
          <w:szCs w:val="22"/>
        </w:rPr>
        <w:t xml:space="preserve"> </w:t>
      </w:r>
      <w:r w:rsidRPr="00CA2CC1">
        <w:rPr>
          <w:rFonts w:cs="Calibri"/>
          <w:color w:val="414042"/>
          <w:szCs w:val="22"/>
        </w:rPr>
        <w:t>undertook</w:t>
      </w:r>
      <w:r w:rsidRPr="00CA2CC1">
        <w:rPr>
          <w:rFonts w:cs="Calibri"/>
          <w:color w:val="414042"/>
          <w:spacing w:val="-7"/>
          <w:szCs w:val="22"/>
        </w:rPr>
        <w:t xml:space="preserve"> </w:t>
      </w:r>
      <w:r w:rsidRPr="00CA2CC1">
        <w:rPr>
          <w:rFonts w:cs="Calibri"/>
          <w:color w:val="414042"/>
          <w:szCs w:val="22"/>
        </w:rPr>
        <w:t>16</w:t>
      </w:r>
      <w:r w:rsidRPr="00CA2CC1">
        <w:rPr>
          <w:rFonts w:cs="Calibri"/>
          <w:color w:val="414042"/>
          <w:spacing w:val="-7"/>
          <w:szCs w:val="22"/>
        </w:rPr>
        <w:t xml:space="preserve"> </w:t>
      </w:r>
      <w:r w:rsidRPr="00CA2CC1">
        <w:rPr>
          <w:rFonts w:cs="Calibri"/>
          <w:color w:val="414042"/>
          <w:szCs w:val="22"/>
        </w:rPr>
        <w:t>consultancy engagements where total fees payable exceeded $10,000. The total expenditure incurred during 2022–23 in relation to these consultancies was $2,137,715 (ex. GST). Details of individual consultancies are provided in the following table.</w:t>
      </w:r>
    </w:p>
    <w:p w14:paraId="2A47701A" w14:textId="77777777" w:rsidR="00FA4226" w:rsidRPr="00CA2CC1" w:rsidRDefault="00FA4226" w:rsidP="0043303B">
      <w:pPr>
        <w:pStyle w:val="BodyText"/>
        <w:rPr>
          <w:rFonts w:cs="Calibri"/>
          <w:szCs w:val="22"/>
        </w:rPr>
      </w:pPr>
    </w:p>
    <w:p w14:paraId="11A45C68" w14:textId="77777777" w:rsidR="00FA4226" w:rsidRPr="00CA2CC1" w:rsidRDefault="00000000" w:rsidP="003375C9">
      <w:pPr>
        <w:pStyle w:val="Heading4"/>
      </w:pPr>
      <w:r w:rsidRPr="00CA2CC1">
        <w:t xml:space="preserve">Details of consultancies under </w:t>
      </w:r>
      <w:r w:rsidRPr="00CA2CC1">
        <w:rPr>
          <w:spacing w:val="-2"/>
        </w:rPr>
        <w:t>$10,000</w:t>
      </w:r>
    </w:p>
    <w:p w14:paraId="6979B5C7" w14:textId="77777777" w:rsidR="00FA4226" w:rsidRPr="00CA2CC1" w:rsidRDefault="00000000" w:rsidP="0043303B">
      <w:pPr>
        <w:pStyle w:val="BodyText"/>
        <w:spacing w:before="112"/>
        <w:rPr>
          <w:rFonts w:cs="Calibri"/>
          <w:szCs w:val="22"/>
        </w:rPr>
      </w:pPr>
      <w:r w:rsidRPr="00CA2CC1">
        <w:rPr>
          <w:rFonts w:cs="Calibri"/>
          <w:color w:val="414042"/>
          <w:szCs w:val="22"/>
        </w:rPr>
        <w:t>In 2022-2023, there were three consultancies engaged during</w:t>
      </w:r>
      <w:r w:rsidRPr="00CA2CC1">
        <w:rPr>
          <w:rFonts w:cs="Calibri"/>
          <w:color w:val="414042"/>
          <w:spacing w:val="-2"/>
          <w:szCs w:val="22"/>
        </w:rPr>
        <w:t xml:space="preserve"> </w:t>
      </w:r>
      <w:r w:rsidRPr="00CA2CC1">
        <w:rPr>
          <w:rFonts w:cs="Calibri"/>
          <w:color w:val="414042"/>
          <w:szCs w:val="22"/>
        </w:rPr>
        <w:t>the</w:t>
      </w:r>
      <w:r w:rsidRPr="00CA2CC1">
        <w:rPr>
          <w:rFonts w:cs="Calibri"/>
          <w:color w:val="414042"/>
          <w:spacing w:val="-3"/>
          <w:szCs w:val="22"/>
        </w:rPr>
        <w:t xml:space="preserve"> </w:t>
      </w:r>
      <w:r w:rsidRPr="00CA2CC1">
        <w:rPr>
          <w:rFonts w:cs="Calibri"/>
          <w:color w:val="414042"/>
          <w:szCs w:val="22"/>
        </w:rPr>
        <w:t>year</w:t>
      </w:r>
      <w:r w:rsidRPr="00CA2CC1">
        <w:rPr>
          <w:rFonts w:cs="Calibri"/>
          <w:color w:val="414042"/>
          <w:spacing w:val="-2"/>
          <w:szCs w:val="22"/>
        </w:rPr>
        <w:t xml:space="preserve"> </w:t>
      </w:r>
      <w:r w:rsidRPr="00CA2CC1">
        <w:rPr>
          <w:rFonts w:cs="Calibri"/>
          <w:color w:val="414042"/>
          <w:szCs w:val="22"/>
        </w:rPr>
        <w:t>where</w:t>
      </w:r>
      <w:r w:rsidRPr="00CA2CC1">
        <w:rPr>
          <w:rFonts w:cs="Calibri"/>
          <w:color w:val="414042"/>
          <w:spacing w:val="-3"/>
          <w:szCs w:val="22"/>
        </w:rPr>
        <w:t xml:space="preserve"> </w:t>
      </w:r>
      <w:r w:rsidRPr="00CA2CC1">
        <w:rPr>
          <w:rFonts w:cs="Calibri"/>
          <w:color w:val="414042"/>
          <w:szCs w:val="22"/>
        </w:rPr>
        <w:t>the</w:t>
      </w:r>
      <w:r w:rsidRPr="00CA2CC1">
        <w:rPr>
          <w:rFonts w:cs="Calibri"/>
          <w:color w:val="414042"/>
          <w:spacing w:val="-2"/>
          <w:szCs w:val="22"/>
        </w:rPr>
        <w:t xml:space="preserve"> </w:t>
      </w:r>
      <w:r w:rsidRPr="00CA2CC1">
        <w:rPr>
          <w:rFonts w:cs="Calibri"/>
          <w:color w:val="414042"/>
          <w:szCs w:val="22"/>
        </w:rPr>
        <w:t>total</w:t>
      </w:r>
      <w:r w:rsidRPr="00CA2CC1">
        <w:rPr>
          <w:rFonts w:cs="Calibri"/>
          <w:color w:val="414042"/>
          <w:spacing w:val="-3"/>
          <w:szCs w:val="22"/>
        </w:rPr>
        <w:t xml:space="preserve"> </w:t>
      </w:r>
      <w:r w:rsidRPr="00CA2CC1">
        <w:rPr>
          <w:rFonts w:cs="Calibri"/>
          <w:color w:val="414042"/>
          <w:szCs w:val="22"/>
        </w:rPr>
        <w:t>fees</w:t>
      </w:r>
      <w:r w:rsidRPr="00CA2CC1">
        <w:rPr>
          <w:rFonts w:cs="Calibri"/>
          <w:color w:val="414042"/>
          <w:spacing w:val="-2"/>
          <w:szCs w:val="22"/>
        </w:rPr>
        <w:t xml:space="preserve"> </w:t>
      </w:r>
      <w:r w:rsidRPr="00CA2CC1">
        <w:rPr>
          <w:rFonts w:cs="Calibri"/>
          <w:color w:val="414042"/>
          <w:szCs w:val="22"/>
        </w:rPr>
        <w:t>payable</w:t>
      </w:r>
      <w:r w:rsidRPr="00CA2CC1">
        <w:rPr>
          <w:rFonts w:cs="Calibri"/>
          <w:color w:val="414042"/>
          <w:spacing w:val="-3"/>
          <w:szCs w:val="22"/>
        </w:rPr>
        <w:t xml:space="preserve"> </w:t>
      </w:r>
      <w:r w:rsidRPr="00CA2CC1">
        <w:rPr>
          <w:rFonts w:cs="Calibri"/>
          <w:color w:val="414042"/>
          <w:szCs w:val="22"/>
        </w:rPr>
        <w:t>to</w:t>
      </w:r>
      <w:r w:rsidRPr="00CA2CC1">
        <w:rPr>
          <w:rFonts w:cs="Calibri"/>
          <w:color w:val="414042"/>
          <w:spacing w:val="-2"/>
          <w:szCs w:val="22"/>
        </w:rPr>
        <w:t xml:space="preserve"> </w:t>
      </w:r>
      <w:r w:rsidRPr="00CA2CC1">
        <w:rPr>
          <w:rFonts w:cs="Calibri"/>
          <w:color w:val="414042"/>
          <w:szCs w:val="22"/>
        </w:rPr>
        <w:t>the</w:t>
      </w:r>
      <w:r w:rsidRPr="00CA2CC1">
        <w:rPr>
          <w:rFonts w:cs="Calibri"/>
          <w:color w:val="414042"/>
          <w:spacing w:val="-3"/>
          <w:szCs w:val="22"/>
        </w:rPr>
        <w:t xml:space="preserve"> </w:t>
      </w:r>
      <w:r w:rsidRPr="00CA2CC1">
        <w:rPr>
          <w:rFonts w:cs="Calibri"/>
          <w:color w:val="414042"/>
          <w:szCs w:val="22"/>
        </w:rPr>
        <w:t>individual consultants were less than $10,000. The total expenditure incurred</w:t>
      </w:r>
      <w:r w:rsidRPr="00CA2CC1">
        <w:rPr>
          <w:rFonts w:cs="Calibri"/>
          <w:color w:val="414042"/>
          <w:spacing w:val="-6"/>
          <w:szCs w:val="22"/>
        </w:rPr>
        <w:t xml:space="preserve"> </w:t>
      </w:r>
      <w:r w:rsidRPr="00CA2CC1">
        <w:rPr>
          <w:rFonts w:cs="Calibri"/>
          <w:color w:val="414042"/>
          <w:szCs w:val="22"/>
        </w:rPr>
        <w:t>during</w:t>
      </w:r>
      <w:r w:rsidRPr="00CA2CC1">
        <w:rPr>
          <w:rFonts w:cs="Calibri"/>
          <w:color w:val="414042"/>
          <w:spacing w:val="-6"/>
          <w:szCs w:val="22"/>
        </w:rPr>
        <w:t xml:space="preserve"> </w:t>
      </w:r>
      <w:r w:rsidRPr="00CA2CC1">
        <w:rPr>
          <w:rFonts w:cs="Calibri"/>
          <w:color w:val="414042"/>
          <w:szCs w:val="22"/>
        </w:rPr>
        <w:t>2021-2022</w:t>
      </w:r>
      <w:r w:rsidRPr="00CA2CC1">
        <w:rPr>
          <w:rFonts w:cs="Calibri"/>
          <w:color w:val="414042"/>
          <w:spacing w:val="-6"/>
          <w:szCs w:val="22"/>
        </w:rPr>
        <w:t xml:space="preserve"> </w:t>
      </w:r>
      <w:r w:rsidRPr="00CA2CC1">
        <w:rPr>
          <w:rFonts w:cs="Calibri"/>
          <w:color w:val="414042"/>
          <w:szCs w:val="22"/>
        </w:rPr>
        <w:t>in</w:t>
      </w:r>
      <w:r w:rsidRPr="00CA2CC1">
        <w:rPr>
          <w:rFonts w:cs="Calibri"/>
          <w:color w:val="414042"/>
          <w:spacing w:val="-6"/>
          <w:szCs w:val="22"/>
        </w:rPr>
        <w:t xml:space="preserve"> </w:t>
      </w:r>
      <w:r w:rsidRPr="00CA2CC1">
        <w:rPr>
          <w:rFonts w:cs="Calibri"/>
          <w:color w:val="414042"/>
          <w:szCs w:val="22"/>
        </w:rPr>
        <w:t>relation</w:t>
      </w:r>
      <w:r w:rsidRPr="00CA2CC1">
        <w:rPr>
          <w:rFonts w:cs="Calibri"/>
          <w:color w:val="414042"/>
          <w:spacing w:val="-6"/>
          <w:szCs w:val="22"/>
        </w:rPr>
        <w:t xml:space="preserve"> </w:t>
      </w:r>
      <w:r w:rsidRPr="00CA2CC1">
        <w:rPr>
          <w:rFonts w:cs="Calibri"/>
          <w:color w:val="414042"/>
          <w:szCs w:val="22"/>
        </w:rPr>
        <w:t>to</w:t>
      </w:r>
      <w:r w:rsidRPr="00CA2CC1">
        <w:rPr>
          <w:rFonts w:cs="Calibri"/>
          <w:color w:val="414042"/>
          <w:spacing w:val="-6"/>
          <w:szCs w:val="22"/>
        </w:rPr>
        <w:t xml:space="preserve"> </w:t>
      </w:r>
      <w:r w:rsidRPr="00CA2CC1">
        <w:rPr>
          <w:rFonts w:cs="Calibri"/>
          <w:color w:val="414042"/>
          <w:szCs w:val="22"/>
        </w:rPr>
        <w:t>these</w:t>
      </w:r>
      <w:r w:rsidRPr="00CA2CC1">
        <w:rPr>
          <w:rFonts w:cs="Calibri"/>
          <w:color w:val="414042"/>
          <w:spacing w:val="-6"/>
          <w:szCs w:val="22"/>
        </w:rPr>
        <w:t xml:space="preserve"> </w:t>
      </w:r>
      <w:r w:rsidRPr="00CA2CC1">
        <w:rPr>
          <w:rFonts w:cs="Calibri"/>
          <w:color w:val="414042"/>
          <w:szCs w:val="22"/>
        </w:rPr>
        <w:t>consultancies was $4,534 (ex. GST).</w:t>
      </w:r>
    </w:p>
    <w:p w14:paraId="7D3F95BD" w14:textId="77777777" w:rsidR="00FA4226" w:rsidRPr="00CA2CC1" w:rsidRDefault="00FA4226" w:rsidP="0043303B">
      <w:pPr>
        <w:rPr>
          <w:rFonts w:cs="Calibri"/>
        </w:rPr>
        <w:sectPr w:rsidR="00FA4226" w:rsidRPr="00CA2CC1" w:rsidSect="00E941A5">
          <w:type w:val="continuous"/>
          <w:pgSz w:w="11910" w:h="16840"/>
          <w:pgMar w:top="1134" w:right="1278" w:bottom="1134" w:left="1134" w:header="720" w:footer="720" w:gutter="0"/>
          <w:cols w:space="720"/>
        </w:sectPr>
      </w:pPr>
    </w:p>
    <w:p w14:paraId="06A175F5" w14:textId="77777777" w:rsidR="00FA4226" w:rsidRPr="00CA2CC1" w:rsidRDefault="00FA4226" w:rsidP="0043303B">
      <w:pPr>
        <w:rPr>
          <w:rFonts w:cs="Calibri"/>
          <w:sz w:val="16"/>
        </w:rPr>
        <w:sectPr w:rsidR="00FA4226" w:rsidRPr="00CA2CC1" w:rsidSect="00E941A5">
          <w:type w:val="continuous"/>
          <w:pgSz w:w="11910" w:h="16840"/>
          <w:pgMar w:top="1134" w:right="1278" w:bottom="1134" w:left="1134" w:header="720" w:footer="720" w:gutter="0"/>
          <w:cols w:space="720"/>
        </w:sectPr>
      </w:pPr>
    </w:p>
    <w:p w14:paraId="6F7DF712" w14:textId="77777777" w:rsidR="00FA4226" w:rsidRPr="00CA2CC1" w:rsidRDefault="00000000" w:rsidP="003375C9">
      <w:pPr>
        <w:pStyle w:val="Heading5"/>
      </w:pPr>
      <w:r w:rsidRPr="00CA2CC1">
        <w:lastRenderedPageBreak/>
        <w:t>Consultancy</w:t>
      </w:r>
      <w:r w:rsidRPr="00CA2CC1">
        <w:rPr>
          <w:spacing w:val="-2"/>
        </w:rPr>
        <w:t xml:space="preserve"> expenditure</w:t>
      </w:r>
    </w:p>
    <w:p w14:paraId="4E7C547D" w14:textId="77777777" w:rsidR="00FA4226" w:rsidRPr="00CA2CC1" w:rsidRDefault="00FA4226" w:rsidP="0043303B">
      <w:pPr>
        <w:pStyle w:val="BodyText"/>
        <w:spacing w:before="7"/>
        <w:rPr>
          <w:rFonts w:cs="Calibri"/>
          <w:sz w:val="10"/>
        </w:rPr>
      </w:pPr>
    </w:p>
    <w:tbl>
      <w:tblPr>
        <w:tblW w:w="9632" w:type="dxa"/>
        <w:tblLayout w:type="fixed"/>
        <w:tblCellMar>
          <w:left w:w="0" w:type="dxa"/>
          <w:right w:w="0" w:type="dxa"/>
        </w:tblCellMar>
        <w:tblLook w:val="01E0" w:firstRow="1" w:lastRow="1" w:firstColumn="1" w:lastColumn="1" w:noHBand="0" w:noVBand="0"/>
      </w:tblPr>
      <w:tblGrid>
        <w:gridCol w:w="1757"/>
        <w:gridCol w:w="1757"/>
        <w:gridCol w:w="1133"/>
        <w:gridCol w:w="1133"/>
        <w:gridCol w:w="1284"/>
        <w:gridCol w:w="1284"/>
        <w:gridCol w:w="1284"/>
      </w:tblGrid>
      <w:tr w:rsidR="003375C9" w:rsidRPr="003375C9" w14:paraId="4CD4B24D" w14:textId="77777777" w:rsidTr="00673184">
        <w:trPr>
          <w:trHeight w:val="950"/>
        </w:trPr>
        <w:tc>
          <w:tcPr>
            <w:tcW w:w="1757" w:type="dxa"/>
            <w:tcBorders>
              <w:bottom w:val="single" w:sz="4" w:space="0" w:color="73777A"/>
            </w:tcBorders>
            <w:shd w:val="clear" w:color="auto" w:fill="FCFCFA"/>
            <w:tcMar>
              <w:right w:w="57" w:type="dxa"/>
            </w:tcMar>
            <w:vAlign w:val="bottom"/>
          </w:tcPr>
          <w:p w14:paraId="12C22F48" w14:textId="77777777" w:rsidR="00FA4226" w:rsidRPr="003375C9" w:rsidRDefault="00FA4226" w:rsidP="0043303B">
            <w:pPr>
              <w:pStyle w:val="TableParagraph"/>
              <w:jc w:val="left"/>
              <w:rPr>
                <w:rFonts w:cs="Calibri"/>
                <w:b/>
                <w:bCs/>
                <w:color w:val="000000" w:themeColor="text1"/>
                <w:sz w:val="20"/>
              </w:rPr>
            </w:pPr>
          </w:p>
          <w:p w14:paraId="3E9C97E7" w14:textId="77777777" w:rsidR="00FA4226" w:rsidRPr="003375C9" w:rsidRDefault="00FA4226" w:rsidP="0043303B">
            <w:pPr>
              <w:pStyle w:val="TableParagraph"/>
              <w:spacing w:before="2"/>
              <w:jc w:val="left"/>
              <w:rPr>
                <w:rFonts w:cs="Calibri"/>
                <w:b/>
                <w:bCs/>
                <w:color w:val="000000" w:themeColor="text1"/>
                <w:sz w:val="26"/>
              </w:rPr>
            </w:pPr>
          </w:p>
          <w:p w14:paraId="187C3BFB" w14:textId="77777777" w:rsidR="00FA4226" w:rsidRPr="003375C9" w:rsidRDefault="00000000" w:rsidP="0043303B">
            <w:pPr>
              <w:pStyle w:val="TableParagraph"/>
              <w:spacing w:before="1"/>
              <w:jc w:val="left"/>
              <w:rPr>
                <w:rFonts w:cs="Calibri"/>
                <w:b/>
                <w:bCs/>
                <w:color w:val="000000" w:themeColor="text1"/>
                <w:sz w:val="18"/>
              </w:rPr>
            </w:pPr>
            <w:r w:rsidRPr="003375C9">
              <w:rPr>
                <w:rFonts w:cs="Calibri"/>
                <w:b/>
                <w:bCs/>
                <w:color w:val="000000" w:themeColor="text1"/>
                <w:spacing w:val="-2"/>
                <w:sz w:val="18"/>
              </w:rPr>
              <w:t>Consultant</w:t>
            </w:r>
          </w:p>
        </w:tc>
        <w:tc>
          <w:tcPr>
            <w:tcW w:w="1757" w:type="dxa"/>
            <w:tcBorders>
              <w:bottom w:val="single" w:sz="4" w:space="0" w:color="73777A"/>
            </w:tcBorders>
            <w:tcMar>
              <w:right w:w="57" w:type="dxa"/>
            </w:tcMar>
            <w:vAlign w:val="bottom"/>
          </w:tcPr>
          <w:p w14:paraId="7115D576" w14:textId="77777777" w:rsidR="00FA4226" w:rsidRPr="003375C9" w:rsidRDefault="00FA4226" w:rsidP="0043303B">
            <w:pPr>
              <w:pStyle w:val="TableParagraph"/>
              <w:jc w:val="left"/>
              <w:rPr>
                <w:rFonts w:cs="Calibri"/>
                <w:b/>
                <w:bCs/>
                <w:color w:val="000000" w:themeColor="text1"/>
                <w:sz w:val="20"/>
              </w:rPr>
            </w:pPr>
          </w:p>
          <w:p w14:paraId="6DAB026E" w14:textId="77777777" w:rsidR="00FA4226" w:rsidRPr="003375C9" w:rsidRDefault="00FA4226" w:rsidP="0043303B">
            <w:pPr>
              <w:pStyle w:val="TableParagraph"/>
              <w:spacing w:before="7"/>
              <w:jc w:val="left"/>
              <w:rPr>
                <w:rFonts w:cs="Calibri"/>
                <w:b/>
                <w:bCs/>
                <w:color w:val="000000" w:themeColor="text1"/>
                <w:sz w:val="14"/>
              </w:rPr>
            </w:pPr>
          </w:p>
          <w:p w14:paraId="54892BD2" w14:textId="179B2CDA" w:rsidR="00FA4226" w:rsidRPr="003375C9" w:rsidRDefault="00000000" w:rsidP="0043303B">
            <w:pPr>
              <w:pStyle w:val="TableParagraph"/>
              <w:jc w:val="left"/>
              <w:rPr>
                <w:rFonts w:cs="Calibri"/>
                <w:b/>
                <w:bCs/>
                <w:color w:val="000000" w:themeColor="text1"/>
                <w:sz w:val="18"/>
              </w:rPr>
            </w:pPr>
            <w:r w:rsidRPr="003375C9">
              <w:rPr>
                <w:rFonts w:cs="Calibri"/>
                <w:b/>
                <w:bCs/>
                <w:color w:val="000000" w:themeColor="text1"/>
                <w:spacing w:val="-2"/>
                <w:sz w:val="18"/>
              </w:rPr>
              <w:t xml:space="preserve">Contract </w:t>
            </w:r>
            <w:r w:rsidR="00453302" w:rsidRPr="003375C9">
              <w:rPr>
                <w:rFonts w:cs="Calibri"/>
                <w:b/>
                <w:bCs/>
                <w:color w:val="000000" w:themeColor="text1"/>
                <w:spacing w:val="-2"/>
                <w:sz w:val="18"/>
              </w:rPr>
              <w:br/>
            </w:r>
            <w:r w:rsidRPr="003375C9">
              <w:rPr>
                <w:rFonts w:cs="Calibri"/>
                <w:b/>
                <w:bCs/>
                <w:color w:val="000000" w:themeColor="text1"/>
                <w:spacing w:val="-2"/>
                <w:sz w:val="18"/>
              </w:rPr>
              <w:t>Description</w:t>
            </w:r>
          </w:p>
        </w:tc>
        <w:tc>
          <w:tcPr>
            <w:tcW w:w="1133" w:type="dxa"/>
            <w:tcBorders>
              <w:bottom w:val="single" w:sz="4" w:space="0" w:color="73777A"/>
            </w:tcBorders>
            <w:shd w:val="clear" w:color="auto" w:fill="EDEFF0"/>
            <w:tcMar>
              <w:right w:w="57" w:type="dxa"/>
            </w:tcMar>
            <w:vAlign w:val="bottom"/>
          </w:tcPr>
          <w:p w14:paraId="2D630CDA" w14:textId="77777777" w:rsidR="00FA4226" w:rsidRPr="003375C9" w:rsidRDefault="00FA4226" w:rsidP="0043303B">
            <w:pPr>
              <w:pStyle w:val="TableParagraph"/>
              <w:rPr>
                <w:rFonts w:cs="Calibri"/>
                <w:b/>
                <w:bCs/>
                <w:color w:val="000000" w:themeColor="text1"/>
                <w:sz w:val="20"/>
              </w:rPr>
            </w:pPr>
          </w:p>
          <w:p w14:paraId="4BF0E0CF" w14:textId="77777777" w:rsidR="00FA4226" w:rsidRPr="003375C9" w:rsidRDefault="00FA4226" w:rsidP="0043303B">
            <w:pPr>
              <w:pStyle w:val="TableParagraph"/>
              <w:spacing w:before="2"/>
              <w:rPr>
                <w:rFonts w:cs="Calibri"/>
                <w:b/>
                <w:bCs/>
                <w:color w:val="000000" w:themeColor="text1"/>
                <w:sz w:val="26"/>
              </w:rPr>
            </w:pPr>
          </w:p>
          <w:p w14:paraId="72ED4854" w14:textId="77777777" w:rsidR="00FA4226" w:rsidRPr="003375C9" w:rsidRDefault="00000000" w:rsidP="0043303B">
            <w:pPr>
              <w:pStyle w:val="TableParagraph"/>
              <w:spacing w:before="1"/>
              <w:rPr>
                <w:rFonts w:cs="Calibri"/>
                <w:b/>
                <w:bCs/>
                <w:color w:val="000000" w:themeColor="text1"/>
                <w:sz w:val="18"/>
              </w:rPr>
            </w:pPr>
            <w:r w:rsidRPr="003375C9">
              <w:rPr>
                <w:rFonts w:cs="Calibri"/>
                <w:b/>
                <w:bCs/>
                <w:color w:val="000000" w:themeColor="text1"/>
                <w:sz w:val="18"/>
              </w:rPr>
              <w:t xml:space="preserve">Start </w:t>
            </w:r>
            <w:r w:rsidRPr="003375C9">
              <w:rPr>
                <w:rFonts w:cs="Calibri"/>
                <w:b/>
                <w:bCs/>
                <w:color w:val="000000" w:themeColor="text1"/>
                <w:spacing w:val="-4"/>
                <w:sz w:val="18"/>
              </w:rPr>
              <w:t>Date</w:t>
            </w:r>
          </w:p>
        </w:tc>
        <w:tc>
          <w:tcPr>
            <w:tcW w:w="1133" w:type="dxa"/>
            <w:tcBorders>
              <w:bottom w:val="single" w:sz="4" w:space="0" w:color="73777A"/>
            </w:tcBorders>
            <w:tcMar>
              <w:right w:w="57" w:type="dxa"/>
            </w:tcMar>
            <w:vAlign w:val="bottom"/>
          </w:tcPr>
          <w:p w14:paraId="13FCA445" w14:textId="77777777" w:rsidR="00FA4226" w:rsidRPr="003375C9" w:rsidRDefault="00FA4226" w:rsidP="0043303B">
            <w:pPr>
              <w:pStyle w:val="TableParagraph"/>
              <w:rPr>
                <w:rFonts w:cs="Calibri"/>
                <w:b/>
                <w:bCs/>
                <w:color w:val="000000" w:themeColor="text1"/>
                <w:sz w:val="20"/>
              </w:rPr>
            </w:pPr>
          </w:p>
          <w:p w14:paraId="5E36B82B" w14:textId="77777777" w:rsidR="00FA4226" w:rsidRPr="003375C9" w:rsidRDefault="00FA4226" w:rsidP="0043303B">
            <w:pPr>
              <w:pStyle w:val="TableParagraph"/>
              <w:spacing w:before="2"/>
              <w:rPr>
                <w:rFonts w:cs="Calibri"/>
                <w:b/>
                <w:bCs/>
                <w:color w:val="000000" w:themeColor="text1"/>
                <w:sz w:val="26"/>
              </w:rPr>
            </w:pPr>
          </w:p>
          <w:p w14:paraId="74441FF0" w14:textId="77777777" w:rsidR="00FA4226" w:rsidRPr="003375C9" w:rsidRDefault="00000000" w:rsidP="0043303B">
            <w:pPr>
              <w:pStyle w:val="TableParagraph"/>
              <w:spacing w:before="1"/>
              <w:rPr>
                <w:rFonts w:cs="Calibri"/>
                <w:b/>
                <w:bCs/>
                <w:color w:val="000000" w:themeColor="text1"/>
                <w:sz w:val="18"/>
              </w:rPr>
            </w:pPr>
            <w:r w:rsidRPr="003375C9">
              <w:rPr>
                <w:rFonts w:cs="Calibri"/>
                <w:b/>
                <w:bCs/>
                <w:color w:val="000000" w:themeColor="text1"/>
                <w:sz w:val="18"/>
              </w:rPr>
              <w:t xml:space="preserve">End </w:t>
            </w:r>
            <w:r w:rsidRPr="003375C9">
              <w:rPr>
                <w:rFonts w:cs="Calibri"/>
                <w:b/>
                <w:bCs/>
                <w:color w:val="000000" w:themeColor="text1"/>
                <w:spacing w:val="-4"/>
                <w:sz w:val="18"/>
              </w:rPr>
              <w:t>Date</w:t>
            </w:r>
          </w:p>
        </w:tc>
        <w:tc>
          <w:tcPr>
            <w:tcW w:w="1284" w:type="dxa"/>
            <w:tcBorders>
              <w:bottom w:val="single" w:sz="4" w:space="0" w:color="73777A"/>
            </w:tcBorders>
            <w:shd w:val="clear" w:color="auto" w:fill="EDEFF0"/>
            <w:tcMar>
              <w:right w:w="57" w:type="dxa"/>
            </w:tcMar>
            <w:vAlign w:val="bottom"/>
          </w:tcPr>
          <w:p w14:paraId="719F11BC" w14:textId="6CF67D12" w:rsidR="00FA4226" w:rsidRPr="003375C9" w:rsidRDefault="00000000" w:rsidP="0043303B">
            <w:pPr>
              <w:pStyle w:val="TableParagraph"/>
              <w:spacing w:before="74"/>
              <w:rPr>
                <w:rFonts w:cs="Calibri"/>
                <w:b/>
                <w:bCs/>
                <w:color w:val="000000" w:themeColor="text1"/>
                <w:sz w:val="18"/>
              </w:rPr>
            </w:pPr>
            <w:r w:rsidRPr="003375C9">
              <w:rPr>
                <w:rFonts w:cs="Calibri"/>
                <w:b/>
                <w:bCs/>
                <w:color w:val="000000" w:themeColor="text1"/>
                <w:spacing w:val="-6"/>
                <w:sz w:val="18"/>
              </w:rPr>
              <w:t xml:space="preserve">Total </w:t>
            </w:r>
            <w:r w:rsidRPr="003375C9">
              <w:rPr>
                <w:rFonts w:cs="Calibri"/>
                <w:b/>
                <w:bCs/>
                <w:color w:val="000000" w:themeColor="text1"/>
                <w:spacing w:val="-2"/>
                <w:sz w:val="18"/>
              </w:rPr>
              <w:t xml:space="preserve">Approved </w:t>
            </w:r>
            <w:r w:rsidRPr="003375C9">
              <w:rPr>
                <w:rFonts w:cs="Calibri"/>
                <w:b/>
                <w:bCs/>
                <w:color w:val="000000" w:themeColor="text1"/>
                <w:sz w:val="18"/>
              </w:rPr>
              <w:t xml:space="preserve">Contract </w:t>
            </w:r>
            <w:r w:rsidRPr="003375C9">
              <w:rPr>
                <w:rFonts w:cs="Calibri"/>
                <w:b/>
                <w:bCs/>
                <w:color w:val="000000" w:themeColor="text1"/>
                <w:spacing w:val="-5"/>
                <w:sz w:val="18"/>
              </w:rPr>
              <w:t>Fee</w:t>
            </w:r>
            <w:r w:rsidR="000A0029" w:rsidRPr="003375C9">
              <w:rPr>
                <w:rFonts w:cs="Calibri"/>
                <w:b/>
                <w:bCs/>
                <w:color w:val="000000" w:themeColor="text1"/>
                <w:spacing w:val="-5"/>
                <w:sz w:val="18"/>
              </w:rPr>
              <w:br/>
            </w:r>
            <w:r w:rsidRPr="003375C9">
              <w:rPr>
                <w:rFonts w:cs="Calibri"/>
                <w:b/>
                <w:bCs/>
                <w:color w:val="000000" w:themeColor="text1"/>
                <w:sz w:val="18"/>
              </w:rPr>
              <w:t xml:space="preserve">(ex. </w:t>
            </w:r>
            <w:r w:rsidRPr="003375C9">
              <w:rPr>
                <w:rFonts w:cs="Calibri"/>
                <w:b/>
                <w:bCs/>
                <w:color w:val="000000" w:themeColor="text1"/>
                <w:spacing w:val="-4"/>
                <w:sz w:val="18"/>
              </w:rPr>
              <w:t>GST)</w:t>
            </w:r>
          </w:p>
        </w:tc>
        <w:tc>
          <w:tcPr>
            <w:tcW w:w="1284" w:type="dxa"/>
            <w:tcBorders>
              <w:bottom w:val="single" w:sz="4" w:space="0" w:color="73777A"/>
            </w:tcBorders>
            <w:tcMar>
              <w:right w:w="57" w:type="dxa"/>
            </w:tcMar>
            <w:vAlign w:val="bottom"/>
          </w:tcPr>
          <w:p w14:paraId="7E784351" w14:textId="77777777" w:rsidR="00FA4226" w:rsidRPr="003375C9" w:rsidRDefault="00FA4226" w:rsidP="0043303B">
            <w:pPr>
              <w:pStyle w:val="TableParagraph"/>
              <w:spacing w:before="1"/>
              <w:rPr>
                <w:rFonts w:cs="Calibri"/>
                <w:b/>
                <w:bCs/>
                <w:color w:val="000000" w:themeColor="text1"/>
                <w:sz w:val="17"/>
              </w:rPr>
            </w:pPr>
          </w:p>
          <w:p w14:paraId="66BB7B86" w14:textId="77777777" w:rsidR="00FA4226" w:rsidRPr="003375C9" w:rsidRDefault="00000000" w:rsidP="0043303B">
            <w:pPr>
              <w:pStyle w:val="TableParagraph"/>
              <w:rPr>
                <w:rFonts w:cs="Calibri"/>
                <w:b/>
                <w:bCs/>
                <w:color w:val="000000" w:themeColor="text1"/>
                <w:sz w:val="18"/>
              </w:rPr>
            </w:pPr>
            <w:r w:rsidRPr="003375C9">
              <w:rPr>
                <w:rFonts w:cs="Calibri"/>
                <w:b/>
                <w:bCs/>
                <w:color w:val="000000" w:themeColor="text1"/>
                <w:spacing w:val="-2"/>
                <w:sz w:val="18"/>
              </w:rPr>
              <w:t>Expenditure</w:t>
            </w:r>
          </w:p>
          <w:p w14:paraId="36FF88D8" w14:textId="06EB776B" w:rsidR="00FA4226" w:rsidRPr="003375C9" w:rsidRDefault="00000000" w:rsidP="0043303B">
            <w:pPr>
              <w:pStyle w:val="TableParagraph"/>
              <w:rPr>
                <w:rFonts w:cs="Calibri"/>
                <w:b/>
                <w:bCs/>
                <w:color w:val="000000" w:themeColor="text1"/>
                <w:sz w:val="18"/>
              </w:rPr>
            </w:pPr>
            <w:r w:rsidRPr="003375C9">
              <w:rPr>
                <w:rFonts w:cs="Calibri"/>
                <w:b/>
                <w:bCs/>
                <w:color w:val="000000" w:themeColor="text1"/>
                <w:sz w:val="18"/>
              </w:rPr>
              <w:t>2022-</w:t>
            </w:r>
            <w:r w:rsidRPr="003375C9">
              <w:rPr>
                <w:rFonts w:cs="Calibri"/>
                <w:b/>
                <w:bCs/>
                <w:color w:val="000000" w:themeColor="text1"/>
                <w:spacing w:val="-5"/>
                <w:sz w:val="18"/>
              </w:rPr>
              <w:t>23</w:t>
            </w:r>
            <w:r w:rsidR="000A0029" w:rsidRPr="003375C9">
              <w:rPr>
                <w:rFonts w:cs="Calibri"/>
                <w:b/>
                <w:bCs/>
                <w:color w:val="000000" w:themeColor="text1"/>
                <w:spacing w:val="-5"/>
                <w:sz w:val="18"/>
              </w:rPr>
              <w:br/>
            </w:r>
            <w:r w:rsidRPr="003375C9">
              <w:rPr>
                <w:rFonts w:cs="Calibri"/>
                <w:b/>
                <w:bCs/>
                <w:color w:val="000000" w:themeColor="text1"/>
                <w:sz w:val="18"/>
              </w:rPr>
              <w:t xml:space="preserve">(ex. </w:t>
            </w:r>
            <w:r w:rsidRPr="003375C9">
              <w:rPr>
                <w:rFonts w:cs="Calibri"/>
                <w:b/>
                <w:bCs/>
                <w:color w:val="000000" w:themeColor="text1"/>
                <w:spacing w:val="-4"/>
                <w:sz w:val="18"/>
              </w:rPr>
              <w:t>GST)</w:t>
            </w:r>
          </w:p>
        </w:tc>
        <w:tc>
          <w:tcPr>
            <w:tcW w:w="1284" w:type="dxa"/>
            <w:tcBorders>
              <w:bottom w:val="single" w:sz="4" w:space="0" w:color="73777A"/>
            </w:tcBorders>
            <w:shd w:val="clear" w:color="auto" w:fill="EDEFF0"/>
            <w:tcMar>
              <w:right w:w="57" w:type="dxa"/>
            </w:tcMar>
            <w:vAlign w:val="bottom"/>
          </w:tcPr>
          <w:p w14:paraId="04319513" w14:textId="77777777" w:rsidR="00FA4226" w:rsidRPr="003375C9" w:rsidRDefault="00FA4226" w:rsidP="0043303B">
            <w:pPr>
              <w:pStyle w:val="TableParagraph"/>
              <w:spacing w:before="1"/>
              <w:rPr>
                <w:rFonts w:cs="Calibri"/>
                <w:b/>
                <w:bCs/>
                <w:color w:val="000000" w:themeColor="text1"/>
                <w:sz w:val="20"/>
              </w:rPr>
            </w:pPr>
          </w:p>
          <w:p w14:paraId="7D309BC4" w14:textId="6FE5399E" w:rsidR="00FA4226" w:rsidRPr="003375C9" w:rsidRDefault="00000000" w:rsidP="0043303B">
            <w:pPr>
              <w:pStyle w:val="TableParagraph"/>
              <w:rPr>
                <w:rFonts w:cs="Calibri"/>
                <w:b/>
                <w:bCs/>
                <w:color w:val="000000" w:themeColor="text1"/>
                <w:sz w:val="18"/>
              </w:rPr>
            </w:pPr>
            <w:r w:rsidRPr="003375C9">
              <w:rPr>
                <w:rFonts w:cs="Calibri"/>
                <w:b/>
                <w:bCs/>
                <w:color w:val="000000" w:themeColor="text1"/>
                <w:spacing w:val="-2"/>
                <w:sz w:val="18"/>
              </w:rPr>
              <w:t xml:space="preserve">Future Expenditure </w:t>
            </w:r>
            <w:r w:rsidR="000A0029" w:rsidRPr="003375C9">
              <w:rPr>
                <w:rFonts w:cs="Calibri"/>
                <w:b/>
                <w:bCs/>
                <w:color w:val="000000" w:themeColor="text1"/>
                <w:spacing w:val="-2"/>
                <w:sz w:val="18"/>
              </w:rPr>
              <w:br/>
            </w:r>
            <w:r w:rsidRPr="003375C9">
              <w:rPr>
                <w:rFonts w:cs="Calibri"/>
                <w:b/>
                <w:bCs/>
                <w:color w:val="000000" w:themeColor="text1"/>
                <w:sz w:val="18"/>
              </w:rPr>
              <w:t>(ex. GST)</w:t>
            </w:r>
          </w:p>
        </w:tc>
      </w:tr>
      <w:tr w:rsidR="00FA4226" w:rsidRPr="00CA2CC1" w14:paraId="2B0A8E3E" w14:textId="77777777" w:rsidTr="000A0029">
        <w:trPr>
          <w:trHeight w:val="561"/>
        </w:trPr>
        <w:tc>
          <w:tcPr>
            <w:tcW w:w="1757" w:type="dxa"/>
            <w:tcBorders>
              <w:top w:val="single" w:sz="4" w:space="0" w:color="73777A"/>
              <w:bottom w:val="single" w:sz="4" w:space="0" w:color="73777A"/>
            </w:tcBorders>
            <w:shd w:val="clear" w:color="auto" w:fill="FCFCFA"/>
            <w:tcMar>
              <w:right w:w="57" w:type="dxa"/>
            </w:tcMar>
          </w:tcPr>
          <w:p w14:paraId="16C916CE" w14:textId="77777777" w:rsidR="00FA4226" w:rsidRPr="00CA2CC1" w:rsidRDefault="00000000" w:rsidP="0043303B">
            <w:pPr>
              <w:pStyle w:val="TableParagraph"/>
              <w:spacing w:before="118"/>
              <w:jc w:val="left"/>
              <w:rPr>
                <w:rFonts w:cs="Calibri"/>
                <w:sz w:val="17"/>
              </w:rPr>
            </w:pPr>
            <w:r w:rsidRPr="00CA2CC1">
              <w:rPr>
                <w:rFonts w:cs="Calibri"/>
                <w:color w:val="414042"/>
                <w:sz w:val="17"/>
              </w:rPr>
              <w:t>MOVEMENT &amp; PLACE</w:t>
            </w:r>
            <w:r w:rsidRPr="00CA2CC1">
              <w:rPr>
                <w:rFonts w:cs="Calibri"/>
                <w:color w:val="414042"/>
                <w:spacing w:val="-12"/>
                <w:sz w:val="17"/>
              </w:rPr>
              <w:t xml:space="preserve"> </w:t>
            </w:r>
            <w:r w:rsidRPr="00CA2CC1">
              <w:rPr>
                <w:rFonts w:cs="Calibri"/>
                <w:color w:val="414042"/>
                <w:sz w:val="17"/>
              </w:rPr>
              <w:t>PTY</w:t>
            </w:r>
            <w:r w:rsidRPr="00CA2CC1">
              <w:rPr>
                <w:rFonts w:cs="Calibri"/>
                <w:color w:val="414042"/>
                <w:spacing w:val="-12"/>
                <w:sz w:val="17"/>
              </w:rPr>
              <w:t xml:space="preserve"> </w:t>
            </w:r>
            <w:r w:rsidRPr="00CA2CC1">
              <w:rPr>
                <w:rFonts w:cs="Calibri"/>
                <w:color w:val="414042"/>
                <w:sz w:val="17"/>
              </w:rPr>
              <w:t>LTD</w:t>
            </w:r>
          </w:p>
        </w:tc>
        <w:tc>
          <w:tcPr>
            <w:tcW w:w="1757" w:type="dxa"/>
            <w:tcBorders>
              <w:top w:val="single" w:sz="4" w:space="0" w:color="73777A"/>
              <w:bottom w:val="single" w:sz="4" w:space="0" w:color="73777A"/>
            </w:tcBorders>
            <w:tcMar>
              <w:right w:w="57" w:type="dxa"/>
            </w:tcMar>
          </w:tcPr>
          <w:p w14:paraId="3B7CA6B7" w14:textId="77777777" w:rsidR="00FA4226" w:rsidRPr="00CA2CC1" w:rsidRDefault="00000000" w:rsidP="0043303B">
            <w:pPr>
              <w:pStyle w:val="TableParagraph"/>
              <w:spacing w:before="118"/>
              <w:jc w:val="left"/>
              <w:rPr>
                <w:rFonts w:cs="Calibri"/>
                <w:sz w:val="17"/>
              </w:rPr>
            </w:pPr>
            <w:r w:rsidRPr="00CA2CC1">
              <w:rPr>
                <w:rFonts w:cs="Calibri"/>
                <w:color w:val="414042"/>
                <w:sz w:val="17"/>
              </w:rPr>
              <w:t>Better</w:t>
            </w:r>
            <w:r w:rsidRPr="00CA2CC1">
              <w:rPr>
                <w:rFonts w:cs="Calibri"/>
                <w:color w:val="414042"/>
                <w:spacing w:val="-12"/>
                <w:sz w:val="17"/>
              </w:rPr>
              <w:t xml:space="preserve"> </w:t>
            </w:r>
            <w:r w:rsidRPr="00CA2CC1">
              <w:rPr>
                <w:rFonts w:cs="Calibri"/>
                <w:color w:val="414042"/>
                <w:sz w:val="17"/>
              </w:rPr>
              <w:t xml:space="preserve">buses </w:t>
            </w:r>
            <w:r w:rsidRPr="00CA2CC1">
              <w:rPr>
                <w:rFonts w:cs="Calibri"/>
                <w:color w:val="414042"/>
                <w:spacing w:val="-2"/>
                <w:sz w:val="17"/>
              </w:rPr>
              <w:t>research</w:t>
            </w:r>
          </w:p>
        </w:tc>
        <w:tc>
          <w:tcPr>
            <w:tcW w:w="1133" w:type="dxa"/>
            <w:tcBorders>
              <w:top w:val="single" w:sz="4" w:space="0" w:color="73777A"/>
              <w:bottom w:val="single" w:sz="4" w:space="0" w:color="73777A"/>
            </w:tcBorders>
            <w:shd w:val="clear" w:color="auto" w:fill="EDEFF0"/>
            <w:tcMar>
              <w:right w:w="57" w:type="dxa"/>
            </w:tcMar>
          </w:tcPr>
          <w:p w14:paraId="38149811" w14:textId="77777777" w:rsidR="00FA4226" w:rsidRPr="00CA2CC1" w:rsidRDefault="00000000" w:rsidP="0043303B">
            <w:pPr>
              <w:pStyle w:val="TableParagraph"/>
              <w:spacing w:before="88"/>
              <w:rPr>
                <w:rFonts w:cs="Calibri"/>
                <w:sz w:val="17"/>
              </w:rPr>
            </w:pPr>
            <w:r w:rsidRPr="00CA2CC1">
              <w:rPr>
                <w:rFonts w:cs="Calibri"/>
                <w:color w:val="414042"/>
                <w:spacing w:val="-4"/>
                <w:sz w:val="17"/>
              </w:rPr>
              <w:t>Mar-</w:t>
            </w:r>
            <w:r w:rsidRPr="00CA2CC1">
              <w:rPr>
                <w:rFonts w:cs="Calibri"/>
                <w:color w:val="414042"/>
                <w:spacing w:val="-5"/>
                <w:sz w:val="17"/>
              </w:rPr>
              <w:t>22</w:t>
            </w:r>
          </w:p>
        </w:tc>
        <w:tc>
          <w:tcPr>
            <w:tcW w:w="1133" w:type="dxa"/>
            <w:tcBorders>
              <w:top w:val="single" w:sz="4" w:space="0" w:color="73777A"/>
              <w:bottom w:val="single" w:sz="4" w:space="0" w:color="73777A"/>
            </w:tcBorders>
            <w:tcMar>
              <w:right w:w="57" w:type="dxa"/>
            </w:tcMar>
          </w:tcPr>
          <w:p w14:paraId="091A9900" w14:textId="77777777" w:rsidR="00FA4226" w:rsidRPr="00CA2CC1" w:rsidRDefault="00000000" w:rsidP="0043303B">
            <w:pPr>
              <w:pStyle w:val="TableParagraph"/>
              <w:spacing w:before="88"/>
              <w:rPr>
                <w:rFonts w:cs="Calibri"/>
                <w:sz w:val="17"/>
              </w:rPr>
            </w:pPr>
            <w:r w:rsidRPr="00CA2CC1">
              <w:rPr>
                <w:rFonts w:cs="Calibri"/>
                <w:color w:val="414042"/>
                <w:spacing w:val="-2"/>
                <w:sz w:val="17"/>
              </w:rPr>
              <w:t>Jul-</w:t>
            </w:r>
            <w:r w:rsidRPr="00CA2CC1">
              <w:rPr>
                <w:rFonts w:cs="Calibri"/>
                <w:color w:val="414042"/>
                <w:spacing w:val="-5"/>
                <w:sz w:val="17"/>
              </w:rPr>
              <w:t>23</w:t>
            </w:r>
          </w:p>
        </w:tc>
        <w:tc>
          <w:tcPr>
            <w:tcW w:w="1284" w:type="dxa"/>
            <w:tcBorders>
              <w:top w:val="single" w:sz="4" w:space="0" w:color="73777A"/>
              <w:bottom w:val="single" w:sz="4" w:space="0" w:color="73777A"/>
            </w:tcBorders>
            <w:shd w:val="clear" w:color="auto" w:fill="EDEFF0"/>
            <w:tcMar>
              <w:right w:w="57" w:type="dxa"/>
            </w:tcMar>
          </w:tcPr>
          <w:p w14:paraId="5C6C39CA" w14:textId="77777777" w:rsidR="00FA4226" w:rsidRPr="00CA2CC1" w:rsidRDefault="00000000" w:rsidP="0043303B">
            <w:pPr>
              <w:pStyle w:val="TableParagraph"/>
              <w:spacing w:before="88"/>
              <w:rPr>
                <w:rFonts w:cs="Calibri"/>
                <w:sz w:val="17"/>
              </w:rPr>
            </w:pPr>
            <w:r w:rsidRPr="00CA2CC1">
              <w:rPr>
                <w:rFonts w:cs="Calibri"/>
                <w:color w:val="414042"/>
                <w:spacing w:val="-2"/>
                <w:sz w:val="17"/>
              </w:rPr>
              <w:t>$15,000</w:t>
            </w:r>
          </w:p>
        </w:tc>
        <w:tc>
          <w:tcPr>
            <w:tcW w:w="1284" w:type="dxa"/>
            <w:tcBorders>
              <w:top w:val="single" w:sz="4" w:space="0" w:color="73777A"/>
              <w:bottom w:val="single" w:sz="4" w:space="0" w:color="73777A"/>
            </w:tcBorders>
            <w:tcMar>
              <w:right w:w="57" w:type="dxa"/>
            </w:tcMar>
          </w:tcPr>
          <w:p w14:paraId="3EF1DB57" w14:textId="77777777" w:rsidR="00FA4226" w:rsidRPr="00CA2CC1" w:rsidRDefault="00000000" w:rsidP="0043303B">
            <w:pPr>
              <w:pStyle w:val="TableParagraph"/>
              <w:spacing w:before="88"/>
              <w:rPr>
                <w:rFonts w:cs="Calibri"/>
                <w:sz w:val="17"/>
              </w:rPr>
            </w:pPr>
            <w:r w:rsidRPr="00CA2CC1">
              <w:rPr>
                <w:rFonts w:cs="Calibri"/>
                <w:color w:val="414042"/>
                <w:spacing w:val="-2"/>
                <w:sz w:val="17"/>
              </w:rPr>
              <w:t>$15,000</w:t>
            </w:r>
          </w:p>
        </w:tc>
        <w:tc>
          <w:tcPr>
            <w:tcW w:w="1284" w:type="dxa"/>
            <w:tcBorders>
              <w:top w:val="single" w:sz="4" w:space="0" w:color="73777A"/>
              <w:bottom w:val="single" w:sz="4" w:space="0" w:color="73777A"/>
            </w:tcBorders>
            <w:shd w:val="clear" w:color="auto" w:fill="EDEFF0"/>
            <w:tcMar>
              <w:right w:w="57" w:type="dxa"/>
            </w:tcMar>
          </w:tcPr>
          <w:p w14:paraId="5F787417" w14:textId="77777777" w:rsidR="00FA4226" w:rsidRPr="00CA2CC1" w:rsidRDefault="00000000" w:rsidP="0043303B">
            <w:pPr>
              <w:pStyle w:val="TableParagraph"/>
              <w:spacing w:before="88"/>
              <w:rPr>
                <w:rFonts w:cs="Calibri"/>
                <w:sz w:val="17"/>
              </w:rPr>
            </w:pPr>
            <w:r w:rsidRPr="00CA2CC1">
              <w:rPr>
                <w:rFonts w:cs="Calibri"/>
                <w:color w:val="414042"/>
                <w:spacing w:val="-5"/>
                <w:sz w:val="17"/>
              </w:rPr>
              <w:t>$0</w:t>
            </w:r>
          </w:p>
        </w:tc>
      </w:tr>
      <w:tr w:rsidR="00FA4226" w:rsidRPr="00CA2CC1" w14:paraId="072B78CD" w14:textId="77777777" w:rsidTr="000A0029">
        <w:trPr>
          <w:trHeight w:val="738"/>
        </w:trPr>
        <w:tc>
          <w:tcPr>
            <w:tcW w:w="1757" w:type="dxa"/>
            <w:tcBorders>
              <w:top w:val="single" w:sz="4" w:space="0" w:color="73777A"/>
              <w:bottom w:val="single" w:sz="4" w:space="0" w:color="73777A"/>
            </w:tcBorders>
            <w:shd w:val="clear" w:color="auto" w:fill="FCFCFA"/>
            <w:tcMar>
              <w:right w:w="57" w:type="dxa"/>
            </w:tcMar>
          </w:tcPr>
          <w:p w14:paraId="4EFFABFA" w14:textId="77777777" w:rsidR="00FA4226" w:rsidRPr="00CA2CC1" w:rsidRDefault="00000000" w:rsidP="0043303B">
            <w:pPr>
              <w:pStyle w:val="TableParagraph"/>
              <w:spacing w:before="61"/>
              <w:jc w:val="left"/>
              <w:rPr>
                <w:rFonts w:cs="Calibri"/>
                <w:sz w:val="17"/>
              </w:rPr>
            </w:pPr>
            <w:r w:rsidRPr="00CA2CC1">
              <w:rPr>
                <w:rFonts w:cs="Calibri"/>
                <w:color w:val="414042"/>
                <w:spacing w:val="-2"/>
                <w:sz w:val="17"/>
              </w:rPr>
              <w:t>QUANTUM MARKET RESEARCH</w:t>
            </w:r>
          </w:p>
        </w:tc>
        <w:tc>
          <w:tcPr>
            <w:tcW w:w="1757" w:type="dxa"/>
            <w:tcBorders>
              <w:top w:val="single" w:sz="4" w:space="0" w:color="73777A"/>
              <w:bottom w:val="single" w:sz="4" w:space="0" w:color="73777A"/>
            </w:tcBorders>
            <w:tcMar>
              <w:right w:w="57" w:type="dxa"/>
            </w:tcMar>
          </w:tcPr>
          <w:p w14:paraId="41756C4A" w14:textId="77777777" w:rsidR="00FA4226" w:rsidRPr="00CA2CC1" w:rsidRDefault="00000000" w:rsidP="0043303B">
            <w:pPr>
              <w:pStyle w:val="TableParagraph"/>
              <w:spacing w:before="61"/>
              <w:jc w:val="left"/>
              <w:rPr>
                <w:rFonts w:cs="Calibri"/>
                <w:sz w:val="17"/>
              </w:rPr>
            </w:pPr>
            <w:r w:rsidRPr="00CA2CC1">
              <w:rPr>
                <w:rFonts w:cs="Calibri"/>
                <w:color w:val="414042"/>
                <w:sz w:val="17"/>
              </w:rPr>
              <w:t xml:space="preserve">Better buses </w:t>
            </w:r>
            <w:r w:rsidRPr="00CA2CC1">
              <w:rPr>
                <w:rFonts w:cs="Calibri"/>
                <w:color w:val="414042"/>
                <w:spacing w:val="-2"/>
                <w:sz w:val="17"/>
              </w:rPr>
              <w:t>community</w:t>
            </w:r>
            <w:r w:rsidRPr="00CA2CC1">
              <w:rPr>
                <w:rFonts w:cs="Calibri"/>
                <w:color w:val="414042"/>
                <w:spacing w:val="-10"/>
                <w:sz w:val="17"/>
              </w:rPr>
              <w:t xml:space="preserve"> </w:t>
            </w:r>
            <w:r w:rsidRPr="00CA2CC1">
              <w:rPr>
                <w:rFonts w:cs="Calibri"/>
                <w:color w:val="414042"/>
                <w:spacing w:val="-2"/>
                <w:sz w:val="17"/>
              </w:rPr>
              <w:t>research</w:t>
            </w:r>
          </w:p>
        </w:tc>
        <w:tc>
          <w:tcPr>
            <w:tcW w:w="1133" w:type="dxa"/>
            <w:tcBorders>
              <w:top w:val="single" w:sz="4" w:space="0" w:color="73777A"/>
              <w:bottom w:val="single" w:sz="4" w:space="0" w:color="73777A"/>
            </w:tcBorders>
            <w:shd w:val="clear" w:color="auto" w:fill="EDEFF0"/>
            <w:tcMar>
              <w:right w:w="57" w:type="dxa"/>
            </w:tcMar>
          </w:tcPr>
          <w:p w14:paraId="50C81DE3" w14:textId="77777777" w:rsidR="00FA4226" w:rsidRPr="00CA2CC1" w:rsidRDefault="00000000" w:rsidP="0043303B">
            <w:pPr>
              <w:pStyle w:val="TableParagraph"/>
              <w:spacing w:before="31"/>
              <w:rPr>
                <w:rFonts w:cs="Calibri"/>
                <w:sz w:val="17"/>
              </w:rPr>
            </w:pPr>
            <w:r w:rsidRPr="00CA2CC1">
              <w:rPr>
                <w:rFonts w:cs="Calibri"/>
                <w:color w:val="414042"/>
                <w:spacing w:val="-2"/>
                <w:sz w:val="17"/>
              </w:rPr>
              <w:t>Oct-</w:t>
            </w:r>
            <w:r w:rsidRPr="00CA2CC1">
              <w:rPr>
                <w:rFonts w:cs="Calibri"/>
                <w:color w:val="414042"/>
                <w:spacing w:val="-5"/>
                <w:sz w:val="17"/>
              </w:rPr>
              <w:t>22</w:t>
            </w:r>
          </w:p>
        </w:tc>
        <w:tc>
          <w:tcPr>
            <w:tcW w:w="1133" w:type="dxa"/>
            <w:tcBorders>
              <w:top w:val="single" w:sz="4" w:space="0" w:color="73777A"/>
              <w:bottom w:val="single" w:sz="4" w:space="0" w:color="73777A"/>
            </w:tcBorders>
            <w:tcMar>
              <w:right w:w="57" w:type="dxa"/>
            </w:tcMar>
          </w:tcPr>
          <w:p w14:paraId="282F607D" w14:textId="77777777" w:rsidR="00FA4226" w:rsidRPr="00CA2CC1" w:rsidRDefault="00000000" w:rsidP="0043303B">
            <w:pPr>
              <w:pStyle w:val="TableParagraph"/>
              <w:spacing w:before="31"/>
              <w:rPr>
                <w:rFonts w:cs="Calibri"/>
                <w:sz w:val="17"/>
              </w:rPr>
            </w:pPr>
            <w:r w:rsidRPr="00CA2CC1">
              <w:rPr>
                <w:rFonts w:cs="Calibri"/>
                <w:color w:val="414042"/>
                <w:spacing w:val="-4"/>
                <w:sz w:val="17"/>
              </w:rPr>
              <w:t>Mar-</w:t>
            </w:r>
            <w:r w:rsidRPr="00CA2CC1">
              <w:rPr>
                <w:rFonts w:cs="Calibri"/>
                <w:color w:val="414042"/>
                <w:spacing w:val="-5"/>
                <w:sz w:val="17"/>
              </w:rPr>
              <w:t>23</w:t>
            </w:r>
          </w:p>
        </w:tc>
        <w:tc>
          <w:tcPr>
            <w:tcW w:w="1284" w:type="dxa"/>
            <w:tcBorders>
              <w:top w:val="single" w:sz="4" w:space="0" w:color="73777A"/>
              <w:bottom w:val="single" w:sz="4" w:space="0" w:color="73777A"/>
            </w:tcBorders>
            <w:shd w:val="clear" w:color="auto" w:fill="EDEFF0"/>
            <w:tcMar>
              <w:right w:w="57" w:type="dxa"/>
            </w:tcMar>
          </w:tcPr>
          <w:p w14:paraId="3C9558C7" w14:textId="77777777" w:rsidR="00FA4226" w:rsidRPr="00CA2CC1" w:rsidRDefault="00000000" w:rsidP="0043303B">
            <w:pPr>
              <w:pStyle w:val="TableParagraph"/>
              <w:spacing w:before="31"/>
              <w:rPr>
                <w:rFonts w:cs="Calibri"/>
                <w:sz w:val="17"/>
              </w:rPr>
            </w:pPr>
            <w:r w:rsidRPr="00CA2CC1">
              <w:rPr>
                <w:rFonts w:cs="Calibri"/>
                <w:color w:val="414042"/>
                <w:spacing w:val="-2"/>
                <w:sz w:val="17"/>
              </w:rPr>
              <w:t>$1,147,940</w:t>
            </w:r>
          </w:p>
        </w:tc>
        <w:tc>
          <w:tcPr>
            <w:tcW w:w="1284" w:type="dxa"/>
            <w:tcBorders>
              <w:top w:val="single" w:sz="4" w:space="0" w:color="73777A"/>
              <w:bottom w:val="single" w:sz="4" w:space="0" w:color="73777A"/>
            </w:tcBorders>
            <w:tcMar>
              <w:right w:w="57" w:type="dxa"/>
            </w:tcMar>
          </w:tcPr>
          <w:p w14:paraId="487B9B11" w14:textId="77777777" w:rsidR="00FA4226" w:rsidRPr="00CA2CC1" w:rsidRDefault="00000000" w:rsidP="0043303B">
            <w:pPr>
              <w:pStyle w:val="TableParagraph"/>
              <w:spacing w:before="31"/>
              <w:rPr>
                <w:rFonts w:cs="Calibri"/>
                <w:sz w:val="17"/>
              </w:rPr>
            </w:pPr>
            <w:r w:rsidRPr="00CA2CC1">
              <w:rPr>
                <w:rFonts w:cs="Calibri"/>
                <w:color w:val="414042"/>
                <w:spacing w:val="-2"/>
                <w:sz w:val="17"/>
              </w:rPr>
              <w:t>$114,939</w:t>
            </w:r>
          </w:p>
        </w:tc>
        <w:tc>
          <w:tcPr>
            <w:tcW w:w="1284" w:type="dxa"/>
            <w:tcBorders>
              <w:top w:val="single" w:sz="4" w:space="0" w:color="73777A"/>
              <w:bottom w:val="single" w:sz="4" w:space="0" w:color="73777A"/>
            </w:tcBorders>
            <w:shd w:val="clear" w:color="auto" w:fill="EDEFF0"/>
            <w:tcMar>
              <w:right w:w="57" w:type="dxa"/>
            </w:tcMar>
          </w:tcPr>
          <w:p w14:paraId="48F8ADAC" w14:textId="77777777" w:rsidR="00FA4226" w:rsidRPr="00CA2CC1" w:rsidRDefault="00000000" w:rsidP="0043303B">
            <w:pPr>
              <w:pStyle w:val="TableParagraph"/>
              <w:spacing w:before="31"/>
              <w:rPr>
                <w:rFonts w:cs="Calibri"/>
                <w:sz w:val="17"/>
              </w:rPr>
            </w:pPr>
            <w:r w:rsidRPr="00CA2CC1">
              <w:rPr>
                <w:rFonts w:cs="Calibri"/>
                <w:color w:val="414042"/>
                <w:spacing w:val="-5"/>
                <w:sz w:val="17"/>
              </w:rPr>
              <w:t>$0</w:t>
            </w:r>
          </w:p>
        </w:tc>
      </w:tr>
      <w:tr w:rsidR="00FA4226" w:rsidRPr="00CA2CC1" w14:paraId="2F10D10B" w14:textId="77777777" w:rsidTr="000A0029">
        <w:trPr>
          <w:trHeight w:val="538"/>
        </w:trPr>
        <w:tc>
          <w:tcPr>
            <w:tcW w:w="1757" w:type="dxa"/>
            <w:tcBorders>
              <w:top w:val="single" w:sz="4" w:space="0" w:color="73777A"/>
              <w:bottom w:val="single" w:sz="4" w:space="0" w:color="73777A"/>
            </w:tcBorders>
            <w:shd w:val="clear" w:color="auto" w:fill="FCFCFA"/>
            <w:tcMar>
              <w:right w:w="57" w:type="dxa"/>
            </w:tcMar>
          </w:tcPr>
          <w:p w14:paraId="29C617BB" w14:textId="77777777" w:rsidR="00FA4226" w:rsidRPr="00CA2CC1" w:rsidRDefault="00000000" w:rsidP="0043303B">
            <w:pPr>
              <w:pStyle w:val="TableParagraph"/>
              <w:spacing w:before="61"/>
              <w:jc w:val="left"/>
              <w:rPr>
                <w:rFonts w:cs="Calibri"/>
                <w:sz w:val="17"/>
              </w:rPr>
            </w:pPr>
            <w:r w:rsidRPr="00CA2CC1">
              <w:rPr>
                <w:rFonts w:cs="Calibri"/>
                <w:color w:val="414042"/>
                <w:sz w:val="17"/>
              </w:rPr>
              <w:t>WSP</w:t>
            </w:r>
            <w:r w:rsidRPr="00CA2CC1">
              <w:rPr>
                <w:rFonts w:cs="Calibri"/>
                <w:color w:val="414042"/>
                <w:spacing w:val="-12"/>
                <w:sz w:val="17"/>
              </w:rPr>
              <w:t xml:space="preserve"> </w:t>
            </w:r>
            <w:r w:rsidRPr="00CA2CC1">
              <w:rPr>
                <w:rFonts w:cs="Calibri"/>
                <w:color w:val="414042"/>
                <w:sz w:val="17"/>
              </w:rPr>
              <w:t>AUSTRALIA PTY LIMITED</w:t>
            </w:r>
          </w:p>
        </w:tc>
        <w:tc>
          <w:tcPr>
            <w:tcW w:w="1757" w:type="dxa"/>
            <w:tcBorders>
              <w:top w:val="single" w:sz="4" w:space="0" w:color="73777A"/>
              <w:bottom w:val="single" w:sz="4" w:space="0" w:color="73777A"/>
            </w:tcBorders>
            <w:tcMar>
              <w:right w:w="57" w:type="dxa"/>
            </w:tcMar>
          </w:tcPr>
          <w:p w14:paraId="2F8930CF" w14:textId="77777777" w:rsidR="00FA4226" w:rsidRPr="00CA2CC1" w:rsidRDefault="00000000" w:rsidP="0043303B">
            <w:pPr>
              <w:pStyle w:val="TableParagraph"/>
              <w:spacing w:before="61"/>
              <w:jc w:val="left"/>
              <w:rPr>
                <w:rFonts w:cs="Calibri"/>
                <w:sz w:val="17"/>
              </w:rPr>
            </w:pPr>
            <w:r w:rsidRPr="00CA2CC1">
              <w:rPr>
                <w:rFonts w:cs="Calibri"/>
                <w:color w:val="414042"/>
                <w:sz w:val="17"/>
              </w:rPr>
              <w:t>Better</w:t>
            </w:r>
            <w:r w:rsidRPr="00CA2CC1">
              <w:rPr>
                <w:rFonts w:cs="Calibri"/>
                <w:color w:val="414042"/>
                <w:spacing w:val="-12"/>
                <w:sz w:val="17"/>
              </w:rPr>
              <w:t xml:space="preserve"> </w:t>
            </w:r>
            <w:r w:rsidRPr="00CA2CC1">
              <w:rPr>
                <w:rFonts w:cs="Calibri"/>
                <w:color w:val="414042"/>
                <w:sz w:val="17"/>
              </w:rPr>
              <w:t>buses peer review</w:t>
            </w:r>
          </w:p>
        </w:tc>
        <w:tc>
          <w:tcPr>
            <w:tcW w:w="1133" w:type="dxa"/>
            <w:tcBorders>
              <w:top w:val="single" w:sz="4" w:space="0" w:color="73777A"/>
              <w:bottom w:val="single" w:sz="4" w:space="0" w:color="73777A"/>
            </w:tcBorders>
            <w:shd w:val="clear" w:color="auto" w:fill="EDEFF0"/>
            <w:tcMar>
              <w:right w:w="57" w:type="dxa"/>
            </w:tcMar>
          </w:tcPr>
          <w:p w14:paraId="3D2240CD" w14:textId="77777777" w:rsidR="00FA4226" w:rsidRPr="00CA2CC1" w:rsidRDefault="00000000" w:rsidP="0043303B">
            <w:pPr>
              <w:pStyle w:val="TableParagraph"/>
              <w:spacing w:before="31"/>
              <w:rPr>
                <w:rFonts w:cs="Calibri"/>
                <w:sz w:val="17"/>
              </w:rPr>
            </w:pPr>
            <w:r w:rsidRPr="00CA2CC1">
              <w:rPr>
                <w:rFonts w:cs="Calibri"/>
                <w:color w:val="414042"/>
                <w:spacing w:val="-4"/>
                <w:sz w:val="17"/>
              </w:rPr>
              <w:t>Mar-</w:t>
            </w:r>
            <w:r w:rsidRPr="00CA2CC1">
              <w:rPr>
                <w:rFonts w:cs="Calibri"/>
                <w:color w:val="414042"/>
                <w:spacing w:val="-5"/>
                <w:sz w:val="17"/>
              </w:rPr>
              <w:t>22</w:t>
            </w:r>
          </w:p>
        </w:tc>
        <w:tc>
          <w:tcPr>
            <w:tcW w:w="1133" w:type="dxa"/>
            <w:tcBorders>
              <w:top w:val="single" w:sz="4" w:space="0" w:color="73777A"/>
              <w:bottom w:val="single" w:sz="4" w:space="0" w:color="73777A"/>
            </w:tcBorders>
            <w:tcMar>
              <w:right w:w="57" w:type="dxa"/>
            </w:tcMar>
          </w:tcPr>
          <w:p w14:paraId="661CDCE0" w14:textId="77777777" w:rsidR="00FA4226" w:rsidRPr="00CA2CC1" w:rsidRDefault="00000000" w:rsidP="0043303B">
            <w:pPr>
              <w:pStyle w:val="TableParagraph"/>
              <w:spacing w:before="31"/>
              <w:rPr>
                <w:rFonts w:cs="Calibri"/>
                <w:sz w:val="17"/>
              </w:rPr>
            </w:pPr>
            <w:r w:rsidRPr="00CA2CC1">
              <w:rPr>
                <w:rFonts w:cs="Calibri"/>
                <w:color w:val="414042"/>
                <w:spacing w:val="-2"/>
                <w:sz w:val="17"/>
              </w:rPr>
              <w:t>Jul-</w:t>
            </w:r>
            <w:r w:rsidRPr="00CA2CC1">
              <w:rPr>
                <w:rFonts w:cs="Calibri"/>
                <w:color w:val="414042"/>
                <w:spacing w:val="-5"/>
                <w:sz w:val="17"/>
              </w:rPr>
              <w:t>22</w:t>
            </w:r>
          </w:p>
        </w:tc>
        <w:tc>
          <w:tcPr>
            <w:tcW w:w="1284" w:type="dxa"/>
            <w:tcBorders>
              <w:top w:val="single" w:sz="4" w:space="0" w:color="73777A"/>
              <w:bottom w:val="single" w:sz="4" w:space="0" w:color="73777A"/>
            </w:tcBorders>
            <w:shd w:val="clear" w:color="auto" w:fill="EDEFF0"/>
            <w:tcMar>
              <w:right w:w="57" w:type="dxa"/>
            </w:tcMar>
          </w:tcPr>
          <w:p w14:paraId="7C52667F" w14:textId="77777777" w:rsidR="00FA4226" w:rsidRPr="00CA2CC1" w:rsidRDefault="00000000" w:rsidP="0043303B">
            <w:pPr>
              <w:pStyle w:val="TableParagraph"/>
              <w:spacing w:before="31"/>
              <w:rPr>
                <w:rFonts w:cs="Calibri"/>
                <w:sz w:val="17"/>
              </w:rPr>
            </w:pPr>
            <w:r w:rsidRPr="00CA2CC1">
              <w:rPr>
                <w:rFonts w:cs="Calibri"/>
                <w:color w:val="414042"/>
                <w:spacing w:val="-2"/>
                <w:sz w:val="17"/>
              </w:rPr>
              <w:t>$15,000</w:t>
            </w:r>
          </w:p>
        </w:tc>
        <w:tc>
          <w:tcPr>
            <w:tcW w:w="1284" w:type="dxa"/>
            <w:tcBorders>
              <w:top w:val="single" w:sz="4" w:space="0" w:color="73777A"/>
              <w:bottom w:val="single" w:sz="4" w:space="0" w:color="73777A"/>
            </w:tcBorders>
            <w:tcMar>
              <w:right w:w="57" w:type="dxa"/>
            </w:tcMar>
          </w:tcPr>
          <w:p w14:paraId="00331046" w14:textId="77777777" w:rsidR="00FA4226" w:rsidRPr="00CA2CC1" w:rsidRDefault="00000000" w:rsidP="0043303B">
            <w:pPr>
              <w:pStyle w:val="TableParagraph"/>
              <w:spacing w:before="31"/>
              <w:rPr>
                <w:rFonts w:cs="Calibri"/>
                <w:sz w:val="17"/>
              </w:rPr>
            </w:pPr>
            <w:r w:rsidRPr="00CA2CC1">
              <w:rPr>
                <w:rFonts w:cs="Calibri"/>
                <w:color w:val="414042"/>
                <w:spacing w:val="-2"/>
                <w:sz w:val="17"/>
              </w:rPr>
              <w:t>$14,875</w:t>
            </w:r>
          </w:p>
        </w:tc>
        <w:tc>
          <w:tcPr>
            <w:tcW w:w="1284" w:type="dxa"/>
            <w:tcBorders>
              <w:top w:val="single" w:sz="4" w:space="0" w:color="73777A"/>
              <w:bottom w:val="single" w:sz="4" w:space="0" w:color="73777A"/>
            </w:tcBorders>
            <w:shd w:val="clear" w:color="auto" w:fill="EDEFF0"/>
            <w:tcMar>
              <w:right w:w="57" w:type="dxa"/>
            </w:tcMar>
          </w:tcPr>
          <w:p w14:paraId="420403C1" w14:textId="77777777" w:rsidR="00FA4226" w:rsidRPr="00CA2CC1" w:rsidRDefault="00000000" w:rsidP="0043303B">
            <w:pPr>
              <w:pStyle w:val="TableParagraph"/>
              <w:spacing w:before="31"/>
              <w:rPr>
                <w:rFonts w:cs="Calibri"/>
                <w:sz w:val="17"/>
              </w:rPr>
            </w:pPr>
            <w:r w:rsidRPr="00CA2CC1">
              <w:rPr>
                <w:rFonts w:cs="Calibri"/>
                <w:color w:val="414042"/>
                <w:spacing w:val="-5"/>
                <w:sz w:val="17"/>
              </w:rPr>
              <w:t>$0</w:t>
            </w:r>
          </w:p>
        </w:tc>
      </w:tr>
      <w:tr w:rsidR="00FA4226" w:rsidRPr="00CA2CC1" w14:paraId="48F69142" w14:textId="77777777" w:rsidTr="000A0029">
        <w:trPr>
          <w:trHeight w:val="538"/>
        </w:trPr>
        <w:tc>
          <w:tcPr>
            <w:tcW w:w="1757" w:type="dxa"/>
            <w:tcBorders>
              <w:top w:val="single" w:sz="4" w:space="0" w:color="73777A"/>
              <w:bottom w:val="single" w:sz="4" w:space="0" w:color="73777A"/>
            </w:tcBorders>
            <w:shd w:val="clear" w:color="auto" w:fill="FCFCFA"/>
            <w:tcMar>
              <w:right w:w="57" w:type="dxa"/>
            </w:tcMar>
          </w:tcPr>
          <w:p w14:paraId="33305143" w14:textId="77777777" w:rsidR="00FA4226" w:rsidRPr="00CA2CC1" w:rsidRDefault="00000000" w:rsidP="0043303B">
            <w:pPr>
              <w:pStyle w:val="TableParagraph"/>
              <w:spacing w:before="61"/>
              <w:jc w:val="left"/>
              <w:rPr>
                <w:rFonts w:cs="Calibri"/>
                <w:sz w:val="17"/>
              </w:rPr>
            </w:pPr>
            <w:r w:rsidRPr="00CA2CC1">
              <w:rPr>
                <w:rFonts w:cs="Calibri"/>
                <w:color w:val="414042"/>
                <w:sz w:val="17"/>
              </w:rPr>
              <w:t>WSP</w:t>
            </w:r>
            <w:r w:rsidRPr="00CA2CC1">
              <w:rPr>
                <w:rFonts w:cs="Calibri"/>
                <w:color w:val="414042"/>
                <w:spacing w:val="-12"/>
                <w:sz w:val="17"/>
              </w:rPr>
              <w:t xml:space="preserve"> </w:t>
            </w:r>
            <w:r w:rsidRPr="00CA2CC1">
              <w:rPr>
                <w:rFonts w:cs="Calibri"/>
                <w:color w:val="414042"/>
                <w:sz w:val="17"/>
              </w:rPr>
              <w:t>AUSTRALIA PTY LIMITED</w:t>
            </w:r>
          </w:p>
        </w:tc>
        <w:tc>
          <w:tcPr>
            <w:tcW w:w="1757" w:type="dxa"/>
            <w:tcBorders>
              <w:top w:val="single" w:sz="4" w:space="0" w:color="73777A"/>
              <w:bottom w:val="single" w:sz="4" w:space="0" w:color="73777A"/>
            </w:tcBorders>
            <w:tcMar>
              <w:right w:w="57" w:type="dxa"/>
            </w:tcMar>
          </w:tcPr>
          <w:p w14:paraId="5FAA4F01" w14:textId="77777777" w:rsidR="00FA4226" w:rsidRPr="00CA2CC1" w:rsidRDefault="00000000" w:rsidP="0043303B">
            <w:pPr>
              <w:pStyle w:val="TableParagraph"/>
              <w:spacing w:before="61"/>
              <w:jc w:val="left"/>
              <w:rPr>
                <w:rFonts w:cs="Calibri"/>
                <w:sz w:val="17"/>
              </w:rPr>
            </w:pPr>
            <w:r w:rsidRPr="00CA2CC1">
              <w:rPr>
                <w:rFonts w:cs="Calibri"/>
                <w:color w:val="414042"/>
                <w:sz w:val="17"/>
              </w:rPr>
              <w:t>Better buses transport</w:t>
            </w:r>
            <w:r w:rsidRPr="00CA2CC1">
              <w:rPr>
                <w:rFonts w:cs="Calibri"/>
                <w:color w:val="414042"/>
                <w:spacing w:val="-12"/>
                <w:sz w:val="17"/>
              </w:rPr>
              <w:t xml:space="preserve"> </w:t>
            </w:r>
            <w:r w:rsidRPr="00CA2CC1">
              <w:rPr>
                <w:rFonts w:cs="Calibri"/>
                <w:color w:val="414042"/>
                <w:sz w:val="17"/>
              </w:rPr>
              <w:t>modelling</w:t>
            </w:r>
          </w:p>
        </w:tc>
        <w:tc>
          <w:tcPr>
            <w:tcW w:w="1133" w:type="dxa"/>
            <w:tcBorders>
              <w:top w:val="single" w:sz="4" w:space="0" w:color="73777A"/>
              <w:bottom w:val="single" w:sz="4" w:space="0" w:color="73777A"/>
            </w:tcBorders>
            <w:shd w:val="clear" w:color="auto" w:fill="EDEFF0"/>
            <w:tcMar>
              <w:right w:w="57" w:type="dxa"/>
            </w:tcMar>
          </w:tcPr>
          <w:p w14:paraId="23A5C723" w14:textId="77777777" w:rsidR="00FA4226" w:rsidRPr="00CA2CC1" w:rsidRDefault="00000000" w:rsidP="0043303B">
            <w:pPr>
              <w:pStyle w:val="TableParagraph"/>
              <w:spacing w:before="31"/>
              <w:rPr>
                <w:rFonts w:cs="Calibri"/>
                <w:sz w:val="17"/>
              </w:rPr>
            </w:pPr>
            <w:r w:rsidRPr="00CA2CC1">
              <w:rPr>
                <w:rFonts w:cs="Calibri"/>
                <w:color w:val="414042"/>
                <w:sz w:val="17"/>
              </w:rPr>
              <w:t>Jan-</w:t>
            </w:r>
            <w:r w:rsidRPr="00CA2CC1">
              <w:rPr>
                <w:rFonts w:cs="Calibri"/>
                <w:color w:val="414042"/>
                <w:spacing w:val="-5"/>
                <w:sz w:val="17"/>
              </w:rPr>
              <w:t>23</w:t>
            </w:r>
          </w:p>
        </w:tc>
        <w:tc>
          <w:tcPr>
            <w:tcW w:w="1133" w:type="dxa"/>
            <w:tcBorders>
              <w:top w:val="single" w:sz="4" w:space="0" w:color="73777A"/>
              <w:bottom w:val="single" w:sz="4" w:space="0" w:color="73777A"/>
            </w:tcBorders>
            <w:tcMar>
              <w:right w:w="57" w:type="dxa"/>
            </w:tcMar>
          </w:tcPr>
          <w:p w14:paraId="29D5412A" w14:textId="77777777" w:rsidR="00FA4226" w:rsidRPr="00CA2CC1" w:rsidRDefault="00000000" w:rsidP="0043303B">
            <w:pPr>
              <w:pStyle w:val="TableParagraph"/>
              <w:spacing w:before="31"/>
              <w:rPr>
                <w:rFonts w:cs="Calibri"/>
                <w:sz w:val="17"/>
              </w:rPr>
            </w:pPr>
            <w:r w:rsidRPr="00CA2CC1">
              <w:rPr>
                <w:rFonts w:cs="Calibri"/>
                <w:color w:val="414042"/>
                <w:spacing w:val="-2"/>
                <w:sz w:val="17"/>
              </w:rPr>
              <w:t>Jul-</w:t>
            </w:r>
            <w:r w:rsidRPr="00CA2CC1">
              <w:rPr>
                <w:rFonts w:cs="Calibri"/>
                <w:color w:val="414042"/>
                <w:spacing w:val="-5"/>
                <w:sz w:val="17"/>
              </w:rPr>
              <w:t>23</w:t>
            </w:r>
          </w:p>
        </w:tc>
        <w:tc>
          <w:tcPr>
            <w:tcW w:w="1284" w:type="dxa"/>
            <w:tcBorders>
              <w:top w:val="single" w:sz="4" w:space="0" w:color="73777A"/>
              <w:bottom w:val="single" w:sz="4" w:space="0" w:color="73777A"/>
            </w:tcBorders>
            <w:shd w:val="clear" w:color="auto" w:fill="EDEFF0"/>
            <w:tcMar>
              <w:right w:w="57" w:type="dxa"/>
            </w:tcMar>
          </w:tcPr>
          <w:p w14:paraId="7531AB9E" w14:textId="77777777" w:rsidR="00FA4226" w:rsidRPr="00CA2CC1" w:rsidRDefault="00000000" w:rsidP="0043303B">
            <w:pPr>
              <w:pStyle w:val="TableParagraph"/>
              <w:spacing w:before="31"/>
              <w:rPr>
                <w:rFonts w:cs="Calibri"/>
                <w:sz w:val="17"/>
              </w:rPr>
            </w:pPr>
            <w:r w:rsidRPr="00CA2CC1">
              <w:rPr>
                <w:rFonts w:cs="Calibri"/>
                <w:color w:val="414042"/>
                <w:spacing w:val="-2"/>
                <w:sz w:val="17"/>
              </w:rPr>
              <w:t>$281,000</w:t>
            </w:r>
          </w:p>
        </w:tc>
        <w:tc>
          <w:tcPr>
            <w:tcW w:w="1284" w:type="dxa"/>
            <w:tcBorders>
              <w:top w:val="single" w:sz="4" w:space="0" w:color="73777A"/>
              <w:bottom w:val="single" w:sz="4" w:space="0" w:color="73777A"/>
            </w:tcBorders>
            <w:tcMar>
              <w:right w:w="57" w:type="dxa"/>
            </w:tcMar>
          </w:tcPr>
          <w:p w14:paraId="0D91B18E" w14:textId="77777777" w:rsidR="00FA4226" w:rsidRPr="00CA2CC1" w:rsidRDefault="00000000" w:rsidP="0043303B">
            <w:pPr>
              <w:pStyle w:val="TableParagraph"/>
              <w:spacing w:before="31"/>
              <w:rPr>
                <w:rFonts w:cs="Calibri"/>
                <w:sz w:val="17"/>
              </w:rPr>
            </w:pPr>
            <w:r w:rsidRPr="00CA2CC1">
              <w:rPr>
                <w:rFonts w:cs="Calibri"/>
                <w:color w:val="414042"/>
                <w:spacing w:val="-2"/>
                <w:sz w:val="17"/>
              </w:rPr>
              <w:t>$236,600</w:t>
            </w:r>
          </w:p>
        </w:tc>
        <w:tc>
          <w:tcPr>
            <w:tcW w:w="1284" w:type="dxa"/>
            <w:tcBorders>
              <w:top w:val="single" w:sz="4" w:space="0" w:color="73777A"/>
              <w:bottom w:val="single" w:sz="4" w:space="0" w:color="73777A"/>
            </w:tcBorders>
            <w:shd w:val="clear" w:color="auto" w:fill="EDEFF0"/>
            <w:tcMar>
              <w:right w:w="57" w:type="dxa"/>
            </w:tcMar>
          </w:tcPr>
          <w:p w14:paraId="2955504E" w14:textId="77777777" w:rsidR="00FA4226" w:rsidRPr="00CA2CC1" w:rsidRDefault="00000000" w:rsidP="0043303B">
            <w:pPr>
              <w:pStyle w:val="TableParagraph"/>
              <w:spacing w:before="31"/>
              <w:rPr>
                <w:rFonts w:cs="Calibri"/>
                <w:sz w:val="17"/>
              </w:rPr>
            </w:pPr>
            <w:r w:rsidRPr="00CA2CC1">
              <w:rPr>
                <w:rFonts w:cs="Calibri"/>
                <w:color w:val="414042"/>
                <w:spacing w:val="-2"/>
                <w:sz w:val="17"/>
              </w:rPr>
              <w:t>$17,400</w:t>
            </w:r>
          </w:p>
        </w:tc>
      </w:tr>
      <w:tr w:rsidR="00FA4226" w:rsidRPr="00CA2CC1" w14:paraId="1CADE0C9" w14:textId="77777777" w:rsidTr="000A0029">
        <w:trPr>
          <w:trHeight w:val="1145"/>
        </w:trPr>
        <w:tc>
          <w:tcPr>
            <w:tcW w:w="1757" w:type="dxa"/>
            <w:tcBorders>
              <w:top w:val="single" w:sz="4" w:space="0" w:color="73777A"/>
              <w:bottom w:val="single" w:sz="4" w:space="0" w:color="73777A"/>
            </w:tcBorders>
            <w:shd w:val="clear" w:color="auto" w:fill="FCFCFA"/>
            <w:tcMar>
              <w:right w:w="57" w:type="dxa"/>
            </w:tcMar>
          </w:tcPr>
          <w:p w14:paraId="362F7169" w14:textId="77777777" w:rsidR="00FA4226" w:rsidRPr="00CA2CC1" w:rsidRDefault="00000000" w:rsidP="0043303B">
            <w:pPr>
              <w:pStyle w:val="TableParagraph"/>
              <w:spacing w:before="61"/>
              <w:jc w:val="left"/>
              <w:rPr>
                <w:rFonts w:cs="Calibri"/>
                <w:sz w:val="17"/>
              </w:rPr>
            </w:pPr>
            <w:r w:rsidRPr="00CA2CC1">
              <w:rPr>
                <w:rFonts w:cs="Calibri"/>
                <w:color w:val="414042"/>
                <w:sz w:val="17"/>
              </w:rPr>
              <w:t xml:space="preserve">ACIL ALLEN </w:t>
            </w:r>
            <w:r w:rsidRPr="00CA2CC1">
              <w:rPr>
                <w:rFonts w:cs="Calibri"/>
                <w:color w:val="414042"/>
                <w:spacing w:val="-2"/>
                <w:sz w:val="17"/>
              </w:rPr>
              <w:t>CONSULTING</w:t>
            </w:r>
            <w:r w:rsidRPr="00CA2CC1">
              <w:rPr>
                <w:rFonts w:cs="Calibri"/>
                <w:color w:val="414042"/>
                <w:spacing w:val="-10"/>
                <w:sz w:val="17"/>
              </w:rPr>
              <w:t xml:space="preserve"> </w:t>
            </w:r>
            <w:r w:rsidRPr="00CA2CC1">
              <w:rPr>
                <w:rFonts w:cs="Calibri"/>
                <w:color w:val="414042"/>
                <w:spacing w:val="-2"/>
                <w:sz w:val="17"/>
              </w:rPr>
              <w:t xml:space="preserve">PTY </w:t>
            </w:r>
            <w:r w:rsidRPr="00CA2CC1">
              <w:rPr>
                <w:rFonts w:cs="Calibri"/>
                <w:color w:val="414042"/>
                <w:spacing w:val="-4"/>
                <w:sz w:val="17"/>
              </w:rPr>
              <w:t>LTD</w:t>
            </w:r>
          </w:p>
        </w:tc>
        <w:tc>
          <w:tcPr>
            <w:tcW w:w="1757" w:type="dxa"/>
            <w:tcBorders>
              <w:top w:val="single" w:sz="4" w:space="0" w:color="73777A"/>
              <w:bottom w:val="single" w:sz="4" w:space="0" w:color="73777A"/>
            </w:tcBorders>
            <w:tcMar>
              <w:right w:w="57" w:type="dxa"/>
            </w:tcMar>
          </w:tcPr>
          <w:p w14:paraId="551E9A37" w14:textId="77777777" w:rsidR="00FA4226" w:rsidRPr="00CA2CC1" w:rsidRDefault="00000000" w:rsidP="0043303B">
            <w:pPr>
              <w:pStyle w:val="TableParagraph"/>
              <w:spacing w:before="69"/>
              <w:jc w:val="left"/>
              <w:rPr>
                <w:rFonts w:cs="Calibri"/>
                <w:sz w:val="18"/>
              </w:rPr>
            </w:pPr>
            <w:r w:rsidRPr="00CA2CC1">
              <w:rPr>
                <w:rFonts w:cs="Calibri"/>
                <w:color w:val="414042"/>
                <w:sz w:val="18"/>
              </w:rPr>
              <w:t>Climate</w:t>
            </w:r>
            <w:r w:rsidRPr="00CA2CC1">
              <w:rPr>
                <w:rFonts w:cs="Calibri"/>
                <w:color w:val="414042"/>
                <w:spacing w:val="-13"/>
                <w:sz w:val="18"/>
              </w:rPr>
              <w:t xml:space="preserve"> </w:t>
            </w:r>
            <w:r w:rsidRPr="00CA2CC1">
              <w:rPr>
                <w:rFonts w:cs="Calibri"/>
                <w:color w:val="414042"/>
                <w:sz w:val="18"/>
              </w:rPr>
              <w:t>risk</w:t>
            </w:r>
            <w:r w:rsidRPr="00CA2CC1">
              <w:rPr>
                <w:rFonts w:cs="Calibri"/>
                <w:color w:val="414042"/>
                <w:spacing w:val="-13"/>
                <w:sz w:val="18"/>
              </w:rPr>
              <w:t xml:space="preserve"> </w:t>
            </w:r>
            <w:r w:rsidRPr="00CA2CC1">
              <w:rPr>
                <w:rFonts w:cs="Calibri"/>
                <w:color w:val="414042"/>
                <w:sz w:val="18"/>
              </w:rPr>
              <w:t xml:space="preserve">and </w:t>
            </w:r>
            <w:r w:rsidRPr="00CA2CC1">
              <w:rPr>
                <w:rFonts w:cs="Calibri"/>
                <w:color w:val="414042"/>
                <w:spacing w:val="-2"/>
                <w:sz w:val="18"/>
              </w:rPr>
              <w:t xml:space="preserve">consequences </w:t>
            </w:r>
            <w:r w:rsidRPr="00CA2CC1">
              <w:rPr>
                <w:rFonts w:cs="Calibri"/>
                <w:color w:val="414042"/>
                <w:sz w:val="18"/>
              </w:rPr>
              <w:t xml:space="preserve">for Victorian </w:t>
            </w:r>
            <w:r w:rsidRPr="00CA2CC1">
              <w:rPr>
                <w:rFonts w:cs="Calibri"/>
                <w:color w:val="414042"/>
                <w:spacing w:val="-2"/>
                <w:sz w:val="18"/>
              </w:rPr>
              <w:t>infrastructure analysis</w:t>
            </w:r>
          </w:p>
        </w:tc>
        <w:tc>
          <w:tcPr>
            <w:tcW w:w="1133" w:type="dxa"/>
            <w:tcBorders>
              <w:top w:val="single" w:sz="4" w:space="0" w:color="73777A"/>
              <w:bottom w:val="single" w:sz="4" w:space="0" w:color="73777A"/>
            </w:tcBorders>
            <w:shd w:val="clear" w:color="auto" w:fill="EDEFF0"/>
            <w:tcMar>
              <w:right w:w="57" w:type="dxa"/>
            </w:tcMar>
          </w:tcPr>
          <w:p w14:paraId="120F1E5A" w14:textId="77777777" w:rsidR="00FA4226" w:rsidRPr="00CA2CC1" w:rsidRDefault="00000000" w:rsidP="0043303B">
            <w:pPr>
              <w:pStyle w:val="TableParagraph"/>
              <w:spacing w:before="31"/>
              <w:rPr>
                <w:rFonts w:cs="Calibri"/>
                <w:sz w:val="17"/>
              </w:rPr>
            </w:pPr>
            <w:r w:rsidRPr="00CA2CC1">
              <w:rPr>
                <w:rFonts w:cs="Calibri"/>
                <w:color w:val="414042"/>
                <w:sz w:val="17"/>
              </w:rPr>
              <w:t>Feb-</w:t>
            </w:r>
            <w:r w:rsidRPr="00CA2CC1">
              <w:rPr>
                <w:rFonts w:cs="Calibri"/>
                <w:color w:val="414042"/>
                <w:spacing w:val="-5"/>
                <w:sz w:val="17"/>
              </w:rPr>
              <w:t>23</w:t>
            </w:r>
          </w:p>
        </w:tc>
        <w:tc>
          <w:tcPr>
            <w:tcW w:w="1133" w:type="dxa"/>
            <w:tcBorders>
              <w:top w:val="single" w:sz="4" w:space="0" w:color="73777A"/>
              <w:bottom w:val="single" w:sz="4" w:space="0" w:color="73777A"/>
            </w:tcBorders>
            <w:tcMar>
              <w:right w:w="57" w:type="dxa"/>
            </w:tcMar>
          </w:tcPr>
          <w:p w14:paraId="690C2B86" w14:textId="77777777" w:rsidR="00FA4226" w:rsidRPr="00CA2CC1" w:rsidRDefault="00000000" w:rsidP="0043303B">
            <w:pPr>
              <w:pStyle w:val="TableParagraph"/>
              <w:spacing w:before="31"/>
              <w:rPr>
                <w:rFonts w:cs="Calibri"/>
                <w:sz w:val="17"/>
              </w:rPr>
            </w:pPr>
            <w:r w:rsidRPr="00CA2CC1">
              <w:rPr>
                <w:rFonts w:cs="Calibri"/>
                <w:color w:val="414042"/>
                <w:spacing w:val="-2"/>
                <w:sz w:val="17"/>
              </w:rPr>
              <w:t>Aug-</w:t>
            </w:r>
            <w:r w:rsidRPr="00CA2CC1">
              <w:rPr>
                <w:rFonts w:cs="Calibri"/>
                <w:color w:val="414042"/>
                <w:spacing w:val="-5"/>
                <w:sz w:val="17"/>
              </w:rPr>
              <w:t>23</w:t>
            </w:r>
          </w:p>
        </w:tc>
        <w:tc>
          <w:tcPr>
            <w:tcW w:w="1284" w:type="dxa"/>
            <w:tcBorders>
              <w:top w:val="single" w:sz="4" w:space="0" w:color="73777A"/>
              <w:bottom w:val="single" w:sz="4" w:space="0" w:color="73777A"/>
            </w:tcBorders>
            <w:shd w:val="clear" w:color="auto" w:fill="EDEFF0"/>
            <w:tcMar>
              <w:right w:w="57" w:type="dxa"/>
            </w:tcMar>
          </w:tcPr>
          <w:p w14:paraId="12EEA2CD" w14:textId="77777777" w:rsidR="00FA4226" w:rsidRPr="00CA2CC1" w:rsidRDefault="00000000" w:rsidP="0043303B">
            <w:pPr>
              <w:pStyle w:val="TableParagraph"/>
              <w:spacing w:before="31"/>
              <w:rPr>
                <w:rFonts w:cs="Calibri"/>
                <w:sz w:val="17"/>
              </w:rPr>
            </w:pPr>
            <w:r w:rsidRPr="00CA2CC1">
              <w:rPr>
                <w:rFonts w:cs="Calibri"/>
                <w:color w:val="414042"/>
                <w:spacing w:val="-2"/>
                <w:sz w:val="17"/>
              </w:rPr>
              <w:t>$216,144</w:t>
            </w:r>
          </w:p>
        </w:tc>
        <w:tc>
          <w:tcPr>
            <w:tcW w:w="1284" w:type="dxa"/>
            <w:tcBorders>
              <w:top w:val="single" w:sz="4" w:space="0" w:color="73777A"/>
              <w:bottom w:val="single" w:sz="4" w:space="0" w:color="73777A"/>
            </w:tcBorders>
            <w:tcMar>
              <w:right w:w="57" w:type="dxa"/>
            </w:tcMar>
          </w:tcPr>
          <w:p w14:paraId="67E85442" w14:textId="77777777" w:rsidR="00FA4226" w:rsidRPr="00CA2CC1" w:rsidRDefault="00000000" w:rsidP="0043303B">
            <w:pPr>
              <w:pStyle w:val="TableParagraph"/>
              <w:spacing w:before="31"/>
              <w:rPr>
                <w:rFonts w:cs="Calibri"/>
                <w:sz w:val="17"/>
              </w:rPr>
            </w:pPr>
            <w:r w:rsidRPr="00CA2CC1">
              <w:rPr>
                <w:rFonts w:cs="Calibri"/>
                <w:color w:val="414042"/>
                <w:spacing w:val="-2"/>
                <w:sz w:val="17"/>
              </w:rPr>
              <w:t>$216,144</w:t>
            </w:r>
          </w:p>
        </w:tc>
        <w:tc>
          <w:tcPr>
            <w:tcW w:w="1284" w:type="dxa"/>
            <w:tcBorders>
              <w:top w:val="single" w:sz="4" w:space="0" w:color="73777A"/>
              <w:bottom w:val="single" w:sz="4" w:space="0" w:color="73777A"/>
            </w:tcBorders>
            <w:shd w:val="clear" w:color="auto" w:fill="EDEFF0"/>
            <w:tcMar>
              <w:right w:w="57" w:type="dxa"/>
            </w:tcMar>
          </w:tcPr>
          <w:p w14:paraId="56F5543F" w14:textId="77777777" w:rsidR="00FA4226" w:rsidRPr="00CA2CC1" w:rsidRDefault="00000000" w:rsidP="0043303B">
            <w:pPr>
              <w:pStyle w:val="TableParagraph"/>
              <w:spacing w:before="31"/>
              <w:rPr>
                <w:rFonts w:cs="Calibri"/>
                <w:sz w:val="17"/>
              </w:rPr>
            </w:pPr>
            <w:r w:rsidRPr="00CA2CC1">
              <w:rPr>
                <w:rFonts w:cs="Calibri"/>
                <w:color w:val="414042"/>
                <w:spacing w:val="-5"/>
                <w:sz w:val="17"/>
              </w:rPr>
              <w:t>$0</w:t>
            </w:r>
          </w:p>
        </w:tc>
      </w:tr>
      <w:tr w:rsidR="00FA4226" w:rsidRPr="00CA2CC1" w14:paraId="71E50CAD" w14:textId="77777777" w:rsidTr="000A0029">
        <w:trPr>
          <w:trHeight w:val="1138"/>
        </w:trPr>
        <w:tc>
          <w:tcPr>
            <w:tcW w:w="1757" w:type="dxa"/>
            <w:tcBorders>
              <w:top w:val="single" w:sz="4" w:space="0" w:color="73777A"/>
              <w:bottom w:val="single" w:sz="4" w:space="0" w:color="73777A"/>
            </w:tcBorders>
            <w:shd w:val="clear" w:color="auto" w:fill="FCFCFA"/>
            <w:tcMar>
              <w:right w:w="57" w:type="dxa"/>
            </w:tcMar>
          </w:tcPr>
          <w:p w14:paraId="55954813" w14:textId="77777777" w:rsidR="00FA4226" w:rsidRPr="00CA2CC1" w:rsidRDefault="00000000" w:rsidP="0043303B">
            <w:pPr>
              <w:pStyle w:val="TableParagraph"/>
              <w:spacing w:before="61"/>
              <w:jc w:val="left"/>
              <w:rPr>
                <w:rFonts w:cs="Calibri"/>
                <w:sz w:val="17"/>
              </w:rPr>
            </w:pPr>
            <w:r w:rsidRPr="00CA2CC1">
              <w:rPr>
                <w:rFonts w:cs="Calibri"/>
                <w:color w:val="414042"/>
                <w:spacing w:val="-4"/>
                <w:sz w:val="17"/>
              </w:rPr>
              <w:t xml:space="preserve">AECOM </w:t>
            </w:r>
            <w:r w:rsidRPr="00CA2CC1">
              <w:rPr>
                <w:rFonts w:cs="Calibri"/>
                <w:color w:val="414042"/>
                <w:sz w:val="17"/>
              </w:rPr>
              <w:t>AUSTRALIA</w:t>
            </w:r>
            <w:r w:rsidRPr="00CA2CC1">
              <w:rPr>
                <w:rFonts w:cs="Calibri"/>
                <w:color w:val="414042"/>
                <w:spacing w:val="-12"/>
                <w:sz w:val="17"/>
              </w:rPr>
              <w:t xml:space="preserve"> </w:t>
            </w:r>
            <w:r w:rsidRPr="00CA2CC1">
              <w:rPr>
                <w:rFonts w:cs="Calibri"/>
                <w:color w:val="414042"/>
                <w:sz w:val="17"/>
              </w:rPr>
              <w:t xml:space="preserve">PTY </w:t>
            </w:r>
            <w:r w:rsidRPr="00CA2CC1">
              <w:rPr>
                <w:rFonts w:cs="Calibri"/>
                <w:color w:val="414042"/>
                <w:spacing w:val="-4"/>
                <w:sz w:val="17"/>
              </w:rPr>
              <w:t>LTD</w:t>
            </w:r>
          </w:p>
        </w:tc>
        <w:tc>
          <w:tcPr>
            <w:tcW w:w="1757" w:type="dxa"/>
            <w:tcBorders>
              <w:top w:val="single" w:sz="4" w:space="0" w:color="73777A"/>
              <w:bottom w:val="single" w:sz="4" w:space="0" w:color="73777A"/>
            </w:tcBorders>
            <w:tcMar>
              <w:right w:w="57" w:type="dxa"/>
            </w:tcMar>
          </w:tcPr>
          <w:p w14:paraId="5AFADE90" w14:textId="77777777" w:rsidR="00FA4226" w:rsidRPr="00CA2CC1" w:rsidRDefault="00000000" w:rsidP="0043303B">
            <w:pPr>
              <w:pStyle w:val="TableParagraph"/>
              <w:spacing w:before="61"/>
              <w:jc w:val="left"/>
              <w:rPr>
                <w:rFonts w:cs="Calibri"/>
                <w:sz w:val="17"/>
              </w:rPr>
            </w:pPr>
            <w:r w:rsidRPr="00CA2CC1">
              <w:rPr>
                <w:rFonts w:cs="Calibri"/>
                <w:color w:val="414042"/>
                <w:sz w:val="17"/>
              </w:rPr>
              <w:t>Climate</w:t>
            </w:r>
            <w:r w:rsidRPr="00CA2CC1">
              <w:rPr>
                <w:rFonts w:cs="Calibri"/>
                <w:color w:val="414042"/>
                <w:spacing w:val="-12"/>
                <w:sz w:val="17"/>
              </w:rPr>
              <w:t xml:space="preserve"> </w:t>
            </w:r>
            <w:r w:rsidRPr="00CA2CC1">
              <w:rPr>
                <w:rFonts w:cs="Calibri"/>
                <w:color w:val="414042"/>
                <w:sz w:val="17"/>
              </w:rPr>
              <w:t>risk</w:t>
            </w:r>
            <w:r w:rsidRPr="00CA2CC1">
              <w:rPr>
                <w:rFonts w:cs="Calibri"/>
                <w:color w:val="414042"/>
                <w:spacing w:val="-12"/>
                <w:sz w:val="17"/>
              </w:rPr>
              <w:t xml:space="preserve"> </w:t>
            </w:r>
            <w:r w:rsidRPr="00CA2CC1">
              <w:rPr>
                <w:rFonts w:cs="Calibri"/>
                <w:color w:val="414042"/>
                <w:sz w:val="17"/>
              </w:rPr>
              <w:t xml:space="preserve">and </w:t>
            </w:r>
            <w:r w:rsidRPr="00CA2CC1">
              <w:rPr>
                <w:rFonts w:cs="Calibri"/>
                <w:color w:val="414042"/>
                <w:spacing w:val="-2"/>
                <w:sz w:val="17"/>
              </w:rPr>
              <w:t xml:space="preserve">consequences </w:t>
            </w:r>
            <w:r w:rsidRPr="00CA2CC1">
              <w:rPr>
                <w:rFonts w:cs="Calibri"/>
                <w:color w:val="414042"/>
                <w:sz w:val="17"/>
              </w:rPr>
              <w:t xml:space="preserve">for Victorian </w:t>
            </w:r>
            <w:r w:rsidRPr="00CA2CC1">
              <w:rPr>
                <w:rFonts w:cs="Calibri"/>
                <w:color w:val="414042"/>
                <w:spacing w:val="-2"/>
                <w:sz w:val="17"/>
              </w:rPr>
              <w:t>infrastructure analysis</w:t>
            </w:r>
          </w:p>
        </w:tc>
        <w:tc>
          <w:tcPr>
            <w:tcW w:w="1133" w:type="dxa"/>
            <w:tcBorders>
              <w:top w:val="single" w:sz="4" w:space="0" w:color="73777A"/>
              <w:bottom w:val="single" w:sz="4" w:space="0" w:color="73777A"/>
            </w:tcBorders>
            <w:shd w:val="clear" w:color="auto" w:fill="EDEFF0"/>
            <w:tcMar>
              <w:right w:w="57" w:type="dxa"/>
            </w:tcMar>
          </w:tcPr>
          <w:p w14:paraId="65391619" w14:textId="77777777" w:rsidR="00FA4226" w:rsidRPr="00CA2CC1" w:rsidRDefault="00000000" w:rsidP="0043303B">
            <w:pPr>
              <w:pStyle w:val="TableParagraph"/>
              <w:spacing w:before="31"/>
              <w:rPr>
                <w:rFonts w:cs="Calibri"/>
                <w:sz w:val="17"/>
              </w:rPr>
            </w:pPr>
            <w:r w:rsidRPr="00CA2CC1">
              <w:rPr>
                <w:rFonts w:cs="Calibri"/>
                <w:color w:val="414042"/>
                <w:spacing w:val="-4"/>
                <w:sz w:val="17"/>
              </w:rPr>
              <w:t>Mar-</w:t>
            </w:r>
            <w:r w:rsidRPr="00CA2CC1">
              <w:rPr>
                <w:rFonts w:cs="Calibri"/>
                <w:color w:val="414042"/>
                <w:spacing w:val="-5"/>
                <w:sz w:val="17"/>
              </w:rPr>
              <w:t>22</w:t>
            </w:r>
          </w:p>
        </w:tc>
        <w:tc>
          <w:tcPr>
            <w:tcW w:w="1133" w:type="dxa"/>
            <w:tcBorders>
              <w:top w:val="single" w:sz="4" w:space="0" w:color="73777A"/>
              <w:bottom w:val="single" w:sz="4" w:space="0" w:color="73777A"/>
            </w:tcBorders>
            <w:tcMar>
              <w:right w:w="57" w:type="dxa"/>
            </w:tcMar>
          </w:tcPr>
          <w:p w14:paraId="5A11AA7A" w14:textId="77777777" w:rsidR="00FA4226" w:rsidRPr="00CA2CC1" w:rsidRDefault="00000000" w:rsidP="0043303B">
            <w:pPr>
              <w:pStyle w:val="TableParagraph"/>
              <w:spacing w:before="31"/>
              <w:rPr>
                <w:rFonts w:cs="Calibri"/>
                <w:sz w:val="17"/>
              </w:rPr>
            </w:pPr>
            <w:r w:rsidRPr="00CA2CC1">
              <w:rPr>
                <w:rFonts w:cs="Calibri"/>
                <w:color w:val="414042"/>
                <w:spacing w:val="-2"/>
                <w:sz w:val="17"/>
              </w:rPr>
              <w:t>Jul-</w:t>
            </w:r>
            <w:r w:rsidRPr="00CA2CC1">
              <w:rPr>
                <w:rFonts w:cs="Calibri"/>
                <w:color w:val="414042"/>
                <w:spacing w:val="-5"/>
                <w:sz w:val="17"/>
              </w:rPr>
              <w:t>23</w:t>
            </w:r>
          </w:p>
        </w:tc>
        <w:tc>
          <w:tcPr>
            <w:tcW w:w="1284" w:type="dxa"/>
            <w:tcBorders>
              <w:top w:val="single" w:sz="4" w:space="0" w:color="73777A"/>
              <w:bottom w:val="single" w:sz="4" w:space="0" w:color="73777A"/>
            </w:tcBorders>
            <w:shd w:val="clear" w:color="auto" w:fill="EDEFF0"/>
            <w:tcMar>
              <w:right w:w="57" w:type="dxa"/>
            </w:tcMar>
          </w:tcPr>
          <w:p w14:paraId="72C5EBA6" w14:textId="77777777" w:rsidR="00FA4226" w:rsidRPr="00CA2CC1" w:rsidRDefault="00000000" w:rsidP="0043303B">
            <w:pPr>
              <w:pStyle w:val="TableParagraph"/>
              <w:spacing w:before="31"/>
              <w:rPr>
                <w:rFonts w:cs="Calibri"/>
                <w:sz w:val="17"/>
              </w:rPr>
            </w:pPr>
            <w:r w:rsidRPr="00CA2CC1">
              <w:rPr>
                <w:rFonts w:cs="Calibri"/>
                <w:color w:val="414042"/>
                <w:spacing w:val="-2"/>
                <w:sz w:val="17"/>
              </w:rPr>
              <w:t>$356,808</w:t>
            </w:r>
          </w:p>
        </w:tc>
        <w:tc>
          <w:tcPr>
            <w:tcW w:w="1284" w:type="dxa"/>
            <w:tcBorders>
              <w:top w:val="single" w:sz="4" w:space="0" w:color="73777A"/>
              <w:bottom w:val="single" w:sz="4" w:space="0" w:color="73777A"/>
            </w:tcBorders>
            <w:tcMar>
              <w:right w:w="57" w:type="dxa"/>
            </w:tcMar>
          </w:tcPr>
          <w:p w14:paraId="2DEE3DA3" w14:textId="77777777" w:rsidR="00FA4226" w:rsidRPr="00CA2CC1" w:rsidRDefault="00000000" w:rsidP="0043303B">
            <w:pPr>
              <w:pStyle w:val="TableParagraph"/>
              <w:spacing w:before="31"/>
              <w:rPr>
                <w:rFonts w:cs="Calibri"/>
                <w:sz w:val="17"/>
              </w:rPr>
            </w:pPr>
            <w:r w:rsidRPr="00CA2CC1">
              <w:rPr>
                <w:rFonts w:cs="Calibri"/>
                <w:color w:val="414042"/>
                <w:spacing w:val="-2"/>
                <w:sz w:val="17"/>
              </w:rPr>
              <w:t>$71,362</w:t>
            </w:r>
          </w:p>
        </w:tc>
        <w:tc>
          <w:tcPr>
            <w:tcW w:w="1284" w:type="dxa"/>
            <w:tcBorders>
              <w:top w:val="single" w:sz="4" w:space="0" w:color="73777A"/>
              <w:bottom w:val="single" w:sz="4" w:space="0" w:color="73777A"/>
            </w:tcBorders>
            <w:shd w:val="clear" w:color="auto" w:fill="EDEFF0"/>
            <w:tcMar>
              <w:right w:w="57" w:type="dxa"/>
            </w:tcMar>
          </w:tcPr>
          <w:p w14:paraId="27BF5322" w14:textId="77777777" w:rsidR="00FA4226" w:rsidRPr="00CA2CC1" w:rsidRDefault="00000000" w:rsidP="0043303B">
            <w:pPr>
              <w:pStyle w:val="TableParagraph"/>
              <w:spacing w:before="31"/>
              <w:rPr>
                <w:rFonts w:cs="Calibri"/>
                <w:sz w:val="17"/>
              </w:rPr>
            </w:pPr>
            <w:r w:rsidRPr="00CA2CC1">
              <w:rPr>
                <w:rFonts w:cs="Calibri"/>
                <w:color w:val="414042"/>
                <w:spacing w:val="-5"/>
                <w:sz w:val="17"/>
              </w:rPr>
              <w:t>$0</w:t>
            </w:r>
          </w:p>
        </w:tc>
      </w:tr>
      <w:tr w:rsidR="00FA4226" w:rsidRPr="00CA2CC1" w14:paraId="6C4B0F10" w14:textId="77777777" w:rsidTr="000A0029">
        <w:trPr>
          <w:trHeight w:val="1138"/>
        </w:trPr>
        <w:tc>
          <w:tcPr>
            <w:tcW w:w="1757" w:type="dxa"/>
            <w:tcBorders>
              <w:top w:val="single" w:sz="4" w:space="0" w:color="73777A"/>
              <w:bottom w:val="single" w:sz="4" w:space="0" w:color="73777A"/>
            </w:tcBorders>
            <w:shd w:val="clear" w:color="auto" w:fill="FCFCFA"/>
            <w:tcMar>
              <w:right w:w="57" w:type="dxa"/>
            </w:tcMar>
          </w:tcPr>
          <w:p w14:paraId="7B243411" w14:textId="77777777" w:rsidR="00FA4226" w:rsidRPr="00CA2CC1" w:rsidRDefault="00000000" w:rsidP="0043303B">
            <w:pPr>
              <w:pStyle w:val="TableParagraph"/>
              <w:spacing w:before="31"/>
              <w:jc w:val="left"/>
              <w:rPr>
                <w:rFonts w:cs="Calibri"/>
                <w:sz w:val="17"/>
              </w:rPr>
            </w:pPr>
            <w:r w:rsidRPr="00CA2CC1">
              <w:rPr>
                <w:rFonts w:cs="Calibri"/>
                <w:color w:val="414042"/>
                <w:sz w:val="17"/>
              </w:rPr>
              <w:t xml:space="preserve">ARUP </w:t>
            </w:r>
            <w:r w:rsidRPr="00CA2CC1">
              <w:rPr>
                <w:rFonts w:cs="Calibri"/>
                <w:color w:val="414042"/>
                <w:spacing w:val="-5"/>
                <w:sz w:val="17"/>
              </w:rPr>
              <w:t>P/L</w:t>
            </w:r>
          </w:p>
        </w:tc>
        <w:tc>
          <w:tcPr>
            <w:tcW w:w="1757" w:type="dxa"/>
            <w:tcBorders>
              <w:top w:val="single" w:sz="4" w:space="0" w:color="73777A"/>
              <w:bottom w:val="single" w:sz="4" w:space="0" w:color="73777A"/>
            </w:tcBorders>
            <w:tcMar>
              <w:right w:w="57" w:type="dxa"/>
            </w:tcMar>
          </w:tcPr>
          <w:p w14:paraId="36EE6DAE" w14:textId="77777777" w:rsidR="00FA4226" w:rsidRPr="00CA2CC1" w:rsidRDefault="00000000" w:rsidP="0043303B">
            <w:pPr>
              <w:pStyle w:val="TableParagraph"/>
              <w:spacing w:before="61"/>
              <w:jc w:val="left"/>
              <w:rPr>
                <w:rFonts w:cs="Calibri"/>
                <w:sz w:val="17"/>
              </w:rPr>
            </w:pPr>
            <w:r w:rsidRPr="00CA2CC1">
              <w:rPr>
                <w:rFonts w:cs="Calibri"/>
                <w:color w:val="414042"/>
                <w:sz w:val="17"/>
              </w:rPr>
              <w:t>Climate</w:t>
            </w:r>
            <w:r w:rsidRPr="00CA2CC1">
              <w:rPr>
                <w:rFonts w:cs="Calibri"/>
                <w:color w:val="414042"/>
                <w:spacing w:val="-12"/>
                <w:sz w:val="17"/>
              </w:rPr>
              <w:t xml:space="preserve"> </w:t>
            </w:r>
            <w:r w:rsidRPr="00CA2CC1">
              <w:rPr>
                <w:rFonts w:cs="Calibri"/>
                <w:color w:val="414042"/>
                <w:sz w:val="17"/>
              </w:rPr>
              <w:t>risk</w:t>
            </w:r>
            <w:r w:rsidRPr="00CA2CC1">
              <w:rPr>
                <w:rFonts w:cs="Calibri"/>
                <w:color w:val="414042"/>
                <w:spacing w:val="-12"/>
                <w:sz w:val="17"/>
              </w:rPr>
              <w:t xml:space="preserve"> </w:t>
            </w:r>
            <w:r w:rsidRPr="00CA2CC1">
              <w:rPr>
                <w:rFonts w:cs="Calibri"/>
                <w:color w:val="414042"/>
                <w:sz w:val="17"/>
              </w:rPr>
              <w:t xml:space="preserve">and </w:t>
            </w:r>
            <w:r w:rsidRPr="00CA2CC1">
              <w:rPr>
                <w:rFonts w:cs="Calibri"/>
                <w:color w:val="414042"/>
                <w:spacing w:val="-2"/>
                <w:sz w:val="17"/>
              </w:rPr>
              <w:t xml:space="preserve">consequences </w:t>
            </w:r>
            <w:r w:rsidRPr="00CA2CC1">
              <w:rPr>
                <w:rFonts w:cs="Calibri"/>
                <w:color w:val="414042"/>
                <w:sz w:val="17"/>
              </w:rPr>
              <w:t xml:space="preserve">for Victorian </w:t>
            </w:r>
            <w:r w:rsidRPr="00CA2CC1">
              <w:rPr>
                <w:rFonts w:cs="Calibri"/>
                <w:color w:val="414042"/>
                <w:spacing w:val="-2"/>
                <w:sz w:val="17"/>
              </w:rPr>
              <w:t>infrastructure analysis</w:t>
            </w:r>
          </w:p>
        </w:tc>
        <w:tc>
          <w:tcPr>
            <w:tcW w:w="1133" w:type="dxa"/>
            <w:tcBorders>
              <w:top w:val="single" w:sz="4" w:space="0" w:color="73777A"/>
              <w:bottom w:val="single" w:sz="4" w:space="0" w:color="73777A"/>
            </w:tcBorders>
            <w:shd w:val="clear" w:color="auto" w:fill="EDEFF0"/>
            <w:tcMar>
              <w:right w:w="57" w:type="dxa"/>
            </w:tcMar>
          </w:tcPr>
          <w:p w14:paraId="73F28FA3" w14:textId="77777777" w:rsidR="00FA4226" w:rsidRPr="00CA2CC1" w:rsidRDefault="00000000" w:rsidP="0043303B">
            <w:pPr>
              <w:pStyle w:val="TableParagraph"/>
              <w:spacing w:before="31"/>
              <w:rPr>
                <w:rFonts w:cs="Calibri"/>
                <w:sz w:val="17"/>
              </w:rPr>
            </w:pPr>
            <w:r w:rsidRPr="00CA2CC1">
              <w:rPr>
                <w:rFonts w:cs="Calibri"/>
                <w:color w:val="414042"/>
                <w:sz w:val="17"/>
              </w:rPr>
              <w:t>Jan-</w:t>
            </w:r>
            <w:r w:rsidRPr="00CA2CC1">
              <w:rPr>
                <w:rFonts w:cs="Calibri"/>
                <w:color w:val="414042"/>
                <w:spacing w:val="-5"/>
                <w:sz w:val="17"/>
              </w:rPr>
              <w:t>23</w:t>
            </w:r>
          </w:p>
        </w:tc>
        <w:tc>
          <w:tcPr>
            <w:tcW w:w="1133" w:type="dxa"/>
            <w:tcBorders>
              <w:top w:val="single" w:sz="4" w:space="0" w:color="73777A"/>
              <w:bottom w:val="single" w:sz="4" w:space="0" w:color="73777A"/>
            </w:tcBorders>
            <w:tcMar>
              <w:right w:w="57" w:type="dxa"/>
            </w:tcMar>
          </w:tcPr>
          <w:p w14:paraId="3B7D61D7" w14:textId="77777777" w:rsidR="00FA4226" w:rsidRPr="00CA2CC1" w:rsidRDefault="00000000" w:rsidP="0043303B">
            <w:pPr>
              <w:pStyle w:val="TableParagraph"/>
              <w:spacing w:before="31"/>
              <w:rPr>
                <w:rFonts w:cs="Calibri"/>
                <w:sz w:val="17"/>
              </w:rPr>
            </w:pPr>
            <w:r w:rsidRPr="00CA2CC1">
              <w:rPr>
                <w:rFonts w:cs="Calibri"/>
                <w:color w:val="414042"/>
                <w:spacing w:val="-2"/>
                <w:sz w:val="17"/>
              </w:rPr>
              <w:t>Aug-</w:t>
            </w:r>
            <w:r w:rsidRPr="00CA2CC1">
              <w:rPr>
                <w:rFonts w:cs="Calibri"/>
                <w:color w:val="414042"/>
                <w:spacing w:val="-5"/>
                <w:sz w:val="17"/>
              </w:rPr>
              <w:t>23</w:t>
            </w:r>
          </w:p>
        </w:tc>
        <w:tc>
          <w:tcPr>
            <w:tcW w:w="1284" w:type="dxa"/>
            <w:tcBorders>
              <w:top w:val="single" w:sz="4" w:space="0" w:color="73777A"/>
              <w:bottom w:val="single" w:sz="4" w:space="0" w:color="73777A"/>
            </w:tcBorders>
            <w:shd w:val="clear" w:color="auto" w:fill="EDEFF0"/>
            <w:tcMar>
              <w:right w:w="57" w:type="dxa"/>
            </w:tcMar>
          </w:tcPr>
          <w:p w14:paraId="541F5816" w14:textId="77777777" w:rsidR="00FA4226" w:rsidRPr="00CA2CC1" w:rsidRDefault="00000000" w:rsidP="0043303B">
            <w:pPr>
              <w:pStyle w:val="TableParagraph"/>
              <w:spacing w:before="31"/>
              <w:rPr>
                <w:rFonts w:cs="Calibri"/>
                <w:sz w:val="17"/>
              </w:rPr>
            </w:pPr>
            <w:r w:rsidRPr="00CA2CC1">
              <w:rPr>
                <w:rFonts w:cs="Calibri"/>
                <w:color w:val="414042"/>
                <w:spacing w:val="-2"/>
                <w:sz w:val="17"/>
              </w:rPr>
              <w:t>$199,900</w:t>
            </w:r>
          </w:p>
        </w:tc>
        <w:tc>
          <w:tcPr>
            <w:tcW w:w="1284" w:type="dxa"/>
            <w:tcBorders>
              <w:top w:val="single" w:sz="4" w:space="0" w:color="73777A"/>
              <w:bottom w:val="single" w:sz="4" w:space="0" w:color="73777A"/>
            </w:tcBorders>
            <w:tcMar>
              <w:right w:w="57" w:type="dxa"/>
            </w:tcMar>
          </w:tcPr>
          <w:p w14:paraId="51831BCF" w14:textId="77777777" w:rsidR="00FA4226" w:rsidRPr="00CA2CC1" w:rsidRDefault="00000000" w:rsidP="0043303B">
            <w:pPr>
              <w:pStyle w:val="TableParagraph"/>
              <w:spacing w:before="31"/>
              <w:rPr>
                <w:rFonts w:cs="Calibri"/>
                <w:sz w:val="17"/>
              </w:rPr>
            </w:pPr>
            <w:r w:rsidRPr="00CA2CC1">
              <w:rPr>
                <w:rFonts w:cs="Calibri"/>
                <w:color w:val="414042"/>
                <w:spacing w:val="-2"/>
                <w:sz w:val="17"/>
              </w:rPr>
              <w:t>$199,900</w:t>
            </w:r>
          </w:p>
        </w:tc>
        <w:tc>
          <w:tcPr>
            <w:tcW w:w="1284" w:type="dxa"/>
            <w:tcBorders>
              <w:top w:val="single" w:sz="4" w:space="0" w:color="73777A"/>
              <w:bottom w:val="single" w:sz="4" w:space="0" w:color="73777A"/>
            </w:tcBorders>
            <w:shd w:val="clear" w:color="auto" w:fill="EDEFF0"/>
            <w:tcMar>
              <w:right w:w="57" w:type="dxa"/>
            </w:tcMar>
          </w:tcPr>
          <w:p w14:paraId="2DCEA98B" w14:textId="77777777" w:rsidR="00FA4226" w:rsidRPr="00CA2CC1" w:rsidRDefault="00000000" w:rsidP="0043303B">
            <w:pPr>
              <w:pStyle w:val="TableParagraph"/>
              <w:spacing w:before="31"/>
              <w:rPr>
                <w:rFonts w:cs="Calibri"/>
                <w:sz w:val="17"/>
              </w:rPr>
            </w:pPr>
            <w:r w:rsidRPr="00CA2CC1">
              <w:rPr>
                <w:rFonts w:cs="Calibri"/>
                <w:color w:val="414042"/>
                <w:spacing w:val="-5"/>
                <w:sz w:val="17"/>
              </w:rPr>
              <w:t>$0</w:t>
            </w:r>
          </w:p>
        </w:tc>
      </w:tr>
      <w:tr w:rsidR="00FA4226" w:rsidRPr="00CA2CC1" w14:paraId="12DE1331" w14:textId="77777777" w:rsidTr="000A0029">
        <w:trPr>
          <w:trHeight w:val="738"/>
        </w:trPr>
        <w:tc>
          <w:tcPr>
            <w:tcW w:w="1757" w:type="dxa"/>
            <w:tcBorders>
              <w:top w:val="single" w:sz="4" w:space="0" w:color="73777A"/>
              <w:bottom w:val="single" w:sz="4" w:space="0" w:color="73777A"/>
            </w:tcBorders>
            <w:shd w:val="clear" w:color="auto" w:fill="FCFCFA"/>
            <w:tcMar>
              <w:right w:w="57" w:type="dxa"/>
            </w:tcMar>
          </w:tcPr>
          <w:p w14:paraId="168DC34A" w14:textId="77777777" w:rsidR="00FA4226" w:rsidRPr="00CA2CC1" w:rsidRDefault="00000000" w:rsidP="0043303B">
            <w:pPr>
              <w:pStyle w:val="TableParagraph"/>
              <w:spacing w:before="61"/>
              <w:jc w:val="left"/>
              <w:rPr>
                <w:rFonts w:cs="Calibri"/>
                <w:sz w:val="17"/>
              </w:rPr>
            </w:pPr>
            <w:r w:rsidRPr="00CA2CC1">
              <w:rPr>
                <w:rFonts w:cs="Calibri"/>
                <w:color w:val="414042"/>
                <w:sz w:val="17"/>
              </w:rPr>
              <w:t>WSP</w:t>
            </w:r>
            <w:r w:rsidRPr="00CA2CC1">
              <w:rPr>
                <w:rFonts w:cs="Calibri"/>
                <w:color w:val="414042"/>
                <w:spacing w:val="-12"/>
                <w:sz w:val="17"/>
              </w:rPr>
              <w:t xml:space="preserve"> </w:t>
            </w:r>
            <w:r w:rsidRPr="00CA2CC1">
              <w:rPr>
                <w:rFonts w:cs="Calibri"/>
                <w:color w:val="414042"/>
                <w:sz w:val="17"/>
              </w:rPr>
              <w:t>AUSTRALIA PTY LIMITED</w:t>
            </w:r>
          </w:p>
        </w:tc>
        <w:tc>
          <w:tcPr>
            <w:tcW w:w="1757" w:type="dxa"/>
            <w:tcBorders>
              <w:top w:val="single" w:sz="4" w:space="0" w:color="73777A"/>
              <w:bottom w:val="single" w:sz="4" w:space="0" w:color="73777A"/>
            </w:tcBorders>
            <w:tcMar>
              <w:right w:w="57" w:type="dxa"/>
            </w:tcMar>
          </w:tcPr>
          <w:p w14:paraId="5789A5B4" w14:textId="77777777" w:rsidR="00FA4226" w:rsidRPr="00CA2CC1" w:rsidRDefault="00000000" w:rsidP="0043303B">
            <w:pPr>
              <w:pStyle w:val="TableParagraph"/>
              <w:spacing w:before="61"/>
              <w:jc w:val="left"/>
              <w:rPr>
                <w:rFonts w:cs="Calibri"/>
                <w:sz w:val="17"/>
              </w:rPr>
            </w:pPr>
            <w:r w:rsidRPr="00CA2CC1">
              <w:rPr>
                <w:rFonts w:cs="Calibri"/>
                <w:color w:val="414042"/>
                <w:spacing w:val="-2"/>
                <w:sz w:val="17"/>
              </w:rPr>
              <w:t>Decarbonising infrastructure analysis</w:t>
            </w:r>
          </w:p>
        </w:tc>
        <w:tc>
          <w:tcPr>
            <w:tcW w:w="1133" w:type="dxa"/>
            <w:tcBorders>
              <w:top w:val="single" w:sz="4" w:space="0" w:color="73777A"/>
              <w:bottom w:val="single" w:sz="4" w:space="0" w:color="73777A"/>
            </w:tcBorders>
            <w:shd w:val="clear" w:color="auto" w:fill="EDEFF0"/>
            <w:tcMar>
              <w:right w:w="57" w:type="dxa"/>
            </w:tcMar>
          </w:tcPr>
          <w:p w14:paraId="56A6D097" w14:textId="77777777" w:rsidR="00FA4226" w:rsidRPr="00CA2CC1" w:rsidRDefault="00000000" w:rsidP="0043303B">
            <w:pPr>
              <w:pStyle w:val="TableParagraph"/>
              <w:spacing w:before="31"/>
              <w:rPr>
                <w:rFonts w:cs="Calibri"/>
                <w:sz w:val="17"/>
              </w:rPr>
            </w:pPr>
            <w:r w:rsidRPr="00CA2CC1">
              <w:rPr>
                <w:rFonts w:cs="Calibri"/>
                <w:color w:val="414042"/>
                <w:sz w:val="17"/>
              </w:rPr>
              <w:t>Jan-</w:t>
            </w:r>
            <w:r w:rsidRPr="00CA2CC1">
              <w:rPr>
                <w:rFonts w:cs="Calibri"/>
                <w:color w:val="414042"/>
                <w:spacing w:val="-5"/>
                <w:sz w:val="17"/>
              </w:rPr>
              <w:t>23</w:t>
            </w:r>
          </w:p>
        </w:tc>
        <w:tc>
          <w:tcPr>
            <w:tcW w:w="1133" w:type="dxa"/>
            <w:tcBorders>
              <w:top w:val="single" w:sz="4" w:space="0" w:color="73777A"/>
              <w:bottom w:val="single" w:sz="4" w:space="0" w:color="73777A"/>
            </w:tcBorders>
            <w:tcMar>
              <w:right w:w="57" w:type="dxa"/>
            </w:tcMar>
          </w:tcPr>
          <w:p w14:paraId="589D27C4" w14:textId="77777777" w:rsidR="00FA4226" w:rsidRPr="00CA2CC1" w:rsidRDefault="00000000" w:rsidP="0043303B">
            <w:pPr>
              <w:pStyle w:val="TableParagraph"/>
              <w:spacing w:before="31"/>
              <w:rPr>
                <w:rFonts w:cs="Calibri"/>
                <w:sz w:val="17"/>
              </w:rPr>
            </w:pPr>
            <w:r w:rsidRPr="00CA2CC1">
              <w:rPr>
                <w:rFonts w:cs="Calibri"/>
                <w:color w:val="414042"/>
                <w:spacing w:val="-2"/>
                <w:sz w:val="17"/>
              </w:rPr>
              <w:t>Jul-</w:t>
            </w:r>
            <w:r w:rsidRPr="00CA2CC1">
              <w:rPr>
                <w:rFonts w:cs="Calibri"/>
                <w:color w:val="414042"/>
                <w:spacing w:val="-5"/>
                <w:sz w:val="17"/>
              </w:rPr>
              <w:t>23</w:t>
            </w:r>
          </w:p>
        </w:tc>
        <w:tc>
          <w:tcPr>
            <w:tcW w:w="1284" w:type="dxa"/>
            <w:tcBorders>
              <w:top w:val="single" w:sz="4" w:space="0" w:color="73777A"/>
              <w:bottom w:val="single" w:sz="4" w:space="0" w:color="73777A"/>
            </w:tcBorders>
            <w:shd w:val="clear" w:color="auto" w:fill="EDEFF0"/>
            <w:tcMar>
              <w:right w:w="57" w:type="dxa"/>
            </w:tcMar>
          </w:tcPr>
          <w:p w14:paraId="200B6E29" w14:textId="77777777" w:rsidR="00FA4226" w:rsidRPr="00CA2CC1" w:rsidRDefault="00000000" w:rsidP="0043303B">
            <w:pPr>
              <w:pStyle w:val="TableParagraph"/>
              <w:spacing w:before="31"/>
              <w:rPr>
                <w:rFonts w:cs="Calibri"/>
                <w:sz w:val="17"/>
              </w:rPr>
            </w:pPr>
            <w:r w:rsidRPr="00CA2CC1">
              <w:rPr>
                <w:rFonts w:cs="Calibri"/>
                <w:color w:val="414042"/>
                <w:spacing w:val="-2"/>
                <w:sz w:val="17"/>
              </w:rPr>
              <w:t>$199,975</w:t>
            </w:r>
          </w:p>
        </w:tc>
        <w:tc>
          <w:tcPr>
            <w:tcW w:w="1284" w:type="dxa"/>
            <w:tcBorders>
              <w:top w:val="single" w:sz="4" w:space="0" w:color="73777A"/>
              <w:bottom w:val="single" w:sz="4" w:space="0" w:color="73777A"/>
            </w:tcBorders>
            <w:tcMar>
              <w:right w:w="57" w:type="dxa"/>
            </w:tcMar>
          </w:tcPr>
          <w:p w14:paraId="718DDA35" w14:textId="77777777" w:rsidR="00FA4226" w:rsidRPr="00CA2CC1" w:rsidRDefault="00000000" w:rsidP="0043303B">
            <w:pPr>
              <w:pStyle w:val="TableParagraph"/>
              <w:spacing w:before="31"/>
              <w:rPr>
                <w:rFonts w:cs="Calibri"/>
                <w:sz w:val="17"/>
              </w:rPr>
            </w:pPr>
            <w:r w:rsidRPr="00CA2CC1">
              <w:rPr>
                <w:rFonts w:cs="Calibri"/>
                <w:color w:val="414042"/>
                <w:spacing w:val="-2"/>
                <w:sz w:val="17"/>
              </w:rPr>
              <w:t>$199,975</w:t>
            </w:r>
          </w:p>
        </w:tc>
        <w:tc>
          <w:tcPr>
            <w:tcW w:w="1284" w:type="dxa"/>
            <w:tcBorders>
              <w:top w:val="single" w:sz="4" w:space="0" w:color="73777A"/>
              <w:bottom w:val="single" w:sz="4" w:space="0" w:color="73777A"/>
            </w:tcBorders>
            <w:shd w:val="clear" w:color="auto" w:fill="EDEFF0"/>
            <w:tcMar>
              <w:right w:w="57" w:type="dxa"/>
            </w:tcMar>
          </w:tcPr>
          <w:p w14:paraId="69F90FBF" w14:textId="77777777" w:rsidR="00FA4226" w:rsidRPr="00CA2CC1" w:rsidRDefault="00000000" w:rsidP="0043303B">
            <w:pPr>
              <w:pStyle w:val="TableParagraph"/>
              <w:spacing w:before="31"/>
              <w:rPr>
                <w:rFonts w:cs="Calibri"/>
                <w:sz w:val="17"/>
              </w:rPr>
            </w:pPr>
            <w:r w:rsidRPr="00CA2CC1">
              <w:rPr>
                <w:rFonts w:cs="Calibri"/>
                <w:color w:val="414042"/>
                <w:spacing w:val="-5"/>
                <w:sz w:val="17"/>
              </w:rPr>
              <w:t>$0</w:t>
            </w:r>
          </w:p>
        </w:tc>
      </w:tr>
      <w:tr w:rsidR="00FA4226" w:rsidRPr="00CA2CC1" w14:paraId="76304EAD" w14:textId="77777777" w:rsidTr="000A0029">
        <w:trPr>
          <w:trHeight w:val="738"/>
        </w:trPr>
        <w:tc>
          <w:tcPr>
            <w:tcW w:w="1757" w:type="dxa"/>
            <w:tcBorders>
              <w:top w:val="single" w:sz="4" w:space="0" w:color="73777A"/>
              <w:bottom w:val="single" w:sz="4" w:space="0" w:color="73777A"/>
            </w:tcBorders>
            <w:shd w:val="clear" w:color="auto" w:fill="FCFCFA"/>
            <w:tcMar>
              <w:right w:w="57" w:type="dxa"/>
            </w:tcMar>
          </w:tcPr>
          <w:p w14:paraId="6C92FB7E" w14:textId="77777777" w:rsidR="00FA4226" w:rsidRPr="00CA2CC1" w:rsidRDefault="00000000" w:rsidP="0043303B">
            <w:pPr>
              <w:pStyle w:val="TableParagraph"/>
              <w:spacing w:before="61"/>
              <w:jc w:val="left"/>
              <w:rPr>
                <w:rFonts w:cs="Calibri"/>
                <w:sz w:val="17"/>
              </w:rPr>
            </w:pPr>
            <w:r w:rsidRPr="00CA2CC1">
              <w:rPr>
                <w:rFonts w:cs="Calibri"/>
                <w:color w:val="414042"/>
                <w:sz w:val="17"/>
              </w:rPr>
              <w:t xml:space="preserve">CENTRE FOR </w:t>
            </w:r>
            <w:r w:rsidRPr="00CA2CC1">
              <w:rPr>
                <w:rFonts w:cs="Calibri"/>
                <w:color w:val="414042"/>
                <w:spacing w:val="-2"/>
                <w:sz w:val="17"/>
              </w:rPr>
              <w:t>INTERNATIONAL ECONOMICS</w:t>
            </w:r>
          </w:p>
        </w:tc>
        <w:tc>
          <w:tcPr>
            <w:tcW w:w="1757" w:type="dxa"/>
            <w:tcBorders>
              <w:top w:val="single" w:sz="4" w:space="0" w:color="73777A"/>
              <w:bottom w:val="single" w:sz="4" w:space="0" w:color="73777A"/>
            </w:tcBorders>
            <w:tcMar>
              <w:right w:w="57" w:type="dxa"/>
            </w:tcMar>
          </w:tcPr>
          <w:p w14:paraId="5DC6EF8E" w14:textId="77777777" w:rsidR="00FA4226" w:rsidRPr="00CA2CC1" w:rsidRDefault="00000000" w:rsidP="0043303B">
            <w:pPr>
              <w:pStyle w:val="TableParagraph"/>
              <w:spacing w:before="69"/>
              <w:jc w:val="left"/>
              <w:rPr>
                <w:rFonts w:cs="Calibri"/>
                <w:sz w:val="18"/>
              </w:rPr>
            </w:pPr>
            <w:r w:rsidRPr="00CA2CC1">
              <w:rPr>
                <w:rFonts w:cs="Calibri"/>
                <w:color w:val="414042"/>
                <w:sz w:val="18"/>
              </w:rPr>
              <w:t>Our</w:t>
            </w:r>
            <w:r w:rsidRPr="00CA2CC1">
              <w:rPr>
                <w:rFonts w:cs="Calibri"/>
                <w:color w:val="414042"/>
                <w:spacing w:val="-13"/>
                <w:sz w:val="18"/>
              </w:rPr>
              <w:t xml:space="preserve"> </w:t>
            </w:r>
            <w:r w:rsidRPr="00CA2CC1">
              <w:rPr>
                <w:rFonts w:cs="Calibri"/>
                <w:color w:val="414042"/>
                <w:sz w:val="18"/>
              </w:rPr>
              <w:t>home</w:t>
            </w:r>
            <w:r w:rsidRPr="00CA2CC1">
              <w:rPr>
                <w:rFonts w:cs="Calibri"/>
                <w:color w:val="414042"/>
                <w:spacing w:val="-13"/>
                <w:sz w:val="18"/>
              </w:rPr>
              <w:t xml:space="preserve"> </w:t>
            </w:r>
            <w:r w:rsidRPr="00CA2CC1">
              <w:rPr>
                <w:rFonts w:cs="Calibri"/>
                <w:color w:val="414042"/>
                <w:sz w:val="18"/>
              </w:rPr>
              <w:t xml:space="preserve">choices </w:t>
            </w:r>
            <w:r w:rsidRPr="00CA2CC1">
              <w:rPr>
                <w:rFonts w:cs="Calibri"/>
                <w:color w:val="414042"/>
                <w:spacing w:val="-2"/>
                <w:sz w:val="18"/>
              </w:rPr>
              <w:t>analysis</w:t>
            </w:r>
          </w:p>
        </w:tc>
        <w:tc>
          <w:tcPr>
            <w:tcW w:w="1133" w:type="dxa"/>
            <w:tcBorders>
              <w:top w:val="single" w:sz="4" w:space="0" w:color="73777A"/>
              <w:bottom w:val="single" w:sz="4" w:space="0" w:color="73777A"/>
            </w:tcBorders>
            <w:shd w:val="clear" w:color="auto" w:fill="EDEFF0"/>
            <w:tcMar>
              <w:right w:w="57" w:type="dxa"/>
            </w:tcMar>
          </w:tcPr>
          <w:p w14:paraId="33E1123F" w14:textId="77777777" w:rsidR="00FA4226" w:rsidRPr="00CA2CC1" w:rsidRDefault="00000000" w:rsidP="0043303B">
            <w:pPr>
              <w:pStyle w:val="TableParagraph"/>
              <w:spacing w:before="31"/>
              <w:rPr>
                <w:rFonts w:cs="Calibri"/>
                <w:sz w:val="17"/>
              </w:rPr>
            </w:pPr>
            <w:r w:rsidRPr="00CA2CC1">
              <w:rPr>
                <w:rFonts w:cs="Calibri"/>
                <w:color w:val="414042"/>
                <w:spacing w:val="-2"/>
                <w:sz w:val="17"/>
              </w:rPr>
              <w:t>Apr-</w:t>
            </w:r>
            <w:r w:rsidRPr="00CA2CC1">
              <w:rPr>
                <w:rFonts w:cs="Calibri"/>
                <w:color w:val="414042"/>
                <w:spacing w:val="-5"/>
                <w:sz w:val="17"/>
              </w:rPr>
              <w:t>22</w:t>
            </w:r>
          </w:p>
        </w:tc>
        <w:tc>
          <w:tcPr>
            <w:tcW w:w="1133" w:type="dxa"/>
            <w:tcBorders>
              <w:top w:val="single" w:sz="4" w:space="0" w:color="73777A"/>
              <w:bottom w:val="single" w:sz="4" w:space="0" w:color="73777A"/>
            </w:tcBorders>
            <w:tcMar>
              <w:right w:w="57" w:type="dxa"/>
            </w:tcMar>
          </w:tcPr>
          <w:p w14:paraId="5C85D7CC" w14:textId="77777777" w:rsidR="00FA4226" w:rsidRPr="00CA2CC1" w:rsidRDefault="00000000" w:rsidP="0043303B">
            <w:pPr>
              <w:pStyle w:val="TableParagraph"/>
              <w:spacing w:before="31"/>
              <w:rPr>
                <w:rFonts w:cs="Calibri"/>
                <w:sz w:val="17"/>
              </w:rPr>
            </w:pPr>
            <w:r w:rsidRPr="00CA2CC1">
              <w:rPr>
                <w:rFonts w:cs="Calibri"/>
                <w:color w:val="414042"/>
                <w:spacing w:val="-2"/>
                <w:sz w:val="17"/>
              </w:rPr>
              <w:t>Oct-</w:t>
            </w:r>
            <w:r w:rsidRPr="00CA2CC1">
              <w:rPr>
                <w:rFonts w:cs="Calibri"/>
                <w:color w:val="414042"/>
                <w:spacing w:val="-5"/>
                <w:sz w:val="17"/>
              </w:rPr>
              <w:t>22</w:t>
            </w:r>
          </w:p>
        </w:tc>
        <w:tc>
          <w:tcPr>
            <w:tcW w:w="1284" w:type="dxa"/>
            <w:tcBorders>
              <w:top w:val="single" w:sz="4" w:space="0" w:color="73777A"/>
              <w:bottom w:val="single" w:sz="4" w:space="0" w:color="73777A"/>
            </w:tcBorders>
            <w:shd w:val="clear" w:color="auto" w:fill="EDEFF0"/>
            <w:tcMar>
              <w:right w:w="57" w:type="dxa"/>
            </w:tcMar>
          </w:tcPr>
          <w:p w14:paraId="15B48FF1" w14:textId="77777777" w:rsidR="00FA4226" w:rsidRPr="00CA2CC1" w:rsidRDefault="00000000" w:rsidP="0043303B">
            <w:pPr>
              <w:pStyle w:val="TableParagraph"/>
              <w:spacing w:before="31"/>
              <w:rPr>
                <w:rFonts w:cs="Calibri"/>
                <w:sz w:val="17"/>
              </w:rPr>
            </w:pPr>
            <w:r w:rsidRPr="00CA2CC1">
              <w:rPr>
                <w:rFonts w:cs="Calibri"/>
                <w:color w:val="414042"/>
                <w:spacing w:val="-2"/>
                <w:sz w:val="17"/>
              </w:rPr>
              <w:t>$233,475</w:t>
            </w:r>
          </w:p>
        </w:tc>
        <w:tc>
          <w:tcPr>
            <w:tcW w:w="1284" w:type="dxa"/>
            <w:tcBorders>
              <w:top w:val="single" w:sz="4" w:space="0" w:color="73777A"/>
              <w:bottom w:val="single" w:sz="4" w:space="0" w:color="73777A"/>
            </w:tcBorders>
            <w:tcMar>
              <w:right w:w="57" w:type="dxa"/>
            </w:tcMar>
          </w:tcPr>
          <w:p w14:paraId="4B02DA6E" w14:textId="77777777" w:rsidR="00FA4226" w:rsidRPr="00CA2CC1" w:rsidRDefault="00000000" w:rsidP="0043303B">
            <w:pPr>
              <w:pStyle w:val="TableParagraph"/>
              <w:spacing w:before="31"/>
              <w:rPr>
                <w:rFonts w:cs="Calibri"/>
                <w:sz w:val="17"/>
              </w:rPr>
            </w:pPr>
            <w:r w:rsidRPr="00CA2CC1">
              <w:rPr>
                <w:rFonts w:cs="Calibri"/>
                <w:color w:val="414042"/>
                <w:spacing w:val="-2"/>
                <w:sz w:val="17"/>
              </w:rPr>
              <w:t>$148,130</w:t>
            </w:r>
          </w:p>
        </w:tc>
        <w:tc>
          <w:tcPr>
            <w:tcW w:w="1284" w:type="dxa"/>
            <w:tcBorders>
              <w:top w:val="single" w:sz="4" w:space="0" w:color="73777A"/>
              <w:bottom w:val="single" w:sz="4" w:space="0" w:color="73777A"/>
            </w:tcBorders>
            <w:shd w:val="clear" w:color="auto" w:fill="EDEFF0"/>
            <w:tcMar>
              <w:right w:w="57" w:type="dxa"/>
            </w:tcMar>
          </w:tcPr>
          <w:p w14:paraId="47828B8C" w14:textId="77777777" w:rsidR="00FA4226" w:rsidRPr="00CA2CC1" w:rsidRDefault="00000000" w:rsidP="0043303B">
            <w:pPr>
              <w:pStyle w:val="TableParagraph"/>
              <w:spacing w:before="31"/>
              <w:rPr>
                <w:rFonts w:cs="Calibri"/>
                <w:sz w:val="17"/>
              </w:rPr>
            </w:pPr>
            <w:r w:rsidRPr="00CA2CC1">
              <w:rPr>
                <w:rFonts w:cs="Calibri"/>
                <w:color w:val="414042"/>
                <w:spacing w:val="-5"/>
                <w:sz w:val="17"/>
              </w:rPr>
              <w:t>$0</w:t>
            </w:r>
          </w:p>
        </w:tc>
      </w:tr>
      <w:tr w:rsidR="00FA4226" w:rsidRPr="00CA2CC1" w14:paraId="6A0E0BB2" w14:textId="77777777" w:rsidTr="000A0029">
        <w:trPr>
          <w:trHeight w:val="538"/>
        </w:trPr>
        <w:tc>
          <w:tcPr>
            <w:tcW w:w="1757" w:type="dxa"/>
            <w:tcBorders>
              <w:top w:val="single" w:sz="4" w:space="0" w:color="73777A"/>
              <w:bottom w:val="single" w:sz="4" w:space="0" w:color="73777A"/>
            </w:tcBorders>
            <w:shd w:val="clear" w:color="auto" w:fill="FCFCFA"/>
            <w:tcMar>
              <w:right w:w="57" w:type="dxa"/>
            </w:tcMar>
          </w:tcPr>
          <w:p w14:paraId="3647345D" w14:textId="77777777" w:rsidR="00FA4226" w:rsidRPr="00CA2CC1" w:rsidRDefault="00000000" w:rsidP="0043303B">
            <w:pPr>
              <w:pStyle w:val="TableParagraph"/>
              <w:spacing w:before="61"/>
              <w:jc w:val="left"/>
              <w:rPr>
                <w:rFonts w:cs="Calibri"/>
                <w:sz w:val="17"/>
              </w:rPr>
            </w:pPr>
            <w:r w:rsidRPr="00CA2CC1">
              <w:rPr>
                <w:rFonts w:cs="Calibri"/>
                <w:color w:val="414042"/>
                <w:spacing w:val="-2"/>
                <w:sz w:val="17"/>
              </w:rPr>
              <w:t>GRIFFITH UNIVERSITY</w:t>
            </w:r>
          </w:p>
        </w:tc>
        <w:tc>
          <w:tcPr>
            <w:tcW w:w="1757" w:type="dxa"/>
            <w:tcBorders>
              <w:top w:val="single" w:sz="4" w:space="0" w:color="73777A"/>
              <w:bottom w:val="single" w:sz="4" w:space="0" w:color="73777A"/>
            </w:tcBorders>
            <w:tcMar>
              <w:right w:w="57" w:type="dxa"/>
            </w:tcMar>
          </w:tcPr>
          <w:p w14:paraId="64B0B4D1" w14:textId="77777777" w:rsidR="00FA4226" w:rsidRPr="00CA2CC1" w:rsidRDefault="00000000" w:rsidP="0043303B">
            <w:pPr>
              <w:pStyle w:val="TableParagraph"/>
              <w:spacing w:before="61"/>
              <w:jc w:val="left"/>
              <w:rPr>
                <w:rFonts w:cs="Calibri"/>
                <w:sz w:val="17"/>
              </w:rPr>
            </w:pPr>
            <w:r w:rsidRPr="00CA2CC1">
              <w:rPr>
                <w:rFonts w:cs="Calibri"/>
                <w:color w:val="414042"/>
                <w:sz w:val="17"/>
              </w:rPr>
              <w:t>Our</w:t>
            </w:r>
            <w:r w:rsidRPr="00CA2CC1">
              <w:rPr>
                <w:rFonts w:cs="Calibri"/>
                <w:color w:val="414042"/>
                <w:spacing w:val="-12"/>
                <w:sz w:val="17"/>
              </w:rPr>
              <w:t xml:space="preserve"> </w:t>
            </w:r>
            <w:r w:rsidRPr="00CA2CC1">
              <w:rPr>
                <w:rFonts w:cs="Calibri"/>
                <w:color w:val="414042"/>
                <w:sz w:val="17"/>
              </w:rPr>
              <w:t>home</w:t>
            </w:r>
            <w:r w:rsidRPr="00CA2CC1">
              <w:rPr>
                <w:rFonts w:cs="Calibri"/>
                <w:color w:val="414042"/>
                <w:spacing w:val="-12"/>
                <w:sz w:val="17"/>
              </w:rPr>
              <w:t xml:space="preserve"> </w:t>
            </w:r>
            <w:r w:rsidRPr="00CA2CC1">
              <w:rPr>
                <w:rFonts w:cs="Calibri"/>
                <w:color w:val="414042"/>
                <w:sz w:val="17"/>
              </w:rPr>
              <w:t xml:space="preserve">choices </w:t>
            </w:r>
            <w:r w:rsidRPr="00CA2CC1">
              <w:rPr>
                <w:rFonts w:cs="Calibri"/>
                <w:color w:val="414042"/>
                <w:spacing w:val="-2"/>
                <w:sz w:val="17"/>
              </w:rPr>
              <w:t>analysis</w:t>
            </w:r>
          </w:p>
        </w:tc>
        <w:tc>
          <w:tcPr>
            <w:tcW w:w="1133" w:type="dxa"/>
            <w:tcBorders>
              <w:top w:val="single" w:sz="4" w:space="0" w:color="73777A"/>
              <w:bottom w:val="single" w:sz="4" w:space="0" w:color="73777A"/>
            </w:tcBorders>
            <w:shd w:val="clear" w:color="auto" w:fill="EDEFF0"/>
            <w:tcMar>
              <w:right w:w="57" w:type="dxa"/>
            </w:tcMar>
          </w:tcPr>
          <w:p w14:paraId="6A159861" w14:textId="77777777" w:rsidR="00FA4226" w:rsidRPr="00CA2CC1" w:rsidRDefault="00000000" w:rsidP="0043303B">
            <w:pPr>
              <w:pStyle w:val="TableParagraph"/>
              <w:spacing w:before="31"/>
              <w:rPr>
                <w:rFonts w:cs="Calibri"/>
                <w:sz w:val="17"/>
              </w:rPr>
            </w:pPr>
            <w:r w:rsidRPr="00CA2CC1">
              <w:rPr>
                <w:rFonts w:cs="Calibri"/>
                <w:color w:val="414042"/>
                <w:sz w:val="17"/>
              </w:rPr>
              <w:t>Jun-</w:t>
            </w:r>
            <w:r w:rsidRPr="00CA2CC1">
              <w:rPr>
                <w:rFonts w:cs="Calibri"/>
                <w:color w:val="414042"/>
                <w:spacing w:val="-5"/>
                <w:sz w:val="17"/>
              </w:rPr>
              <w:t>22</w:t>
            </w:r>
          </w:p>
        </w:tc>
        <w:tc>
          <w:tcPr>
            <w:tcW w:w="1133" w:type="dxa"/>
            <w:tcBorders>
              <w:top w:val="single" w:sz="4" w:space="0" w:color="73777A"/>
              <w:bottom w:val="single" w:sz="4" w:space="0" w:color="73777A"/>
            </w:tcBorders>
            <w:tcMar>
              <w:right w:w="57" w:type="dxa"/>
            </w:tcMar>
          </w:tcPr>
          <w:p w14:paraId="5983B500" w14:textId="77777777" w:rsidR="00FA4226" w:rsidRPr="00CA2CC1" w:rsidRDefault="00000000" w:rsidP="0043303B">
            <w:pPr>
              <w:pStyle w:val="TableParagraph"/>
              <w:spacing w:before="31"/>
              <w:rPr>
                <w:rFonts w:cs="Calibri"/>
                <w:sz w:val="17"/>
              </w:rPr>
            </w:pPr>
            <w:r w:rsidRPr="00CA2CC1">
              <w:rPr>
                <w:rFonts w:cs="Calibri"/>
                <w:color w:val="414042"/>
                <w:sz w:val="17"/>
              </w:rPr>
              <w:t>Feb-</w:t>
            </w:r>
            <w:r w:rsidRPr="00CA2CC1">
              <w:rPr>
                <w:rFonts w:cs="Calibri"/>
                <w:color w:val="414042"/>
                <w:spacing w:val="-5"/>
                <w:sz w:val="17"/>
              </w:rPr>
              <w:t>23</w:t>
            </w:r>
          </w:p>
        </w:tc>
        <w:tc>
          <w:tcPr>
            <w:tcW w:w="1284" w:type="dxa"/>
            <w:tcBorders>
              <w:top w:val="single" w:sz="4" w:space="0" w:color="73777A"/>
              <w:bottom w:val="single" w:sz="4" w:space="0" w:color="73777A"/>
            </w:tcBorders>
            <w:shd w:val="clear" w:color="auto" w:fill="EDEFF0"/>
            <w:tcMar>
              <w:right w:w="57" w:type="dxa"/>
            </w:tcMar>
          </w:tcPr>
          <w:p w14:paraId="2CC3B331" w14:textId="77777777" w:rsidR="00FA4226" w:rsidRPr="00CA2CC1" w:rsidRDefault="00000000" w:rsidP="0043303B">
            <w:pPr>
              <w:pStyle w:val="TableParagraph"/>
              <w:spacing w:before="31"/>
              <w:rPr>
                <w:rFonts w:cs="Calibri"/>
                <w:sz w:val="17"/>
              </w:rPr>
            </w:pPr>
            <w:r w:rsidRPr="00CA2CC1">
              <w:rPr>
                <w:rFonts w:cs="Calibri"/>
                <w:color w:val="414042"/>
                <w:spacing w:val="-2"/>
                <w:sz w:val="17"/>
              </w:rPr>
              <w:t>$14,840</w:t>
            </w:r>
          </w:p>
        </w:tc>
        <w:tc>
          <w:tcPr>
            <w:tcW w:w="1284" w:type="dxa"/>
            <w:tcBorders>
              <w:top w:val="single" w:sz="4" w:space="0" w:color="73777A"/>
              <w:bottom w:val="single" w:sz="4" w:space="0" w:color="73777A"/>
            </w:tcBorders>
            <w:tcMar>
              <w:right w:w="57" w:type="dxa"/>
            </w:tcMar>
          </w:tcPr>
          <w:p w14:paraId="6ABE31BE" w14:textId="77777777" w:rsidR="00FA4226" w:rsidRPr="00CA2CC1" w:rsidRDefault="00000000" w:rsidP="0043303B">
            <w:pPr>
              <w:pStyle w:val="TableParagraph"/>
              <w:spacing w:before="31"/>
              <w:rPr>
                <w:rFonts w:cs="Calibri"/>
                <w:sz w:val="17"/>
              </w:rPr>
            </w:pPr>
            <w:r w:rsidRPr="00CA2CC1">
              <w:rPr>
                <w:rFonts w:cs="Calibri"/>
                <w:color w:val="414042"/>
                <w:spacing w:val="-2"/>
                <w:sz w:val="17"/>
              </w:rPr>
              <w:t>$14,840</w:t>
            </w:r>
          </w:p>
        </w:tc>
        <w:tc>
          <w:tcPr>
            <w:tcW w:w="1284" w:type="dxa"/>
            <w:tcBorders>
              <w:top w:val="single" w:sz="4" w:space="0" w:color="73777A"/>
              <w:bottom w:val="single" w:sz="4" w:space="0" w:color="73777A"/>
            </w:tcBorders>
            <w:shd w:val="clear" w:color="auto" w:fill="EDEFF0"/>
            <w:tcMar>
              <w:right w:w="57" w:type="dxa"/>
            </w:tcMar>
          </w:tcPr>
          <w:p w14:paraId="1D874926" w14:textId="77777777" w:rsidR="00FA4226" w:rsidRPr="00CA2CC1" w:rsidRDefault="00000000" w:rsidP="0043303B">
            <w:pPr>
              <w:pStyle w:val="TableParagraph"/>
              <w:spacing w:before="31"/>
              <w:rPr>
                <w:rFonts w:cs="Calibri"/>
                <w:sz w:val="17"/>
              </w:rPr>
            </w:pPr>
            <w:r w:rsidRPr="00CA2CC1">
              <w:rPr>
                <w:rFonts w:cs="Calibri"/>
                <w:color w:val="414042"/>
                <w:spacing w:val="-5"/>
                <w:sz w:val="17"/>
              </w:rPr>
              <w:t>$0</w:t>
            </w:r>
          </w:p>
        </w:tc>
      </w:tr>
      <w:tr w:rsidR="00FA4226" w:rsidRPr="00CA2CC1" w14:paraId="7EA485BD" w14:textId="77777777" w:rsidTr="000A0029">
        <w:trPr>
          <w:trHeight w:val="570"/>
        </w:trPr>
        <w:tc>
          <w:tcPr>
            <w:tcW w:w="1757" w:type="dxa"/>
            <w:tcBorders>
              <w:top w:val="single" w:sz="4" w:space="0" w:color="73777A"/>
              <w:bottom w:val="single" w:sz="4" w:space="0" w:color="73777A"/>
            </w:tcBorders>
            <w:shd w:val="clear" w:color="auto" w:fill="FCFCFA"/>
            <w:tcMar>
              <w:right w:w="57" w:type="dxa"/>
            </w:tcMar>
          </w:tcPr>
          <w:p w14:paraId="37E3A426" w14:textId="77777777" w:rsidR="00FA4226" w:rsidRPr="00CA2CC1" w:rsidRDefault="00000000" w:rsidP="0043303B">
            <w:pPr>
              <w:pStyle w:val="TableParagraph"/>
              <w:spacing w:before="61"/>
              <w:jc w:val="left"/>
              <w:rPr>
                <w:rFonts w:cs="Calibri"/>
                <w:sz w:val="17"/>
              </w:rPr>
            </w:pPr>
            <w:r w:rsidRPr="00CA2CC1">
              <w:rPr>
                <w:rFonts w:cs="Calibri"/>
                <w:color w:val="414042"/>
                <w:sz w:val="17"/>
              </w:rPr>
              <w:t>PROPTRACK</w:t>
            </w:r>
            <w:r w:rsidRPr="00CA2CC1">
              <w:rPr>
                <w:rFonts w:cs="Calibri"/>
                <w:color w:val="414042"/>
                <w:spacing w:val="-12"/>
                <w:sz w:val="17"/>
              </w:rPr>
              <w:t xml:space="preserve"> </w:t>
            </w:r>
            <w:r w:rsidRPr="00CA2CC1">
              <w:rPr>
                <w:rFonts w:cs="Calibri"/>
                <w:color w:val="414042"/>
                <w:sz w:val="17"/>
              </w:rPr>
              <w:t xml:space="preserve">PTY </w:t>
            </w:r>
            <w:r w:rsidRPr="00CA2CC1">
              <w:rPr>
                <w:rFonts w:cs="Calibri"/>
                <w:color w:val="414042"/>
                <w:spacing w:val="-4"/>
                <w:sz w:val="17"/>
              </w:rPr>
              <w:t>LTD</w:t>
            </w:r>
          </w:p>
        </w:tc>
        <w:tc>
          <w:tcPr>
            <w:tcW w:w="1757" w:type="dxa"/>
            <w:tcBorders>
              <w:top w:val="single" w:sz="4" w:space="0" w:color="73777A"/>
              <w:bottom w:val="single" w:sz="4" w:space="0" w:color="73777A"/>
            </w:tcBorders>
            <w:tcMar>
              <w:right w:w="57" w:type="dxa"/>
            </w:tcMar>
          </w:tcPr>
          <w:p w14:paraId="331D22A4" w14:textId="77777777" w:rsidR="00FA4226" w:rsidRPr="00CA2CC1" w:rsidRDefault="00000000" w:rsidP="0043303B">
            <w:pPr>
              <w:pStyle w:val="TableParagraph"/>
              <w:spacing w:before="61"/>
              <w:jc w:val="left"/>
              <w:rPr>
                <w:rFonts w:cs="Calibri"/>
                <w:sz w:val="17"/>
              </w:rPr>
            </w:pPr>
            <w:r w:rsidRPr="00CA2CC1">
              <w:rPr>
                <w:rFonts w:cs="Calibri"/>
                <w:color w:val="414042"/>
                <w:sz w:val="17"/>
              </w:rPr>
              <w:t>Our</w:t>
            </w:r>
            <w:r w:rsidRPr="00CA2CC1">
              <w:rPr>
                <w:rFonts w:cs="Calibri"/>
                <w:color w:val="414042"/>
                <w:spacing w:val="-12"/>
                <w:sz w:val="17"/>
              </w:rPr>
              <w:t xml:space="preserve"> </w:t>
            </w:r>
            <w:r w:rsidRPr="00CA2CC1">
              <w:rPr>
                <w:rFonts w:cs="Calibri"/>
                <w:color w:val="414042"/>
                <w:sz w:val="17"/>
              </w:rPr>
              <w:t>home</w:t>
            </w:r>
            <w:r w:rsidRPr="00CA2CC1">
              <w:rPr>
                <w:rFonts w:cs="Calibri"/>
                <w:color w:val="414042"/>
                <w:spacing w:val="-12"/>
                <w:sz w:val="17"/>
              </w:rPr>
              <w:t xml:space="preserve"> </w:t>
            </w:r>
            <w:r w:rsidRPr="00CA2CC1">
              <w:rPr>
                <w:rFonts w:cs="Calibri"/>
                <w:color w:val="414042"/>
                <w:sz w:val="17"/>
              </w:rPr>
              <w:t>choices housing data</w:t>
            </w:r>
          </w:p>
        </w:tc>
        <w:tc>
          <w:tcPr>
            <w:tcW w:w="1133" w:type="dxa"/>
            <w:tcBorders>
              <w:top w:val="single" w:sz="4" w:space="0" w:color="73777A"/>
              <w:bottom w:val="single" w:sz="4" w:space="0" w:color="73777A"/>
            </w:tcBorders>
            <w:shd w:val="clear" w:color="auto" w:fill="EDEFF0"/>
            <w:tcMar>
              <w:right w:w="57" w:type="dxa"/>
            </w:tcMar>
          </w:tcPr>
          <w:p w14:paraId="7FC6C970" w14:textId="77777777" w:rsidR="00FA4226" w:rsidRPr="00CA2CC1" w:rsidRDefault="00000000" w:rsidP="0043303B">
            <w:pPr>
              <w:pStyle w:val="TableParagraph"/>
              <w:spacing w:before="31"/>
              <w:rPr>
                <w:rFonts w:cs="Calibri"/>
                <w:sz w:val="17"/>
              </w:rPr>
            </w:pPr>
            <w:r w:rsidRPr="00CA2CC1">
              <w:rPr>
                <w:rFonts w:cs="Calibri"/>
                <w:color w:val="414042"/>
                <w:sz w:val="17"/>
              </w:rPr>
              <w:t>Jun-</w:t>
            </w:r>
            <w:r w:rsidRPr="00CA2CC1">
              <w:rPr>
                <w:rFonts w:cs="Calibri"/>
                <w:color w:val="414042"/>
                <w:spacing w:val="-5"/>
                <w:sz w:val="17"/>
              </w:rPr>
              <w:t>22</w:t>
            </w:r>
          </w:p>
        </w:tc>
        <w:tc>
          <w:tcPr>
            <w:tcW w:w="1133" w:type="dxa"/>
            <w:tcBorders>
              <w:top w:val="single" w:sz="4" w:space="0" w:color="73777A"/>
              <w:bottom w:val="single" w:sz="4" w:space="0" w:color="73777A"/>
            </w:tcBorders>
            <w:tcMar>
              <w:right w:w="57" w:type="dxa"/>
            </w:tcMar>
          </w:tcPr>
          <w:p w14:paraId="082AC20E" w14:textId="77777777" w:rsidR="00FA4226" w:rsidRPr="00CA2CC1" w:rsidRDefault="00000000" w:rsidP="0043303B">
            <w:pPr>
              <w:pStyle w:val="TableParagraph"/>
              <w:spacing w:before="31"/>
              <w:rPr>
                <w:rFonts w:cs="Calibri"/>
                <w:sz w:val="17"/>
              </w:rPr>
            </w:pPr>
            <w:r w:rsidRPr="00CA2CC1">
              <w:rPr>
                <w:rFonts w:cs="Calibri"/>
                <w:color w:val="414042"/>
                <w:sz w:val="17"/>
              </w:rPr>
              <w:t>Jun-</w:t>
            </w:r>
            <w:r w:rsidRPr="00CA2CC1">
              <w:rPr>
                <w:rFonts w:cs="Calibri"/>
                <w:color w:val="414042"/>
                <w:spacing w:val="-5"/>
                <w:sz w:val="17"/>
              </w:rPr>
              <w:t>24</w:t>
            </w:r>
          </w:p>
        </w:tc>
        <w:tc>
          <w:tcPr>
            <w:tcW w:w="1284" w:type="dxa"/>
            <w:tcBorders>
              <w:top w:val="single" w:sz="4" w:space="0" w:color="73777A"/>
              <w:bottom w:val="single" w:sz="4" w:space="0" w:color="73777A"/>
            </w:tcBorders>
            <w:shd w:val="clear" w:color="auto" w:fill="EDEFF0"/>
            <w:tcMar>
              <w:right w:w="57" w:type="dxa"/>
            </w:tcMar>
          </w:tcPr>
          <w:p w14:paraId="6B634A02" w14:textId="77777777" w:rsidR="00FA4226" w:rsidRPr="00CA2CC1" w:rsidRDefault="00000000" w:rsidP="0043303B">
            <w:pPr>
              <w:pStyle w:val="TableParagraph"/>
              <w:spacing w:before="31"/>
              <w:rPr>
                <w:rFonts w:cs="Calibri"/>
                <w:sz w:val="17"/>
              </w:rPr>
            </w:pPr>
            <w:r w:rsidRPr="00CA2CC1">
              <w:rPr>
                <w:rFonts w:cs="Calibri"/>
                <w:color w:val="414042"/>
                <w:spacing w:val="-2"/>
                <w:sz w:val="17"/>
              </w:rPr>
              <w:t>$105,000</w:t>
            </w:r>
          </w:p>
        </w:tc>
        <w:tc>
          <w:tcPr>
            <w:tcW w:w="1284" w:type="dxa"/>
            <w:tcBorders>
              <w:top w:val="single" w:sz="4" w:space="0" w:color="73777A"/>
              <w:bottom w:val="single" w:sz="4" w:space="0" w:color="73777A"/>
            </w:tcBorders>
            <w:tcMar>
              <w:right w:w="57" w:type="dxa"/>
            </w:tcMar>
          </w:tcPr>
          <w:p w14:paraId="5B1B0E09" w14:textId="77777777" w:rsidR="00FA4226" w:rsidRPr="00CA2CC1" w:rsidRDefault="00000000" w:rsidP="0043303B">
            <w:pPr>
              <w:pStyle w:val="TableParagraph"/>
              <w:spacing w:before="31"/>
              <w:rPr>
                <w:rFonts w:cs="Calibri"/>
                <w:sz w:val="17"/>
              </w:rPr>
            </w:pPr>
            <w:r w:rsidRPr="00CA2CC1">
              <w:rPr>
                <w:rFonts w:cs="Calibri"/>
                <w:color w:val="414042"/>
                <w:spacing w:val="-2"/>
                <w:sz w:val="17"/>
              </w:rPr>
              <w:t>$5,000</w:t>
            </w:r>
          </w:p>
        </w:tc>
        <w:tc>
          <w:tcPr>
            <w:tcW w:w="1284" w:type="dxa"/>
            <w:tcBorders>
              <w:top w:val="single" w:sz="4" w:space="0" w:color="73777A"/>
              <w:bottom w:val="single" w:sz="4" w:space="0" w:color="73777A"/>
            </w:tcBorders>
            <w:shd w:val="clear" w:color="auto" w:fill="EDEFF0"/>
            <w:tcMar>
              <w:right w:w="57" w:type="dxa"/>
            </w:tcMar>
          </w:tcPr>
          <w:p w14:paraId="37F64AE8" w14:textId="77777777" w:rsidR="00FA4226" w:rsidRPr="00CA2CC1" w:rsidRDefault="00000000" w:rsidP="0043303B">
            <w:pPr>
              <w:pStyle w:val="TableParagraph"/>
              <w:spacing w:before="31"/>
              <w:rPr>
                <w:rFonts w:cs="Calibri"/>
                <w:sz w:val="17"/>
              </w:rPr>
            </w:pPr>
            <w:r w:rsidRPr="00CA2CC1">
              <w:rPr>
                <w:rFonts w:cs="Calibri"/>
                <w:color w:val="414042"/>
                <w:spacing w:val="-5"/>
                <w:sz w:val="17"/>
              </w:rPr>
              <w:t>$0</w:t>
            </w:r>
          </w:p>
        </w:tc>
      </w:tr>
      <w:tr w:rsidR="00FA4226" w:rsidRPr="00CA2CC1" w14:paraId="49AC92E9" w14:textId="77777777" w:rsidTr="000A0029">
        <w:trPr>
          <w:trHeight w:val="738"/>
        </w:trPr>
        <w:tc>
          <w:tcPr>
            <w:tcW w:w="1757" w:type="dxa"/>
            <w:tcBorders>
              <w:top w:val="single" w:sz="4" w:space="0" w:color="73777A"/>
              <w:bottom w:val="single" w:sz="4" w:space="0" w:color="73777A"/>
            </w:tcBorders>
            <w:shd w:val="clear" w:color="auto" w:fill="FCFCFA"/>
            <w:tcMar>
              <w:right w:w="57" w:type="dxa"/>
            </w:tcMar>
          </w:tcPr>
          <w:p w14:paraId="08AB8D3D" w14:textId="77777777" w:rsidR="00FA4226" w:rsidRPr="00CA2CC1" w:rsidRDefault="00000000" w:rsidP="0043303B">
            <w:pPr>
              <w:pStyle w:val="TableParagraph"/>
              <w:spacing w:before="61"/>
              <w:jc w:val="left"/>
              <w:rPr>
                <w:rFonts w:cs="Calibri"/>
                <w:sz w:val="17"/>
              </w:rPr>
            </w:pPr>
            <w:r w:rsidRPr="00CA2CC1">
              <w:rPr>
                <w:rFonts w:cs="Calibri"/>
                <w:color w:val="414042"/>
                <w:spacing w:val="-2"/>
                <w:sz w:val="17"/>
              </w:rPr>
              <w:t xml:space="preserve">WALLIS CONSULTING </w:t>
            </w:r>
            <w:r w:rsidRPr="00CA2CC1">
              <w:rPr>
                <w:rFonts w:cs="Calibri"/>
                <w:color w:val="414042"/>
                <w:sz w:val="17"/>
              </w:rPr>
              <w:t>GROUP</w:t>
            </w:r>
            <w:r w:rsidRPr="00CA2CC1">
              <w:rPr>
                <w:rFonts w:cs="Calibri"/>
                <w:color w:val="414042"/>
                <w:spacing w:val="-12"/>
                <w:sz w:val="17"/>
              </w:rPr>
              <w:t xml:space="preserve"> </w:t>
            </w:r>
            <w:r w:rsidRPr="00CA2CC1">
              <w:rPr>
                <w:rFonts w:cs="Calibri"/>
                <w:color w:val="414042"/>
                <w:sz w:val="17"/>
              </w:rPr>
              <w:t>PTY</w:t>
            </w:r>
            <w:r w:rsidRPr="00CA2CC1">
              <w:rPr>
                <w:rFonts w:cs="Calibri"/>
                <w:color w:val="414042"/>
                <w:spacing w:val="-12"/>
                <w:sz w:val="17"/>
              </w:rPr>
              <w:t xml:space="preserve"> </w:t>
            </w:r>
            <w:r w:rsidRPr="00CA2CC1">
              <w:rPr>
                <w:rFonts w:cs="Calibri"/>
                <w:color w:val="414042"/>
                <w:sz w:val="17"/>
              </w:rPr>
              <w:t>LTD</w:t>
            </w:r>
          </w:p>
        </w:tc>
        <w:tc>
          <w:tcPr>
            <w:tcW w:w="1757" w:type="dxa"/>
            <w:tcBorders>
              <w:top w:val="single" w:sz="4" w:space="0" w:color="73777A"/>
              <w:bottom w:val="single" w:sz="4" w:space="0" w:color="73777A"/>
            </w:tcBorders>
            <w:tcMar>
              <w:right w:w="57" w:type="dxa"/>
            </w:tcMar>
          </w:tcPr>
          <w:p w14:paraId="38560E17" w14:textId="77777777" w:rsidR="00FA4226" w:rsidRPr="00CA2CC1" w:rsidRDefault="00000000" w:rsidP="0043303B">
            <w:pPr>
              <w:pStyle w:val="TableParagraph"/>
              <w:spacing w:before="61"/>
              <w:jc w:val="left"/>
              <w:rPr>
                <w:rFonts w:cs="Calibri"/>
                <w:sz w:val="17"/>
              </w:rPr>
            </w:pPr>
            <w:r w:rsidRPr="00CA2CC1">
              <w:rPr>
                <w:rFonts w:cs="Calibri"/>
                <w:color w:val="414042"/>
                <w:sz w:val="17"/>
              </w:rPr>
              <w:t>Our</w:t>
            </w:r>
            <w:r w:rsidRPr="00CA2CC1">
              <w:rPr>
                <w:rFonts w:cs="Calibri"/>
                <w:color w:val="414042"/>
                <w:spacing w:val="-12"/>
                <w:sz w:val="17"/>
              </w:rPr>
              <w:t xml:space="preserve"> </w:t>
            </w:r>
            <w:r w:rsidRPr="00CA2CC1">
              <w:rPr>
                <w:rFonts w:cs="Calibri"/>
                <w:color w:val="414042"/>
                <w:sz w:val="17"/>
              </w:rPr>
              <w:t>home</w:t>
            </w:r>
            <w:r w:rsidRPr="00CA2CC1">
              <w:rPr>
                <w:rFonts w:cs="Calibri"/>
                <w:color w:val="414042"/>
                <w:spacing w:val="-12"/>
                <w:sz w:val="17"/>
              </w:rPr>
              <w:t xml:space="preserve"> </w:t>
            </w:r>
            <w:r w:rsidRPr="00CA2CC1">
              <w:rPr>
                <w:rFonts w:cs="Calibri"/>
                <w:color w:val="414042"/>
                <w:sz w:val="17"/>
              </w:rPr>
              <w:t xml:space="preserve">choices </w:t>
            </w:r>
            <w:r w:rsidRPr="00CA2CC1">
              <w:rPr>
                <w:rFonts w:cs="Calibri"/>
                <w:color w:val="414042"/>
                <w:spacing w:val="-2"/>
                <w:sz w:val="17"/>
              </w:rPr>
              <w:t>research</w:t>
            </w:r>
          </w:p>
        </w:tc>
        <w:tc>
          <w:tcPr>
            <w:tcW w:w="1133" w:type="dxa"/>
            <w:tcBorders>
              <w:top w:val="single" w:sz="4" w:space="0" w:color="73777A"/>
              <w:bottom w:val="single" w:sz="4" w:space="0" w:color="73777A"/>
            </w:tcBorders>
            <w:shd w:val="clear" w:color="auto" w:fill="EDEFF0"/>
            <w:tcMar>
              <w:right w:w="57" w:type="dxa"/>
            </w:tcMar>
          </w:tcPr>
          <w:p w14:paraId="58675348" w14:textId="77777777" w:rsidR="00FA4226" w:rsidRPr="00CA2CC1" w:rsidRDefault="00000000" w:rsidP="0043303B">
            <w:pPr>
              <w:pStyle w:val="TableParagraph"/>
              <w:spacing w:before="31"/>
              <w:rPr>
                <w:rFonts w:cs="Calibri"/>
                <w:sz w:val="17"/>
              </w:rPr>
            </w:pPr>
            <w:r w:rsidRPr="00CA2CC1">
              <w:rPr>
                <w:rFonts w:cs="Calibri"/>
                <w:color w:val="414042"/>
                <w:spacing w:val="-2"/>
                <w:sz w:val="17"/>
              </w:rPr>
              <w:t>Apr-</w:t>
            </w:r>
            <w:r w:rsidRPr="00CA2CC1">
              <w:rPr>
                <w:rFonts w:cs="Calibri"/>
                <w:color w:val="414042"/>
                <w:spacing w:val="-5"/>
                <w:sz w:val="17"/>
              </w:rPr>
              <w:t>22</w:t>
            </w:r>
          </w:p>
        </w:tc>
        <w:tc>
          <w:tcPr>
            <w:tcW w:w="1133" w:type="dxa"/>
            <w:tcBorders>
              <w:top w:val="single" w:sz="4" w:space="0" w:color="73777A"/>
              <w:bottom w:val="single" w:sz="4" w:space="0" w:color="73777A"/>
            </w:tcBorders>
            <w:tcMar>
              <w:right w:w="57" w:type="dxa"/>
            </w:tcMar>
          </w:tcPr>
          <w:p w14:paraId="0EF2E393" w14:textId="77777777" w:rsidR="00FA4226" w:rsidRPr="00CA2CC1" w:rsidRDefault="00000000" w:rsidP="0043303B">
            <w:pPr>
              <w:pStyle w:val="TableParagraph"/>
              <w:spacing w:before="31"/>
              <w:rPr>
                <w:rFonts w:cs="Calibri"/>
                <w:sz w:val="17"/>
              </w:rPr>
            </w:pPr>
            <w:r w:rsidRPr="00CA2CC1">
              <w:rPr>
                <w:rFonts w:cs="Calibri"/>
                <w:color w:val="414042"/>
                <w:sz w:val="17"/>
              </w:rPr>
              <w:t>Sep-</w:t>
            </w:r>
            <w:r w:rsidRPr="00CA2CC1">
              <w:rPr>
                <w:rFonts w:cs="Calibri"/>
                <w:color w:val="414042"/>
                <w:spacing w:val="-5"/>
                <w:sz w:val="17"/>
              </w:rPr>
              <w:t>22</w:t>
            </w:r>
          </w:p>
        </w:tc>
        <w:tc>
          <w:tcPr>
            <w:tcW w:w="1284" w:type="dxa"/>
            <w:tcBorders>
              <w:top w:val="single" w:sz="4" w:space="0" w:color="73777A"/>
              <w:bottom w:val="single" w:sz="4" w:space="0" w:color="73777A"/>
            </w:tcBorders>
            <w:shd w:val="clear" w:color="auto" w:fill="EDEFF0"/>
            <w:tcMar>
              <w:right w:w="57" w:type="dxa"/>
            </w:tcMar>
          </w:tcPr>
          <w:p w14:paraId="17113FE4" w14:textId="77777777" w:rsidR="00FA4226" w:rsidRPr="00CA2CC1" w:rsidRDefault="00000000" w:rsidP="0043303B">
            <w:pPr>
              <w:pStyle w:val="TableParagraph"/>
              <w:spacing w:before="31"/>
              <w:rPr>
                <w:rFonts w:cs="Calibri"/>
                <w:sz w:val="17"/>
              </w:rPr>
            </w:pPr>
            <w:r w:rsidRPr="00CA2CC1">
              <w:rPr>
                <w:rFonts w:cs="Calibri"/>
                <w:color w:val="414042"/>
                <w:spacing w:val="-2"/>
                <w:sz w:val="17"/>
              </w:rPr>
              <w:t>$189,660</w:t>
            </w:r>
          </w:p>
        </w:tc>
        <w:tc>
          <w:tcPr>
            <w:tcW w:w="1284" w:type="dxa"/>
            <w:tcBorders>
              <w:top w:val="single" w:sz="4" w:space="0" w:color="73777A"/>
              <w:bottom w:val="single" w:sz="4" w:space="0" w:color="73777A"/>
            </w:tcBorders>
            <w:tcMar>
              <w:right w:w="57" w:type="dxa"/>
            </w:tcMar>
          </w:tcPr>
          <w:p w14:paraId="0BCCDE3B" w14:textId="77777777" w:rsidR="00FA4226" w:rsidRPr="00CA2CC1" w:rsidRDefault="00000000" w:rsidP="0043303B">
            <w:pPr>
              <w:pStyle w:val="TableParagraph"/>
              <w:spacing w:before="31"/>
              <w:rPr>
                <w:rFonts w:cs="Calibri"/>
                <w:sz w:val="17"/>
              </w:rPr>
            </w:pPr>
            <w:r w:rsidRPr="00CA2CC1">
              <w:rPr>
                <w:rFonts w:cs="Calibri"/>
                <w:color w:val="414042"/>
                <w:spacing w:val="-2"/>
                <w:sz w:val="17"/>
              </w:rPr>
              <w:t>$33,434</w:t>
            </w:r>
          </w:p>
        </w:tc>
        <w:tc>
          <w:tcPr>
            <w:tcW w:w="1284" w:type="dxa"/>
            <w:tcBorders>
              <w:top w:val="single" w:sz="4" w:space="0" w:color="73777A"/>
              <w:bottom w:val="single" w:sz="4" w:space="0" w:color="73777A"/>
            </w:tcBorders>
            <w:shd w:val="clear" w:color="auto" w:fill="EDEFF0"/>
            <w:tcMar>
              <w:right w:w="57" w:type="dxa"/>
            </w:tcMar>
          </w:tcPr>
          <w:p w14:paraId="4D762D16" w14:textId="77777777" w:rsidR="00FA4226" w:rsidRPr="00CA2CC1" w:rsidRDefault="00000000" w:rsidP="0043303B">
            <w:pPr>
              <w:pStyle w:val="TableParagraph"/>
              <w:spacing w:before="31"/>
              <w:rPr>
                <w:rFonts w:cs="Calibri"/>
                <w:sz w:val="17"/>
              </w:rPr>
            </w:pPr>
            <w:r w:rsidRPr="00CA2CC1">
              <w:rPr>
                <w:rFonts w:cs="Calibri"/>
                <w:color w:val="414042"/>
                <w:spacing w:val="-5"/>
                <w:sz w:val="17"/>
              </w:rPr>
              <w:t>$0</w:t>
            </w:r>
          </w:p>
        </w:tc>
      </w:tr>
      <w:tr w:rsidR="00FA4226" w:rsidRPr="00CA2CC1" w14:paraId="39AF118B" w14:textId="77777777" w:rsidTr="000A0029">
        <w:trPr>
          <w:trHeight w:val="738"/>
        </w:trPr>
        <w:tc>
          <w:tcPr>
            <w:tcW w:w="1757" w:type="dxa"/>
            <w:tcBorders>
              <w:top w:val="single" w:sz="4" w:space="0" w:color="73777A"/>
              <w:bottom w:val="single" w:sz="4" w:space="0" w:color="73777A"/>
            </w:tcBorders>
            <w:shd w:val="clear" w:color="auto" w:fill="FCFCFA"/>
            <w:tcMar>
              <w:right w:w="57" w:type="dxa"/>
            </w:tcMar>
          </w:tcPr>
          <w:p w14:paraId="7C8CE063" w14:textId="77777777" w:rsidR="00FA4226" w:rsidRPr="00CA2CC1" w:rsidRDefault="00000000" w:rsidP="0043303B">
            <w:pPr>
              <w:pStyle w:val="TableParagraph"/>
              <w:spacing w:before="61"/>
              <w:jc w:val="left"/>
              <w:rPr>
                <w:rFonts w:cs="Calibri"/>
                <w:sz w:val="17"/>
              </w:rPr>
            </w:pPr>
            <w:r w:rsidRPr="00CA2CC1">
              <w:rPr>
                <w:rFonts w:cs="Calibri"/>
                <w:color w:val="414042"/>
                <w:spacing w:val="-2"/>
                <w:sz w:val="17"/>
              </w:rPr>
              <w:t>TODAY</w:t>
            </w:r>
            <w:r w:rsidRPr="00CA2CC1">
              <w:rPr>
                <w:rFonts w:cs="Calibri"/>
                <w:color w:val="414042"/>
                <w:spacing w:val="-10"/>
                <w:sz w:val="17"/>
              </w:rPr>
              <w:t xml:space="preserve"> </w:t>
            </w:r>
            <w:r w:rsidRPr="00CA2CC1">
              <w:rPr>
                <w:rFonts w:cs="Calibri"/>
                <w:color w:val="414042"/>
                <w:spacing w:val="-2"/>
                <w:sz w:val="17"/>
              </w:rPr>
              <w:t>STRATEGIC DESIGN</w:t>
            </w:r>
          </w:p>
        </w:tc>
        <w:tc>
          <w:tcPr>
            <w:tcW w:w="1757" w:type="dxa"/>
            <w:tcBorders>
              <w:top w:val="single" w:sz="4" w:space="0" w:color="73777A"/>
              <w:bottom w:val="single" w:sz="4" w:space="0" w:color="73777A"/>
            </w:tcBorders>
            <w:tcMar>
              <w:right w:w="57" w:type="dxa"/>
            </w:tcMar>
          </w:tcPr>
          <w:p w14:paraId="43893DCF" w14:textId="77777777" w:rsidR="00FA4226" w:rsidRPr="00CA2CC1" w:rsidRDefault="00000000" w:rsidP="0043303B">
            <w:pPr>
              <w:pStyle w:val="TableParagraph"/>
              <w:spacing w:before="61"/>
              <w:jc w:val="left"/>
              <w:rPr>
                <w:rFonts w:cs="Calibri"/>
                <w:sz w:val="17"/>
              </w:rPr>
            </w:pPr>
            <w:r w:rsidRPr="00CA2CC1">
              <w:rPr>
                <w:rFonts w:cs="Calibri"/>
                <w:color w:val="414042"/>
                <w:spacing w:val="-2"/>
                <w:sz w:val="17"/>
              </w:rPr>
              <w:t xml:space="preserve">Website redevelopment </w:t>
            </w:r>
            <w:r w:rsidRPr="00CA2CC1">
              <w:rPr>
                <w:rFonts w:cs="Calibri"/>
                <w:color w:val="414042"/>
                <w:sz w:val="17"/>
              </w:rPr>
              <w:t>advisory</w:t>
            </w:r>
            <w:r w:rsidRPr="00CA2CC1">
              <w:rPr>
                <w:rFonts w:cs="Calibri"/>
                <w:color w:val="414042"/>
                <w:spacing w:val="-12"/>
                <w:sz w:val="17"/>
              </w:rPr>
              <w:t xml:space="preserve"> </w:t>
            </w:r>
            <w:r w:rsidRPr="00CA2CC1">
              <w:rPr>
                <w:rFonts w:cs="Calibri"/>
                <w:color w:val="414042"/>
                <w:sz w:val="17"/>
              </w:rPr>
              <w:t>services</w:t>
            </w:r>
          </w:p>
        </w:tc>
        <w:tc>
          <w:tcPr>
            <w:tcW w:w="1133" w:type="dxa"/>
            <w:tcBorders>
              <w:top w:val="single" w:sz="4" w:space="0" w:color="73777A"/>
              <w:bottom w:val="single" w:sz="4" w:space="0" w:color="73777A"/>
            </w:tcBorders>
            <w:shd w:val="clear" w:color="auto" w:fill="EDEFF0"/>
            <w:tcMar>
              <w:right w:w="57" w:type="dxa"/>
            </w:tcMar>
          </w:tcPr>
          <w:p w14:paraId="0315142E" w14:textId="77777777" w:rsidR="00FA4226" w:rsidRPr="00CA2CC1" w:rsidRDefault="00000000" w:rsidP="0043303B">
            <w:pPr>
              <w:pStyle w:val="TableParagraph"/>
              <w:spacing w:before="31"/>
              <w:rPr>
                <w:rFonts w:cs="Calibri"/>
                <w:sz w:val="17"/>
              </w:rPr>
            </w:pPr>
            <w:r w:rsidRPr="00CA2CC1">
              <w:rPr>
                <w:rFonts w:cs="Calibri"/>
                <w:color w:val="414042"/>
                <w:spacing w:val="-2"/>
                <w:sz w:val="17"/>
              </w:rPr>
              <w:t>May-</w:t>
            </w:r>
            <w:r w:rsidRPr="00CA2CC1">
              <w:rPr>
                <w:rFonts w:cs="Calibri"/>
                <w:color w:val="414042"/>
                <w:spacing w:val="-5"/>
                <w:sz w:val="17"/>
              </w:rPr>
              <w:t>23</w:t>
            </w:r>
          </w:p>
        </w:tc>
        <w:tc>
          <w:tcPr>
            <w:tcW w:w="1133" w:type="dxa"/>
            <w:tcBorders>
              <w:top w:val="single" w:sz="4" w:space="0" w:color="73777A"/>
              <w:bottom w:val="single" w:sz="4" w:space="0" w:color="73777A"/>
            </w:tcBorders>
            <w:tcMar>
              <w:right w:w="57" w:type="dxa"/>
            </w:tcMar>
          </w:tcPr>
          <w:p w14:paraId="5AB3E45A" w14:textId="77777777" w:rsidR="00FA4226" w:rsidRPr="00CA2CC1" w:rsidRDefault="00000000" w:rsidP="0043303B">
            <w:pPr>
              <w:pStyle w:val="TableParagraph"/>
              <w:spacing w:before="31"/>
              <w:rPr>
                <w:rFonts w:cs="Calibri"/>
                <w:sz w:val="17"/>
              </w:rPr>
            </w:pPr>
            <w:r w:rsidRPr="00CA2CC1">
              <w:rPr>
                <w:rFonts w:cs="Calibri"/>
                <w:color w:val="414042"/>
                <w:spacing w:val="-2"/>
                <w:sz w:val="17"/>
              </w:rPr>
              <w:t>Aug-</w:t>
            </w:r>
            <w:r w:rsidRPr="00CA2CC1">
              <w:rPr>
                <w:rFonts w:cs="Calibri"/>
                <w:color w:val="414042"/>
                <w:spacing w:val="-5"/>
                <w:sz w:val="17"/>
              </w:rPr>
              <w:t>23</w:t>
            </w:r>
          </w:p>
        </w:tc>
        <w:tc>
          <w:tcPr>
            <w:tcW w:w="1284" w:type="dxa"/>
            <w:tcBorders>
              <w:top w:val="single" w:sz="4" w:space="0" w:color="73777A"/>
              <w:bottom w:val="single" w:sz="4" w:space="0" w:color="73777A"/>
            </w:tcBorders>
            <w:shd w:val="clear" w:color="auto" w:fill="EDEFF0"/>
            <w:tcMar>
              <w:right w:w="57" w:type="dxa"/>
            </w:tcMar>
          </w:tcPr>
          <w:p w14:paraId="424C4104" w14:textId="77777777" w:rsidR="00FA4226" w:rsidRPr="00CA2CC1" w:rsidRDefault="00000000" w:rsidP="0043303B">
            <w:pPr>
              <w:pStyle w:val="TableParagraph"/>
              <w:spacing w:before="31"/>
              <w:rPr>
                <w:rFonts w:cs="Calibri"/>
                <w:sz w:val="17"/>
              </w:rPr>
            </w:pPr>
            <w:r w:rsidRPr="00CA2CC1">
              <w:rPr>
                <w:rFonts w:cs="Calibri"/>
                <w:color w:val="414042"/>
                <w:spacing w:val="-2"/>
                <w:sz w:val="17"/>
              </w:rPr>
              <w:t>$80,319</w:t>
            </w:r>
          </w:p>
        </w:tc>
        <w:tc>
          <w:tcPr>
            <w:tcW w:w="1284" w:type="dxa"/>
            <w:tcBorders>
              <w:top w:val="single" w:sz="4" w:space="0" w:color="73777A"/>
              <w:bottom w:val="single" w:sz="4" w:space="0" w:color="73777A"/>
            </w:tcBorders>
            <w:tcMar>
              <w:right w:w="57" w:type="dxa"/>
            </w:tcMar>
          </w:tcPr>
          <w:p w14:paraId="02670BA7" w14:textId="77777777" w:rsidR="00FA4226" w:rsidRPr="00CA2CC1" w:rsidRDefault="00000000" w:rsidP="0043303B">
            <w:pPr>
              <w:pStyle w:val="TableParagraph"/>
              <w:spacing w:before="31"/>
              <w:rPr>
                <w:rFonts w:cs="Calibri"/>
                <w:sz w:val="17"/>
              </w:rPr>
            </w:pPr>
            <w:r w:rsidRPr="00CA2CC1">
              <w:rPr>
                <w:rFonts w:cs="Calibri"/>
                <w:color w:val="414042"/>
                <w:spacing w:val="-2"/>
                <w:sz w:val="17"/>
              </w:rPr>
              <w:t>$40,159</w:t>
            </w:r>
          </w:p>
        </w:tc>
        <w:tc>
          <w:tcPr>
            <w:tcW w:w="1284" w:type="dxa"/>
            <w:tcBorders>
              <w:top w:val="single" w:sz="4" w:space="0" w:color="73777A"/>
              <w:bottom w:val="single" w:sz="4" w:space="0" w:color="73777A"/>
            </w:tcBorders>
            <w:shd w:val="clear" w:color="auto" w:fill="EDEFF0"/>
            <w:tcMar>
              <w:right w:w="57" w:type="dxa"/>
            </w:tcMar>
          </w:tcPr>
          <w:p w14:paraId="4636A6F0" w14:textId="77777777" w:rsidR="00FA4226" w:rsidRPr="00CA2CC1" w:rsidRDefault="00000000" w:rsidP="0043303B">
            <w:pPr>
              <w:pStyle w:val="TableParagraph"/>
              <w:spacing w:before="31"/>
              <w:rPr>
                <w:rFonts w:cs="Calibri"/>
                <w:sz w:val="17"/>
              </w:rPr>
            </w:pPr>
            <w:r w:rsidRPr="00CA2CC1">
              <w:rPr>
                <w:rFonts w:cs="Calibri"/>
                <w:color w:val="414042"/>
                <w:spacing w:val="-2"/>
                <w:sz w:val="17"/>
              </w:rPr>
              <w:t>$40,160</w:t>
            </w:r>
          </w:p>
        </w:tc>
      </w:tr>
      <w:tr w:rsidR="0011577A" w:rsidRPr="00CA2CC1" w14:paraId="45E75174" w14:textId="77777777" w:rsidTr="000A0029">
        <w:trPr>
          <w:trHeight w:val="738"/>
        </w:trPr>
        <w:tc>
          <w:tcPr>
            <w:tcW w:w="1757" w:type="dxa"/>
            <w:tcBorders>
              <w:top w:val="single" w:sz="4" w:space="0" w:color="73777A"/>
              <w:bottom w:val="single" w:sz="4" w:space="0" w:color="73777A"/>
            </w:tcBorders>
            <w:shd w:val="clear" w:color="auto" w:fill="FCFCFA"/>
            <w:tcMar>
              <w:right w:w="57" w:type="dxa"/>
            </w:tcMar>
          </w:tcPr>
          <w:p w14:paraId="2F71D088" w14:textId="56207068" w:rsidR="0011577A" w:rsidRPr="00CA2CC1" w:rsidRDefault="0011577A" w:rsidP="0043303B">
            <w:pPr>
              <w:pStyle w:val="TableParagraph"/>
              <w:spacing w:before="61"/>
              <w:jc w:val="left"/>
              <w:rPr>
                <w:rFonts w:cs="Calibri"/>
                <w:color w:val="414042"/>
                <w:spacing w:val="-2"/>
                <w:sz w:val="17"/>
              </w:rPr>
            </w:pPr>
            <w:r w:rsidRPr="00CA2CC1">
              <w:rPr>
                <w:rFonts w:cs="Calibri"/>
                <w:color w:val="414042"/>
                <w:sz w:val="17"/>
              </w:rPr>
              <w:t>PKF</w:t>
            </w:r>
            <w:r w:rsidRPr="00CA2CC1">
              <w:rPr>
                <w:rFonts w:cs="Calibri"/>
                <w:color w:val="414042"/>
                <w:spacing w:val="-12"/>
                <w:sz w:val="17"/>
              </w:rPr>
              <w:t xml:space="preserve"> </w:t>
            </w:r>
            <w:r w:rsidRPr="00CA2CC1">
              <w:rPr>
                <w:rFonts w:cs="Calibri"/>
                <w:color w:val="414042"/>
                <w:sz w:val="17"/>
              </w:rPr>
              <w:t>MELBOURNE AUDIT &amp; ASSURANCE</w:t>
            </w:r>
            <w:r w:rsidRPr="00CA2CC1">
              <w:rPr>
                <w:rFonts w:cs="Calibri"/>
                <w:color w:val="414042"/>
                <w:spacing w:val="-9"/>
                <w:sz w:val="17"/>
              </w:rPr>
              <w:t xml:space="preserve"> </w:t>
            </w:r>
            <w:r w:rsidRPr="00CA2CC1">
              <w:rPr>
                <w:rFonts w:cs="Calibri"/>
                <w:color w:val="414042"/>
                <w:sz w:val="17"/>
              </w:rPr>
              <w:t xml:space="preserve">PTY </w:t>
            </w:r>
            <w:r w:rsidRPr="00CA2CC1">
              <w:rPr>
                <w:rFonts w:cs="Calibri"/>
                <w:color w:val="414042"/>
                <w:spacing w:val="-4"/>
                <w:sz w:val="17"/>
              </w:rPr>
              <w:t>LTD</w:t>
            </w:r>
          </w:p>
        </w:tc>
        <w:tc>
          <w:tcPr>
            <w:tcW w:w="1757" w:type="dxa"/>
            <w:tcBorders>
              <w:top w:val="single" w:sz="4" w:space="0" w:color="73777A"/>
              <w:bottom w:val="single" w:sz="4" w:space="0" w:color="73777A"/>
            </w:tcBorders>
            <w:tcMar>
              <w:right w:w="57" w:type="dxa"/>
            </w:tcMar>
          </w:tcPr>
          <w:p w14:paraId="3C59AC3A" w14:textId="35852AB6" w:rsidR="0011577A" w:rsidRPr="00CA2CC1" w:rsidRDefault="0011577A" w:rsidP="0043303B">
            <w:pPr>
              <w:pStyle w:val="TableParagraph"/>
              <w:spacing w:before="61"/>
              <w:jc w:val="left"/>
              <w:rPr>
                <w:rFonts w:cs="Calibri"/>
                <w:color w:val="414042"/>
                <w:spacing w:val="-2"/>
                <w:sz w:val="17"/>
              </w:rPr>
            </w:pPr>
            <w:r w:rsidRPr="00CA2CC1">
              <w:rPr>
                <w:rFonts w:cs="Calibri"/>
                <w:color w:val="414042"/>
                <w:sz w:val="17"/>
              </w:rPr>
              <w:t>Internal</w:t>
            </w:r>
            <w:r w:rsidRPr="00CA2CC1">
              <w:rPr>
                <w:rFonts w:cs="Calibri"/>
                <w:color w:val="414042"/>
                <w:spacing w:val="-12"/>
                <w:sz w:val="17"/>
              </w:rPr>
              <w:t xml:space="preserve"> </w:t>
            </w:r>
            <w:r w:rsidRPr="00CA2CC1">
              <w:rPr>
                <w:rFonts w:cs="Calibri"/>
                <w:color w:val="414042"/>
                <w:sz w:val="17"/>
              </w:rPr>
              <w:t xml:space="preserve">Audit </w:t>
            </w:r>
            <w:r w:rsidRPr="00CA2CC1">
              <w:rPr>
                <w:rFonts w:cs="Calibri"/>
                <w:color w:val="414042"/>
                <w:spacing w:val="-2"/>
                <w:sz w:val="17"/>
              </w:rPr>
              <w:t>services</w:t>
            </w:r>
          </w:p>
        </w:tc>
        <w:tc>
          <w:tcPr>
            <w:tcW w:w="1133" w:type="dxa"/>
            <w:tcBorders>
              <w:top w:val="single" w:sz="4" w:space="0" w:color="73777A"/>
              <w:bottom w:val="single" w:sz="4" w:space="0" w:color="73777A"/>
            </w:tcBorders>
            <w:shd w:val="clear" w:color="auto" w:fill="EDEFF0"/>
            <w:tcMar>
              <w:right w:w="57" w:type="dxa"/>
            </w:tcMar>
          </w:tcPr>
          <w:p w14:paraId="5730F719" w14:textId="50C4554B" w:rsidR="0011577A" w:rsidRPr="00CA2CC1" w:rsidRDefault="0011577A" w:rsidP="0043303B">
            <w:pPr>
              <w:pStyle w:val="TableParagraph"/>
              <w:spacing w:before="31"/>
              <w:rPr>
                <w:rFonts w:cs="Calibri"/>
                <w:color w:val="414042"/>
                <w:spacing w:val="-2"/>
                <w:sz w:val="17"/>
              </w:rPr>
            </w:pPr>
            <w:r w:rsidRPr="00CA2CC1">
              <w:rPr>
                <w:rFonts w:cs="Calibri"/>
                <w:color w:val="414042"/>
                <w:spacing w:val="-2"/>
                <w:sz w:val="17"/>
              </w:rPr>
              <w:t>May-</w:t>
            </w:r>
            <w:r w:rsidRPr="00CA2CC1">
              <w:rPr>
                <w:rFonts w:cs="Calibri"/>
                <w:color w:val="414042"/>
                <w:spacing w:val="-5"/>
                <w:sz w:val="17"/>
              </w:rPr>
              <w:t>23</w:t>
            </w:r>
          </w:p>
        </w:tc>
        <w:tc>
          <w:tcPr>
            <w:tcW w:w="1133" w:type="dxa"/>
            <w:tcBorders>
              <w:top w:val="single" w:sz="4" w:space="0" w:color="73777A"/>
              <w:bottom w:val="single" w:sz="4" w:space="0" w:color="73777A"/>
            </w:tcBorders>
            <w:tcMar>
              <w:right w:w="57" w:type="dxa"/>
            </w:tcMar>
          </w:tcPr>
          <w:p w14:paraId="0C84659C" w14:textId="1708FB89" w:rsidR="0011577A" w:rsidRPr="00CA2CC1" w:rsidRDefault="0011577A" w:rsidP="0043303B">
            <w:pPr>
              <w:pStyle w:val="TableParagraph"/>
              <w:spacing w:before="31"/>
              <w:rPr>
                <w:rFonts w:cs="Calibri"/>
                <w:color w:val="414042"/>
                <w:spacing w:val="-2"/>
                <w:sz w:val="17"/>
              </w:rPr>
            </w:pPr>
            <w:r w:rsidRPr="00CA2CC1">
              <w:rPr>
                <w:rFonts w:cs="Calibri"/>
                <w:color w:val="414042"/>
                <w:sz w:val="17"/>
              </w:rPr>
              <w:t>Jun-</w:t>
            </w:r>
            <w:r w:rsidRPr="00CA2CC1">
              <w:rPr>
                <w:rFonts w:cs="Calibri"/>
                <w:color w:val="414042"/>
                <w:spacing w:val="-5"/>
                <w:sz w:val="17"/>
              </w:rPr>
              <w:t>24</w:t>
            </w:r>
          </w:p>
        </w:tc>
        <w:tc>
          <w:tcPr>
            <w:tcW w:w="1284" w:type="dxa"/>
            <w:tcBorders>
              <w:top w:val="single" w:sz="4" w:space="0" w:color="73777A"/>
              <w:bottom w:val="single" w:sz="4" w:space="0" w:color="73777A"/>
            </w:tcBorders>
            <w:shd w:val="clear" w:color="auto" w:fill="EDEFF0"/>
            <w:tcMar>
              <w:right w:w="57" w:type="dxa"/>
            </w:tcMar>
          </w:tcPr>
          <w:p w14:paraId="4E3AB7E3" w14:textId="4EA66FB7" w:rsidR="0011577A" w:rsidRPr="00CA2CC1" w:rsidRDefault="0011577A" w:rsidP="0043303B">
            <w:pPr>
              <w:pStyle w:val="TableParagraph"/>
              <w:spacing w:before="31"/>
              <w:rPr>
                <w:rFonts w:cs="Calibri"/>
                <w:color w:val="414042"/>
                <w:spacing w:val="-2"/>
                <w:sz w:val="17"/>
              </w:rPr>
            </w:pPr>
            <w:r w:rsidRPr="00CA2CC1">
              <w:rPr>
                <w:rFonts w:cs="Calibri"/>
                <w:color w:val="414042"/>
                <w:spacing w:val="-2"/>
                <w:sz w:val="17"/>
              </w:rPr>
              <w:t>$70,000</w:t>
            </w:r>
          </w:p>
        </w:tc>
        <w:tc>
          <w:tcPr>
            <w:tcW w:w="1284" w:type="dxa"/>
            <w:tcBorders>
              <w:top w:val="single" w:sz="4" w:space="0" w:color="73777A"/>
              <w:bottom w:val="single" w:sz="4" w:space="0" w:color="73777A"/>
            </w:tcBorders>
            <w:tcMar>
              <w:right w:w="57" w:type="dxa"/>
            </w:tcMar>
          </w:tcPr>
          <w:p w14:paraId="3DAD4B5E" w14:textId="62189B1E" w:rsidR="0011577A" w:rsidRPr="00CA2CC1" w:rsidRDefault="0011577A" w:rsidP="0043303B">
            <w:pPr>
              <w:pStyle w:val="TableParagraph"/>
              <w:spacing w:before="31"/>
              <w:rPr>
                <w:rFonts w:cs="Calibri"/>
                <w:color w:val="414042"/>
                <w:spacing w:val="-2"/>
                <w:sz w:val="17"/>
              </w:rPr>
            </w:pPr>
            <w:r w:rsidRPr="00CA2CC1">
              <w:rPr>
                <w:rFonts w:cs="Calibri"/>
                <w:color w:val="414042"/>
                <w:spacing w:val="-2"/>
                <w:sz w:val="17"/>
              </w:rPr>
              <w:t>$40,700</w:t>
            </w:r>
          </w:p>
        </w:tc>
        <w:tc>
          <w:tcPr>
            <w:tcW w:w="1284" w:type="dxa"/>
            <w:tcBorders>
              <w:top w:val="single" w:sz="4" w:space="0" w:color="73777A"/>
              <w:bottom w:val="single" w:sz="4" w:space="0" w:color="73777A"/>
            </w:tcBorders>
            <w:shd w:val="clear" w:color="auto" w:fill="EDEFF0"/>
            <w:tcMar>
              <w:right w:w="57" w:type="dxa"/>
            </w:tcMar>
          </w:tcPr>
          <w:p w14:paraId="3C312F10" w14:textId="6503AD5B" w:rsidR="0011577A" w:rsidRPr="00CA2CC1" w:rsidRDefault="0011577A" w:rsidP="0043303B">
            <w:pPr>
              <w:pStyle w:val="TableParagraph"/>
              <w:spacing w:before="31"/>
              <w:rPr>
                <w:rFonts w:cs="Calibri"/>
                <w:color w:val="414042"/>
                <w:spacing w:val="-2"/>
                <w:sz w:val="17"/>
              </w:rPr>
            </w:pPr>
            <w:r w:rsidRPr="00CA2CC1">
              <w:rPr>
                <w:rFonts w:cs="Calibri"/>
                <w:color w:val="414042"/>
                <w:spacing w:val="-2"/>
                <w:sz w:val="17"/>
              </w:rPr>
              <w:t>$29,300</w:t>
            </w:r>
          </w:p>
        </w:tc>
      </w:tr>
      <w:tr w:rsidR="0011577A" w:rsidRPr="00CA2CC1" w14:paraId="0967424E" w14:textId="77777777" w:rsidTr="000A0029">
        <w:trPr>
          <w:trHeight w:val="738"/>
        </w:trPr>
        <w:tc>
          <w:tcPr>
            <w:tcW w:w="1757" w:type="dxa"/>
            <w:tcBorders>
              <w:top w:val="single" w:sz="4" w:space="0" w:color="73777A"/>
              <w:bottom w:val="single" w:sz="4" w:space="0" w:color="73777A"/>
            </w:tcBorders>
            <w:shd w:val="clear" w:color="auto" w:fill="FCFCFA"/>
            <w:tcMar>
              <w:right w:w="57" w:type="dxa"/>
            </w:tcMar>
          </w:tcPr>
          <w:p w14:paraId="018361B2" w14:textId="591E65A2" w:rsidR="0011577A" w:rsidRPr="00CA2CC1" w:rsidRDefault="0011577A" w:rsidP="0043303B">
            <w:pPr>
              <w:pStyle w:val="TableParagraph"/>
              <w:spacing w:before="61"/>
              <w:jc w:val="left"/>
              <w:rPr>
                <w:rFonts w:cs="Calibri"/>
                <w:color w:val="414042"/>
                <w:spacing w:val="-2"/>
                <w:sz w:val="17"/>
              </w:rPr>
            </w:pPr>
            <w:r w:rsidRPr="00CA2CC1">
              <w:rPr>
                <w:rFonts w:cs="Calibri"/>
                <w:color w:val="414042"/>
                <w:spacing w:val="-2"/>
                <w:sz w:val="17"/>
              </w:rPr>
              <w:t>MOSAICLAB</w:t>
            </w:r>
          </w:p>
        </w:tc>
        <w:tc>
          <w:tcPr>
            <w:tcW w:w="1757" w:type="dxa"/>
            <w:tcBorders>
              <w:top w:val="single" w:sz="4" w:space="0" w:color="73777A"/>
              <w:bottom w:val="single" w:sz="4" w:space="0" w:color="73777A"/>
            </w:tcBorders>
            <w:tcMar>
              <w:right w:w="57" w:type="dxa"/>
            </w:tcMar>
          </w:tcPr>
          <w:p w14:paraId="284788E9" w14:textId="7E2DCF11" w:rsidR="0011577A" w:rsidRPr="00CA2CC1" w:rsidRDefault="0011577A" w:rsidP="0043303B">
            <w:pPr>
              <w:pStyle w:val="TableParagraph"/>
              <w:spacing w:before="61"/>
              <w:jc w:val="left"/>
              <w:rPr>
                <w:rFonts w:cs="Calibri"/>
                <w:color w:val="414042"/>
                <w:spacing w:val="-2"/>
                <w:sz w:val="17"/>
              </w:rPr>
            </w:pPr>
            <w:r w:rsidRPr="00CA2CC1">
              <w:rPr>
                <w:rFonts w:cs="Calibri"/>
                <w:color w:val="414042"/>
                <w:spacing w:val="-2"/>
                <w:sz w:val="17"/>
              </w:rPr>
              <w:t>30-year infrastructure strategy engagement</w:t>
            </w:r>
          </w:p>
        </w:tc>
        <w:tc>
          <w:tcPr>
            <w:tcW w:w="1133" w:type="dxa"/>
            <w:tcBorders>
              <w:top w:val="single" w:sz="4" w:space="0" w:color="73777A"/>
              <w:bottom w:val="single" w:sz="4" w:space="0" w:color="73777A"/>
            </w:tcBorders>
            <w:shd w:val="clear" w:color="auto" w:fill="EDEFF0"/>
            <w:tcMar>
              <w:right w:w="57" w:type="dxa"/>
            </w:tcMar>
          </w:tcPr>
          <w:p w14:paraId="5B5C22AB" w14:textId="3E6DA980" w:rsidR="0011577A" w:rsidRPr="00CA2CC1" w:rsidRDefault="0011577A" w:rsidP="0043303B">
            <w:pPr>
              <w:pStyle w:val="TableParagraph"/>
              <w:spacing w:before="31"/>
              <w:rPr>
                <w:rFonts w:cs="Calibri"/>
                <w:color w:val="414042"/>
                <w:spacing w:val="-2"/>
                <w:sz w:val="17"/>
              </w:rPr>
            </w:pPr>
            <w:r w:rsidRPr="00CA2CC1">
              <w:rPr>
                <w:rFonts w:cs="Calibri"/>
                <w:color w:val="414042"/>
                <w:sz w:val="17"/>
              </w:rPr>
              <w:t>Feb-</w:t>
            </w:r>
            <w:r w:rsidRPr="00CA2CC1">
              <w:rPr>
                <w:rFonts w:cs="Calibri"/>
                <w:color w:val="414042"/>
                <w:spacing w:val="-5"/>
                <w:sz w:val="17"/>
              </w:rPr>
              <w:t>23</w:t>
            </w:r>
          </w:p>
        </w:tc>
        <w:tc>
          <w:tcPr>
            <w:tcW w:w="1133" w:type="dxa"/>
            <w:tcBorders>
              <w:top w:val="single" w:sz="4" w:space="0" w:color="73777A"/>
              <w:bottom w:val="single" w:sz="4" w:space="0" w:color="73777A"/>
            </w:tcBorders>
            <w:tcMar>
              <w:right w:w="57" w:type="dxa"/>
            </w:tcMar>
          </w:tcPr>
          <w:p w14:paraId="78AADF29" w14:textId="100C63C0" w:rsidR="0011577A" w:rsidRPr="00CA2CC1" w:rsidRDefault="0011577A" w:rsidP="0043303B">
            <w:pPr>
              <w:pStyle w:val="TableParagraph"/>
              <w:spacing w:before="31"/>
              <w:rPr>
                <w:rFonts w:cs="Calibri"/>
                <w:color w:val="414042"/>
                <w:spacing w:val="-2"/>
                <w:sz w:val="17"/>
              </w:rPr>
            </w:pPr>
            <w:r w:rsidRPr="00CA2CC1">
              <w:rPr>
                <w:rFonts w:cs="Calibri"/>
                <w:color w:val="414042"/>
                <w:spacing w:val="-2"/>
                <w:sz w:val="17"/>
              </w:rPr>
              <w:t>Jul-</w:t>
            </w:r>
            <w:r w:rsidRPr="00CA2CC1">
              <w:rPr>
                <w:rFonts w:cs="Calibri"/>
                <w:color w:val="414042"/>
                <w:spacing w:val="-5"/>
                <w:sz w:val="17"/>
              </w:rPr>
              <w:t>23</w:t>
            </w:r>
          </w:p>
        </w:tc>
        <w:tc>
          <w:tcPr>
            <w:tcW w:w="1284" w:type="dxa"/>
            <w:tcBorders>
              <w:top w:val="single" w:sz="4" w:space="0" w:color="73777A"/>
              <w:bottom w:val="single" w:sz="4" w:space="0" w:color="73777A"/>
            </w:tcBorders>
            <w:shd w:val="clear" w:color="auto" w:fill="EDEFF0"/>
            <w:tcMar>
              <w:right w:w="57" w:type="dxa"/>
            </w:tcMar>
          </w:tcPr>
          <w:p w14:paraId="4E4012BE" w14:textId="465B84D5" w:rsidR="0011577A" w:rsidRPr="00CA2CC1" w:rsidRDefault="0011577A" w:rsidP="0043303B">
            <w:pPr>
              <w:pStyle w:val="TableParagraph"/>
              <w:spacing w:before="31"/>
              <w:rPr>
                <w:rFonts w:cs="Calibri"/>
                <w:color w:val="414042"/>
                <w:spacing w:val="-2"/>
                <w:sz w:val="17"/>
              </w:rPr>
            </w:pPr>
            <w:r w:rsidRPr="00CA2CC1">
              <w:rPr>
                <w:rFonts w:cs="Calibri"/>
                <w:color w:val="414042"/>
                <w:spacing w:val="-2"/>
                <w:sz w:val="17"/>
              </w:rPr>
              <w:t>$147,178</w:t>
            </w:r>
          </w:p>
        </w:tc>
        <w:tc>
          <w:tcPr>
            <w:tcW w:w="1284" w:type="dxa"/>
            <w:tcBorders>
              <w:top w:val="single" w:sz="4" w:space="0" w:color="73777A"/>
              <w:bottom w:val="single" w:sz="4" w:space="0" w:color="73777A"/>
            </w:tcBorders>
            <w:tcMar>
              <w:right w:w="57" w:type="dxa"/>
            </w:tcMar>
          </w:tcPr>
          <w:p w14:paraId="0B1BDD9E" w14:textId="4003AF2E" w:rsidR="0011577A" w:rsidRPr="00CA2CC1" w:rsidRDefault="0011577A" w:rsidP="0043303B">
            <w:pPr>
              <w:pStyle w:val="TableParagraph"/>
              <w:spacing w:before="31"/>
              <w:rPr>
                <w:rFonts w:cs="Calibri"/>
                <w:color w:val="414042"/>
                <w:spacing w:val="-2"/>
                <w:sz w:val="17"/>
              </w:rPr>
            </w:pPr>
            <w:r w:rsidRPr="00CA2CC1">
              <w:rPr>
                <w:rFonts w:cs="Calibri"/>
                <w:color w:val="414042"/>
                <w:spacing w:val="-2"/>
                <w:sz w:val="17"/>
              </w:rPr>
              <w:t>$144,235</w:t>
            </w:r>
          </w:p>
        </w:tc>
        <w:tc>
          <w:tcPr>
            <w:tcW w:w="1284" w:type="dxa"/>
            <w:tcBorders>
              <w:top w:val="single" w:sz="4" w:space="0" w:color="73777A"/>
              <w:bottom w:val="single" w:sz="4" w:space="0" w:color="73777A"/>
            </w:tcBorders>
            <w:shd w:val="clear" w:color="auto" w:fill="EDEFF0"/>
            <w:tcMar>
              <w:right w:w="57" w:type="dxa"/>
            </w:tcMar>
          </w:tcPr>
          <w:p w14:paraId="47119AAA" w14:textId="68643C58" w:rsidR="0011577A" w:rsidRPr="00CA2CC1" w:rsidRDefault="0011577A" w:rsidP="0043303B">
            <w:pPr>
              <w:pStyle w:val="TableParagraph"/>
              <w:spacing w:before="31"/>
              <w:rPr>
                <w:rFonts w:cs="Calibri"/>
                <w:color w:val="414042"/>
                <w:spacing w:val="-2"/>
                <w:sz w:val="17"/>
              </w:rPr>
            </w:pPr>
            <w:r w:rsidRPr="00CA2CC1">
              <w:rPr>
                <w:rFonts w:cs="Calibri"/>
                <w:color w:val="414042"/>
                <w:spacing w:val="-5"/>
                <w:sz w:val="17"/>
              </w:rPr>
              <w:t>$0</w:t>
            </w:r>
          </w:p>
        </w:tc>
      </w:tr>
      <w:tr w:rsidR="0011577A" w:rsidRPr="00CA2CC1" w14:paraId="65A3587E" w14:textId="77777777" w:rsidTr="000A0029">
        <w:trPr>
          <w:trHeight w:val="738"/>
        </w:trPr>
        <w:tc>
          <w:tcPr>
            <w:tcW w:w="1757" w:type="dxa"/>
            <w:tcBorders>
              <w:top w:val="single" w:sz="4" w:space="0" w:color="73777A"/>
              <w:bottom w:val="single" w:sz="4" w:space="0" w:color="73777A"/>
            </w:tcBorders>
            <w:shd w:val="clear" w:color="auto" w:fill="FCFCFA"/>
            <w:tcMar>
              <w:right w:w="57" w:type="dxa"/>
            </w:tcMar>
          </w:tcPr>
          <w:p w14:paraId="03F0228C" w14:textId="686BE47E" w:rsidR="0011577A" w:rsidRPr="00CA2CC1" w:rsidRDefault="0011577A" w:rsidP="0043303B">
            <w:pPr>
              <w:pStyle w:val="TableParagraph"/>
              <w:spacing w:before="61"/>
              <w:jc w:val="left"/>
              <w:rPr>
                <w:rFonts w:cs="Calibri"/>
                <w:color w:val="414042"/>
                <w:spacing w:val="-2"/>
                <w:sz w:val="17"/>
              </w:rPr>
            </w:pPr>
            <w:r w:rsidRPr="00CA2CC1">
              <w:rPr>
                <w:rFonts w:cs="Calibri"/>
                <w:color w:val="414042"/>
                <w:sz w:val="17"/>
              </w:rPr>
              <w:t>SGS</w:t>
            </w:r>
            <w:r w:rsidRPr="00CA2CC1">
              <w:rPr>
                <w:rFonts w:cs="Calibri"/>
                <w:color w:val="414042"/>
                <w:spacing w:val="-12"/>
                <w:sz w:val="17"/>
              </w:rPr>
              <w:t xml:space="preserve"> </w:t>
            </w:r>
            <w:r w:rsidRPr="00CA2CC1">
              <w:rPr>
                <w:rFonts w:cs="Calibri"/>
                <w:color w:val="414042"/>
                <w:sz w:val="17"/>
              </w:rPr>
              <w:t xml:space="preserve">ECONOMICS &amp; PLANNING PTY </w:t>
            </w:r>
            <w:r w:rsidRPr="00CA2CC1">
              <w:rPr>
                <w:rFonts w:cs="Calibri"/>
                <w:color w:val="414042"/>
                <w:spacing w:val="-4"/>
                <w:sz w:val="17"/>
              </w:rPr>
              <w:t>LTD</w:t>
            </w:r>
          </w:p>
        </w:tc>
        <w:tc>
          <w:tcPr>
            <w:tcW w:w="1757" w:type="dxa"/>
            <w:tcBorders>
              <w:top w:val="single" w:sz="4" w:space="0" w:color="73777A"/>
              <w:bottom w:val="single" w:sz="4" w:space="0" w:color="73777A"/>
            </w:tcBorders>
            <w:tcMar>
              <w:right w:w="57" w:type="dxa"/>
            </w:tcMar>
          </w:tcPr>
          <w:p w14:paraId="2E6A0377" w14:textId="0E299E87" w:rsidR="0011577A" w:rsidRPr="00CA2CC1" w:rsidRDefault="0011577A" w:rsidP="0043303B">
            <w:pPr>
              <w:pStyle w:val="TableParagraph"/>
              <w:spacing w:before="61"/>
              <w:jc w:val="left"/>
              <w:rPr>
                <w:rFonts w:cs="Calibri"/>
                <w:color w:val="414042"/>
                <w:spacing w:val="-2"/>
                <w:sz w:val="17"/>
              </w:rPr>
            </w:pPr>
            <w:r w:rsidRPr="00CA2CC1">
              <w:rPr>
                <w:rFonts w:cs="Calibri"/>
                <w:color w:val="414042"/>
                <w:sz w:val="17"/>
              </w:rPr>
              <w:t>Urban</w:t>
            </w:r>
            <w:r w:rsidRPr="00CA2CC1">
              <w:rPr>
                <w:rFonts w:cs="Calibri"/>
                <w:color w:val="414042"/>
                <w:spacing w:val="-12"/>
                <w:sz w:val="17"/>
              </w:rPr>
              <w:t xml:space="preserve"> </w:t>
            </w:r>
            <w:r w:rsidRPr="00CA2CC1">
              <w:rPr>
                <w:rFonts w:cs="Calibri"/>
                <w:color w:val="414042"/>
                <w:sz w:val="17"/>
              </w:rPr>
              <w:t>development scenarios analysis</w:t>
            </w:r>
          </w:p>
        </w:tc>
        <w:tc>
          <w:tcPr>
            <w:tcW w:w="1133" w:type="dxa"/>
            <w:tcBorders>
              <w:top w:val="single" w:sz="4" w:space="0" w:color="73777A"/>
              <w:bottom w:val="single" w:sz="4" w:space="0" w:color="73777A"/>
            </w:tcBorders>
            <w:shd w:val="clear" w:color="auto" w:fill="EDEFF0"/>
            <w:tcMar>
              <w:right w:w="57" w:type="dxa"/>
            </w:tcMar>
          </w:tcPr>
          <w:p w14:paraId="3413C552" w14:textId="6DB351F8" w:rsidR="0011577A" w:rsidRPr="00CA2CC1" w:rsidRDefault="0011577A" w:rsidP="0043303B">
            <w:pPr>
              <w:pStyle w:val="TableParagraph"/>
              <w:spacing w:before="31"/>
              <w:rPr>
                <w:rFonts w:cs="Calibri"/>
                <w:color w:val="414042"/>
                <w:spacing w:val="-2"/>
                <w:sz w:val="17"/>
              </w:rPr>
            </w:pPr>
            <w:r w:rsidRPr="00CA2CC1">
              <w:rPr>
                <w:rFonts w:cs="Calibri"/>
                <w:color w:val="414042"/>
                <w:spacing w:val="-2"/>
                <w:sz w:val="18"/>
              </w:rPr>
              <w:t>May-</w:t>
            </w:r>
            <w:r w:rsidRPr="00CA2CC1">
              <w:rPr>
                <w:rFonts w:cs="Calibri"/>
                <w:color w:val="414042"/>
                <w:spacing w:val="-5"/>
                <w:sz w:val="18"/>
              </w:rPr>
              <w:t>22</w:t>
            </w:r>
          </w:p>
        </w:tc>
        <w:tc>
          <w:tcPr>
            <w:tcW w:w="1133" w:type="dxa"/>
            <w:tcBorders>
              <w:top w:val="single" w:sz="4" w:space="0" w:color="73777A"/>
              <w:bottom w:val="single" w:sz="4" w:space="0" w:color="73777A"/>
            </w:tcBorders>
            <w:tcMar>
              <w:right w:w="57" w:type="dxa"/>
            </w:tcMar>
          </w:tcPr>
          <w:p w14:paraId="7585B380" w14:textId="135C8863" w:rsidR="0011577A" w:rsidRPr="00CA2CC1" w:rsidRDefault="0011577A" w:rsidP="0043303B">
            <w:pPr>
              <w:pStyle w:val="TableParagraph"/>
              <w:spacing w:before="31"/>
              <w:rPr>
                <w:rFonts w:cs="Calibri"/>
                <w:color w:val="414042"/>
                <w:spacing w:val="-2"/>
                <w:sz w:val="17"/>
              </w:rPr>
            </w:pPr>
            <w:r w:rsidRPr="00CA2CC1">
              <w:rPr>
                <w:rFonts w:cs="Calibri"/>
                <w:color w:val="414042"/>
                <w:sz w:val="18"/>
              </w:rPr>
              <w:t>Sep-</w:t>
            </w:r>
            <w:r w:rsidRPr="00CA2CC1">
              <w:rPr>
                <w:rFonts w:cs="Calibri"/>
                <w:color w:val="414042"/>
                <w:spacing w:val="-5"/>
                <w:sz w:val="18"/>
              </w:rPr>
              <w:t>22</w:t>
            </w:r>
          </w:p>
        </w:tc>
        <w:tc>
          <w:tcPr>
            <w:tcW w:w="1284" w:type="dxa"/>
            <w:tcBorders>
              <w:top w:val="single" w:sz="4" w:space="0" w:color="73777A"/>
              <w:bottom w:val="single" w:sz="4" w:space="0" w:color="73777A"/>
            </w:tcBorders>
            <w:shd w:val="clear" w:color="auto" w:fill="EDEFF0"/>
            <w:tcMar>
              <w:right w:w="57" w:type="dxa"/>
            </w:tcMar>
          </w:tcPr>
          <w:p w14:paraId="2544381A" w14:textId="5FE90A04" w:rsidR="0011577A" w:rsidRPr="00CA2CC1" w:rsidRDefault="0011577A" w:rsidP="0043303B">
            <w:pPr>
              <w:pStyle w:val="TableParagraph"/>
              <w:spacing w:before="31"/>
              <w:rPr>
                <w:rFonts w:cs="Calibri"/>
                <w:color w:val="414042"/>
                <w:spacing w:val="-2"/>
                <w:sz w:val="17"/>
              </w:rPr>
            </w:pPr>
            <w:r w:rsidRPr="00CA2CC1">
              <w:rPr>
                <w:rFonts w:cs="Calibri"/>
                <w:color w:val="414042"/>
                <w:spacing w:val="-2"/>
                <w:sz w:val="18"/>
              </w:rPr>
              <w:t>$189,525</w:t>
            </w:r>
          </w:p>
        </w:tc>
        <w:tc>
          <w:tcPr>
            <w:tcW w:w="1284" w:type="dxa"/>
            <w:tcBorders>
              <w:top w:val="single" w:sz="4" w:space="0" w:color="73777A"/>
              <w:bottom w:val="single" w:sz="4" w:space="0" w:color="73777A"/>
            </w:tcBorders>
            <w:tcMar>
              <w:right w:w="57" w:type="dxa"/>
            </w:tcMar>
          </w:tcPr>
          <w:p w14:paraId="45290800" w14:textId="0A32234F" w:rsidR="0011577A" w:rsidRPr="00CA2CC1" w:rsidRDefault="0011577A" w:rsidP="0043303B">
            <w:pPr>
              <w:pStyle w:val="TableParagraph"/>
              <w:spacing w:before="31"/>
              <w:rPr>
                <w:rFonts w:cs="Calibri"/>
                <w:color w:val="414042"/>
                <w:spacing w:val="-2"/>
                <w:sz w:val="17"/>
              </w:rPr>
            </w:pPr>
            <w:r w:rsidRPr="00CA2CC1">
              <w:rPr>
                <w:rFonts w:cs="Calibri"/>
                <w:color w:val="414042"/>
                <w:spacing w:val="-2"/>
                <w:sz w:val="17"/>
              </w:rPr>
              <w:t>$24,224</w:t>
            </w:r>
          </w:p>
        </w:tc>
        <w:tc>
          <w:tcPr>
            <w:tcW w:w="1284" w:type="dxa"/>
            <w:tcBorders>
              <w:top w:val="single" w:sz="4" w:space="0" w:color="73777A"/>
              <w:bottom w:val="single" w:sz="4" w:space="0" w:color="73777A"/>
            </w:tcBorders>
            <w:shd w:val="clear" w:color="auto" w:fill="EDEFF0"/>
            <w:tcMar>
              <w:right w:w="57" w:type="dxa"/>
            </w:tcMar>
          </w:tcPr>
          <w:p w14:paraId="5224B793" w14:textId="408137BC" w:rsidR="0011577A" w:rsidRPr="00CA2CC1" w:rsidRDefault="0011577A" w:rsidP="0043303B">
            <w:pPr>
              <w:pStyle w:val="TableParagraph"/>
              <w:spacing w:before="31"/>
              <w:rPr>
                <w:rFonts w:cs="Calibri"/>
                <w:color w:val="414042"/>
                <w:spacing w:val="-2"/>
                <w:sz w:val="17"/>
              </w:rPr>
            </w:pPr>
            <w:r w:rsidRPr="00CA2CC1">
              <w:rPr>
                <w:rFonts w:cs="Calibri"/>
                <w:color w:val="414042"/>
                <w:spacing w:val="-5"/>
                <w:sz w:val="17"/>
              </w:rPr>
              <w:t>$0</w:t>
            </w:r>
          </w:p>
        </w:tc>
      </w:tr>
      <w:tr w:rsidR="0011577A" w:rsidRPr="00CA2CC1" w14:paraId="032D1CB3" w14:textId="77777777" w:rsidTr="000A0029">
        <w:trPr>
          <w:trHeight w:val="738"/>
        </w:trPr>
        <w:tc>
          <w:tcPr>
            <w:tcW w:w="1757" w:type="dxa"/>
            <w:tcBorders>
              <w:top w:val="single" w:sz="4" w:space="0" w:color="73777A"/>
              <w:bottom w:val="single" w:sz="4" w:space="0" w:color="73777A"/>
            </w:tcBorders>
            <w:shd w:val="clear" w:color="auto" w:fill="FCFCFA"/>
            <w:tcMar>
              <w:right w:w="57" w:type="dxa"/>
            </w:tcMar>
          </w:tcPr>
          <w:p w14:paraId="4686CEA9" w14:textId="3843FD51" w:rsidR="0011577A" w:rsidRPr="00CA2CC1" w:rsidRDefault="0011577A" w:rsidP="0043303B">
            <w:pPr>
              <w:pStyle w:val="TableParagraph"/>
              <w:spacing w:before="61"/>
              <w:jc w:val="left"/>
              <w:rPr>
                <w:rFonts w:cs="Calibri"/>
                <w:color w:val="414042"/>
                <w:spacing w:val="-2"/>
                <w:sz w:val="17"/>
              </w:rPr>
            </w:pPr>
            <w:r w:rsidRPr="00CA2CC1">
              <w:rPr>
                <w:rFonts w:cs="Calibri"/>
                <w:color w:val="414042"/>
                <w:sz w:val="17"/>
              </w:rPr>
              <w:t xml:space="preserve">CENTRE FOR </w:t>
            </w:r>
            <w:r w:rsidRPr="00CA2CC1">
              <w:rPr>
                <w:rFonts w:cs="Calibri"/>
                <w:color w:val="414042"/>
                <w:spacing w:val="-2"/>
                <w:sz w:val="17"/>
              </w:rPr>
              <w:t>INTERNATIONAL ECONOMICS</w:t>
            </w:r>
          </w:p>
        </w:tc>
        <w:tc>
          <w:tcPr>
            <w:tcW w:w="1757" w:type="dxa"/>
            <w:tcBorders>
              <w:top w:val="single" w:sz="4" w:space="0" w:color="73777A"/>
              <w:bottom w:val="single" w:sz="4" w:space="0" w:color="73777A"/>
            </w:tcBorders>
            <w:tcMar>
              <w:right w:w="57" w:type="dxa"/>
            </w:tcMar>
          </w:tcPr>
          <w:p w14:paraId="3CB31105" w14:textId="2359D3FC" w:rsidR="0011577A" w:rsidRPr="00CA2CC1" w:rsidRDefault="0011577A" w:rsidP="0043303B">
            <w:pPr>
              <w:pStyle w:val="TableParagraph"/>
              <w:spacing w:before="61"/>
              <w:jc w:val="left"/>
              <w:rPr>
                <w:rFonts w:cs="Calibri"/>
                <w:color w:val="414042"/>
                <w:spacing w:val="-2"/>
                <w:sz w:val="17"/>
              </w:rPr>
            </w:pPr>
            <w:r w:rsidRPr="00CA2CC1">
              <w:rPr>
                <w:rFonts w:cs="Calibri"/>
                <w:color w:val="414042"/>
                <w:sz w:val="17"/>
              </w:rPr>
              <w:t>Urban</w:t>
            </w:r>
            <w:r w:rsidRPr="00CA2CC1">
              <w:rPr>
                <w:rFonts w:cs="Calibri"/>
                <w:color w:val="414042"/>
                <w:spacing w:val="-12"/>
                <w:sz w:val="17"/>
              </w:rPr>
              <w:t xml:space="preserve"> </w:t>
            </w:r>
            <w:r w:rsidRPr="00CA2CC1">
              <w:rPr>
                <w:rFonts w:cs="Calibri"/>
                <w:color w:val="414042"/>
                <w:sz w:val="17"/>
              </w:rPr>
              <w:t>development scenarios analysis</w:t>
            </w:r>
          </w:p>
        </w:tc>
        <w:tc>
          <w:tcPr>
            <w:tcW w:w="1133" w:type="dxa"/>
            <w:tcBorders>
              <w:top w:val="single" w:sz="4" w:space="0" w:color="73777A"/>
              <w:bottom w:val="single" w:sz="4" w:space="0" w:color="73777A"/>
            </w:tcBorders>
            <w:shd w:val="clear" w:color="auto" w:fill="EDEFF0"/>
            <w:tcMar>
              <w:right w:w="57" w:type="dxa"/>
            </w:tcMar>
          </w:tcPr>
          <w:p w14:paraId="3CA0CEAC" w14:textId="48262FEE" w:rsidR="0011577A" w:rsidRPr="00CA2CC1" w:rsidRDefault="0011577A" w:rsidP="0043303B">
            <w:pPr>
              <w:pStyle w:val="TableParagraph"/>
              <w:spacing w:before="31"/>
              <w:rPr>
                <w:rFonts w:cs="Calibri"/>
                <w:color w:val="414042"/>
                <w:spacing w:val="-2"/>
                <w:sz w:val="17"/>
              </w:rPr>
            </w:pPr>
            <w:r w:rsidRPr="00CA2CC1">
              <w:rPr>
                <w:rFonts w:cs="Calibri"/>
                <w:color w:val="414042"/>
                <w:spacing w:val="-2"/>
                <w:sz w:val="18"/>
              </w:rPr>
              <w:t>Jan-</w:t>
            </w:r>
            <w:r w:rsidRPr="00CA2CC1">
              <w:rPr>
                <w:rFonts w:cs="Calibri"/>
                <w:color w:val="414042"/>
                <w:spacing w:val="-5"/>
                <w:sz w:val="18"/>
              </w:rPr>
              <w:t>23</w:t>
            </w:r>
          </w:p>
        </w:tc>
        <w:tc>
          <w:tcPr>
            <w:tcW w:w="1133" w:type="dxa"/>
            <w:tcBorders>
              <w:top w:val="single" w:sz="4" w:space="0" w:color="73777A"/>
              <w:bottom w:val="single" w:sz="4" w:space="0" w:color="73777A"/>
            </w:tcBorders>
            <w:tcMar>
              <w:right w:w="57" w:type="dxa"/>
            </w:tcMar>
          </w:tcPr>
          <w:p w14:paraId="00257EDF" w14:textId="7C099EF0" w:rsidR="0011577A" w:rsidRPr="00CA2CC1" w:rsidRDefault="0011577A" w:rsidP="0043303B">
            <w:pPr>
              <w:pStyle w:val="TableParagraph"/>
              <w:spacing w:before="31"/>
              <w:rPr>
                <w:rFonts w:cs="Calibri"/>
                <w:color w:val="414042"/>
                <w:spacing w:val="-2"/>
                <w:sz w:val="17"/>
              </w:rPr>
            </w:pPr>
            <w:r w:rsidRPr="00CA2CC1">
              <w:rPr>
                <w:rFonts w:cs="Calibri"/>
                <w:color w:val="414042"/>
                <w:spacing w:val="-2"/>
                <w:sz w:val="18"/>
              </w:rPr>
              <w:t>Jul-</w:t>
            </w:r>
            <w:r w:rsidRPr="00CA2CC1">
              <w:rPr>
                <w:rFonts w:cs="Calibri"/>
                <w:color w:val="414042"/>
                <w:spacing w:val="-5"/>
                <w:sz w:val="18"/>
              </w:rPr>
              <w:t>23</w:t>
            </w:r>
          </w:p>
        </w:tc>
        <w:tc>
          <w:tcPr>
            <w:tcW w:w="1284" w:type="dxa"/>
            <w:tcBorders>
              <w:top w:val="single" w:sz="4" w:space="0" w:color="73777A"/>
              <w:bottom w:val="single" w:sz="4" w:space="0" w:color="73777A"/>
            </w:tcBorders>
            <w:shd w:val="clear" w:color="auto" w:fill="EDEFF0"/>
            <w:tcMar>
              <w:right w:w="57" w:type="dxa"/>
            </w:tcMar>
          </w:tcPr>
          <w:p w14:paraId="3980D115" w14:textId="18236975" w:rsidR="0011577A" w:rsidRPr="00CA2CC1" w:rsidRDefault="0011577A" w:rsidP="0043303B">
            <w:pPr>
              <w:pStyle w:val="TableParagraph"/>
              <w:spacing w:before="31"/>
              <w:rPr>
                <w:rFonts w:cs="Calibri"/>
                <w:color w:val="414042"/>
                <w:spacing w:val="-2"/>
                <w:sz w:val="17"/>
              </w:rPr>
            </w:pPr>
            <w:r w:rsidRPr="00CA2CC1">
              <w:rPr>
                <w:rFonts w:cs="Calibri"/>
                <w:color w:val="414042"/>
                <w:spacing w:val="-2"/>
                <w:sz w:val="18"/>
              </w:rPr>
              <w:t>$250,000</w:t>
            </w:r>
          </w:p>
        </w:tc>
        <w:tc>
          <w:tcPr>
            <w:tcW w:w="1284" w:type="dxa"/>
            <w:tcBorders>
              <w:top w:val="single" w:sz="4" w:space="0" w:color="73777A"/>
              <w:bottom w:val="single" w:sz="4" w:space="0" w:color="73777A"/>
            </w:tcBorders>
            <w:tcMar>
              <w:right w:w="57" w:type="dxa"/>
            </w:tcMar>
          </w:tcPr>
          <w:p w14:paraId="1DE1E295" w14:textId="2191622E" w:rsidR="0011577A" w:rsidRPr="00CA2CC1" w:rsidRDefault="0011577A" w:rsidP="0043303B">
            <w:pPr>
              <w:pStyle w:val="TableParagraph"/>
              <w:spacing w:before="31"/>
              <w:rPr>
                <w:rFonts w:cs="Calibri"/>
                <w:color w:val="414042"/>
                <w:spacing w:val="-2"/>
                <w:sz w:val="17"/>
              </w:rPr>
            </w:pPr>
            <w:r w:rsidRPr="00CA2CC1">
              <w:rPr>
                <w:rFonts w:cs="Calibri"/>
                <w:color w:val="414042"/>
                <w:spacing w:val="-2"/>
                <w:sz w:val="17"/>
              </w:rPr>
              <w:t>$250,000</w:t>
            </w:r>
          </w:p>
        </w:tc>
        <w:tc>
          <w:tcPr>
            <w:tcW w:w="1284" w:type="dxa"/>
            <w:tcBorders>
              <w:top w:val="single" w:sz="4" w:space="0" w:color="73777A"/>
              <w:bottom w:val="single" w:sz="4" w:space="0" w:color="73777A"/>
            </w:tcBorders>
            <w:shd w:val="clear" w:color="auto" w:fill="EDEFF0"/>
            <w:tcMar>
              <w:right w:w="57" w:type="dxa"/>
            </w:tcMar>
          </w:tcPr>
          <w:p w14:paraId="7DBE28B8" w14:textId="61704CC9" w:rsidR="0011577A" w:rsidRPr="00CA2CC1" w:rsidRDefault="0011577A" w:rsidP="0043303B">
            <w:pPr>
              <w:pStyle w:val="TableParagraph"/>
              <w:spacing w:before="31"/>
              <w:rPr>
                <w:rFonts w:cs="Calibri"/>
                <w:color w:val="414042"/>
                <w:spacing w:val="-2"/>
                <w:sz w:val="17"/>
              </w:rPr>
            </w:pPr>
            <w:r w:rsidRPr="00CA2CC1">
              <w:rPr>
                <w:rFonts w:cs="Calibri"/>
                <w:color w:val="414042"/>
                <w:spacing w:val="-5"/>
                <w:sz w:val="17"/>
              </w:rPr>
              <w:t>$0</w:t>
            </w:r>
          </w:p>
        </w:tc>
      </w:tr>
      <w:tr w:rsidR="0011577A" w:rsidRPr="00CA2CC1" w14:paraId="2C0A3082" w14:textId="77777777" w:rsidTr="000A0029">
        <w:trPr>
          <w:trHeight w:val="738"/>
        </w:trPr>
        <w:tc>
          <w:tcPr>
            <w:tcW w:w="1757" w:type="dxa"/>
            <w:tcBorders>
              <w:top w:val="single" w:sz="4" w:space="0" w:color="73777A"/>
              <w:bottom w:val="single" w:sz="4" w:space="0" w:color="73777A"/>
            </w:tcBorders>
            <w:shd w:val="clear" w:color="auto" w:fill="FCFCFA"/>
            <w:tcMar>
              <w:right w:w="57" w:type="dxa"/>
            </w:tcMar>
          </w:tcPr>
          <w:p w14:paraId="72165635" w14:textId="0A3B64AC" w:rsidR="0011577A" w:rsidRPr="00CA2CC1" w:rsidRDefault="0011577A" w:rsidP="0043303B">
            <w:pPr>
              <w:pStyle w:val="TableParagraph"/>
              <w:spacing w:before="61"/>
              <w:jc w:val="left"/>
              <w:rPr>
                <w:rFonts w:cs="Calibri"/>
                <w:color w:val="414042"/>
                <w:sz w:val="17"/>
              </w:rPr>
            </w:pPr>
            <w:r w:rsidRPr="00CA2CC1">
              <w:rPr>
                <w:rFonts w:cs="Calibri"/>
                <w:color w:val="414042"/>
                <w:sz w:val="17"/>
              </w:rPr>
              <w:lastRenderedPageBreak/>
              <w:t xml:space="preserve">ARUP </w:t>
            </w:r>
            <w:r w:rsidRPr="00CA2CC1">
              <w:rPr>
                <w:rFonts w:cs="Calibri"/>
                <w:color w:val="414042"/>
                <w:spacing w:val="-5"/>
                <w:sz w:val="17"/>
              </w:rPr>
              <w:t>P/L</w:t>
            </w:r>
          </w:p>
        </w:tc>
        <w:tc>
          <w:tcPr>
            <w:tcW w:w="1757" w:type="dxa"/>
            <w:tcBorders>
              <w:top w:val="single" w:sz="4" w:space="0" w:color="73777A"/>
              <w:bottom w:val="single" w:sz="4" w:space="0" w:color="73777A"/>
            </w:tcBorders>
            <w:tcMar>
              <w:right w:w="57" w:type="dxa"/>
            </w:tcMar>
          </w:tcPr>
          <w:p w14:paraId="5DF625CA" w14:textId="2391E198" w:rsidR="0011577A" w:rsidRPr="00CA2CC1" w:rsidRDefault="0011577A" w:rsidP="0043303B">
            <w:pPr>
              <w:pStyle w:val="TableParagraph"/>
              <w:spacing w:before="61"/>
              <w:jc w:val="left"/>
              <w:rPr>
                <w:rFonts w:cs="Calibri"/>
                <w:color w:val="414042"/>
                <w:sz w:val="17"/>
              </w:rPr>
            </w:pPr>
            <w:r w:rsidRPr="00CA2CC1">
              <w:rPr>
                <w:rFonts w:cs="Calibri"/>
                <w:color w:val="414042"/>
                <w:sz w:val="17"/>
              </w:rPr>
              <w:t>Urban</w:t>
            </w:r>
            <w:r w:rsidRPr="00CA2CC1">
              <w:rPr>
                <w:rFonts w:cs="Calibri"/>
                <w:color w:val="414042"/>
                <w:spacing w:val="-12"/>
                <w:sz w:val="17"/>
              </w:rPr>
              <w:t xml:space="preserve"> </w:t>
            </w:r>
            <w:r w:rsidRPr="00CA2CC1">
              <w:rPr>
                <w:rFonts w:cs="Calibri"/>
                <w:color w:val="414042"/>
                <w:sz w:val="17"/>
              </w:rPr>
              <w:t>development scenarios</w:t>
            </w:r>
            <w:r w:rsidRPr="00CA2CC1">
              <w:rPr>
                <w:rFonts w:cs="Calibri"/>
                <w:color w:val="414042"/>
                <w:spacing w:val="-3"/>
                <w:sz w:val="17"/>
              </w:rPr>
              <w:t xml:space="preserve"> </w:t>
            </w:r>
            <w:r w:rsidRPr="00CA2CC1">
              <w:rPr>
                <w:rFonts w:cs="Calibri"/>
                <w:color w:val="414042"/>
                <w:sz w:val="17"/>
              </w:rPr>
              <w:t xml:space="preserve">transport </w:t>
            </w:r>
            <w:r w:rsidRPr="00CA2CC1">
              <w:rPr>
                <w:rFonts w:cs="Calibri"/>
                <w:color w:val="414042"/>
                <w:spacing w:val="-2"/>
                <w:sz w:val="17"/>
              </w:rPr>
              <w:t>modelling</w:t>
            </w:r>
          </w:p>
        </w:tc>
        <w:tc>
          <w:tcPr>
            <w:tcW w:w="1133" w:type="dxa"/>
            <w:tcBorders>
              <w:top w:val="single" w:sz="4" w:space="0" w:color="73777A"/>
              <w:bottom w:val="single" w:sz="4" w:space="0" w:color="73777A"/>
            </w:tcBorders>
            <w:shd w:val="clear" w:color="auto" w:fill="EDEFF0"/>
            <w:tcMar>
              <w:right w:w="57" w:type="dxa"/>
            </w:tcMar>
          </w:tcPr>
          <w:p w14:paraId="47149DDC" w14:textId="2E884628" w:rsidR="0011577A" w:rsidRPr="00CA2CC1" w:rsidRDefault="0011577A" w:rsidP="0043303B">
            <w:pPr>
              <w:pStyle w:val="TableParagraph"/>
              <w:spacing w:before="31"/>
              <w:rPr>
                <w:rFonts w:cs="Calibri"/>
                <w:color w:val="414042"/>
                <w:spacing w:val="-2"/>
                <w:sz w:val="18"/>
              </w:rPr>
            </w:pPr>
            <w:r w:rsidRPr="00CA2CC1">
              <w:rPr>
                <w:rFonts w:cs="Calibri"/>
                <w:color w:val="414042"/>
                <w:spacing w:val="-2"/>
                <w:sz w:val="18"/>
              </w:rPr>
              <w:t>Feb-</w:t>
            </w:r>
            <w:r w:rsidRPr="00CA2CC1">
              <w:rPr>
                <w:rFonts w:cs="Calibri"/>
                <w:color w:val="414042"/>
                <w:spacing w:val="-5"/>
                <w:sz w:val="18"/>
              </w:rPr>
              <w:t>22</w:t>
            </w:r>
          </w:p>
        </w:tc>
        <w:tc>
          <w:tcPr>
            <w:tcW w:w="1133" w:type="dxa"/>
            <w:tcBorders>
              <w:top w:val="single" w:sz="4" w:space="0" w:color="73777A"/>
              <w:bottom w:val="single" w:sz="4" w:space="0" w:color="73777A"/>
            </w:tcBorders>
            <w:tcMar>
              <w:right w:w="57" w:type="dxa"/>
            </w:tcMar>
          </w:tcPr>
          <w:p w14:paraId="7CF8D4D7" w14:textId="3CF84060" w:rsidR="0011577A" w:rsidRPr="00CA2CC1" w:rsidRDefault="0011577A" w:rsidP="0043303B">
            <w:pPr>
              <w:pStyle w:val="TableParagraph"/>
              <w:spacing w:before="31"/>
              <w:rPr>
                <w:rFonts w:cs="Calibri"/>
                <w:color w:val="414042"/>
                <w:spacing w:val="-2"/>
                <w:sz w:val="18"/>
              </w:rPr>
            </w:pPr>
            <w:r w:rsidRPr="00CA2CC1">
              <w:rPr>
                <w:rFonts w:cs="Calibri"/>
                <w:color w:val="414042"/>
                <w:spacing w:val="-2"/>
                <w:sz w:val="18"/>
              </w:rPr>
              <w:t>Jul-</w:t>
            </w:r>
            <w:r w:rsidRPr="00CA2CC1">
              <w:rPr>
                <w:rFonts w:cs="Calibri"/>
                <w:color w:val="414042"/>
                <w:spacing w:val="-5"/>
                <w:sz w:val="18"/>
              </w:rPr>
              <w:t>23</w:t>
            </w:r>
          </w:p>
        </w:tc>
        <w:tc>
          <w:tcPr>
            <w:tcW w:w="1284" w:type="dxa"/>
            <w:tcBorders>
              <w:top w:val="single" w:sz="4" w:space="0" w:color="73777A"/>
              <w:bottom w:val="single" w:sz="4" w:space="0" w:color="73777A"/>
            </w:tcBorders>
            <w:shd w:val="clear" w:color="auto" w:fill="EDEFF0"/>
            <w:tcMar>
              <w:right w:w="57" w:type="dxa"/>
            </w:tcMar>
          </w:tcPr>
          <w:p w14:paraId="710A26BA" w14:textId="1ACA8688" w:rsidR="0011577A" w:rsidRPr="00CA2CC1" w:rsidRDefault="0011577A" w:rsidP="0043303B">
            <w:pPr>
              <w:pStyle w:val="TableParagraph"/>
              <w:spacing w:before="31"/>
              <w:rPr>
                <w:rFonts w:cs="Calibri"/>
                <w:color w:val="414042"/>
                <w:spacing w:val="-2"/>
                <w:sz w:val="18"/>
              </w:rPr>
            </w:pPr>
            <w:r w:rsidRPr="00CA2CC1">
              <w:rPr>
                <w:rFonts w:cs="Calibri"/>
                <w:color w:val="414042"/>
                <w:spacing w:val="-2"/>
                <w:sz w:val="18"/>
              </w:rPr>
              <w:t>$300,988</w:t>
            </w:r>
          </w:p>
        </w:tc>
        <w:tc>
          <w:tcPr>
            <w:tcW w:w="1284" w:type="dxa"/>
            <w:tcBorders>
              <w:top w:val="single" w:sz="4" w:space="0" w:color="73777A"/>
              <w:bottom w:val="single" w:sz="4" w:space="0" w:color="73777A"/>
            </w:tcBorders>
            <w:tcMar>
              <w:right w:w="57" w:type="dxa"/>
            </w:tcMar>
          </w:tcPr>
          <w:p w14:paraId="2D7C99B1" w14:textId="6697D935" w:rsidR="0011577A" w:rsidRPr="00CA2CC1" w:rsidRDefault="0011577A" w:rsidP="0043303B">
            <w:pPr>
              <w:pStyle w:val="TableParagraph"/>
              <w:spacing w:before="31"/>
              <w:rPr>
                <w:rFonts w:cs="Calibri"/>
                <w:color w:val="414042"/>
                <w:spacing w:val="-2"/>
                <w:sz w:val="17"/>
              </w:rPr>
            </w:pPr>
            <w:r w:rsidRPr="00CA2CC1">
              <w:rPr>
                <w:rFonts w:cs="Calibri"/>
                <w:color w:val="414042"/>
                <w:spacing w:val="-2"/>
                <w:sz w:val="17"/>
              </w:rPr>
              <w:t>$273,988</w:t>
            </w:r>
          </w:p>
        </w:tc>
        <w:tc>
          <w:tcPr>
            <w:tcW w:w="1284" w:type="dxa"/>
            <w:tcBorders>
              <w:top w:val="single" w:sz="4" w:space="0" w:color="73777A"/>
              <w:bottom w:val="single" w:sz="4" w:space="0" w:color="73777A"/>
            </w:tcBorders>
            <w:shd w:val="clear" w:color="auto" w:fill="EDEFF0"/>
            <w:tcMar>
              <w:right w:w="57" w:type="dxa"/>
            </w:tcMar>
          </w:tcPr>
          <w:p w14:paraId="2020F957" w14:textId="6A74C33B" w:rsidR="0011577A" w:rsidRPr="00CA2CC1" w:rsidRDefault="0011577A" w:rsidP="0043303B">
            <w:pPr>
              <w:pStyle w:val="TableParagraph"/>
              <w:spacing w:before="31"/>
              <w:rPr>
                <w:rFonts w:cs="Calibri"/>
                <w:color w:val="414042"/>
                <w:spacing w:val="-5"/>
                <w:sz w:val="17"/>
              </w:rPr>
            </w:pPr>
            <w:r w:rsidRPr="00CA2CC1">
              <w:rPr>
                <w:rFonts w:cs="Calibri"/>
                <w:color w:val="414042"/>
                <w:spacing w:val="-5"/>
                <w:sz w:val="17"/>
              </w:rPr>
              <w:t>$0</w:t>
            </w:r>
          </w:p>
        </w:tc>
      </w:tr>
      <w:tr w:rsidR="0011577A" w:rsidRPr="00CA2CC1" w14:paraId="0DB48C3C" w14:textId="77777777" w:rsidTr="000A0029">
        <w:trPr>
          <w:trHeight w:val="738"/>
        </w:trPr>
        <w:tc>
          <w:tcPr>
            <w:tcW w:w="1757" w:type="dxa"/>
            <w:tcBorders>
              <w:top w:val="single" w:sz="4" w:space="0" w:color="73777A"/>
              <w:bottom w:val="single" w:sz="4" w:space="0" w:color="73777A"/>
            </w:tcBorders>
            <w:shd w:val="clear" w:color="auto" w:fill="FCFCFA"/>
            <w:tcMar>
              <w:right w:w="57" w:type="dxa"/>
            </w:tcMar>
          </w:tcPr>
          <w:p w14:paraId="2F6421E1" w14:textId="1C72ADBD" w:rsidR="0011577A" w:rsidRPr="00CA2CC1" w:rsidRDefault="0011577A" w:rsidP="0043303B">
            <w:pPr>
              <w:pStyle w:val="TableParagraph"/>
              <w:spacing w:before="61"/>
              <w:jc w:val="left"/>
              <w:rPr>
                <w:rFonts w:cs="Calibri"/>
                <w:color w:val="414042"/>
                <w:sz w:val="17"/>
              </w:rPr>
            </w:pPr>
            <w:r w:rsidRPr="00CA2CC1">
              <w:rPr>
                <w:rFonts w:cs="Calibri"/>
                <w:color w:val="414042"/>
                <w:sz w:val="17"/>
              </w:rPr>
              <w:t>SGS</w:t>
            </w:r>
            <w:r w:rsidRPr="00CA2CC1">
              <w:rPr>
                <w:rFonts w:cs="Calibri"/>
                <w:color w:val="414042"/>
                <w:spacing w:val="-12"/>
                <w:sz w:val="17"/>
              </w:rPr>
              <w:t xml:space="preserve"> </w:t>
            </w:r>
            <w:r w:rsidRPr="00CA2CC1">
              <w:rPr>
                <w:rFonts w:cs="Calibri"/>
                <w:color w:val="414042"/>
                <w:sz w:val="17"/>
              </w:rPr>
              <w:t xml:space="preserve">ECONOMICS &amp; PLANNING PTY </w:t>
            </w:r>
            <w:r w:rsidRPr="00CA2CC1">
              <w:rPr>
                <w:rFonts w:cs="Calibri"/>
                <w:color w:val="414042"/>
                <w:spacing w:val="-4"/>
                <w:sz w:val="17"/>
              </w:rPr>
              <w:t>LTD</w:t>
            </w:r>
          </w:p>
        </w:tc>
        <w:tc>
          <w:tcPr>
            <w:tcW w:w="1757" w:type="dxa"/>
            <w:tcBorders>
              <w:top w:val="single" w:sz="4" w:space="0" w:color="73777A"/>
              <w:bottom w:val="single" w:sz="4" w:space="0" w:color="73777A"/>
            </w:tcBorders>
            <w:tcMar>
              <w:right w:w="57" w:type="dxa"/>
            </w:tcMar>
          </w:tcPr>
          <w:p w14:paraId="2F747AF3" w14:textId="767FF670" w:rsidR="0011577A" w:rsidRPr="00CA2CC1" w:rsidRDefault="0011577A" w:rsidP="0043303B">
            <w:pPr>
              <w:pStyle w:val="TableParagraph"/>
              <w:spacing w:before="61"/>
              <w:jc w:val="left"/>
              <w:rPr>
                <w:rFonts w:cs="Calibri"/>
                <w:color w:val="414042"/>
                <w:sz w:val="17"/>
              </w:rPr>
            </w:pPr>
            <w:r w:rsidRPr="00CA2CC1">
              <w:rPr>
                <w:rFonts w:cs="Calibri"/>
                <w:color w:val="414042"/>
                <w:sz w:val="17"/>
              </w:rPr>
              <w:t>Urban</w:t>
            </w:r>
            <w:r w:rsidRPr="00CA2CC1">
              <w:rPr>
                <w:rFonts w:cs="Calibri"/>
                <w:color w:val="414042"/>
                <w:spacing w:val="-12"/>
                <w:sz w:val="17"/>
              </w:rPr>
              <w:t xml:space="preserve"> </w:t>
            </w:r>
            <w:r w:rsidRPr="00CA2CC1">
              <w:rPr>
                <w:rFonts w:cs="Calibri"/>
                <w:color w:val="414042"/>
                <w:sz w:val="17"/>
              </w:rPr>
              <w:t>development scenarios analysis</w:t>
            </w:r>
          </w:p>
        </w:tc>
        <w:tc>
          <w:tcPr>
            <w:tcW w:w="1133" w:type="dxa"/>
            <w:tcBorders>
              <w:top w:val="single" w:sz="4" w:space="0" w:color="73777A"/>
              <w:bottom w:val="single" w:sz="4" w:space="0" w:color="73777A"/>
            </w:tcBorders>
            <w:shd w:val="clear" w:color="auto" w:fill="EDEFF0"/>
            <w:tcMar>
              <w:right w:w="57" w:type="dxa"/>
            </w:tcMar>
          </w:tcPr>
          <w:p w14:paraId="229D7753" w14:textId="261E0B2B" w:rsidR="0011577A" w:rsidRPr="00CA2CC1" w:rsidRDefault="0011577A" w:rsidP="0043303B">
            <w:pPr>
              <w:pStyle w:val="TableParagraph"/>
              <w:spacing w:before="31"/>
              <w:rPr>
                <w:rFonts w:cs="Calibri"/>
                <w:color w:val="414042"/>
                <w:spacing w:val="-2"/>
                <w:sz w:val="18"/>
              </w:rPr>
            </w:pPr>
            <w:r w:rsidRPr="00CA2CC1">
              <w:rPr>
                <w:rFonts w:cs="Calibri"/>
                <w:color w:val="414042"/>
                <w:spacing w:val="-2"/>
                <w:sz w:val="18"/>
              </w:rPr>
              <w:t>Nov-</w:t>
            </w:r>
            <w:r w:rsidRPr="00CA2CC1">
              <w:rPr>
                <w:rFonts w:cs="Calibri"/>
                <w:color w:val="414042"/>
                <w:spacing w:val="-5"/>
                <w:sz w:val="18"/>
              </w:rPr>
              <w:t>22</w:t>
            </w:r>
          </w:p>
        </w:tc>
        <w:tc>
          <w:tcPr>
            <w:tcW w:w="1133" w:type="dxa"/>
            <w:tcBorders>
              <w:top w:val="single" w:sz="4" w:space="0" w:color="73777A"/>
              <w:bottom w:val="single" w:sz="4" w:space="0" w:color="73777A"/>
            </w:tcBorders>
            <w:tcMar>
              <w:right w:w="57" w:type="dxa"/>
            </w:tcMar>
          </w:tcPr>
          <w:p w14:paraId="0DF763BA" w14:textId="699F3A6C" w:rsidR="0011577A" w:rsidRPr="00CA2CC1" w:rsidRDefault="0011577A" w:rsidP="0043303B">
            <w:pPr>
              <w:pStyle w:val="TableParagraph"/>
              <w:spacing w:before="31"/>
              <w:rPr>
                <w:rFonts w:cs="Calibri"/>
                <w:color w:val="414042"/>
                <w:spacing w:val="-2"/>
                <w:sz w:val="18"/>
              </w:rPr>
            </w:pPr>
            <w:r w:rsidRPr="00CA2CC1">
              <w:rPr>
                <w:rFonts w:cs="Calibri"/>
                <w:color w:val="414042"/>
                <w:spacing w:val="-2"/>
                <w:sz w:val="18"/>
              </w:rPr>
              <w:t>Feb-</w:t>
            </w:r>
            <w:r w:rsidRPr="00CA2CC1">
              <w:rPr>
                <w:rFonts w:cs="Calibri"/>
                <w:color w:val="414042"/>
                <w:spacing w:val="-5"/>
                <w:sz w:val="18"/>
              </w:rPr>
              <w:t>23</w:t>
            </w:r>
          </w:p>
        </w:tc>
        <w:tc>
          <w:tcPr>
            <w:tcW w:w="1284" w:type="dxa"/>
            <w:tcBorders>
              <w:top w:val="single" w:sz="4" w:space="0" w:color="73777A"/>
              <w:bottom w:val="single" w:sz="4" w:space="0" w:color="73777A"/>
            </w:tcBorders>
            <w:shd w:val="clear" w:color="auto" w:fill="EDEFF0"/>
            <w:tcMar>
              <w:right w:w="57" w:type="dxa"/>
            </w:tcMar>
          </w:tcPr>
          <w:p w14:paraId="66B98F5D" w14:textId="1C913E38" w:rsidR="0011577A" w:rsidRPr="00CA2CC1" w:rsidRDefault="0011577A" w:rsidP="0043303B">
            <w:pPr>
              <w:pStyle w:val="TableParagraph"/>
              <w:spacing w:before="31"/>
              <w:rPr>
                <w:rFonts w:cs="Calibri"/>
                <w:color w:val="414042"/>
                <w:spacing w:val="-2"/>
                <w:sz w:val="18"/>
              </w:rPr>
            </w:pPr>
            <w:r w:rsidRPr="00CA2CC1">
              <w:rPr>
                <w:rFonts w:cs="Calibri"/>
                <w:color w:val="414042"/>
                <w:spacing w:val="-2"/>
                <w:sz w:val="18"/>
              </w:rPr>
              <w:t>$94,210</w:t>
            </w:r>
          </w:p>
        </w:tc>
        <w:tc>
          <w:tcPr>
            <w:tcW w:w="1284" w:type="dxa"/>
            <w:tcBorders>
              <w:top w:val="single" w:sz="4" w:space="0" w:color="73777A"/>
              <w:bottom w:val="single" w:sz="4" w:space="0" w:color="73777A"/>
            </w:tcBorders>
            <w:tcMar>
              <w:right w:w="57" w:type="dxa"/>
            </w:tcMar>
          </w:tcPr>
          <w:p w14:paraId="77BDD6D9" w14:textId="0B0C9CED" w:rsidR="0011577A" w:rsidRPr="00CA2CC1" w:rsidRDefault="0011577A" w:rsidP="0043303B">
            <w:pPr>
              <w:pStyle w:val="TableParagraph"/>
              <w:spacing w:before="31"/>
              <w:rPr>
                <w:rFonts w:cs="Calibri"/>
                <w:color w:val="414042"/>
                <w:spacing w:val="-2"/>
                <w:sz w:val="17"/>
              </w:rPr>
            </w:pPr>
            <w:r w:rsidRPr="00CA2CC1">
              <w:rPr>
                <w:rFonts w:cs="Calibri"/>
                <w:color w:val="414042"/>
                <w:spacing w:val="-2"/>
                <w:sz w:val="17"/>
              </w:rPr>
              <w:t>$94,210</w:t>
            </w:r>
          </w:p>
        </w:tc>
        <w:tc>
          <w:tcPr>
            <w:tcW w:w="1284" w:type="dxa"/>
            <w:tcBorders>
              <w:top w:val="single" w:sz="4" w:space="0" w:color="73777A"/>
              <w:bottom w:val="single" w:sz="4" w:space="0" w:color="73777A"/>
            </w:tcBorders>
            <w:shd w:val="clear" w:color="auto" w:fill="EDEFF0"/>
            <w:tcMar>
              <w:right w:w="57" w:type="dxa"/>
            </w:tcMar>
          </w:tcPr>
          <w:p w14:paraId="48E82A88" w14:textId="7DECD482" w:rsidR="0011577A" w:rsidRPr="00CA2CC1" w:rsidRDefault="0011577A" w:rsidP="0043303B">
            <w:pPr>
              <w:pStyle w:val="TableParagraph"/>
              <w:spacing w:before="31"/>
              <w:rPr>
                <w:rFonts w:cs="Calibri"/>
                <w:color w:val="414042"/>
                <w:spacing w:val="-5"/>
                <w:sz w:val="17"/>
              </w:rPr>
            </w:pPr>
            <w:r w:rsidRPr="00CA2CC1">
              <w:rPr>
                <w:rFonts w:cs="Calibri"/>
                <w:color w:val="414042"/>
                <w:spacing w:val="-5"/>
                <w:sz w:val="17"/>
              </w:rPr>
              <w:t>$0</w:t>
            </w:r>
          </w:p>
        </w:tc>
      </w:tr>
    </w:tbl>
    <w:p w14:paraId="0C40CF80" w14:textId="77777777" w:rsidR="00FA4226" w:rsidRPr="00CA2CC1" w:rsidRDefault="00FA4226" w:rsidP="0043303B">
      <w:pPr>
        <w:pStyle w:val="BodyText"/>
        <w:rPr>
          <w:rFonts w:cs="Calibri"/>
        </w:rPr>
      </w:pPr>
    </w:p>
    <w:p w14:paraId="23A3DA66" w14:textId="77777777" w:rsidR="00FA4226" w:rsidRPr="00CA2CC1" w:rsidRDefault="00FA4226" w:rsidP="0043303B">
      <w:pPr>
        <w:rPr>
          <w:rFonts w:cs="Calibri"/>
          <w:sz w:val="16"/>
        </w:rPr>
      </w:pPr>
    </w:p>
    <w:p w14:paraId="4EA918E9" w14:textId="77777777" w:rsidR="0011577A" w:rsidRPr="00CA2CC1" w:rsidRDefault="0011577A" w:rsidP="0043303B">
      <w:pPr>
        <w:rPr>
          <w:rFonts w:cs="Calibri"/>
          <w:sz w:val="26"/>
        </w:rPr>
        <w:sectPr w:rsidR="0011577A" w:rsidRPr="00CA2CC1" w:rsidSect="00E941A5">
          <w:pgSz w:w="11910" w:h="16840"/>
          <w:pgMar w:top="1134" w:right="1278" w:bottom="1134" w:left="1134" w:header="720" w:footer="720" w:gutter="0"/>
          <w:cols w:space="720"/>
        </w:sectPr>
      </w:pPr>
    </w:p>
    <w:p w14:paraId="482D773D" w14:textId="77777777" w:rsidR="00FA4226" w:rsidRPr="003375C9" w:rsidRDefault="00000000" w:rsidP="003375C9">
      <w:pPr>
        <w:pStyle w:val="Heading3"/>
      </w:pPr>
      <w:r w:rsidRPr="003375C9">
        <w:t>ICT expenditure</w:t>
      </w:r>
    </w:p>
    <w:p w14:paraId="4BA79BD4" w14:textId="32A63CBF" w:rsidR="00FA4226" w:rsidRPr="00CA2CC1" w:rsidRDefault="00000000" w:rsidP="0043303B">
      <w:pPr>
        <w:pStyle w:val="BodyText"/>
        <w:rPr>
          <w:rFonts w:cs="Calibri"/>
        </w:rPr>
      </w:pPr>
      <w:r w:rsidRPr="00CA2CC1">
        <w:rPr>
          <w:rFonts w:cs="Calibri"/>
        </w:rPr>
        <w:t>The Department of Treasury and Finance (DTF) provided ICT services to Infrastructure Victoria on a fee for service basis under the terms of a memorandum of understanding for the period 1 July 2022 to 31 December 2022. Following Machinery of Government Changes (MoG) effective 1 January 2023, the Department of Government Services (DGS) delivered these services for the period 1 January 2023 to 30 June 2023. The systems, processes, support,</w:t>
      </w:r>
      <w:r w:rsidR="001F3240" w:rsidRPr="00CA2CC1">
        <w:rPr>
          <w:rFonts w:cs="Calibri"/>
        </w:rPr>
        <w:t xml:space="preserve"> </w:t>
      </w:r>
      <w:r w:rsidRPr="00CA2CC1">
        <w:rPr>
          <w:rFonts w:cs="Calibri"/>
        </w:rPr>
        <w:t>and people transferred from DTF to DGS on 1 January 2023 enabled the continued provision of shared services on the same basis as prior to the MoG, and in line with existing agreements. In 2022-2023, business-enabling ICT, finance and human resources services were provided through</w:t>
      </w:r>
      <w:r w:rsidR="001F3240" w:rsidRPr="00CA2CC1">
        <w:rPr>
          <w:rFonts w:cs="Calibri"/>
        </w:rPr>
        <w:t xml:space="preserve"> </w:t>
      </w:r>
      <w:r w:rsidRPr="00CA2CC1">
        <w:rPr>
          <w:rFonts w:cs="Calibri"/>
        </w:rPr>
        <w:t>a shared services arrangement with the Department of Treasury and Finance for a fee of $260,081.</w:t>
      </w:r>
    </w:p>
    <w:p w14:paraId="5A5AF66A" w14:textId="77777777" w:rsidR="00E01F1D" w:rsidRPr="00CA2CC1" w:rsidRDefault="00E01F1D" w:rsidP="0043303B">
      <w:pPr>
        <w:pStyle w:val="BodyText"/>
        <w:rPr>
          <w:rFonts w:cs="Calibri"/>
        </w:rPr>
      </w:pPr>
    </w:p>
    <w:p w14:paraId="7811F019" w14:textId="5566E9FF" w:rsidR="00FA4226" w:rsidRPr="003375C9" w:rsidRDefault="00000000" w:rsidP="003375C9">
      <w:pPr>
        <w:pStyle w:val="Heading3"/>
      </w:pPr>
      <w:r w:rsidRPr="003375C9">
        <w:t>Freedom of Information</w:t>
      </w:r>
    </w:p>
    <w:p w14:paraId="6334F859" w14:textId="77777777" w:rsidR="00FA4226" w:rsidRPr="00CA2CC1" w:rsidRDefault="00000000" w:rsidP="0043303B">
      <w:pPr>
        <w:pStyle w:val="BodyText"/>
        <w:rPr>
          <w:rFonts w:cs="Calibri"/>
        </w:rPr>
      </w:pPr>
      <w:r w:rsidRPr="00CA2CC1">
        <w:rPr>
          <w:rFonts w:cs="Calibri"/>
        </w:rPr>
        <w:t xml:space="preserve">The </w:t>
      </w:r>
      <w:r w:rsidRPr="00CA2CC1">
        <w:rPr>
          <w:rFonts w:cs="Calibri"/>
          <w:i/>
        </w:rPr>
        <w:t xml:space="preserve">Freedom of Information Act 1982 </w:t>
      </w:r>
      <w:r w:rsidRPr="00CA2CC1">
        <w:rPr>
          <w:rFonts w:cs="Calibri"/>
        </w:rPr>
        <w:t>(the Act) allows the public</w:t>
      </w:r>
      <w:r w:rsidRPr="00CA2CC1">
        <w:rPr>
          <w:rFonts w:cs="Calibri"/>
          <w:spacing w:val="-4"/>
        </w:rPr>
        <w:t xml:space="preserve"> </w:t>
      </w:r>
      <w:r w:rsidRPr="00CA2CC1">
        <w:rPr>
          <w:rFonts w:cs="Calibri"/>
        </w:rPr>
        <w:t>a</w:t>
      </w:r>
      <w:r w:rsidRPr="00CA2CC1">
        <w:rPr>
          <w:rFonts w:cs="Calibri"/>
          <w:spacing w:val="-4"/>
        </w:rPr>
        <w:t xml:space="preserve"> </w:t>
      </w:r>
      <w:r w:rsidRPr="00CA2CC1">
        <w:rPr>
          <w:rFonts w:cs="Calibri"/>
        </w:rPr>
        <w:t>right</w:t>
      </w:r>
      <w:r w:rsidRPr="00CA2CC1">
        <w:rPr>
          <w:rFonts w:cs="Calibri"/>
          <w:spacing w:val="-4"/>
        </w:rPr>
        <w:t xml:space="preserve"> </w:t>
      </w:r>
      <w:r w:rsidRPr="00CA2CC1">
        <w:rPr>
          <w:rFonts w:cs="Calibri"/>
        </w:rPr>
        <w:t>of</w:t>
      </w:r>
      <w:r w:rsidRPr="00CA2CC1">
        <w:rPr>
          <w:rFonts w:cs="Calibri"/>
          <w:spacing w:val="-4"/>
        </w:rPr>
        <w:t xml:space="preserve"> </w:t>
      </w:r>
      <w:r w:rsidRPr="00CA2CC1">
        <w:rPr>
          <w:rFonts w:cs="Calibri"/>
        </w:rPr>
        <w:t>access</w:t>
      </w:r>
      <w:r w:rsidRPr="00CA2CC1">
        <w:rPr>
          <w:rFonts w:cs="Calibri"/>
          <w:spacing w:val="-4"/>
        </w:rPr>
        <w:t xml:space="preserve"> </w:t>
      </w:r>
      <w:r w:rsidRPr="00CA2CC1">
        <w:rPr>
          <w:rFonts w:cs="Calibri"/>
        </w:rPr>
        <w:t>to</w:t>
      </w:r>
      <w:r w:rsidRPr="00CA2CC1">
        <w:rPr>
          <w:rFonts w:cs="Calibri"/>
          <w:spacing w:val="-4"/>
        </w:rPr>
        <w:t xml:space="preserve"> </w:t>
      </w:r>
      <w:r w:rsidRPr="00CA2CC1">
        <w:rPr>
          <w:rFonts w:cs="Calibri"/>
        </w:rPr>
        <w:t>documents</w:t>
      </w:r>
      <w:r w:rsidRPr="00CA2CC1">
        <w:rPr>
          <w:rFonts w:cs="Calibri"/>
          <w:spacing w:val="-4"/>
        </w:rPr>
        <w:t xml:space="preserve"> </w:t>
      </w:r>
      <w:r w:rsidRPr="00CA2CC1">
        <w:rPr>
          <w:rFonts w:cs="Calibri"/>
        </w:rPr>
        <w:t>held</w:t>
      </w:r>
      <w:r w:rsidRPr="00CA2CC1">
        <w:rPr>
          <w:rFonts w:cs="Calibri"/>
          <w:spacing w:val="-4"/>
        </w:rPr>
        <w:t xml:space="preserve"> </w:t>
      </w:r>
      <w:r w:rsidRPr="00CA2CC1">
        <w:rPr>
          <w:rFonts w:cs="Calibri"/>
        </w:rPr>
        <w:t>by</w:t>
      </w:r>
      <w:r w:rsidRPr="00CA2CC1">
        <w:rPr>
          <w:rFonts w:cs="Calibri"/>
          <w:spacing w:val="-4"/>
        </w:rPr>
        <w:t xml:space="preserve"> </w:t>
      </w:r>
      <w:r w:rsidRPr="00CA2CC1">
        <w:rPr>
          <w:rFonts w:cs="Calibri"/>
        </w:rPr>
        <w:t xml:space="preserve">Infrastructure </w:t>
      </w:r>
      <w:r w:rsidRPr="00CA2CC1">
        <w:rPr>
          <w:rFonts w:cs="Calibri"/>
          <w:spacing w:val="-2"/>
        </w:rPr>
        <w:t>Victoria.</w:t>
      </w:r>
    </w:p>
    <w:p w14:paraId="0228658C" w14:textId="77777777" w:rsidR="00FA4226" w:rsidRPr="00CA2CC1" w:rsidRDefault="00000000" w:rsidP="0043303B">
      <w:pPr>
        <w:pStyle w:val="BodyText"/>
        <w:rPr>
          <w:rFonts w:cs="Calibri"/>
        </w:rPr>
      </w:pPr>
      <w:r w:rsidRPr="00CA2CC1">
        <w:rPr>
          <w:rFonts w:cs="Calibri"/>
        </w:rPr>
        <w:t>In</w:t>
      </w:r>
      <w:r w:rsidRPr="00CA2CC1">
        <w:rPr>
          <w:rFonts w:cs="Calibri"/>
          <w:spacing w:val="-7"/>
        </w:rPr>
        <w:t xml:space="preserve"> </w:t>
      </w:r>
      <w:r w:rsidRPr="00CA2CC1">
        <w:rPr>
          <w:rFonts w:cs="Calibri"/>
        </w:rPr>
        <w:t>2022-2023</w:t>
      </w:r>
      <w:r w:rsidRPr="00CA2CC1">
        <w:rPr>
          <w:rFonts w:cs="Calibri"/>
          <w:spacing w:val="-7"/>
        </w:rPr>
        <w:t xml:space="preserve"> </w:t>
      </w:r>
      <w:r w:rsidRPr="00CA2CC1">
        <w:rPr>
          <w:rFonts w:cs="Calibri"/>
        </w:rPr>
        <w:t>Infrastructure</w:t>
      </w:r>
      <w:r w:rsidRPr="00CA2CC1">
        <w:rPr>
          <w:rFonts w:cs="Calibri"/>
          <w:spacing w:val="-7"/>
        </w:rPr>
        <w:t xml:space="preserve"> </w:t>
      </w:r>
      <w:r w:rsidRPr="00CA2CC1">
        <w:rPr>
          <w:rFonts w:cs="Calibri"/>
        </w:rPr>
        <w:t>Victoria</w:t>
      </w:r>
      <w:r w:rsidRPr="00CA2CC1">
        <w:rPr>
          <w:rFonts w:cs="Calibri"/>
          <w:spacing w:val="-7"/>
        </w:rPr>
        <w:t xml:space="preserve"> </w:t>
      </w:r>
      <w:r w:rsidRPr="00CA2CC1">
        <w:rPr>
          <w:rFonts w:cs="Calibri"/>
        </w:rPr>
        <w:t>received</w:t>
      </w:r>
      <w:r w:rsidRPr="00CA2CC1">
        <w:rPr>
          <w:rFonts w:cs="Calibri"/>
          <w:spacing w:val="-7"/>
        </w:rPr>
        <w:t xml:space="preserve"> </w:t>
      </w:r>
      <w:r w:rsidRPr="00CA2CC1">
        <w:rPr>
          <w:rFonts w:cs="Calibri"/>
        </w:rPr>
        <w:t>one</w:t>
      </w:r>
      <w:r w:rsidRPr="00CA2CC1">
        <w:rPr>
          <w:rFonts w:cs="Calibri"/>
          <w:spacing w:val="-7"/>
        </w:rPr>
        <w:t xml:space="preserve"> </w:t>
      </w:r>
      <w:r w:rsidRPr="00CA2CC1">
        <w:rPr>
          <w:rFonts w:cs="Calibri"/>
        </w:rPr>
        <w:t>request from a general member of the public. One decision was made within the statutory time period.</w:t>
      </w:r>
    </w:p>
    <w:p w14:paraId="62CC5EF5" w14:textId="77777777" w:rsidR="00FA4226" w:rsidRPr="00CA2CC1" w:rsidRDefault="00000000" w:rsidP="0043303B">
      <w:pPr>
        <w:pStyle w:val="BodyText"/>
        <w:rPr>
          <w:rFonts w:cs="Calibri"/>
        </w:rPr>
      </w:pPr>
      <w:r w:rsidRPr="00CA2CC1">
        <w:rPr>
          <w:rFonts w:cs="Calibri"/>
        </w:rPr>
        <w:t>Further information regarding the operation and scope of FOI</w:t>
      </w:r>
      <w:r w:rsidRPr="00CA2CC1">
        <w:rPr>
          <w:rFonts w:cs="Calibri"/>
          <w:spacing w:val="-5"/>
        </w:rPr>
        <w:t xml:space="preserve"> </w:t>
      </w:r>
      <w:r w:rsidRPr="00CA2CC1">
        <w:rPr>
          <w:rFonts w:cs="Calibri"/>
        </w:rPr>
        <w:t>can</w:t>
      </w:r>
      <w:r w:rsidRPr="00CA2CC1">
        <w:rPr>
          <w:rFonts w:cs="Calibri"/>
          <w:spacing w:val="-5"/>
        </w:rPr>
        <w:t xml:space="preserve"> </w:t>
      </w:r>
      <w:r w:rsidRPr="00CA2CC1">
        <w:rPr>
          <w:rFonts w:cs="Calibri"/>
        </w:rPr>
        <w:t>be</w:t>
      </w:r>
      <w:r w:rsidRPr="00CA2CC1">
        <w:rPr>
          <w:rFonts w:cs="Calibri"/>
          <w:spacing w:val="-5"/>
        </w:rPr>
        <w:t xml:space="preserve"> </w:t>
      </w:r>
      <w:r w:rsidRPr="00CA2CC1">
        <w:rPr>
          <w:rFonts w:cs="Calibri"/>
        </w:rPr>
        <w:t>obtained</w:t>
      </w:r>
      <w:r w:rsidRPr="00CA2CC1">
        <w:rPr>
          <w:rFonts w:cs="Calibri"/>
          <w:spacing w:val="-5"/>
        </w:rPr>
        <w:t xml:space="preserve"> </w:t>
      </w:r>
      <w:r w:rsidRPr="00CA2CC1">
        <w:rPr>
          <w:rFonts w:cs="Calibri"/>
        </w:rPr>
        <w:t>from</w:t>
      </w:r>
      <w:r w:rsidRPr="00CA2CC1">
        <w:rPr>
          <w:rFonts w:cs="Calibri"/>
          <w:spacing w:val="-5"/>
        </w:rPr>
        <w:t xml:space="preserve"> </w:t>
      </w:r>
      <w:r w:rsidRPr="00CA2CC1">
        <w:rPr>
          <w:rFonts w:cs="Calibri"/>
        </w:rPr>
        <w:t>the</w:t>
      </w:r>
      <w:r w:rsidRPr="00CA2CC1">
        <w:rPr>
          <w:rFonts w:cs="Calibri"/>
          <w:spacing w:val="-5"/>
        </w:rPr>
        <w:t xml:space="preserve"> </w:t>
      </w:r>
      <w:r w:rsidRPr="00CA2CC1">
        <w:rPr>
          <w:rFonts w:cs="Calibri"/>
        </w:rPr>
        <w:t>Act,</w:t>
      </w:r>
      <w:r w:rsidRPr="00CA2CC1">
        <w:rPr>
          <w:rFonts w:cs="Calibri"/>
          <w:spacing w:val="-5"/>
        </w:rPr>
        <w:t xml:space="preserve"> </w:t>
      </w:r>
      <w:r w:rsidRPr="00CA2CC1">
        <w:rPr>
          <w:rFonts w:cs="Calibri"/>
        </w:rPr>
        <w:t>regulations</w:t>
      </w:r>
      <w:r w:rsidRPr="00CA2CC1">
        <w:rPr>
          <w:rFonts w:cs="Calibri"/>
          <w:spacing w:val="-5"/>
        </w:rPr>
        <w:t xml:space="preserve"> </w:t>
      </w:r>
      <w:r w:rsidRPr="00CA2CC1">
        <w:rPr>
          <w:rFonts w:cs="Calibri"/>
        </w:rPr>
        <w:t>made</w:t>
      </w:r>
      <w:r w:rsidRPr="00CA2CC1">
        <w:rPr>
          <w:rFonts w:cs="Calibri"/>
          <w:spacing w:val="-5"/>
        </w:rPr>
        <w:t xml:space="preserve"> </w:t>
      </w:r>
      <w:r w:rsidRPr="00CA2CC1">
        <w:rPr>
          <w:rFonts w:cs="Calibri"/>
        </w:rPr>
        <w:t xml:space="preserve">under the Act and </w:t>
      </w:r>
      <w:hyperlink r:id="rId33">
        <w:r w:rsidRPr="00CA2CC1">
          <w:rPr>
            <w:rFonts w:cs="Calibri"/>
            <w:u w:val="single" w:color="414042"/>
          </w:rPr>
          <w:t>ovic.vic.gov.au</w:t>
        </w:r>
      </w:hyperlink>
    </w:p>
    <w:p w14:paraId="5563D890" w14:textId="77777777" w:rsidR="00FA4226" w:rsidRPr="00CA2CC1" w:rsidRDefault="00FA4226" w:rsidP="0043303B">
      <w:pPr>
        <w:pStyle w:val="BodyText"/>
        <w:rPr>
          <w:rFonts w:cs="Calibri"/>
        </w:rPr>
      </w:pPr>
    </w:p>
    <w:p w14:paraId="7D7D2F8F" w14:textId="744523EB" w:rsidR="00FA4226" w:rsidRPr="003375C9" w:rsidRDefault="00000000" w:rsidP="0043303B">
      <w:pPr>
        <w:pStyle w:val="Heading3"/>
        <w:rPr>
          <w:rFonts w:cs="Calibri"/>
          <w:color w:val="000000" w:themeColor="text1"/>
        </w:rPr>
      </w:pPr>
      <w:r w:rsidRPr="003375C9">
        <w:rPr>
          <w:rFonts w:cs="Calibri"/>
          <w:color w:val="000000" w:themeColor="text1"/>
        </w:rPr>
        <w:t xml:space="preserve">Compliance with </w:t>
      </w:r>
      <w:r w:rsidRPr="003375C9">
        <w:rPr>
          <w:rFonts w:cs="Calibri"/>
          <w:color w:val="000000" w:themeColor="text1"/>
          <w:spacing w:val="-5"/>
        </w:rPr>
        <w:t>the</w:t>
      </w:r>
      <w:r w:rsidR="0007249B" w:rsidRPr="003375C9">
        <w:rPr>
          <w:rFonts w:cs="Calibri"/>
          <w:color w:val="000000" w:themeColor="text1"/>
          <w:spacing w:val="-5"/>
        </w:rPr>
        <w:t xml:space="preserve"> </w:t>
      </w:r>
      <w:r w:rsidRPr="003375C9">
        <w:rPr>
          <w:rFonts w:cs="Calibri"/>
          <w:i/>
          <w:color w:val="000000" w:themeColor="text1"/>
        </w:rPr>
        <w:t xml:space="preserve">Building Act </w:t>
      </w:r>
      <w:r w:rsidRPr="003375C9">
        <w:rPr>
          <w:rFonts w:cs="Calibri"/>
          <w:i/>
          <w:color w:val="000000" w:themeColor="text1"/>
          <w:spacing w:val="-4"/>
        </w:rPr>
        <w:t>1993</w:t>
      </w:r>
    </w:p>
    <w:p w14:paraId="4696857F" w14:textId="77777777" w:rsidR="00FA4226" w:rsidRPr="003375C9" w:rsidRDefault="00000000" w:rsidP="0043303B">
      <w:pPr>
        <w:pStyle w:val="BodyText"/>
        <w:rPr>
          <w:rFonts w:cs="Calibri"/>
        </w:rPr>
      </w:pPr>
      <w:r w:rsidRPr="003375C9">
        <w:rPr>
          <w:rFonts w:cs="Calibri"/>
        </w:rPr>
        <w:t>Infrastructure Victoria does not own or control any government buildings and consequently is exempt from notifying its compliance with the building and maintenance provisions of the Building Act 1993.</w:t>
      </w:r>
    </w:p>
    <w:p w14:paraId="178C3F6B" w14:textId="77777777" w:rsidR="00FA4226" w:rsidRPr="003375C9" w:rsidRDefault="00FA4226" w:rsidP="0043303B">
      <w:pPr>
        <w:pStyle w:val="BodyText"/>
        <w:rPr>
          <w:rFonts w:cs="Calibri"/>
        </w:rPr>
      </w:pPr>
    </w:p>
    <w:p w14:paraId="7A699D05" w14:textId="77777777" w:rsidR="00FA4226" w:rsidRPr="003375C9" w:rsidRDefault="00000000" w:rsidP="0043303B">
      <w:pPr>
        <w:pStyle w:val="Heading3"/>
        <w:rPr>
          <w:rFonts w:cs="Calibri"/>
          <w:color w:val="000000" w:themeColor="text1"/>
        </w:rPr>
      </w:pPr>
      <w:r w:rsidRPr="003375C9">
        <w:rPr>
          <w:rFonts w:cs="Calibri"/>
          <w:color w:val="000000" w:themeColor="text1"/>
        </w:rPr>
        <w:t xml:space="preserve">Competitive Neutrality </w:t>
      </w:r>
      <w:r w:rsidRPr="003375C9">
        <w:rPr>
          <w:rFonts w:cs="Calibri"/>
          <w:color w:val="000000" w:themeColor="text1"/>
          <w:spacing w:val="-2"/>
        </w:rPr>
        <w:t>Policy</w:t>
      </w:r>
    </w:p>
    <w:p w14:paraId="40B9CF03" w14:textId="77777777" w:rsidR="00FA4226" w:rsidRPr="003375C9" w:rsidRDefault="00000000" w:rsidP="0043303B">
      <w:pPr>
        <w:rPr>
          <w:rFonts w:cs="Calibri"/>
          <w:color w:val="000000" w:themeColor="text1"/>
        </w:rPr>
      </w:pPr>
      <w:r w:rsidRPr="003375C9">
        <w:rPr>
          <w:rFonts w:cs="Calibri"/>
          <w:color w:val="000000" w:themeColor="text1"/>
        </w:rPr>
        <w:t>Infrastructure Victoria does not provide services that compete</w:t>
      </w:r>
      <w:r w:rsidRPr="003375C9">
        <w:rPr>
          <w:rFonts w:cs="Calibri"/>
          <w:color w:val="000000" w:themeColor="text1"/>
          <w:spacing w:val="-5"/>
        </w:rPr>
        <w:t xml:space="preserve"> </w:t>
      </w:r>
      <w:r w:rsidRPr="003375C9">
        <w:rPr>
          <w:rFonts w:cs="Calibri"/>
          <w:color w:val="000000" w:themeColor="text1"/>
        </w:rPr>
        <w:t>with</w:t>
      </w:r>
      <w:r w:rsidRPr="003375C9">
        <w:rPr>
          <w:rFonts w:cs="Calibri"/>
          <w:color w:val="000000" w:themeColor="text1"/>
          <w:spacing w:val="-5"/>
        </w:rPr>
        <w:t xml:space="preserve"> </w:t>
      </w:r>
      <w:r w:rsidRPr="003375C9">
        <w:rPr>
          <w:rFonts w:cs="Calibri"/>
          <w:color w:val="000000" w:themeColor="text1"/>
        </w:rPr>
        <w:t>the</w:t>
      </w:r>
      <w:r w:rsidRPr="003375C9">
        <w:rPr>
          <w:rFonts w:cs="Calibri"/>
          <w:color w:val="000000" w:themeColor="text1"/>
          <w:spacing w:val="-5"/>
        </w:rPr>
        <w:t xml:space="preserve"> </w:t>
      </w:r>
      <w:r w:rsidRPr="003375C9">
        <w:rPr>
          <w:rFonts w:cs="Calibri"/>
          <w:color w:val="000000" w:themeColor="text1"/>
        </w:rPr>
        <w:t>private</w:t>
      </w:r>
      <w:r w:rsidRPr="003375C9">
        <w:rPr>
          <w:rFonts w:cs="Calibri"/>
          <w:color w:val="000000" w:themeColor="text1"/>
          <w:spacing w:val="-5"/>
        </w:rPr>
        <w:t xml:space="preserve"> </w:t>
      </w:r>
      <w:r w:rsidRPr="003375C9">
        <w:rPr>
          <w:rFonts w:cs="Calibri"/>
          <w:color w:val="000000" w:themeColor="text1"/>
        </w:rPr>
        <w:t>sector</w:t>
      </w:r>
      <w:r w:rsidRPr="003375C9">
        <w:rPr>
          <w:rFonts w:cs="Calibri"/>
          <w:color w:val="000000" w:themeColor="text1"/>
          <w:spacing w:val="-5"/>
        </w:rPr>
        <w:t xml:space="preserve"> </w:t>
      </w:r>
      <w:r w:rsidRPr="003375C9">
        <w:rPr>
          <w:rFonts w:cs="Calibri"/>
          <w:color w:val="000000" w:themeColor="text1"/>
        </w:rPr>
        <w:t>and</w:t>
      </w:r>
      <w:r w:rsidRPr="003375C9">
        <w:rPr>
          <w:rFonts w:cs="Calibri"/>
          <w:color w:val="000000" w:themeColor="text1"/>
          <w:spacing w:val="-5"/>
        </w:rPr>
        <w:t xml:space="preserve"> </w:t>
      </w:r>
      <w:r w:rsidRPr="003375C9">
        <w:rPr>
          <w:rFonts w:cs="Calibri"/>
          <w:color w:val="000000" w:themeColor="text1"/>
        </w:rPr>
        <w:t>is</w:t>
      </w:r>
      <w:r w:rsidRPr="003375C9">
        <w:rPr>
          <w:rFonts w:cs="Calibri"/>
          <w:color w:val="000000" w:themeColor="text1"/>
          <w:spacing w:val="-5"/>
        </w:rPr>
        <w:t xml:space="preserve"> </w:t>
      </w:r>
      <w:r w:rsidRPr="003375C9">
        <w:rPr>
          <w:rFonts w:cs="Calibri"/>
          <w:color w:val="000000" w:themeColor="text1"/>
        </w:rPr>
        <w:t>therefore</w:t>
      </w:r>
      <w:r w:rsidRPr="003375C9">
        <w:rPr>
          <w:rFonts w:cs="Calibri"/>
          <w:color w:val="000000" w:themeColor="text1"/>
          <w:spacing w:val="-5"/>
        </w:rPr>
        <w:t xml:space="preserve"> </w:t>
      </w:r>
      <w:r w:rsidRPr="003375C9">
        <w:rPr>
          <w:rFonts w:cs="Calibri"/>
          <w:color w:val="000000" w:themeColor="text1"/>
        </w:rPr>
        <w:t>not</w:t>
      </w:r>
      <w:r w:rsidRPr="003375C9">
        <w:rPr>
          <w:rFonts w:cs="Calibri"/>
          <w:color w:val="000000" w:themeColor="text1"/>
          <w:spacing w:val="-5"/>
        </w:rPr>
        <w:t xml:space="preserve"> </w:t>
      </w:r>
      <w:r w:rsidRPr="003375C9">
        <w:rPr>
          <w:rFonts w:cs="Calibri"/>
          <w:color w:val="000000" w:themeColor="text1"/>
        </w:rPr>
        <w:t>subject to the requirements of the Victorian Competitive Neutrality Policy or subsequent reforms.</w:t>
      </w:r>
    </w:p>
    <w:p w14:paraId="013F97F2" w14:textId="77777777" w:rsidR="006261B2" w:rsidRPr="003375C9" w:rsidRDefault="006261B2" w:rsidP="0043303B">
      <w:pPr>
        <w:pStyle w:val="BodyText"/>
        <w:rPr>
          <w:rFonts w:cs="Calibri"/>
        </w:rPr>
      </w:pPr>
    </w:p>
    <w:p w14:paraId="1CCC9E62" w14:textId="77777777" w:rsidR="006261B2" w:rsidRPr="003375C9" w:rsidRDefault="006261B2" w:rsidP="0043303B">
      <w:pPr>
        <w:spacing w:before="104"/>
        <w:rPr>
          <w:rFonts w:cs="Calibri"/>
          <w:i/>
          <w:color w:val="000000" w:themeColor="text1"/>
          <w:sz w:val="32"/>
        </w:rPr>
      </w:pPr>
      <w:r w:rsidRPr="003375C9">
        <w:rPr>
          <w:rFonts w:cs="Calibri"/>
          <w:color w:val="000000" w:themeColor="text1"/>
          <w:sz w:val="32"/>
        </w:rPr>
        <w:t xml:space="preserve">Compliance with the </w:t>
      </w:r>
      <w:r w:rsidRPr="003375C9">
        <w:rPr>
          <w:rFonts w:cs="Calibri"/>
          <w:i/>
          <w:color w:val="000000" w:themeColor="text1"/>
          <w:sz w:val="32"/>
        </w:rPr>
        <w:t>Public Interest</w:t>
      </w:r>
      <w:r w:rsidRPr="003375C9">
        <w:rPr>
          <w:rFonts w:cs="Calibri"/>
          <w:i/>
          <w:color w:val="000000" w:themeColor="text1"/>
          <w:spacing w:val="-2"/>
          <w:sz w:val="32"/>
        </w:rPr>
        <w:t xml:space="preserve"> </w:t>
      </w:r>
      <w:r w:rsidRPr="003375C9">
        <w:rPr>
          <w:rFonts w:cs="Calibri"/>
          <w:i/>
          <w:color w:val="000000" w:themeColor="text1"/>
          <w:sz w:val="32"/>
        </w:rPr>
        <w:t xml:space="preserve">Disclosure Act </w:t>
      </w:r>
      <w:r w:rsidRPr="003375C9">
        <w:rPr>
          <w:rFonts w:cs="Calibri"/>
          <w:i/>
          <w:color w:val="000000" w:themeColor="text1"/>
          <w:spacing w:val="-4"/>
          <w:sz w:val="32"/>
        </w:rPr>
        <w:t>2012</w:t>
      </w:r>
    </w:p>
    <w:p w14:paraId="70E4CA20" w14:textId="77777777" w:rsidR="006261B2" w:rsidRPr="003375C9" w:rsidRDefault="006261B2" w:rsidP="0043303B">
      <w:pPr>
        <w:pStyle w:val="BodyText"/>
        <w:spacing w:before="101"/>
        <w:rPr>
          <w:rFonts w:cs="Calibri"/>
        </w:rPr>
      </w:pPr>
      <w:r w:rsidRPr="003375C9">
        <w:rPr>
          <w:rFonts w:cs="Calibri"/>
        </w:rPr>
        <w:t>The Public Interest Disclosures Act 2012 encourages and assists</w:t>
      </w:r>
      <w:r w:rsidRPr="003375C9">
        <w:rPr>
          <w:rFonts w:cs="Calibri"/>
          <w:spacing w:val="-1"/>
        </w:rPr>
        <w:t xml:space="preserve"> </w:t>
      </w:r>
      <w:r w:rsidRPr="003375C9">
        <w:rPr>
          <w:rFonts w:cs="Calibri"/>
        </w:rPr>
        <w:t>people</w:t>
      </w:r>
      <w:r w:rsidRPr="003375C9">
        <w:rPr>
          <w:rFonts w:cs="Calibri"/>
          <w:spacing w:val="-1"/>
        </w:rPr>
        <w:t xml:space="preserve"> </w:t>
      </w:r>
      <w:r w:rsidRPr="003375C9">
        <w:rPr>
          <w:rFonts w:cs="Calibri"/>
        </w:rPr>
        <w:t>in</w:t>
      </w:r>
      <w:r w:rsidRPr="003375C9">
        <w:rPr>
          <w:rFonts w:cs="Calibri"/>
          <w:spacing w:val="-1"/>
        </w:rPr>
        <w:t xml:space="preserve"> </w:t>
      </w:r>
      <w:r w:rsidRPr="003375C9">
        <w:rPr>
          <w:rFonts w:cs="Calibri"/>
        </w:rPr>
        <w:t>making</w:t>
      </w:r>
      <w:r w:rsidRPr="003375C9">
        <w:rPr>
          <w:rFonts w:cs="Calibri"/>
          <w:spacing w:val="-1"/>
        </w:rPr>
        <w:t xml:space="preserve"> </w:t>
      </w:r>
      <w:r w:rsidRPr="003375C9">
        <w:rPr>
          <w:rFonts w:cs="Calibri"/>
        </w:rPr>
        <w:t>disclosures</w:t>
      </w:r>
      <w:r w:rsidRPr="003375C9">
        <w:rPr>
          <w:rFonts w:cs="Calibri"/>
          <w:spacing w:val="-1"/>
        </w:rPr>
        <w:t xml:space="preserve"> </w:t>
      </w:r>
      <w:r w:rsidRPr="003375C9">
        <w:rPr>
          <w:rFonts w:cs="Calibri"/>
        </w:rPr>
        <w:t>of</w:t>
      </w:r>
      <w:r w:rsidRPr="003375C9">
        <w:rPr>
          <w:rFonts w:cs="Calibri"/>
          <w:spacing w:val="-1"/>
        </w:rPr>
        <w:t xml:space="preserve"> </w:t>
      </w:r>
      <w:r w:rsidRPr="003375C9">
        <w:rPr>
          <w:rFonts w:cs="Calibri"/>
        </w:rPr>
        <w:t>improper</w:t>
      </w:r>
      <w:r w:rsidRPr="003375C9">
        <w:rPr>
          <w:rFonts w:cs="Calibri"/>
          <w:spacing w:val="-1"/>
        </w:rPr>
        <w:t xml:space="preserve"> </w:t>
      </w:r>
      <w:r w:rsidRPr="003375C9">
        <w:rPr>
          <w:rFonts w:cs="Calibri"/>
        </w:rPr>
        <w:t>conduct by public officers and public bodies. The Act provides protection</w:t>
      </w:r>
      <w:r w:rsidRPr="003375C9">
        <w:rPr>
          <w:rFonts w:cs="Calibri"/>
          <w:spacing w:val="-7"/>
        </w:rPr>
        <w:t xml:space="preserve"> </w:t>
      </w:r>
      <w:r w:rsidRPr="003375C9">
        <w:rPr>
          <w:rFonts w:cs="Calibri"/>
        </w:rPr>
        <w:t>to</w:t>
      </w:r>
      <w:r w:rsidRPr="003375C9">
        <w:rPr>
          <w:rFonts w:cs="Calibri"/>
          <w:spacing w:val="-7"/>
        </w:rPr>
        <w:t xml:space="preserve"> </w:t>
      </w:r>
      <w:r w:rsidRPr="003375C9">
        <w:rPr>
          <w:rFonts w:cs="Calibri"/>
        </w:rPr>
        <w:t>people</w:t>
      </w:r>
      <w:r w:rsidRPr="003375C9">
        <w:rPr>
          <w:rFonts w:cs="Calibri"/>
          <w:spacing w:val="-7"/>
        </w:rPr>
        <w:t xml:space="preserve"> </w:t>
      </w:r>
      <w:r w:rsidRPr="003375C9">
        <w:rPr>
          <w:rFonts w:cs="Calibri"/>
        </w:rPr>
        <w:t>who</w:t>
      </w:r>
      <w:r w:rsidRPr="003375C9">
        <w:rPr>
          <w:rFonts w:cs="Calibri"/>
          <w:spacing w:val="-7"/>
        </w:rPr>
        <w:t xml:space="preserve"> </w:t>
      </w:r>
      <w:r w:rsidRPr="003375C9">
        <w:rPr>
          <w:rFonts w:cs="Calibri"/>
        </w:rPr>
        <w:t>make</w:t>
      </w:r>
      <w:r w:rsidRPr="003375C9">
        <w:rPr>
          <w:rFonts w:cs="Calibri"/>
          <w:spacing w:val="-7"/>
        </w:rPr>
        <w:t xml:space="preserve"> </w:t>
      </w:r>
      <w:r w:rsidRPr="003375C9">
        <w:rPr>
          <w:rFonts w:cs="Calibri"/>
        </w:rPr>
        <w:t>disclosures</w:t>
      </w:r>
      <w:r w:rsidRPr="003375C9">
        <w:rPr>
          <w:rFonts w:cs="Calibri"/>
          <w:spacing w:val="-7"/>
        </w:rPr>
        <w:t xml:space="preserve"> </w:t>
      </w:r>
      <w:r w:rsidRPr="003375C9">
        <w:rPr>
          <w:rFonts w:cs="Calibri"/>
        </w:rPr>
        <w:t>in</w:t>
      </w:r>
      <w:r w:rsidRPr="003375C9">
        <w:rPr>
          <w:rFonts w:cs="Calibri"/>
          <w:spacing w:val="-7"/>
        </w:rPr>
        <w:t xml:space="preserve"> </w:t>
      </w:r>
      <w:r w:rsidRPr="003375C9">
        <w:rPr>
          <w:rFonts w:cs="Calibri"/>
        </w:rPr>
        <w:t xml:space="preserve">accordance with the Act and establishes a system for the matters disclosed to be investigated and rectifying action to be </w:t>
      </w:r>
      <w:r w:rsidRPr="003375C9">
        <w:rPr>
          <w:rFonts w:cs="Calibri"/>
          <w:spacing w:val="-2"/>
        </w:rPr>
        <w:t>taken.</w:t>
      </w:r>
    </w:p>
    <w:p w14:paraId="53AFFC0C" w14:textId="6F3881AB" w:rsidR="006261B2" w:rsidRPr="003375C9" w:rsidRDefault="006261B2" w:rsidP="0043303B">
      <w:pPr>
        <w:pStyle w:val="BodyText"/>
        <w:spacing w:before="113"/>
        <w:rPr>
          <w:rFonts w:cs="Calibri"/>
        </w:rPr>
      </w:pPr>
      <w:r w:rsidRPr="003375C9">
        <w:rPr>
          <w:rFonts w:cs="Calibri"/>
        </w:rPr>
        <w:t>Infrastructure Victoria does not tolerate improper conduct by</w:t>
      </w:r>
      <w:r w:rsidRPr="003375C9">
        <w:rPr>
          <w:rFonts w:cs="Calibri"/>
          <w:spacing w:val="-5"/>
        </w:rPr>
        <w:t xml:space="preserve"> </w:t>
      </w:r>
      <w:r w:rsidRPr="003375C9">
        <w:rPr>
          <w:rFonts w:cs="Calibri"/>
        </w:rPr>
        <w:t>employees,</w:t>
      </w:r>
      <w:r w:rsidRPr="003375C9">
        <w:rPr>
          <w:rFonts w:cs="Calibri"/>
          <w:spacing w:val="-5"/>
        </w:rPr>
        <w:t xml:space="preserve"> </w:t>
      </w:r>
      <w:r w:rsidRPr="003375C9">
        <w:rPr>
          <w:rFonts w:cs="Calibri"/>
        </w:rPr>
        <w:t>nor</w:t>
      </w:r>
      <w:r w:rsidRPr="003375C9">
        <w:rPr>
          <w:rFonts w:cs="Calibri"/>
          <w:spacing w:val="-5"/>
        </w:rPr>
        <w:t xml:space="preserve"> </w:t>
      </w:r>
      <w:r w:rsidRPr="003375C9">
        <w:rPr>
          <w:rFonts w:cs="Calibri"/>
        </w:rPr>
        <w:t>the</w:t>
      </w:r>
      <w:r w:rsidRPr="003375C9">
        <w:rPr>
          <w:rFonts w:cs="Calibri"/>
          <w:spacing w:val="-5"/>
        </w:rPr>
        <w:t xml:space="preserve"> </w:t>
      </w:r>
      <w:r w:rsidRPr="003375C9">
        <w:rPr>
          <w:rFonts w:cs="Calibri"/>
        </w:rPr>
        <w:t>taking</w:t>
      </w:r>
      <w:r w:rsidRPr="003375C9">
        <w:rPr>
          <w:rFonts w:cs="Calibri"/>
          <w:spacing w:val="-5"/>
        </w:rPr>
        <w:t xml:space="preserve"> </w:t>
      </w:r>
      <w:r w:rsidRPr="003375C9">
        <w:rPr>
          <w:rFonts w:cs="Calibri"/>
        </w:rPr>
        <w:t>of</w:t>
      </w:r>
      <w:r w:rsidRPr="003375C9">
        <w:rPr>
          <w:rFonts w:cs="Calibri"/>
          <w:spacing w:val="-5"/>
        </w:rPr>
        <w:t xml:space="preserve"> </w:t>
      </w:r>
      <w:r w:rsidRPr="003375C9">
        <w:rPr>
          <w:rFonts w:cs="Calibri"/>
        </w:rPr>
        <w:t>reprisals</w:t>
      </w:r>
      <w:r w:rsidRPr="003375C9">
        <w:rPr>
          <w:rFonts w:cs="Calibri"/>
          <w:spacing w:val="-5"/>
        </w:rPr>
        <w:t xml:space="preserve"> </w:t>
      </w:r>
      <w:r w:rsidRPr="003375C9">
        <w:rPr>
          <w:rFonts w:cs="Calibri"/>
        </w:rPr>
        <w:t>against</w:t>
      </w:r>
      <w:r w:rsidRPr="003375C9">
        <w:rPr>
          <w:rFonts w:cs="Calibri"/>
          <w:spacing w:val="-5"/>
        </w:rPr>
        <w:t xml:space="preserve"> </w:t>
      </w:r>
      <w:r w:rsidRPr="003375C9">
        <w:rPr>
          <w:rFonts w:cs="Calibri"/>
        </w:rPr>
        <w:t>those</w:t>
      </w:r>
      <w:r w:rsidRPr="003375C9">
        <w:rPr>
          <w:rFonts w:cs="Calibri"/>
          <w:spacing w:val="-5"/>
        </w:rPr>
        <w:t xml:space="preserve"> </w:t>
      </w:r>
      <w:r w:rsidRPr="003375C9">
        <w:rPr>
          <w:rFonts w:cs="Calibri"/>
        </w:rPr>
        <w:t>who come forward to disclose such conduct. It is committed to</w:t>
      </w:r>
      <w:r w:rsidR="006E79B0" w:rsidRPr="003375C9">
        <w:rPr>
          <w:rFonts w:cs="Calibri"/>
        </w:rPr>
        <w:t xml:space="preserve"> </w:t>
      </w:r>
      <w:r w:rsidRPr="003375C9">
        <w:rPr>
          <w:rFonts w:cs="Calibri"/>
        </w:rPr>
        <w:t>ensuring</w:t>
      </w:r>
      <w:r w:rsidRPr="003375C9">
        <w:rPr>
          <w:rFonts w:cs="Calibri"/>
          <w:spacing w:val="-9"/>
        </w:rPr>
        <w:t xml:space="preserve"> </w:t>
      </w:r>
      <w:r w:rsidRPr="003375C9">
        <w:rPr>
          <w:rFonts w:cs="Calibri"/>
        </w:rPr>
        <w:t>transparency</w:t>
      </w:r>
      <w:r w:rsidRPr="003375C9">
        <w:rPr>
          <w:rFonts w:cs="Calibri"/>
          <w:spacing w:val="-9"/>
        </w:rPr>
        <w:t xml:space="preserve"> </w:t>
      </w:r>
      <w:r w:rsidRPr="003375C9">
        <w:rPr>
          <w:rFonts w:cs="Calibri"/>
        </w:rPr>
        <w:t>and</w:t>
      </w:r>
      <w:r w:rsidRPr="003375C9">
        <w:rPr>
          <w:rFonts w:cs="Calibri"/>
          <w:spacing w:val="-9"/>
        </w:rPr>
        <w:t xml:space="preserve"> </w:t>
      </w:r>
      <w:r w:rsidRPr="003375C9">
        <w:rPr>
          <w:rFonts w:cs="Calibri"/>
        </w:rPr>
        <w:t>accountability</w:t>
      </w:r>
      <w:r w:rsidRPr="003375C9">
        <w:rPr>
          <w:rFonts w:cs="Calibri"/>
          <w:spacing w:val="-9"/>
        </w:rPr>
        <w:t xml:space="preserve"> </w:t>
      </w:r>
      <w:r w:rsidRPr="003375C9">
        <w:rPr>
          <w:rFonts w:cs="Calibri"/>
        </w:rPr>
        <w:t>in</w:t>
      </w:r>
      <w:r w:rsidRPr="003375C9">
        <w:rPr>
          <w:rFonts w:cs="Calibri"/>
          <w:spacing w:val="-9"/>
        </w:rPr>
        <w:t xml:space="preserve"> </w:t>
      </w:r>
      <w:r w:rsidRPr="003375C9">
        <w:rPr>
          <w:rFonts w:cs="Calibri"/>
        </w:rPr>
        <w:t>its</w:t>
      </w:r>
      <w:r w:rsidRPr="003375C9">
        <w:rPr>
          <w:rFonts w:cs="Calibri"/>
          <w:spacing w:val="-9"/>
        </w:rPr>
        <w:t xml:space="preserve"> </w:t>
      </w:r>
      <w:r w:rsidRPr="003375C9">
        <w:rPr>
          <w:rFonts w:cs="Calibri"/>
        </w:rPr>
        <w:t xml:space="preserve">administrative and management practices and supports the making of disclosures that reveal corrupt conduct, conduct involving a substantial mismanagement of public resources, or conduct involving a substantial risk to public health and safety or the </w:t>
      </w:r>
      <w:r w:rsidRPr="003375C9">
        <w:rPr>
          <w:rFonts w:cs="Calibri"/>
          <w:spacing w:val="-2"/>
        </w:rPr>
        <w:t>environment.</w:t>
      </w:r>
    </w:p>
    <w:p w14:paraId="21652BD5" w14:textId="77777777" w:rsidR="006261B2" w:rsidRPr="003375C9" w:rsidRDefault="006261B2" w:rsidP="0043303B">
      <w:pPr>
        <w:pStyle w:val="BodyText"/>
        <w:spacing w:before="109"/>
        <w:rPr>
          <w:rFonts w:cs="Calibri"/>
        </w:rPr>
      </w:pPr>
      <w:r w:rsidRPr="003375C9">
        <w:rPr>
          <w:rFonts w:cs="Calibri"/>
        </w:rPr>
        <w:t>Infrastructure Victoria will take all reasonable steps to</w:t>
      </w:r>
      <w:r w:rsidRPr="003375C9">
        <w:rPr>
          <w:rFonts w:cs="Calibri"/>
          <w:spacing w:val="40"/>
        </w:rPr>
        <w:t xml:space="preserve"> </w:t>
      </w:r>
      <w:r w:rsidRPr="003375C9">
        <w:rPr>
          <w:rFonts w:cs="Calibri"/>
        </w:rPr>
        <w:t xml:space="preserve">protect people who make such disclosures from </w:t>
      </w:r>
      <w:r w:rsidRPr="003375C9">
        <w:rPr>
          <w:rFonts w:cs="Calibri"/>
        </w:rPr>
        <w:lastRenderedPageBreak/>
        <w:t>any detrimental</w:t>
      </w:r>
      <w:r w:rsidRPr="003375C9">
        <w:rPr>
          <w:rFonts w:cs="Calibri"/>
          <w:spacing w:val="-3"/>
        </w:rPr>
        <w:t xml:space="preserve"> </w:t>
      </w:r>
      <w:r w:rsidRPr="003375C9">
        <w:rPr>
          <w:rFonts w:cs="Calibri"/>
        </w:rPr>
        <w:t>action</w:t>
      </w:r>
      <w:r w:rsidRPr="003375C9">
        <w:rPr>
          <w:rFonts w:cs="Calibri"/>
          <w:spacing w:val="-3"/>
        </w:rPr>
        <w:t xml:space="preserve"> </w:t>
      </w:r>
      <w:r w:rsidRPr="003375C9">
        <w:rPr>
          <w:rFonts w:cs="Calibri"/>
        </w:rPr>
        <w:t>in</w:t>
      </w:r>
      <w:r w:rsidRPr="003375C9">
        <w:rPr>
          <w:rFonts w:cs="Calibri"/>
          <w:spacing w:val="-3"/>
        </w:rPr>
        <w:t xml:space="preserve"> </w:t>
      </w:r>
      <w:r w:rsidRPr="003375C9">
        <w:rPr>
          <w:rFonts w:cs="Calibri"/>
        </w:rPr>
        <w:t>reprisal</w:t>
      </w:r>
      <w:r w:rsidRPr="003375C9">
        <w:rPr>
          <w:rFonts w:cs="Calibri"/>
          <w:spacing w:val="-3"/>
        </w:rPr>
        <w:t xml:space="preserve"> </w:t>
      </w:r>
      <w:r w:rsidRPr="003375C9">
        <w:rPr>
          <w:rFonts w:cs="Calibri"/>
        </w:rPr>
        <w:t>for</w:t>
      </w:r>
      <w:r w:rsidRPr="003375C9">
        <w:rPr>
          <w:rFonts w:cs="Calibri"/>
          <w:spacing w:val="-3"/>
        </w:rPr>
        <w:t xml:space="preserve"> </w:t>
      </w:r>
      <w:r w:rsidRPr="003375C9">
        <w:rPr>
          <w:rFonts w:cs="Calibri"/>
        </w:rPr>
        <w:t>making</w:t>
      </w:r>
      <w:r w:rsidRPr="003375C9">
        <w:rPr>
          <w:rFonts w:cs="Calibri"/>
          <w:spacing w:val="-3"/>
        </w:rPr>
        <w:t xml:space="preserve"> </w:t>
      </w:r>
      <w:r w:rsidRPr="003375C9">
        <w:rPr>
          <w:rFonts w:cs="Calibri"/>
        </w:rPr>
        <w:t>the</w:t>
      </w:r>
      <w:r w:rsidRPr="003375C9">
        <w:rPr>
          <w:rFonts w:cs="Calibri"/>
          <w:spacing w:val="-3"/>
        </w:rPr>
        <w:t xml:space="preserve"> </w:t>
      </w:r>
      <w:r w:rsidRPr="003375C9">
        <w:rPr>
          <w:rFonts w:cs="Calibri"/>
        </w:rPr>
        <w:t>disclosure.</w:t>
      </w:r>
      <w:r w:rsidRPr="003375C9">
        <w:rPr>
          <w:rFonts w:cs="Calibri"/>
          <w:spacing w:val="-3"/>
        </w:rPr>
        <w:t xml:space="preserve"> </w:t>
      </w:r>
      <w:r w:rsidRPr="003375C9">
        <w:rPr>
          <w:rFonts w:cs="Calibri"/>
        </w:rPr>
        <w:t>It</w:t>
      </w:r>
      <w:r w:rsidRPr="003375C9">
        <w:rPr>
          <w:rFonts w:cs="Calibri"/>
          <w:spacing w:val="-3"/>
        </w:rPr>
        <w:t xml:space="preserve"> </w:t>
      </w:r>
      <w:r w:rsidRPr="003375C9">
        <w:rPr>
          <w:rFonts w:cs="Calibri"/>
        </w:rPr>
        <w:t>will also</w:t>
      </w:r>
      <w:r w:rsidRPr="003375C9">
        <w:rPr>
          <w:rFonts w:cs="Calibri"/>
          <w:spacing w:val="-4"/>
        </w:rPr>
        <w:t xml:space="preserve"> </w:t>
      </w:r>
      <w:r w:rsidRPr="003375C9">
        <w:rPr>
          <w:rFonts w:cs="Calibri"/>
        </w:rPr>
        <w:t>afford</w:t>
      </w:r>
      <w:r w:rsidRPr="003375C9">
        <w:rPr>
          <w:rFonts w:cs="Calibri"/>
          <w:spacing w:val="-4"/>
        </w:rPr>
        <w:t xml:space="preserve"> </w:t>
      </w:r>
      <w:r w:rsidRPr="003375C9">
        <w:rPr>
          <w:rFonts w:cs="Calibri"/>
        </w:rPr>
        <w:t>natural</w:t>
      </w:r>
      <w:r w:rsidRPr="003375C9">
        <w:rPr>
          <w:rFonts w:cs="Calibri"/>
          <w:spacing w:val="-4"/>
        </w:rPr>
        <w:t xml:space="preserve"> </w:t>
      </w:r>
      <w:r w:rsidRPr="003375C9">
        <w:rPr>
          <w:rFonts w:cs="Calibri"/>
        </w:rPr>
        <w:t>justice</w:t>
      </w:r>
      <w:r w:rsidRPr="003375C9">
        <w:rPr>
          <w:rFonts w:cs="Calibri"/>
          <w:spacing w:val="-4"/>
        </w:rPr>
        <w:t xml:space="preserve"> </w:t>
      </w:r>
      <w:r w:rsidRPr="003375C9">
        <w:rPr>
          <w:rFonts w:cs="Calibri"/>
        </w:rPr>
        <w:t>to</w:t>
      </w:r>
      <w:r w:rsidRPr="003375C9">
        <w:rPr>
          <w:rFonts w:cs="Calibri"/>
          <w:spacing w:val="-4"/>
        </w:rPr>
        <w:t xml:space="preserve"> </w:t>
      </w:r>
      <w:r w:rsidRPr="003375C9">
        <w:rPr>
          <w:rFonts w:cs="Calibri"/>
        </w:rPr>
        <w:t>the</w:t>
      </w:r>
      <w:r w:rsidRPr="003375C9">
        <w:rPr>
          <w:rFonts w:cs="Calibri"/>
          <w:spacing w:val="-4"/>
        </w:rPr>
        <w:t xml:space="preserve"> </w:t>
      </w:r>
      <w:r w:rsidRPr="003375C9">
        <w:rPr>
          <w:rFonts w:cs="Calibri"/>
        </w:rPr>
        <w:t>person</w:t>
      </w:r>
      <w:r w:rsidRPr="003375C9">
        <w:rPr>
          <w:rFonts w:cs="Calibri"/>
          <w:spacing w:val="-4"/>
        </w:rPr>
        <w:t xml:space="preserve"> </w:t>
      </w:r>
      <w:r w:rsidRPr="003375C9">
        <w:rPr>
          <w:rFonts w:cs="Calibri"/>
        </w:rPr>
        <w:t>who</w:t>
      </w:r>
      <w:r w:rsidRPr="003375C9">
        <w:rPr>
          <w:rFonts w:cs="Calibri"/>
          <w:spacing w:val="-4"/>
        </w:rPr>
        <w:t xml:space="preserve"> </w:t>
      </w:r>
      <w:r w:rsidRPr="003375C9">
        <w:rPr>
          <w:rFonts w:cs="Calibri"/>
        </w:rPr>
        <w:t>is</w:t>
      </w:r>
      <w:r w:rsidRPr="003375C9">
        <w:rPr>
          <w:rFonts w:cs="Calibri"/>
          <w:spacing w:val="-4"/>
        </w:rPr>
        <w:t xml:space="preserve"> </w:t>
      </w:r>
      <w:r w:rsidRPr="003375C9">
        <w:rPr>
          <w:rFonts w:cs="Calibri"/>
        </w:rPr>
        <w:t>the</w:t>
      </w:r>
      <w:r w:rsidRPr="003375C9">
        <w:rPr>
          <w:rFonts w:cs="Calibri"/>
          <w:spacing w:val="-4"/>
        </w:rPr>
        <w:t xml:space="preserve"> </w:t>
      </w:r>
      <w:r w:rsidRPr="003375C9">
        <w:rPr>
          <w:rFonts w:cs="Calibri"/>
        </w:rPr>
        <w:t>subject</w:t>
      </w:r>
      <w:r w:rsidRPr="003375C9">
        <w:rPr>
          <w:rFonts w:cs="Calibri"/>
          <w:spacing w:val="-4"/>
        </w:rPr>
        <w:t xml:space="preserve"> </w:t>
      </w:r>
      <w:r w:rsidRPr="003375C9">
        <w:rPr>
          <w:rFonts w:cs="Calibri"/>
        </w:rPr>
        <w:t>of the disclosure to the extent it is legally possible.</w:t>
      </w:r>
    </w:p>
    <w:p w14:paraId="414F4B31" w14:textId="77777777" w:rsidR="006261B2" w:rsidRPr="003375C9" w:rsidRDefault="006261B2" w:rsidP="0043303B">
      <w:pPr>
        <w:pStyle w:val="BodyText"/>
        <w:spacing w:before="115"/>
        <w:rPr>
          <w:rFonts w:cs="Calibri"/>
        </w:rPr>
      </w:pPr>
      <w:r w:rsidRPr="003375C9">
        <w:rPr>
          <w:rFonts w:cs="Calibri"/>
        </w:rPr>
        <w:t>The Public Interest Disclosure statement, which outlines the system for reporting disclosures of improper conduct or</w:t>
      </w:r>
      <w:r w:rsidRPr="003375C9">
        <w:rPr>
          <w:rFonts w:cs="Calibri"/>
          <w:spacing w:val="-5"/>
        </w:rPr>
        <w:t xml:space="preserve"> </w:t>
      </w:r>
      <w:r w:rsidRPr="003375C9">
        <w:rPr>
          <w:rFonts w:cs="Calibri"/>
        </w:rPr>
        <w:t>detrimental</w:t>
      </w:r>
      <w:r w:rsidRPr="003375C9">
        <w:rPr>
          <w:rFonts w:cs="Calibri"/>
          <w:spacing w:val="-5"/>
        </w:rPr>
        <w:t xml:space="preserve"> </w:t>
      </w:r>
      <w:r w:rsidRPr="003375C9">
        <w:rPr>
          <w:rFonts w:cs="Calibri"/>
        </w:rPr>
        <w:t>action</w:t>
      </w:r>
      <w:r w:rsidRPr="003375C9">
        <w:rPr>
          <w:rFonts w:cs="Calibri"/>
          <w:spacing w:val="-5"/>
        </w:rPr>
        <w:t xml:space="preserve"> </w:t>
      </w:r>
      <w:r w:rsidRPr="003375C9">
        <w:rPr>
          <w:rFonts w:cs="Calibri"/>
        </w:rPr>
        <w:t>by</w:t>
      </w:r>
      <w:r w:rsidRPr="003375C9">
        <w:rPr>
          <w:rFonts w:cs="Calibri"/>
          <w:spacing w:val="-5"/>
        </w:rPr>
        <w:t xml:space="preserve"> </w:t>
      </w:r>
      <w:r w:rsidRPr="003375C9">
        <w:rPr>
          <w:rFonts w:cs="Calibri"/>
        </w:rPr>
        <w:t>Infrastructure</w:t>
      </w:r>
      <w:r w:rsidRPr="003375C9">
        <w:rPr>
          <w:rFonts w:cs="Calibri"/>
          <w:spacing w:val="-5"/>
        </w:rPr>
        <w:t xml:space="preserve"> </w:t>
      </w:r>
      <w:r w:rsidRPr="003375C9">
        <w:rPr>
          <w:rFonts w:cs="Calibri"/>
        </w:rPr>
        <w:t>Victoria</w:t>
      </w:r>
      <w:r w:rsidRPr="003375C9">
        <w:rPr>
          <w:rFonts w:cs="Calibri"/>
          <w:spacing w:val="-5"/>
        </w:rPr>
        <w:t xml:space="preserve"> </w:t>
      </w:r>
      <w:r w:rsidRPr="003375C9">
        <w:rPr>
          <w:rFonts w:cs="Calibri"/>
        </w:rPr>
        <w:t>or</w:t>
      </w:r>
      <w:r w:rsidRPr="003375C9">
        <w:rPr>
          <w:rFonts w:cs="Calibri"/>
          <w:spacing w:val="-5"/>
        </w:rPr>
        <w:t xml:space="preserve"> </w:t>
      </w:r>
      <w:r w:rsidRPr="003375C9">
        <w:rPr>
          <w:rFonts w:cs="Calibri"/>
        </w:rPr>
        <w:t>any</w:t>
      </w:r>
      <w:r w:rsidRPr="003375C9">
        <w:rPr>
          <w:rFonts w:cs="Calibri"/>
          <w:spacing w:val="-5"/>
        </w:rPr>
        <w:t xml:space="preserve"> </w:t>
      </w:r>
      <w:r w:rsidRPr="003375C9">
        <w:rPr>
          <w:rFonts w:cs="Calibri"/>
        </w:rPr>
        <w:t>of</w:t>
      </w:r>
      <w:r w:rsidRPr="003375C9">
        <w:rPr>
          <w:rFonts w:cs="Calibri"/>
          <w:spacing w:val="-5"/>
        </w:rPr>
        <w:t xml:space="preserve"> </w:t>
      </w:r>
      <w:r w:rsidRPr="003375C9">
        <w:rPr>
          <w:rFonts w:cs="Calibri"/>
        </w:rPr>
        <w:t>its employees and/or officers, is available on Infrastructure Victoria’s website.</w:t>
      </w:r>
    </w:p>
    <w:p w14:paraId="1A047537" w14:textId="77777777" w:rsidR="006261B2" w:rsidRPr="003375C9" w:rsidRDefault="006261B2" w:rsidP="0043303B">
      <w:pPr>
        <w:pStyle w:val="BodyText"/>
        <w:spacing w:before="13"/>
        <w:rPr>
          <w:rFonts w:cs="Calibri"/>
          <w:sz w:val="26"/>
        </w:rPr>
      </w:pPr>
    </w:p>
    <w:p w14:paraId="38116D5D" w14:textId="77777777" w:rsidR="006261B2" w:rsidRPr="003375C9" w:rsidRDefault="006261B2" w:rsidP="0043303B">
      <w:pPr>
        <w:rPr>
          <w:rFonts w:cs="Calibri"/>
          <w:i/>
          <w:color w:val="000000" w:themeColor="text1"/>
          <w:sz w:val="32"/>
        </w:rPr>
      </w:pPr>
      <w:r w:rsidRPr="003375C9">
        <w:rPr>
          <w:rFonts w:cs="Calibri"/>
          <w:color w:val="000000" w:themeColor="text1"/>
          <w:sz w:val="32"/>
        </w:rPr>
        <w:t>Compliance</w:t>
      </w:r>
      <w:r w:rsidRPr="003375C9">
        <w:rPr>
          <w:rFonts w:cs="Calibri"/>
          <w:color w:val="000000" w:themeColor="text1"/>
          <w:spacing w:val="-12"/>
          <w:sz w:val="32"/>
        </w:rPr>
        <w:t xml:space="preserve"> </w:t>
      </w:r>
      <w:r w:rsidRPr="003375C9">
        <w:rPr>
          <w:rFonts w:cs="Calibri"/>
          <w:color w:val="000000" w:themeColor="text1"/>
          <w:sz w:val="32"/>
        </w:rPr>
        <w:t>with</w:t>
      </w:r>
      <w:r w:rsidRPr="003375C9">
        <w:rPr>
          <w:rFonts w:cs="Calibri"/>
          <w:color w:val="000000" w:themeColor="text1"/>
          <w:spacing w:val="-12"/>
          <w:sz w:val="32"/>
        </w:rPr>
        <w:t xml:space="preserve"> </w:t>
      </w:r>
      <w:r w:rsidRPr="003375C9">
        <w:rPr>
          <w:rFonts w:cs="Calibri"/>
          <w:color w:val="000000" w:themeColor="text1"/>
          <w:sz w:val="32"/>
        </w:rPr>
        <w:t>the</w:t>
      </w:r>
      <w:r w:rsidRPr="003375C9">
        <w:rPr>
          <w:rFonts w:cs="Calibri"/>
          <w:color w:val="000000" w:themeColor="text1"/>
          <w:spacing w:val="-13"/>
          <w:sz w:val="32"/>
        </w:rPr>
        <w:t xml:space="preserve"> </w:t>
      </w:r>
      <w:r w:rsidRPr="003375C9">
        <w:rPr>
          <w:rFonts w:cs="Calibri"/>
          <w:i/>
          <w:color w:val="000000" w:themeColor="text1"/>
          <w:sz w:val="32"/>
        </w:rPr>
        <w:t>Carers Recognition Act 2012</w:t>
      </w:r>
    </w:p>
    <w:p w14:paraId="0F9D4CF9" w14:textId="77777777" w:rsidR="006261B2" w:rsidRPr="003375C9" w:rsidRDefault="006261B2" w:rsidP="0043303B">
      <w:pPr>
        <w:pStyle w:val="BodyText"/>
        <w:spacing w:before="102"/>
        <w:rPr>
          <w:rFonts w:cs="Calibri"/>
          <w:i/>
        </w:rPr>
      </w:pPr>
      <w:r w:rsidRPr="003375C9">
        <w:rPr>
          <w:rFonts w:cs="Calibri"/>
        </w:rPr>
        <w:t>To the extent applicable, Infrastructure Victoria has taken all</w:t>
      </w:r>
      <w:r w:rsidRPr="003375C9">
        <w:rPr>
          <w:rFonts w:cs="Calibri"/>
          <w:spacing w:val="-5"/>
        </w:rPr>
        <w:t xml:space="preserve"> </w:t>
      </w:r>
      <w:r w:rsidRPr="003375C9">
        <w:rPr>
          <w:rFonts w:cs="Calibri"/>
        </w:rPr>
        <w:t>practical</w:t>
      </w:r>
      <w:r w:rsidRPr="003375C9">
        <w:rPr>
          <w:rFonts w:cs="Calibri"/>
          <w:spacing w:val="-5"/>
        </w:rPr>
        <w:t xml:space="preserve"> </w:t>
      </w:r>
      <w:r w:rsidRPr="003375C9">
        <w:rPr>
          <w:rFonts w:cs="Calibri"/>
        </w:rPr>
        <w:t>measures</w:t>
      </w:r>
      <w:r w:rsidRPr="003375C9">
        <w:rPr>
          <w:rFonts w:cs="Calibri"/>
          <w:spacing w:val="-5"/>
        </w:rPr>
        <w:t xml:space="preserve"> </w:t>
      </w:r>
      <w:r w:rsidRPr="003375C9">
        <w:rPr>
          <w:rFonts w:cs="Calibri"/>
        </w:rPr>
        <w:t>to</w:t>
      </w:r>
      <w:r w:rsidRPr="003375C9">
        <w:rPr>
          <w:rFonts w:cs="Calibri"/>
          <w:spacing w:val="-5"/>
        </w:rPr>
        <w:t xml:space="preserve"> </w:t>
      </w:r>
      <w:r w:rsidRPr="003375C9">
        <w:rPr>
          <w:rFonts w:cs="Calibri"/>
        </w:rPr>
        <w:t>comply</w:t>
      </w:r>
      <w:r w:rsidRPr="003375C9">
        <w:rPr>
          <w:rFonts w:cs="Calibri"/>
          <w:spacing w:val="-5"/>
        </w:rPr>
        <w:t xml:space="preserve"> </w:t>
      </w:r>
      <w:r w:rsidRPr="003375C9">
        <w:rPr>
          <w:rFonts w:cs="Calibri"/>
        </w:rPr>
        <w:t>with</w:t>
      </w:r>
      <w:r w:rsidRPr="003375C9">
        <w:rPr>
          <w:rFonts w:cs="Calibri"/>
          <w:spacing w:val="-5"/>
        </w:rPr>
        <w:t xml:space="preserve"> </w:t>
      </w:r>
      <w:r w:rsidRPr="003375C9">
        <w:rPr>
          <w:rFonts w:cs="Calibri"/>
        </w:rPr>
        <w:t>obligations</w:t>
      </w:r>
      <w:r w:rsidRPr="003375C9">
        <w:rPr>
          <w:rFonts w:cs="Calibri"/>
          <w:spacing w:val="-5"/>
        </w:rPr>
        <w:t xml:space="preserve"> </w:t>
      </w:r>
      <w:r w:rsidRPr="003375C9">
        <w:rPr>
          <w:rFonts w:cs="Calibri"/>
        </w:rPr>
        <w:t>under</w:t>
      </w:r>
      <w:r w:rsidRPr="003375C9">
        <w:rPr>
          <w:rFonts w:cs="Calibri"/>
          <w:spacing w:val="-5"/>
        </w:rPr>
        <w:t xml:space="preserve"> </w:t>
      </w:r>
      <w:r w:rsidRPr="003375C9">
        <w:rPr>
          <w:rFonts w:cs="Calibri"/>
        </w:rPr>
        <w:t xml:space="preserve">the </w:t>
      </w:r>
      <w:r w:rsidRPr="003375C9">
        <w:rPr>
          <w:rFonts w:cs="Calibri"/>
          <w:i/>
        </w:rPr>
        <w:t>Carers Recognition Act 2012.</w:t>
      </w:r>
    </w:p>
    <w:p w14:paraId="209EAB2D" w14:textId="77777777" w:rsidR="006261B2" w:rsidRPr="003375C9" w:rsidRDefault="006261B2" w:rsidP="0043303B">
      <w:pPr>
        <w:pStyle w:val="BodyText"/>
        <w:spacing w:before="8"/>
        <w:rPr>
          <w:rFonts w:cs="Calibri"/>
          <w:i/>
          <w:sz w:val="27"/>
        </w:rPr>
      </w:pPr>
    </w:p>
    <w:p w14:paraId="0219921A" w14:textId="77777777" w:rsidR="006261B2" w:rsidRPr="003375C9" w:rsidRDefault="006261B2" w:rsidP="0043303B">
      <w:pPr>
        <w:rPr>
          <w:rFonts w:cs="Calibri"/>
          <w:i/>
          <w:color w:val="000000" w:themeColor="text1"/>
          <w:sz w:val="32"/>
        </w:rPr>
      </w:pPr>
      <w:r w:rsidRPr="003375C9">
        <w:rPr>
          <w:rFonts w:cs="Calibri"/>
          <w:color w:val="000000" w:themeColor="text1"/>
          <w:sz w:val="32"/>
        </w:rPr>
        <w:t>Compliance</w:t>
      </w:r>
      <w:r w:rsidRPr="003375C9">
        <w:rPr>
          <w:rFonts w:cs="Calibri"/>
          <w:color w:val="000000" w:themeColor="text1"/>
          <w:spacing w:val="-12"/>
          <w:sz w:val="32"/>
        </w:rPr>
        <w:t xml:space="preserve"> </w:t>
      </w:r>
      <w:r w:rsidRPr="003375C9">
        <w:rPr>
          <w:rFonts w:cs="Calibri"/>
          <w:color w:val="000000" w:themeColor="text1"/>
          <w:sz w:val="32"/>
        </w:rPr>
        <w:t>with</w:t>
      </w:r>
      <w:r w:rsidRPr="003375C9">
        <w:rPr>
          <w:rFonts w:cs="Calibri"/>
          <w:color w:val="000000" w:themeColor="text1"/>
          <w:spacing w:val="-12"/>
          <w:sz w:val="32"/>
        </w:rPr>
        <w:t xml:space="preserve"> </w:t>
      </w:r>
      <w:r w:rsidRPr="003375C9">
        <w:rPr>
          <w:rFonts w:cs="Calibri"/>
          <w:color w:val="000000" w:themeColor="text1"/>
          <w:sz w:val="32"/>
        </w:rPr>
        <w:t>the</w:t>
      </w:r>
      <w:r w:rsidRPr="003375C9">
        <w:rPr>
          <w:rFonts w:cs="Calibri"/>
          <w:color w:val="000000" w:themeColor="text1"/>
          <w:spacing w:val="-13"/>
          <w:sz w:val="32"/>
        </w:rPr>
        <w:t xml:space="preserve"> </w:t>
      </w:r>
      <w:r w:rsidRPr="003375C9">
        <w:rPr>
          <w:rFonts w:cs="Calibri"/>
          <w:i/>
          <w:color w:val="000000" w:themeColor="text1"/>
          <w:sz w:val="32"/>
        </w:rPr>
        <w:t>Disability Act 2006</w:t>
      </w:r>
    </w:p>
    <w:p w14:paraId="2A069E21" w14:textId="77777777" w:rsidR="006261B2" w:rsidRPr="003375C9" w:rsidRDefault="006261B2" w:rsidP="0043303B">
      <w:pPr>
        <w:pStyle w:val="BodyText"/>
        <w:spacing w:before="102"/>
        <w:rPr>
          <w:rFonts w:cs="Calibri"/>
        </w:rPr>
      </w:pPr>
      <w:r w:rsidRPr="003375C9">
        <w:rPr>
          <w:rFonts w:cs="Calibri"/>
        </w:rPr>
        <w:t>Infrastructure Victoria acknowledges the importance of strengthening</w:t>
      </w:r>
      <w:r w:rsidRPr="003375C9">
        <w:rPr>
          <w:rFonts w:cs="Calibri"/>
          <w:spacing w:val="-7"/>
        </w:rPr>
        <w:t xml:space="preserve"> </w:t>
      </w:r>
      <w:r w:rsidRPr="003375C9">
        <w:rPr>
          <w:rFonts w:cs="Calibri"/>
        </w:rPr>
        <w:t>the</w:t>
      </w:r>
      <w:r w:rsidRPr="003375C9">
        <w:rPr>
          <w:rFonts w:cs="Calibri"/>
          <w:spacing w:val="-7"/>
        </w:rPr>
        <w:t xml:space="preserve"> </w:t>
      </w:r>
      <w:r w:rsidRPr="003375C9">
        <w:rPr>
          <w:rFonts w:cs="Calibri"/>
        </w:rPr>
        <w:t>rights</w:t>
      </w:r>
      <w:r w:rsidRPr="003375C9">
        <w:rPr>
          <w:rFonts w:cs="Calibri"/>
          <w:spacing w:val="-7"/>
        </w:rPr>
        <w:t xml:space="preserve"> </w:t>
      </w:r>
      <w:r w:rsidRPr="003375C9">
        <w:rPr>
          <w:rFonts w:cs="Calibri"/>
        </w:rPr>
        <w:t>of</w:t>
      </w:r>
      <w:r w:rsidRPr="003375C9">
        <w:rPr>
          <w:rFonts w:cs="Calibri"/>
          <w:spacing w:val="-7"/>
        </w:rPr>
        <w:t xml:space="preserve"> </w:t>
      </w:r>
      <w:r w:rsidRPr="003375C9">
        <w:rPr>
          <w:rFonts w:cs="Calibri"/>
        </w:rPr>
        <w:t>people</w:t>
      </w:r>
      <w:r w:rsidRPr="003375C9">
        <w:rPr>
          <w:rFonts w:cs="Calibri"/>
          <w:spacing w:val="-7"/>
        </w:rPr>
        <w:t xml:space="preserve"> </w:t>
      </w:r>
      <w:r w:rsidRPr="003375C9">
        <w:rPr>
          <w:rFonts w:cs="Calibri"/>
        </w:rPr>
        <w:t>with</w:t>
      </w:r>
      <w:r w:rsidRPr="003375C9">
        <w:rPr>
          <w:rFonts w:cs="Calibri"/>
          <w:spacing w:val="-7"/>
        </w:rPr>
        <w:t xml:space="preserve"> </w:t>
      </w:r>
      <w:r w:rsidRPr="003375C9">
        <w:rPr>
          <w:rFonts w:cs="Calibri"/>
        </w:rPr>
        <w:t>a</w:t>
      </w:r>
      <w:r w:rsidRPr="003375C9">
        <w:rPr>
          <w:rFonts w:cs="Calibri"/>
          <w:spacing w:val="-7"/>
        </w:rPr>
        <w:t xml:space="preserve"> </w:t>
      </w:r>
      <w:r w:rsidRPr="003375C9">
        <w:rPr>
          <w:rFonts w:cs="Calibri"/>
        </w:rPr>
        <w:t>disability.</w:t>
      </w:r>
      <w:r w:rsidRPr="003375C9">
        <w:rPr>
          <w:rFonts w:cs="Calibri"/>
          <w:spacing w:val="-7"/>
        </w:rPr>
        <w:t xml:space="preserve"> </w:t>
      </w:r>
      <w:r w:rsidRPr="003375C9">
        <w:rPr>
          <w:rFonts w:cs="Calibri"/>
        </w:rPr>
        <w:t>We</w:t>
      </w:r>
      <w:r w:rsidRPr="003375C9">
        <w:rPr>
          <w:rFonts w:cs="Calibri"/>
          <w:spacing w:val="-7"/>
        </w:rPr>
        <w:t xml:space="preserve"> </w:t>
      </w:r>
      <w:r w:rsidRPr="003375C9">
        <w:rPr>
          <w:rFonts w:cs="Calibri"/>
        </w:rPr>
        <w:t>are committed</w:t>
      </w:r>
      <w:r w:rsidRPr="003375C9">
        <w:rPr>
          <w:rFonts w:cs="Calibri"/>
          <w:spacing w:val="-3"/>
        </w:rPr>
        <w:t xml:space="preserve"> </w:t>
      </w:r>
      <w:r w:rsidRPr="003375C9">
        <w:rPr>
          <w:rFonts w:cs="Calibri"/>
        </w:rPr>
        <w:t>to</w:t>
      </w:r>
      <w:r w:rsidRPr="003375C9">
        <w:rPr>
          <w:rFonts w:cs="Calibri"/>
          <w:spacing w:val="-3"/>
        </w:rPr>
        <w:t xml:space="preserve"> </w:t>
      </w:r>
      <w:r w:rsidRPr="003375C9">
        <w:rPr>
          <w:rFonts w:cs="Calibri"/>
        </w:rPr>
        <w:t>creating</w:t>
      </w:r>
      <w:r w:rsidRPr="003375C9">
        <w:rPr>
          <w:rFonts w:cs="Calibri"/>
          <w:spacing w:val="-3"/>
        </w:rPr>
        <w:t xml:space="preserve"> </w:t>
      </w:r>
      <w:r w:rsidRPr="003375C9">
        <w:rPr>
          <w:rFonts w:cs="Calibri"/>
        </w:rPr>
        <w:t>and</w:t>
      </w:r>
      <w:r w:rsidRPr="003375C9">
        <w:rPr>
          <w:rFonts w:cs="Calibri"/>
          <w:spacing w:val="-3"/>
        </w:rPr>
        <w:t xml:space="preserve"> </w:t>
      </w:r>
      <w:r w:rsidRPr="003375C9">
        <w:rPr>
          <w:rFonts w:cs="Calibri"/>
        </w:rPr>
        <w:t>maintaining</w:t>
      </w:r>
      <w:r w:rsidRPr="003375C9">
        <w:rPr>
          <w:rFonts w:cs="Calibri"/>
          <w:spacing w:val="-3"/>
        </w:rPr>
        <w:t xml:space="preserve"> </w:t>
      </w:r>
      <w:r w:rsidRPr="003375C9">
        <w:rPr>
          <w:rFonts w:cs="Calibri"/>
        </w:rPr>
        <w:t>an</w:t>
      </w:r>
      <w:r w:rsidRPr="003375C9">
        <w:rPr>
          <w:rFonts w:cs="Calibri"/>
          <w:spacing w:val="-3"/>
        </w:rPr>
        <w:t xml:space="preserve"> </w:t>
      </w:r>
      <w:r w:rsidRPr="003375C9">
        <w:rPr>
          <w:rFonts w:cs="Calibri"/>
        </w:rPr>
        <w:t>accessible</w:t>
      </w:r>
      <w:r w:rsidRPr="003375C9">
        <w:rPr>
          <w:rFonts w:cs="Calibri"/>
          <w:spacing w:val="-3"/>
        </w:rPr>
        <w:t xml:space="preserve"> </w:t>
      </w:r>
      <w:r w:rsidRPr="003375C9">
        <w:rPr>
          <w:rFonts w:cs="Calibri"/>
        </w:rPr>
        <w:t>and inclusive environment for all people with a disability who come</w:t>
      </w:r>
      <w:r w:rsidRPr="003375C9">
        <w:rPr>
          <w:rFonts w:cs="Calibri"/>
          <w:spacing w:val="-2"/>
        </w:rPr>
        <w:t xml:space="preserve"> </w:t>
      </w:r>
      <w:r w:rsidRPr="003375C9">
        <w:rPr>
          <w:rFonts w:cs="Calibri"/>
        </w:rPr>
        <w:t>into</w:t>
      </w:r>
      <w:r w:rsidRPr="003375C9">
        <w:rPr>
          <w:rFonts w:cs="Calibri"/>
          <w:spacing w:val="-2"/>
        </w:rPr>
        <w:t xml:space="preserve"> </w:t>
      </w:r>
      <w:r w:rsidRPr="003375C9">
        <w:rPr>
          <w:rFonts w:cs="Calibri"/>
        </w:rPr>
        <w:t>contact</w:t>
      </w:r>
      <w:r w:rsidRPr="003375C9">
        <w:rPr>
          <w:rFonts w:cs="Calibri"/>
          <w:spacing w:val="-2"/>
        </w:rPr>
        <w:t xml:space="preserve"> </w:t>
      </w:r>
      <w:r w:rsidRPr="003375C9">
        <w:rPr>
          <w:rFonts w:cs="Calibri"/>
        </w:rPr>
        <w:t>with</w:t>
      </w:r>
      <w:r w:rsidRPr="003375C9">
        <w:rPr>
          <w:rFonts w:cs="Calibri"/>
          <w:spacing w:val="-2"/>
        </w:rPr>
        <w:t xml:space="preserve"> </w:t>
      </w:r>
      <w:r w:rsidRPr="003375C9">
        <w:rPr>
          <w:rFonts w:cs="Calibri"/>
        </w:rPr>
        <w:t>Infrastructure</w:t>
      </w:r>
      <w:r w:rsidRPr="003375C9">
        <w:rPr>
          <w:rFonts w:cs="Calibri"/>
          <w:spacing w:val="-2"/>
        </w:rPr>
        <w:t xml:space="preserve"> </w:t>
      </w:r>
      <w:r w:rsidRPr="003375C9">
        <w:rPr>
          <w:rFonts w:cs="Calibri"/>
        </w:rPr>
        <w:t>Victoria,</w:t>
      </w:r>
      <w:r w:rsidRPr="003375C9">
        <w:rPr>
          <w:rFonts w:cs="Calibri"/>
          <w:spacing w:val="-2"/>
        </w:rPr>
        <w:t xml:space="preserve"> </w:t>
      </w:r>
      <w:r w:rsidRPr="003375C9">
        <w:rPr>
          <w:rFonts w:cs="Calibri"/>
        </w:rPr>
        <w:t>whether</w:t>
      </w:r>
      <w:r w:rsidRPr="003375C9">
        <w:rPr>
          <w:rFonts w:cs="Calibri"/>
          <w:spacing w:val="-2"/>
        </w:rPr>
        <w:t xml:space="preserve"> </w:t>
      </w:r>
      <w:r w:rsidRPr="003375C9">
        <w:rPr>
          <w:rFonts w:cs="Calibri"/>
        </w:rPr>
        <w:t xml:space="preserve">as employees, stakeholders or members of the public more </w:t>
      </w:r>
      <w:r w:rsidRPr="003375C9">
        <w:rPr>
          <w:rFonts w:cs="Calibri"/>
          <w:spacing w:val="-2"/>
        </w:rPr>
        <w:t>generally.</w:t>
      </w:r>
    </w:p>
    <w:p w14:paraId="5AED11AF" w14:textId="77777777" w:rsidR="006261B2" w:rsidRPr="003375C9" w:rsidRDefault="006261B2" w:rsidP="0043303B">
      <w:pPr>
        <w:pStyle w:val="Heading3"/>
        <w:spacing w:before="36"/>
        <w:rPr>
          <w:rFonts w:cs="Calibri"/>
          <w:color w:val="000000" w:themeColor="text1"/>
        </w:rPr>
      </w:pPr>
      <w:r w:rsidRPr="003375C9">
        <w:rPr>
          <w:rFonts w:cs="Calibri"/>
          <w:color w:val="000000" w:themeColor="text1"/>
        </w:rPr>
        <w:t>Environmental</w:t>
      </w:r>
      <w:r w:rsidRPr="003375C9">
        <w:rPr>
          <w:rFonts w:cs="Calibri"/>
          <w:color w:val="000000" w:themeColor="text1"/>
          <w:spacing w:val="-6"/>
        </w:rPr>
        <w:t xml:space="preserve"> </w:t>
      </w:r>
      <w:r w:rsidRPr="003375C9">
        <w:rPr>
          <w:rFonts w:cs="Calibri"/>
          <w:color w:val="000000" w:themeColor="text1"/>
          <w:spacing w:val="-2"/>
        </w:rPr>
        <w:t>impacts</w:t>
      </w:r>
    </w:p>
    <w:p w14:paraId="53CC522C" w14:textId="77777777" w:rsidR="006261B2" w:rsidRPr="003375C9" w:rsidRDefault="006261B2" w:rsidP="0043303B">
      <w:pPr>
        <w:pStyle w:val="BodyText"/>
        <w:spacing w:before="88"/>
        <w:rPr>
          <w:rFonts w:cs="Calibri"/>
        </w:rPr>
      </w:pPr>
      <w:r w:rsidRPr="003375C9">
        <w:rPr>
          <w:rFonts w:cs="Calibri"/>
        </w:rPr>
        <w:t>Infrastructure</w:t>
      </w:r>
      <w:r w:rsidRPr="003375C9">
        <w:rPr>
          <w:rFonts w:cs="Calibri"/>
          <w:spacing w:val="-7"/>
        </w:rPr>
        <w:t xml:space="preserve"> </w:t>
      </w:r>
      <w:r w:rsidRPr="003375C9">
        <w:rPr>
          <w:rFonts w:cs="Calibri"/>
        </w:rPr>
        <w:t>Victoria</w:t>
      </w:r>
      <w:r w:rsidRPr="003375C9">
        <w:rPr>
          <w:rFonts w:cs="Calibri"/>
          <w:spacing w:val="-7"/>
        </w:rPr>
        <w:t xml:space="preserve"> </w:t>
      </w:r>
      <w:r w:rsidRPr="003375C9">
        <w:rPr>
          <w:rFonts w:cs="Calibri"/>
        </w:rPr>
        <w:t>minimises</w:t>
      </w:r>
      <w:r w:rsidRPr="003375C9">
        <w:rPr>
          <w:rFonts w:cs="Calibri"/>
          <w:spacing w:val="-7"/>
        </w:rPr>
        <w:t xml:space="preserve"> </w:t>
      </w:r>
      <w:r w:rsidRPr="003375C9">
        <w:rPr>
          <w:rFonts w:cs="Calibri"/>
        </w:rPr>
        <w:t>the</w:t>
      </w:r>
      <w:r w:rsidRPr="003375C9">
        <w:rPr>
          <w:rFonts w:cs="Calibri"/>
          <w:spacing w:val="-7"/>
        </w:rPr>
        <w:t xml:space="preserve"> </w:t>
      </w:r>
      <w:r w:rsidRPr="003375C9">
        <w:rPr>
          <w:rFonts w:cs="Calibri"/>
        </w:rPr>
        <w:t>use</w:t>
      </w:r>
      <w:r w:rsidRPr="003375C9">
        <w:rPr>
          <w:rFonts w:cs="Calibri"/>
          <w:spacing w:val="-7"/>
        </w:rPr>
        <w:t xml:space="preserve"> </w:t>
      </w:r>
      <w:r w:rsidRPr="003375C9">
        <w:rPr>
          <w:rFonts w:cs="Calibri"/>
        </w:rPr>
        <w:t>of</w:t>
      </w:r>
      <w:r w:rsidRPr="003375C9">
        <w:rPr>
          <w:rFonts w:cs="Calibri"/>
          <w:spacing w:val="-7"/>
        </w:rPr>
        <w:t xml:space="preserve"> </w:t>
      </w:r>
      <w:r w:rsidRPr="003375C9">
        <w:rPr>
          <w:rFonts w:cs="Calibri"/>
        </w:rPr>
        <w:t>electricity</w:t>
      </w:r>
      <w:r w:rsidRPr="003375C9">
        <w:rPr>
          <w:rFonts w:cs="Calibri"/>
          <w:spacing w:val="-7"/>
        </w:rPr>
        <w:t xml:space="preserve"> </w:t>
      </w:r>
      <w:r w:rsidRPr="003375C9">
        <w:rPr>
          <w:rFonts w:cs="Calibri"/>
        </w:rPr>
        <w:t>through the use of motion sensitive lighting and efficient appliances. Infrastructure Victoria operates a largely paperless office</w:t>
      </w:r>
      <w:r w:rsidRPr="003375C9">
        <w:rPr>
          <w:rFonts w:cs="Calibri"/>
          <w:spacing w:val="40"/>
        </w:rPr>
        <w:t xml:space="preserve"> </w:t>
      </w:r>
      <w:r w:rsidRPr="003375C9">
        <w:rPr>
          <w:rFonts w:cs="Calibri"/>
        </w:rPr>
        <w:t>with minimal printing using double sided printing and recycled paper. All office waste systems are segregated, reducing the amount of recyclable material directed to landfill. Infrastructure Victoria proactively engages building management at the office premises to progress sustainable building initiatives. Finally, all staff are encouraged to employ active or public modes of transport when undertaking business activities.</w:t>
      </w:r>
    </w:p>
    <w:p w14:paraId="60793587" w14:textId="77777777" w:rsidR="006261B2" w:rsidRPr="003375C9" w:rsidRDefault="006261B2" w:rsidP="0043303B">
      <w:pPr>
        <w:pStyle w:val="BodyText"/>
        <w:spacing w:before="8"/>
        <w:rPr>
          <w:rFonts w:cs="Calibri"/>
          <w:sz w:val="21"/>
        </w:rPr>
      </w:pPr>
    </w:p>
    <w:p w14:paraId="25076A31" w14:textId="77777777" w:rsidR="006261B2" w:rsidRPr="003375C9" w:rsidRDefault="006261B2" w:rsidP="0043303B">
      <w:pPr>
        <w:pStyle w:val="Heading3"/>
        <w:rPr>
          <w:rFonts w:cs="Calibri"/>
          <w:color w:val="000000" w:themeColor="text1"/>
        </w:rPr>
      </w:pPr>
      <w:r w:rsidRPr="003375C9">
        <w:rPr>
          <w:rFonts w:cs="Calibri"/>
          <w:color w:val="000000" w:themeColor="text1"/>
        </w:rPr>
        <w:t xml:space="preserve">Sustainable </w:t>
      </w:r>
      <w:r w:rsidRPr="003375C9">
        <w:rPr>
          <w:rFonts w:cs="Calibri"/>
          <w:color w:val="000000" w:themeColor="text1"/>
          <w:spacing w:val="-2"/>
        </w:rPr>
        <w:t>procurement</w:t>
      </w:r>
    </w:p>
    <w:p w14:paraId="28818DBA" w14:textId="77777777" w:rsidR="006261B2" w:rsidRPr="003375C9" w:rsidRDefault="006261B2" w:rsidP="0043303B">
      <w:pPr>
        <w:pStyle w:val="BodyText"/>
        <w:spacing w:before="88"/>
        <w:rPr>
          <w:rFonts w:cs="Calibri"/>
        </w:rPr>
      </w:pPr>
      <w:r w:rsidRPr="003375C9">
        <w:rPr>
          <w:rFonts w:cs="Calibri"/>
        </w:rPr>
        <w:t>Infrastructure</w:t>
      </w:r>
      <w:r w:rsidRPr="003375C9">
        <w:rPr>
          <w:rFonts w:cs="Calibri"/>
          <w:spacing w:val="-1"/>
        </w:rPr>
        <w:t xml:space="preserve"> </w:t>
      </w:r>
      <w:r w:rsidRPr="003375C9">
        <w:rPr>
          <w:rFonts w:cs="Calibri"/>
        </w:rPr>
        <w:t>Victoria</w:t>
      </w:r>
      <w:r w:rsidRPr="003375C9">
        <w:rPr>
          <w:rFonts w:cs="Calibri"/>
          <w:spacing w:val="-1"/>
        </w:rPr>
        <w:t xml:space="preserve"> </w:t>
      </w:r>
      <w:r w:rsidRPr="003375C9">
        <w:rPr>
          <w:rFonts w:cs="Calibri"/>
        </w:rPr>
        <w:t>considers</w:t>
      </w:r>
      <w:r w:rsidRPr="003375C9">
        <w:rPr>
          <w:rFonts w:cs="Calibri"/>
          <w:spacing w:val="-1"/>
        </w:rPr>
        <w:t xml:space="preserve"> </w:t>
      </w:r>
      <w:r w:rsidRPr="003375C9">
        <w:rPr>
          <w:rFonts w:cs="Calibri"/>
        </w:rPr>
        <w:t>sustainable</w:t>
      </w:r>
      <w:r w:rsidRPr="003375C9">
        <w:rPr>
          <w:rFonts w:cs="Calibri"/>
          <w:spacing w:val="-1"/>
        </w:rPr>
        <w:t xml:space="preserve"> </w:t>
      </w:r>
      <w:r w:rsidRPr="003375C9">
        <w:rPr>
          <w:rFonts w:cs="Calibri"/>
        </w:rPr>
        <w:t>procurement objectives through its implementation of the Social Procurement</w:t>
      </w:r>
      <w:r w:rsidRPr="003375C9">
        <w:rPr>
          <w:rFonts w:cs="Calibri"/>
          <w:spacing w:val="-12"/>
        </w:rPr>
        <w:t xml:space="preserve"> </w:t>
      </w:r>
      <w:r w:rsidRPr="003375C9">
        <w:rPr>
          <w:rFonts w:cs="Calibri"/>
        </w:rPr>
        <w:t>Framework,</w:t>
      </w:r>
      <w:r w:rsidRPr="003375C9">
        <w:rPr>
          <w:rFonts w:cs="Calibri"/>
          <w:spacing w:val="-12"/>
        </w:rPr>
        <w:t xml:space="preserve"> </w:t>
      </w:r>
      <w:r w:rsidRPr="003375C9">
        <w:rPr>
          <w:rFonts w:cs="Calibri"/>
        </w:rPr>
        <w:t>which</w:t>
      </w:r>
      <w:r w:rsidRPr="003375C9">
        <w:rPr>
          <w:rFonts w:cs="Calibri"/>
          <w:spacing w:val="-12"/>
        </w:rPr>
        <w:t xml:space="preserve"> </w:t>
      </w:r>
      <w:r w:rsidRPr="003375C9">
        <w:rPr>
          <w:rFonts w:cs="Calibri"/>
        </w:rPr>
        <w:t>establishes</w:t>
      </w:r>
      <w:r w:rsidRPr="003375C9">
        <w:rPr>
          <w:rFonts w:cs="Calibri"/>
          <w:spacing w:val="-12"/>
        </w:rPr>
        <w:t xml:space="preserve"> </w:t>
      </w:r>
      <w:r w:rsidRPr="003375C9">
        <w:rPr>
          <w:rFonts w:cs="Calibri"/>
        </w:rPr>
        <w:t xml:space="preserve">requirements that apply to Victorian Government departments and agencies when they procure goods, services and </w:t>
      </w:r>
      <w:r w:rsidRPr="003375C9">
        <w:rPr>
          <w:rFonts w:cs="Calibri"/>
          <w:spacing w:val="-2"/>
        </w:rPr>
        <w:t>construction.</w:t>
      </w:r>
    </w:p>
    <w:p w14:paraId="0D26EDB1" w14:textId="77777777" w:rsidR="006261B2" w:rsidRPr="003375C9" w:rsidRDefault="006261B2" w:rsidP="0043303B">
      <w:pPr>
        <w:pStyle w:val="BodyText"/>
        <w:spacing w:before="13"/>
        <w:rPr>
          <w:rFonts w:cs="Calibri"/>
          <w:sz w:val="21"/>
        </w:rPr>
      </w:pPr>
    </w:p>
    <w:p w14:paraId="29795FF7" w14:textId="77777777" w:rsidR="006261B2" w:rsidRPr="003375C9" w:rsidRDefault="006261B2" w:rsidP="0043303B">
      <w:pPr>
        <w:pStyle w:val="Heading3"/>
        <w:rPr>
          <w:rFonts w:cs="Calibri"/>
          <w:color w:val="000000" w:themeColor="text1"/>
        </w:rPr>
      </w:pPr>
      <w:r w:rsidRPr="003375C9">
        <w:rPr>
          <w:rFonts w:cs="Calibri"/>
          <w:color w:val="000000" w:themeColor="text1"/>
        </w:rPr>
        <w:t xml:space="preserve">Additional </w:t>
      </w:r>
      <w:r w:rsidRPr="003375C9">
        <w:rPr>
          <w:rFonts w:cs="Calibri"/>
          <w:color w:val="000000" w:themeColor="text1"/>
          <w:spacing w:val="-2"/>
        </w:rPr>
        <w:t>Information</w:t>
      </w:r>
    </w:p>
    <w:p w14:paraId="30635734" w14:textId="77777777" w:rsidR="006261B2" w:rsidRPr="003375C9" w:rsidRDefault="006261B2" w:rsidP="0043303B">
      <w:pPr>
        <w:pStyle w:val="BodyText"/>
        <w:spacing w:before="88"/>
        <w:rPr>
          <w:rFonts w:cs="Calibri"/>
        </w:rPr>
      </w:pPr>
      <w:r w:rsidRPr="003375C9">
        <w:rPr>
          <w:rFonts w:cs="Calibri"/>
        </w:rPr>
        <w:t>Infrastructure</w:t>
      </w:r>
      <w:r w:rsidRPr="003375C9">
        <w:rPr>
          <w:rFonts w:cs="Calibri"/>
          <w:spacing w:val="-12"/>
        </w:rPr>
        <w:t xml:space="preserve"> </w:t>
      </w:r>
      <w:r w:rsidRPr="003375C9">
        <w:rPr>
          <w:rFonts w:cs="Calibri"/>
        </w:rPr>
        <w:t>Victoria’s</w:t>
      </w:r>
      <w:r w:rsidRPr="003375C9">
        <w:rPr>
          <w:rFonts w:cs="Calibri"/>
          <w:spacing w:val="-12"/>
        </w:rPr>
        <w:t xml:space="preserve"> </w:t>
      </w:r>
      <w:r w:rsidRPr="003375C9">
        <w:rPr>
          <w:rFonts w:cs="Calibri"/>
        </w:rPr>
        <w:t>published</w:t>
      </w:r>
      <w:r w:rsidRPr="003375C9">
        <w:rPr>
          <w:rFonts w:cs="Calibri"/>
          <w:spacing w:val="-12"/>
        </w:rPr>
        <w:t xml:space="preserve"> </w:t>
      </w:r>
      <w:r w:rsidRPr="003375C9">
        <w:rPr>
          <w:rFonts w:cs="Calibri"/>
        </w:rPr>
        <w:t>reports</w:t>
      </w:r>
      <w:r w:rsidRPr="003375C9">
        <w:rPr>
          <w:rFonts w:cs="Calibri"/>
          <w:spacing w:val="-12"/>
        </w:rPr>
        <w:t xml:space="preserve"> </w:t>
      </w:r>
      <w:r w:rsidRPr="003375C9">
        <w:rPr>
          <w:rFonts w:cs="Calibri"/>
        </w:rPr>
        <w:t>and</w:t>
      </w:r>
      <w:r w:rsidRPr="003375C9">
        <w:rPr>
          <w:rFonts w:cs="Calibri"/>
          <w:spacing w:val="-12"/>
        </w:rPr>
        <w:t xml:space="preserve"> </w:t>
      </w:r>
      <w:r w:rsidRPr="003375C9">
        <w:rPr>
          <w:rFonts w:cs="Calibri"/>
        </w:rPr>
        <w:t xml:space="preserve">documents are available online at </w:t>
      </w:r>
      <w:hyperlink r:id="rId34">
        <w:r w:rsidRPr="003375C9">
          <w:rPr>
            <w:rFonts w:cs="Calibri"/>
            <w:u w:val="single" w:color="414042"/>
          </w:rPr>
          <w:t>www.infrastructurevictoria.com.au</w:t>
        </w:r>
      </w:hyperlink>
    </w:p>
    <w:p w14:paraId="6E1542E0" w14:textId="77777777" w:rsidR="006261B2" w:rsidRPr="003375C9" w:rsidRDefault="006261B2" w:rsidP="0043303B">
      <w:pPr>
        <w:pStyle w:val="BodyText"/>
        <w:spacing w:before="118"/>
        <w:rPr>
          <w:rFonts w:cs="Calibri"/>
          <w:i/>
        </w:rPr>
      </w:pPr>
      <w:r w:rsidRPr="003375C9">
        <w:rPr>
          <w:rFonts w:cs="Calibri"/>
        </w:rPr>
        <w:t>Any</w:t>
      </w:r>
      <w:r w:rsidRPr="003375C9">
        <w:rPr>
          <w:rFonts w:cs="Calibri"/>
          <w:spacing w:val="-6"/>
        </w:rPr>
        <w:t xml:space="preserve"> </w:t>
      </w:r>
      <w:r w:rsidRPr="003375C9">
        <w:rPr>
          <w:rFonts w:cs="Calibri"/>
        </w:rPr>
        <w:t>relevant</w:t>
      </w:r>
      <w:r w:rsidRPr="003375C9">
        <w:rPr>
          <w:rFonts w:cs="Calibri"/>
          <w:spacing w:val="-6"/>
        </w:rPr>
        <w:t xml:space="preserve"> </w:t>
      </w:r>
      <w:r w:rsidRPr="003375C9">
        <w:rPr>
          <w:rFonts w:cs="Calibri"/>
        </w:rPr>
        <w:t>information</w:t>
      </w:r>
      <w:r w:rsidRPr="003375C9">
        <w:rPr>
          <w:rFonts w:cs="Calibri"/>
          <w:spacing w:val="-6"/>
        </w:rPr>
        <w:t xml:space="preserve"> </w:t>
      </w:r>
      <w:r w:rsidRPr="003375C9">
        <w:rPr>
          <w:rFonts w:cs="Calibri"/>
        </w:rPr>
        <w:t>in</w:t>
      </w:r>
      <w:r w:rsidRPr="003375C9">
        <w:rPr>
          <w:rFonts w:cs="Calibri"/>
          <w:spacing w:val="-6"/>
        </w:rPr>
        <w:t xml:space="preserve"> </w:t>
      </w:r>
      <w:r w:rsidRPr="003375C9">
        <w:rPr>
          <w:rFonts w:cs="Calibri"/>
        </w:rPr>
        <w:t>relation</w:t>
      </w:r>
      <w:r w:rsidRPr="003375C9">
        <w:rPr>
          <w:rFonts w:cs="Calibri"/>
          <w:spacing w:val="-6"/>
        </w:rPr>
        <w:t xml:space="preserve"> </w:t>
      </w:r>
      <w:r w:rsidRPr="003375C9">
        <w:rPr>
          <w:rFonts w:cs="Calibri"/>
        </w:rPr>
        <w:t>to</w:t>
      </w:r>
      <w:r w:rsidRPr="003375C9">
        <w:rPr>
          <w:rFonts w:cs="Calibri"/>
          <w:spacing w:val="-6"/>
        </w:rPr>
        <w:t xml:space="preserve"> </w:t>
      </w:r>
      <w:r w:rsidRPr="003375C9">
        <w:rPr>
          <w:rFonts w:cs="Calibri"/>
        </w:rPr>
        <w:t>the</w:t>
      </w:r>
      <w:r w:rsidRPr="003375C9">
        <w:rPr>
          <w:rFonts w:cs="Calibri"/>
          <w:spacing w:val="-6"/>
        </w:rPr>
        <w:t xml:space="preserve"> </w:t>
      </w:r>
      <w:r w:rsidRPr="003375C9">
        <w:rPr>
          <w:rFonts w:cs="Calibri"/>
        </w:rPr>
        <w:t>financial</w:t>
      </w:r>
      <w:r w:rsidRPr="003375C9">
        <w:rPr>
          <w:rFonts w:cs="Calibri"/>
          <w:spacing w:val="-6"/>
        </w:rPr>
        <w:t xml:space="preserve"> </w:t>
      </w:r>
      <w:r w:rsidRPr="003375C9">
        <w:rPr>
          <w:rFonts w:cs="Calibri"/>
        </w:rPr>
        <w:t xml:space="preserve">year is retained by the Accountable Officer and is available on request subject to the provisions of the </w:t>
      </w:r>
      <w:r w:rsidRPr="003375C9">
        <w:rPr>
          <w:rFonts w:cs="Calibri"/>
          <w:i/>
        </w:rPr>
        <w:t>Freedom</w:t>
      </w:r>
      <w:r w:rsidRPr="003375C9">
        <w:rPr>
          <w:rFonts w:cs="Calibri"/>
          <w:i/>
          <w:spacing w:val="40"/>
        </w:rPr>
        <w:t xml:space="preserve"> </w:t>
      </w:r>
      <w:r w:rsidRPr="003375C9">
        <w:rPr>
          <w:rFonts w:cs="Calibri"/>
          <w:i/>
        </w:rPr>
        <w:t>of Information Act 1982.</w:t>
      </w:r>
    </w:p>
    <w:p w14:paraId="40B3752D" w14:textId="77777777" w:rsidR="006261B2" w:rsidRPr="003375C9" w:rsidRDefault="006261B2" w:rsidP="0043303B">
      <w:pPr>
        <w:pStyle w:val="BodyText"/>
        <w:spacing w:before="11"/>
        <w:rPr>
          <w:rFonts w:cs="Calibri"/>
          <w:i/>
          <w:sz w:val="27"/>
        </w:rPr>
      </w:pPr>
    </w:p>
    <w:p w14:paraId="3FA3051B" w14:textId="77777777" w:rsidR="006261B2" w:rsidRPr="003375C9" w:rsidRDefault="006261B2" w:rsidP="0043303B">
      <w:pPr>
        <w:pStyle w:val="Heading3"/>
        <w:rPr>
          <w:rFonts w:cs="Calibri"/>
          <w:color w:val="000000" w:themeColor="text1"/>
        </w:rPr>
      </w:pPr>
      <w:r w:rsidRPr="003375C9">
        <w:rPr>
          <w:rFonts w:cs="Calibri"/>
          <w:color w:val="000000" w:themeColor="text1"/>
        </w:rPr>
        <w:t>Attestation for financial management</w:t>
      </w:r>
      <w:r w:rsidRPr="003375C9">
        <w:rPr>
          <w:rFonts w:cs="Calibri"/>
          <w:color w:val="000000" w:themeColor="text1"/>
          <w:spacing w:val="-23"/>
        </w:rPr>
        <w:t xml:space="preserve"> </w:t>
      </w:r>
      <w:r w:rsidRPr="003375C9">
        <w:rPr>
          <w:rFonts w:cs="Calibri"/>
          <w:color w:val="000000" w:themeColor="text1"/>
        </w:rPr>
        <w:t>compliance with Ministerial Standing Direction 5.1.4</w:t>
      </w:r>
    </w:p>
    <w:p w14:paraId="6C07BAC4" w14:textId="77777777" w:rsidR="006261B2" w:rsidRPr="003375C9" w:rsidRDefault="006261B2" w:rsidP="0043303B">
      <w:pPr>
        <w:pStyle w:val="BodyText"/>
        <w:spacing w:before="107"/>
        <w:rPr>
          <w:rFonts w:cs="Calibri"/>
        </w:rPr>
      </w:pPr>
      <w:r w:rsidRPr="003375C9">
        <w:rPr>
          <w:rFonts w:cs="Calibri"/>
        </w:rPr>
        <w:t>Infrastructure</w:t>
      </w:r>
      <w:r w:rsidRPr="003375C9">
        <w:rPr>
          <w:rFonts w:cs="Calibri"/>
          <w:spacing w:val="-9"/>
        </w:rPr>
        <w:t xml:space="preserve"> </w:t>
      </w:r>
      <w:r w:rsidRPr="003375C9">
        <w:rPr>
          <w:rFonts w:cs="Calibri"/>
        </w:rPr>
        <w:t>Victoria</w:t>
      </w:r>
      <w:r w:rsidRPr="003375C9">
        <w:rPr>
          <w:rFonts w:cs="Calibri"/>
          <w:spacing w:val="-9"/>
        </w:rPr>
        <w:t xml:space="preserve"> </w:t>
      </w:r>
      <w:r w:rsidRPr="003375C9">
        <w:rPr>
          <w:rFonts w:cs="Calibri"/>
        </w:rPr>
        <w:t>Financial</w:t>
      </w:r>
      <w:r w:rsidRPr="003375C9">
        <w:rPr>
          <w:rFonts w:cs="Calibri"/>
          <w:spacing w:val="-9"/>
        </w:rPr>
        <w:t xml:space="preserve"> </w:t>
      </w:r>
      <w:r w:rsidRPr="003375C9">
        <w:rPr>
          <w:rFonts w:cs="Calibri"/>
        </w:rPr>
        <w:t>Management</w:t>
      </w:r>
      <w:r w:rsidRPr="003375C9">
        <w:rPr>
          <w:rFonts w:cs="Calibri"/>
          <w:spacing w:val="-9"/>
        </w:rPr>
        <w:t xml:space="preserve"> </w:t>
      </w:r>
      <w:r w:rsidRPr="003375C9">
        <w:rPr>
          <w:rFonts w:cs="Calibri"/>
        </w:rPr>
        <w:t>Compliance Attestation Statement</w:t>
      </w:r>
    </w:p>
    <w:p w14:paraId="7F94E8DC" w14:textId="77777777" w:rsidR="006261B2" w:rsidRPr="003375C9" w:rsidRDefault="006261B2" w:rsidP="0043303B">
      <w:pPr>
        <w:pStyle w:val="BodyText"/>
        <w:spacing w:before="118"/>
        <w:rPr>
          <w:rFonts w:cs="Calibri"/>
        </w:rPr>
      </w:pPr>
      <w:r w:rsidRPr="003375C9">
        <w:rPr>
          <w:rFonts w:cs="Calibri"/>
        </w:rPr>
        <w:t>I Jim Miller, on behalf of the Responsible Body, certify that the</w:t>
      </w:r>
      <w:r w:rsidRPr="003375C9">
        <w:rPr>
          <w:rFonts w:cs="Calibri"/>
          <w:spacing w:val="-1"/>
        </w:rPr>
        <w:t xml:space="preserve"> </w:t>
      </w:r>
      <w:r w:rsidRPr="003375C9">
        <w:rPr>
          <w:rFonts w:cs="Calibri"/>
        </w:rPr>
        <w:t>Infrastructure</w:t>
      </w:r>
      <w:r w:rsidRPr="003375C9">
        <w:rPr>
          <w:rFonts w:cs="Calibri"/>
          <w:spacing w:val="-1"/>
        </w:rPr>
        <w:t xml:space="preserve"> </w:t>
      </w:r>
      <w:r w:rsidRPr="003375C9">
        <w:rPr>
          <w:rFonts w:cs="Calibri"/>
        </w:rPr>
        <w:t>Victoria</w:t>
      </w:r>
      <w:r w:rsidRPr="003375C9">
        <w:rPr>
          <w:rFonts w:cs="Calibri"/>
          <w:spacing w:val="-1"/>
        </w:rPr>
        <w:t xml:space="preserve"> </w:t>
      </w:r>
      <w:r w:rsidRPr="003375C9">
        <w:rPr>
          <w:rFonts w:cs="Calibri"/>
        </w:rPr>
        <w:t>has</w:t>
      </w:r>
      <w:r w:rsidRPr="003375C9">
        <w:rPr>
          <w:rFonts w:cs="Calibri"/>
          <w:spacing w:val="-1"/>
        </w:rPr>
        <w:t xml:space="preserve"> </w:t>
      </w:r>
      <w:r w:rsidRPr="003375C9">
        <w:rPr>
          <w:rFonts w:cs="Calibri"/>
        </w:rPr>
        <w:t>complied</w:t>
      </w:r>
      <w:r w:rsidRPr="003375C9">
        <w:rPr>
          <w:rFonts w:cs="Calibri"/>
          <w:spacing w:val="-1"/>
        </w:rPr>
        <w:t xml:space="preserve"> </w:t>
      </w:r>
      <w:r w:rsidRPr="003375C9">
        <w:rPr>
          <w:rFonts w:cs="Calibri"/>
        </w:rPr>
        <w:t>with</w:t>
      </w:r>
      <w:r w:rsidRPr="003375C9">
        <w:rPr>
          <w:rFonts w:cs="Calibri"/>
          <w:spacing w:val="-1"/>
        </w:rPr>
        <w:t xml:space="preserve"> </w:t>
      </w:r>
      <w:r w:rsidRPr="003375C9">
        <w:rPr>
          <w:rFonts w:cs="Calibri"/>
        </w:rPr>
        <w:t>the</w:t>
      </w:r>
      <w:r w:rsidRPr="003375C9">
        <w:rPr>
          <w:rFonts w:cs="Calibri"/>
          <w:spacing w:val="-1"/>
        </w:rPr>
        <w:t xml:space="preserve"> </w:t>
      </w:r>
      <w:r w:rsidRPr="003375C9">
        <w:rPr>
          <w:rFonts w:cs="Calibri"/>
        </w:rPr>
        <w:t>applicable Standing</w:t>
      </w:r>
      <w:r w:rsidRPr="003375C9">
        <w:rPr>
          <w:rFonts w:cs="Calibri"/>
          <w:spacing w:val="-6"/>
        </w:rPr>
        <w:t xml:space="preserve"> </w:t>
      </w:r>
      <w:r w:rsidRPr="003375C9">
        <w:rPr>
          <w:rFonts w:cs="Calibri"/>
        </w:rPr>
        <w:t>Directions</w:t>
      </w:r>
      <w:r w:rsidRPr="003375C9">
        <w:rPr>
          <w:rFonts w:cs="Calibri"/>
          <w:spacing w:val="-6"/>
        </w:rPr>
        <w:t xml:space="preserve"> </w:t>
      </w:r>
      <w:r w:rsidRPr="003375C9">
        <w:rPr>
          <w:rFonts w:cs="Calibri"/>
        </w:rPr>
        <w:t>2018</w:t>
      </w:r>
      <w:r w:rsidRPr="003375C9">
        <w:rPr>
          <w:rFonts w:cs="Calibri"/>
          <w:spacing w:val="-6"/>
        </w:rPr>
        <w:t xml:space="preserve"> </w:t>
      </w:r>
      <w:r w:rsidRPr="003375C9">
        <w:rPr>
          <w:rFonts w:cs="Calibri"/>
        </w:rPr>
        <w:t>under</w:t>
      </w:r>
      <w:r w:rsidRPr="003375C9">
        <w:rPr>
          <w:rFonts w:cs="Calibri"/>
          <w:spacing w:val="-6"/>
        </w:rPr>
        <w:t xml:space="preserve"> </w:t>
      </w:r>
      <w:r w:rsidRPr="003375C9">
        <w:rPr>
          <w:rFonts w:cs="Calibri"/>
        </w:rPr>
        <w:t>the</w:t>
      </w:r>
      <w:r w:rsidRPr="003375C9">
        <w:rPr>
          <w:rFonts w:cs="Calibri"/>
          <w:spacing w:val="-7"/>
        </w:rPr>
        <w:t xml:space="preserve"> </w:t>
      </w:r>
      <w:r w:rsidRPr="003375C9">
        <w:rPr>
          <w:rFonts w:cs="Calibri"/>
          <w:i/>
        </w:rPr>
        <w:t>Financial</w:t>
      </w:r>
      <w:r w:rsidRPr="003375C9">
        <w:rPr>
          <w:rFonts w:cs="Calibri"/>
          <w:i/>
          <w:spacing w:val="-6"/>
        </w:rPr>
        <w:t xml:space="preserve"> </w:t>
      </w:r>
      <w:r w:rsidRPr="003375C9">
        <w:rPr>
          <w:rFonts w:cs="Calibri"/>
          <w:i/>
        </w:rPr>
        <w:t xml:space="preserve">Management Act 1994 </w:t>
      </w:r>
      <w:r w:rsidRPr="003375C9">
        <w:rPr>
          <w:rFonts w:cs="Calibri"/>
        </w:rPr>
        <w:t>and Instructions.</w:t>
      </w:r>
    </w:p>
    <w:p w14:paraId="33478C38" w14:textId="517A3ABC" w:rsidR="006261B2" w:rsidRPr="003375C9" w:rsidRDefault="006261B2" w:rsidP="0043303B">
      <w:pPr>
        <w:rPr>
          <w:rFonts w:cs="Calibri"/>
          <w:color w:val="000000" w:themeColor="text1"/>
        </w:rPr>
        <w:sectPr w:rsidR="006261B2" w:rsidRPr="003375C9" w:rsidSect="00E941A5">
          <w:type w:val="continuous"/>
          <w:pgSz w:w="11910" w:h="16840"/>
          <w:pgMar w:top="1134" w:right="1278" w:bottom="1134" w:left="1134" w:header="720" w:footer="720" w:gutter="0"/>
          <w:cols w:space="720"/>
        </w:sectPr>
      </w:pPr>
    </w:p>
    <w:p w14:paraId="5ADB09EC" w14:textId="77777777" w:rsidR="00FA4226" w:rsidRPr="003375C9" w:rsidRDefault="00FA4226" w:rsidP="0043303B">
      <w:pPr>
        <w:rPr>
          <w:rFonts w:cs="Calibri"/>
          <w:color w:val="000000" w:themeColor="text1"/>
          <w:sz w:val="13"/>
        </w:rPr>
      </w:pPr>
    </w:p>
    <w:p w14:paraId="68920C80" w14:textId="77777777" w:rsidR="00FA4226" w:rsidRPr="003375C9" w:rsidRDefault="00FA4226" w:rsidP="0043303B">
      <w:pPr>
        <w:rPr>
          <w:rFonts w:cs="Calibri"/>
          <w:color w:val="000000" w:themeColor="text1"/>
          <w:sz w:val="16"/>
        </w:rPr>
        <w:sectPr w:rsidR="00FA4226" w:rsidRPr="003375C9" w:rsidSect="00E941A5">
          <w:type w:val="continuous"/>
          <w:pgSz w:w="11910" w:h="16840"/>
          <w:pgMar w:top="1134" w:right="1278" w:bottom="1134" w:left="1134" w:header="720" w:footer="720" w:gutter="0"/>
          <w:cols w:space="720"/>
        </w:sectPr>
      </w:pPr>
    </w:p>
    <w:p w14:paraId="0B987D73" w14:textId="3DC7DD96" w:rsidR="00FA4226" w:rsidRPr="00CA2CC1" w:rsidRDefault="00000000" w:rsidP="0043303B">
      <w:pPr>
        <w:pStyle w:val="Heading1"/>
        <w:rPr>
          <w:rFonts w:cs="Calibri"/>
        </w:rPr>
      </w:pPr>
      <w:bookmarkStart w:id="44" w:name="Disclosure_index"/>
      <w:bookmarkStart w:id="45" w:name="_bookmark21"/>
      <w:bookmarkEnd w:id="44"/>
      <w:bookmarkEnd w:id="45"/>
      <w:r w:rsidRPr="00CA2CC1">
        <w:rPr>
          <w:rFonts w:cs="Calibri"/>
          <w:color w:val="231F20"/>
          <w:w w:val="105"/>
        </w:rPr>
        <w:lastRenderedPageBreak/>
        <w:t>Disclosure</w:t>
      </w:r>
      <w:r w:rsidRPr="00CA2CC1">
        <w:rPr>
          <w:rFonts w:cs="Calibri"/>
          <w:color w:val="231F20"/>
          <w:spacing w:val="43"/>
          <w:w w:val="105"/>
        </w:rPr>
        <w:t xml:space="preserve"> </w:t>
      </w:r>
      <w:r w:rsidRPr="00CA2CC1">
        <w:rPr>
          <w:rFonts w:cs="Calibri"/>
          <w:color w:val="231F20"/>
          <w:spacing w:val="-2"/>
          <w:w w:val="105"/>
        </w:rPr>
        <w:t>index</w:t>
      </w:r>
    </w:p>
    <w:p w14:paraId="363F6EAD" w14:textId="77777777" w:rsidR="00FA4226" w:rsidRPr="00CA2CC1" w:rsidRDefault="00000000" w:rsidP="0043303B">
      <w:pPr>
        <w:pStyle w:val="BodyText"/>
        <w:spacing w:before="70"/>
        <w:rPr>
          <w:rFonts w:cs="Calibri"/>
        </w:rPr>
      </w:pPr>
      <w:r w:rsidRPr="00CA2CC1">
        <w:rPr>
          <w:rFonts w:cs="Calibri"/>
          <w:color w:val="414042"/>
        </w:rPr>
        <w:t>The Infrastructure Victoria annual report is prepared in accordance with all relevant Victorian legislation and pronouncements.</w:t>
      </w:r>
      <w:r w:rsidRPr="00CA2CC1">
        <w:rPr>
          <w:rFonts w:cs="Calibri"/>
          <w:color w:val="414042"/>
          <w:spacing w:val="-7"/>
        </w:rPr>
        <w:t xml:space="preserve"> </w:t>
      </w:r>
      <w:r w:rsidRPr="00CA2CC1">
        <w:rPr>
          <w:rFonts w:cs="Calibri"/>
          <w:color w:val="414042"/>
        </w:rPr>
        <w:t>This</w:t>
      </w:r>
      <w:r w:rsidRPr="00CA2CC1">
        <w:rPr>
          <w:rFonts w:cs="Calibri"/>
          <w:color w:val="414042"/>
          <w:spacing w:val="-7"/>
        </w:rPr>
        <w:t xml:space="preserve"> </w:t>
      </w:r>
      <w:r w:rsidRPr="00CA2CC1">
        <w:rPr>
          <w:rFonts w:cs="Calibri"/>
          <w:color w:val="414042"/>
        </w:rPr>
        <w:t>index</w:t>
      </w:r>
      <w:r w:rsidRPr="00CA2CC1">
        <w:rPr>
          <w:rFonts w:cs="Calibri"/>
          <w:color w:val="414042"/>
          <w:spacing w:val="-7"/>
        </w:rPr>
        <w:t xml:space="preserve"> </w:t>
      </w:r>
      <w:r w:rsidRPr="00CA2CC1">
        <w:rPr>
          <w:rFonts w:cs="Calibri"/>
          <w:color w:val="414042"/>
        </w:rPr>
        <w:t>has</w:t>
      </w:r>
      <w:r w:rsidRPr="00CA2CC1">
        <w:rPr>
          <w:rFonts w:cs="Calibri"/>
          <w:color w:val="414042"/>
          <w:spacing w:val="-7"/>
        </w:rPr>
        <w:t xml:space="preserve"> </w:t>
      </w:r>
      <w:r w:rsidRPr="00CA2CC1">
        <w:rPr>
          <w:rFonts w:cs="Calibri"/>
          <w:color w:val="414042"/>
        </w:rPr>
        <w:t>been</w:t>
      </w:r>
      <w:r w:rsidRPr="00CA2CC1">
        <w:rPr>
          <w:rFonts w:cs="Calibri"/>
          <w:color w:val="414042"/>
          <w:spacing w:val="-7"/>
        </w:rPr>
        <w:t xml:space="preserve"> </w:t>
      </w:r>
      <w:r w:rsidRPr="00CA2CC1">
        <w:rPr>
          <w:rFonts w:cs="Calibri"/>
          <w:color w:val="414042"/>
        </w:rPr>
        <w:t>prepared</w:t>
      </w:r>
      <w:r w:rsidRPr="00CA2CC1">
        <w:rPr>
          <w:rFonts w:cs="Calibri"/>
          <w:color w:val="414042"/>
          <w:spacing w:val="-7"/>
        </w:rPr>
        <w:t xml:space="preserve"> </w:t>
      </w:r>
      <w:r w:rsidRPr="00CA2CC1">
        <w:rPr>
          <w:rFonts w:cs="Calibri"/>
          <w:color w:val="414042"/>
        </w:rPr>
        <w:t>to</w:t>
      </w:r>
      <w:r w:rsidRPr="00CA2CC1">
        <w:rPr>
          <w:rFonts w:cs="Calibri"/>
          <w:color w:val="414042"/>
          <w:spacing w:val="-7"/>
        </w:rPr>
        <w:t xml:space="preserve"> </w:t>
      </w:r>
      <w:r w:rsidRPr="00CA2CC1">
        <w:rPr>
          <w:rFonts w:cs="Calibri"/>
          <w:color w:val="414042"/>
        </w:rPr>
        <w:t>facilitate identification of Infrastructure Victoria’s compliance with statutory disclosure requirements.</w:t>
      </w:r>
    </w:p>
    <w:p w14:paraId="3A85A649" w14:textId="77777777" w:rsidR="00FA4226" w:rsidRPr="00CA2CC1" w:rsidRDefault="00FA4226" w:rsidP="0043303B">
      <w:pPr>
        <w:pStyle w:val="BodyText"/>
        <w:spacing w:before="9"/>
        <w:rPr>
          <w:rFonts w:cs="Calibri"/>
          <w:sz w:val="14"/>
        </w:rPr>
      </w:pPr>
    </w:p>
    <w:p w14:paraId="34490447" w14:textId="456E4F98" w:rsidR="00FA4226" w:rsidRPr="00C274F3" w:rsidRDefault="00000000" w:rsidP="0043303B">
      <w:pPr>
        <w:pStyle w:val="BodyText"/>
        <w:tabs>
          <w:tab w:val="left" w:pos="2669"/>
          <w:tab w:val="left" w:pos="9433"/>
        </w:tabs>
        <w:spacing w:before="64"/>
        <w:rPr>
          <w:rFonts w:cs="Calibri"/>
        </w:rPr>
      </w:pPr>
      <w:r w:rsidRPr="00C274F3">
        <w:rPr>
          <w:rFonts w:cs="Calibri"/>
          <w:spacing w:val="-2"/>
        </w:rPr>
        <w:t>Legislation</w:t>
      </w:r>
      <w:r w:rsidR="00846E14" w:rsidRPr="00C274F3">
        <w:rPr>
          <w:rFonts w:cs="Calibri"/>
        </w:rPr>
        <w:t xml:space="preserve">   </w:t>
      </w:r>
      <w:r w:rsidRPr="00C274F3">
        <w:rPr>
          <w:rFonts w:cs="Calibri"/>
          <w:spacing w:val="-2"/>
        </w:rPr>
        <w:t>Requirement</w:t>
      </w:r>
      <w:r w:rsidR="00846E14" w:rsidRPr="00C274F3">
        <w:rPr>
          <w:rFonts w:cs="Calibri"/>
        </w:rPr>
        <w:t xml:space="preserve">                                                                                                                      </w:t>
      </w:r>
      <w:r w:rsidRPr="00C274F3">
        <w:rPr>
          <w:rFonts w:cs="Calibri"/>
        </w:rPr>
        <w:t xml:space="preserve">Page </w:t>
      </w:r>
      <w:r w:rsidRPr="00C274F3">
        <w:rPr>
          <w:rFonts w:cs="Calibri"/>
          <w:spacing w:val="-2"/>
        </w:rPr>
        <w:t>reference</w:t>
      </w:r>
    </w:p>
    <w:p w14:paraId="7035F5C0" w14:textId="77777777" w:rsidR="00FA4226" w:rsidRPr="00CA2CC1" w:rsidRDefault="00000000" w:rsidP="0043303B">
      <w:pPr>
        <w:pStyle w:val="BodyText"/>
        <w:spacing w:before="8"/>
        <w:rPr>
          <w:rFonts w:cs="Calibri"/>
          <w:sz w:val="3"/>
        </w:rPr>
      </w:pPr>
      <w:r w:rsidRPr="00CA2CC1">
        <w:rPr>
          <w:rFonts w:cs="Calibri"/>
          <w:noProof/>
        </w:rPr>
        <mc:AlternateContent>
          <mc:Choice Requires="wpg">
            <w:drawing>
              <wp:anchor distT="0" distB="0" distL="0" distR="0" simplePos="0" relativeHeight="487650816" behindDoc="1" locked="0" layoutInCell="1" allowOverlap="1" wp14:anchorId="5ECD18BD" wp14:editId="038E5E2B">
                <wp:simplePos x="0" y="0"/>
                <wp:positionH relativeFrom="page">
                  <wp:posOffset>720001</wp:posOffset>
                </wp:positionH>
                <wp:positionV relativeFrom="paragraph">
                  <wp:posOffset>46931</wp:posOffset>
                </wp:positionV>
                <wp:extent cx="6120130" cy="468630"/>
                <wp:effectExtent l="0" t="0" r="0" b="0"/>
                <wp:wrapTopAndBottom/>
                <wp:docPr id="596" name="Group 596" descr="Standing Directions &amp; Financial Reporting Directions&#10;Report of operations&#10;Charter and purpo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468630"/>
                          <a:chOff x="0" y="0"/>
                          <a:chExt cx="6120130" cy="468630"/>
                        </a:xfrm>
                      </wpg:grpSpPr>
                      <wps:wsp>
                        <wps:cNvPr id="597" name="Textbox 597"/>
                        <wps:cNvSpPr txBox="1"/>
                        <wps:spPr>
                          <a:xfrm>
                            <a:off x="0" y="234238"/>
                            <a:ext cx="6120130" cy="234315"/>
                          </a:xfrm>
                          <a:prstGeom prst="rect">
                            <a:avLst/>
                          </a:prstGeom>
                          <a:solidFill>
                            <a:srgbClr val="D8E9EF"/>
                          </a:solidFill>
                        </wps:spPr>
                        <wps:txbx>
                          <w:txbxContent>
                            <w:p w14:paraId="285869BC" w14:textId="77777777" w:rsidR="00FA4226" w:rsidRDefault="00000000">
                              <w:pPr>
                                <w:spacing w:before="74"/>
                                <w:ind w:left="79"/>
                                <w:rPr>
                                  <w:rFonts w:ascii="HelveticaNeue-MediumItalic"/>
                                  <w:i/>
                                  <w:color w:val="000000"/>
                                  <w:sz w:val="18"/>
                                </w:rPr>
                              </w:pPr>
                              <w:r>
                                <w:rPr>
                                  <w:rFonts w:ascii="HelveticaNeue-MediumItalic"/>
                                  <w:i/>
                                  <w:color w:val="414042"/>
                                  <w:sz w:val="18"/>
                                </w:rPr>
                                <w:t xml:space="preserve">Report of </w:t>
                              </w:r>
                              <w:r>
                                <w:rPr>
                                  <w:rFonts w:ascii="HelveticaNeue-MediumItalic"/>
                                  <w:i/>
                                  <w:color w:val="414042"/>
                                  <w:spacing w:val="-2"/>
                                  <w:sz w:val="18"/>
                                </w:rPr>
                                <w:t>operations</w:t>
                              </w:r>
                            </w:p>
                          </w:txbxContent>
                        </wps:txbx>
                        <wps:bodyPr wrap="square" lIns="0" tIns="0" rIns="0" bIns="0" rtlCol="0">
                          <a:noAutofit/>
                        </wps:bodyPr>
                      </wps:wsp>
                      <wps:wsp>
                        <wps:cNvPr id="598" name="Textbox 598"/>
                        <wps:cNvSpPr txBox="1"/>
                        <wps:spPr>
                          <a:xfrm>
                            <a:off x="0" y="0"/>
                            <a:ext cx="6120130" cy="234315"/>
                          </a:xfrm>
                          <a:prstGeom prst="rect">
                            <a:avLst/>
                          </a:prstGeom>
                          <a:solidFill>
                            <a:srgbClr val="34AFC8"/>
                          </a:solidFill>
                        </wps:spPr>
                        <wps:txbx>
                          <w:txbxContent>
                            <w:p w14:paraId="54DEC829" w14:textId="77777777" w:rsidR="00FA4226" w:rsidRDefault="00000000">
                              <w:pPr>
                                <w:spacing w:before="74"/>
                                <w:ind w:left="79"/>
                                <w:rPr>
                                  <w:rFonts w:ascii="HelveticaNeue-MediumItalic"/>
                                  <w:i/>
                                  <w:color w:val="000000"/>
                                  <w:sz w:val="18"/>
                                </w:rPr>
                              </w:pPr>
                              <w:r>
                                <w:rPr>
                                  <w:rFonts w:ascii="HelveticaNeue-MediumItalic"/>
                                  <w:i/>
                                  <w:color w:val="FFFFFF"/>
                                  <w:sz w:val="18"/>
                                </w:rPr>
                                <w:t xml:space="preserve">Standing Directions &amp; Financial Reporting </w:t>
                              </w:r>
                              <w:r>
                                <w:rPr>
                                  <w:rFonts w:ascii="HelveticaNeue-MediumItalic"/>
                                  <w:i/>
                                  <w:color w:val="FFFFFF"/>
                                  <w:spacing w:val="-2"/>
                                  <w:sz w:val="18"/>
                                </w:rPr>
                                <w:t>Directions</w:t>
                              </w:r>
                            </w:p>
                          </w:txbxContent>
                        </wps:txbx>
                        <wps:bodyPr wrap="square" lIns="0" tIns="0" rIns="0" bIns="0" rtlCol="0">
                          <a:noAutofit/>
                        </wps:bodyPr>
                      </wps:wsp>
                    </wpg:wgp>
                  </a:graphicData>
                </a:graphic>
              </wp:anchor>
            </w:drawing>
          </mc:Choice>
          <mc:Fallback>
            <w:pict>
              <v:group w14:anchorId="5ECD18BD" id="Group 596" o:spid="_x0000_s1026" alt="Standing Directions &amp; Financial Reporting Directions&#10;Report of operations&#10;Charter and purpose" style="position:absolute;margin-left:56.7pt;margin-top:3.7pt;width:481.9pt;height:36.9pt;z-index:-15665664;mso-wrap-distance-left:0;mso-wrap-distance-right:0;mso-position-horizontal-relative:page" coordsize="61201,468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">
                <v:shapetype id="_x0000_t202" coordsize="21600,21600" o:spt="202" path="m,l,21600r21600,l21600,xe">
                  <v:stroke joinstyle="miter"/>
                  <v:path gradientshapeok="t" o:connecttype="rect"/>
                </v:shapetype>
                <v:shape id="Textbox 597" o:spid="_x0000_s1027" type="#_x0000_t202" style="position:absolute;top:2342;width:61201;height:23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" fillcolor="#d8e9ef" stroked="f">
                  <v:textbox inset="0,0,0,0">
                    <w:txbxContent>
                      <w:p w14:paraId="285869BC" w14:textId="77777777" w:rsidR="00FA4226" w:rsidRDefault="00000000">
                        <w:pPr>
                          <w:spacing w:before="74"/>
                          <w:ind w:left="79"/>
                          <w:rPr>
                            <w:rFonts w:ascii="HelveticaNeue-MediumItalic"/>
                            <w:i/>
                            <w:color w:val="000000"/>
                            <w:sz w:val="18"/>
                          </w:rPr>
                        </w:pPr>
                        <w:r>
                          <w:rPr>
                            <w:rFonts w:ascii="HelveticaNeue-MediumItalic"/>
                            <w:i/>
                            <w:color w:val="414042"/>
                            <w:sz w:val="18"/>
                          </w:rPr>
                          <w:t xml:space="preserve">Report of </w:t>
                        </w:r>
                        <w:r>
                          <w:rPr>
                            <w:rFonts w:ascii="HelveticaNeue-MediumItalic"/>
                            <w:i/>
                            <w:color w:val="414042"/>
                            <w:spacing w:val="-2"/>
                            <w:sz w:val="18"/>
                          </w:rPr>
                          <w:t>operations</w:t>
                        </w:r>
                      </w:p>
                    </w:txbxContent>
                  </v:textbox>
                </v:shape>
                <v:shape id="Textbox 598" o:spid="_x0000_s1028" type="#_x0000_t202" style="position:absolute;width:61201;height:23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" fillcolor="#34afc8" stroked="f">
                  <v:textbox inset="0,0,0,0">
                    <w:txbxContent>
                      <w:p w14:paraId="54DEC829" w14:textId="77777777" w:rsidR="00FA4226" w:rsidRDefault="00000000">
                        <w:pPr>
                          <w:spacing w:before="74"/>
                          <w:ind w:left="79"/>
                          <w:rPr>
                            <w:rFonts w:ascii="HelveticaNeue-MediumItalic"/>
                            <w:i/>
                            <w:color w:val="000000"/>
                            <w:sz w:val="18"/>
                          </w:rPr>
                        </w:pPr>
                        <w:r>
                          <w:rPr>
                            <w:rFonts w:ascii="HelveticaNeue-MediumItalic"/>
                            <w:i/>
                            <w:color w:val="FFFFFF"/>
                            <w:sz w:val="18"/>
                          </w:rPr>
                          <w:t xml:space="preserve">Standing Directions &amp; Financial Reporting </w:t>
                        </w:r>
                        <w:r>
                          <w:rPr>
                            <w:rFonts w:ascii="HelveticaNeue-MediumItalic"/>
                            <w:i/>
                            <w:color w:val="FFFFFF"/>
                            <w:spacing w:val="-2"/>
                            <w:sz w:val="18"/>
                          </w:rPr>
                          <w:t>Directions</w:t>
                        </w:r>
                      </w:p>
                    </w:txbxContent>
                  </v:textbox>
                </v:shape>
                <w10:wrap type="topAndBottom" anchorx="page"/>
              </v:group>
            </w:pict>
          </mc:Fallback>
        </mc:AlternateContent>
      </w:r>
    </w:p>
    <w:p w14:paraId="6121BE69" w14:textId="77777777" w:rsidR="00FA4226" w:rsidRPr="00CA2CC1" w:rsidRDefault="00000000" w:rsidP="0043303B">
      <w:pPr>
        <w:pStyle w:val="BodyText"/>
        <w:spacing w:before="34"/>
        <w:rPr>
          <w:rFonts w:cs="Calibri"/>
        </w:rPr>
      </w:pPr>
      <w:r w:rsidRPr="00CA2CC1">
        <w:rPr>
          <w:rFonts w:cs="Calibri"/>
          <w:color w:val="414042"/>
        </w:rPr>
        <w:t xml:space="preserve">Charter and </w:t>
      </w:r>
      <w:r w:rsidRPr="00CA2CC1">
        <w:rPr>
          <w:rFonts w:cs="Calibri"/>
          <w:color w:val="414042"/>
          <w:spacing w:val="-2"/>
        </w:rPr>
        <w:t>purpose</w:t>
      </w:r>
    </w:p>
    <w:p w14:paraId="66929F21" w14:textId="77777777" w:rsidR="00FA4226" w:rsidRPr="00CA2CC1" w:rsidRDefault="00FA4226" w:rsidP="0043303B">
      <w:pPr>
        <w:pStyle w:val="BodyText"/>
        <w:spacing w:before="11" w:after="1"/>
        <w:rPr>
          <w:rFonts w:cs="Calibri"/>
          <w:sz w:val="7"/>
        </w:rPr>
      </w:pPr>
    </w:p>
    <w:tbl>
      <w:tblPr>
        <w:tblW w:w="9577" w:type="dxa"/>
        <w:tblLayout w:type="fixed"/>
        <w:tblCellMar>
          <w:left w:w="0" w:type="dxa"/>
          <w:right w:w="0" w:type="dxa"/>
        </w:tblCellMar>
        <w:tblLook w:val="01E0" w:firstRow="1" w:lastRow="1" w:firstColumn="1" w:lastColumn="1" w:noHBand="0" w:noVBand="0"/>
      </w:tblPr>
      <w:tblGrid>
        <w:gridCol w:w="1073"/>
        <w:gridCol w:w="6227"/>
        <w:gridCol w:w="2277"/>
      </w:tblGrid>
      <w:tr w:rsidR="00FA4226" w:rsidRPr="00CA2CC1" w14:paraId="0EAB60EF" w14:textId="77777777" w:rsidTr="00846E14">
        <w:trPr>
          <w:trHeight w:val="249"/>
        </w:trPr>
        <w:tc>
          <w:tcPr>
            <w:tcW w:w="1073" w:type="dxa"/>
          </w:tcPr>
          <w:p w14:paraId="21EF9ECA" w14:textId="77777777" w:rsidR="00FA4226" w:rsidRPr="00CA2CC1" w:rsidRDefault="00000000" w:rsidP="0043303B">
            <w:pPr>
              <w:pStyle w:val="TableParagraph"/>
              <w:jc w:val="left"/>
              <w:rPr>
                <w:rFonts w:cs="Calibri"/>
                <w:sz w:val="18"/>
              </w:rPr>
            </w:pPr>
            <w:r w:rsidRPr="00CA2CC1">
              <w:rPr>
                <w:rFonts w:cs="Calibri"/>
                <w:color w:val="414042"/>
                <w:sz w:val="18"/>
              </w:rPr>
              <w:t>FRD</w:t>
            </w:r>
            <w:r w:rsidRPr="00CA2CC1">
              <w:rPr>
                <w:rFonts w:cs="Calibri"/>
                <w:color w:val="414042"/>
                <w:spacing w:val="-2"/>
                <w:sz w:val="18"/>
              </w:rPr>
              <w:t xml:space="preserve"> </w:t>
            </w:r>
            <w:r w:rsidRPr="00CA2CC1">
              <w:rPr>
                <w:rFonts w:cs="Calibri"/>
                <w:color w:val="414042"/>
                <w:spacing w:val="-5"/>
                <w:sz w:val="18"/>
              </w:rPr>
              <w:t>22</w:t>
            </w:r>
          </w:p>
        </w:tc>
        <w:tc>
          <w:tcPr>
            <w:tcW w:w="6227" w:type="dxa"/>
          </w:tcPr>
          <w:p w14:paraId="00AB7125" w14:textId="77777777" w:rsidR="00FA4226" w:rsidRPr="00CA2CC1" w:rsidRDefault="00000000" w:rsidP="0043303B">
            <w:pPr>
              <w:pStyle w:val="TableParagraph"/>
              <w:jc w:val="left"/>
              <w:rPr>
                <w:rFonts w:cs="Calibri"/>
                <w:sz w:val="18"/>
              </w:rPr>
            </w:pPr>
            <w:r w:rsidRPr="00CA2CC1">
              <w:rPr>
                <w:rFonts w:cs="Calibri"/>
                <w:color w:val="414042"/>
                <w:sz w:val="18"/>
              </w:rPr>
              <w:t>Manner</w:t>
            </w:r>
            <w:r w:rsidRPr="00CA2CC1">
              <w:rPr>
                <w:rFonts w:cs="Calibri"/>
                <w:color w:val="414042"/>
                <w:spacing w:val="-1"/>
                <w:sz w:val="18"/>
              </w:rPr>
              <w:t xml:space="preserve"> </w:t>
            </w:r>
            <w:r w:rsidRPr="00CA2CC1">
              <w:rPr>
                <w:rFonts w:cs="Calibri"/>
                <w:color w:val="414042"/>
                <w:sz w:val="18"/>
              </w:rPr>
              <w:t>of</w:t>
            </w:r>
            <w:r w:rsidRPr="00CA2CC1">
              <w:rPr>
                <w:rFonts w:cs="Calibri"/>
                <w:color w:val="414042"/>
                <w:spacing w:val="-1"/>
                <w:sz w:val="18"/>
              </w:rPr>
              <w:t xml:space="preserve"> </w:t>
            </w:r>
            <w:r w:rsidRPr="00CA2CC1">
              <w:rPr>
                <w:rFonts w:cs="Calibri"/>
                <w:color w:val="414042"/>
                <w:sz w:val="18"/>
              </w:rPr>
              <w:t>establishment and</w:t>
            </w:r>
            <w:r w:rsidRPr="00CA2CC1">
              <w:rPr>
                <w:rFonts w:cs="Calibri"/>
                <w:color w:val="414042"/>
                <w:spacing w:val="-1"/>
                <w:sz w:val="18"/>
              </w:rPr>
              <w:t xml:space="preserve"> </w:t>
            </w:r>
            <w:r w:rsidRPr="00CA2CC1">
              <w:rPr>
                <w:rFonts w:cs="Calibri"/>
                <w:color w:val="414042"/>
                <w:sz w:val="18"/>
              </w:rPr>
              <w:t>the</w:t>
            </w:r>
            <w:r w:rsidRPr="00CA2CC1">
              <w:rPr>
                <w:rFonts w:cs="Calibri"/>
                <w:color w:val="414042"/>
                <w:spacing w:val="-1"/>
                <w:sz w:val="18"/>
              </w:rPr>
              <w:t xml:space="preserve"> </w:t>
            </w:r>
            <w:r w:rsidRPr="00CA2CC1">
              <w:rPr>
                <w:rFonts w:cs="Calibri"/>
                <w:color w:val="414042"/>
                <w:sz w:val="18"/>
              </w:rPr>
              <w:t xml:space="preserve">relevant </w:t>
            </w:r>
            <w:r w:rsidRPr="00CA2CC1">
              <w:rPr>
                <w:rFonts w:cs="Calibri"/>
                <w:color w:val="414042"/>
                <w:spacing w:val="-2"/>
                <w:sz w:val="18"/>
              </w:rPr>
              <w:t>Ministers</w:t>
            </w:r>
          </w:p>
        </w:tc>
        <w:tc>
          <w:tcPr>
            <w:tcW w:w="2277" w:type="dxa"/>
          </w:tcPr>
          <w:p w14:paraId="4C20500A" w14:textId="77777777" w:rsidR="00FA4226" w:rsidRPr="00CA2CC1" w:rsidRDefault="00000000" w:rsidP="0043303B">
            <w:pPr>
              <w:pStyle w:val="TableParagraph"/>
              <w:rPr>
                <w:rFonts w:cs="Calibri"/>
                <w:sz w:val="18"/>
              </w:rPr>
            </w:pPr>
            <w:r w:rsidRPr="00CA2CC1">
              <w:rPr>
                <w:rFonts w:cs="Calibri"/>
                <w:color w:val="414042"/>
                <w:sz w:val="18"/>
              </w:rPr>
              <w:t>4</w:t>
            </w:r>
          </w:p>
        </w:tc>
      </w:tr>
      <w:tr w:rsidR="00FA4226" w:rsidRPr="00CA2CC1" w14:paraId="5A512070" w14:textId="77777777" w:rsidTr="00846E14">
        <w:trPr>
          <w:trHeight w:val="287"/>
        </w:trPr>
        <w:tc>
          <w:tcPr>
            <w:tcW w:w="1073" w:type="dxa"/>
          </w:tcPr>
          <w:p w14:paraId="5FB272D6" w14:textId="77777777" w:rsidR="00FA4226" w:rsidRPr="00CA2CC1" w:rsidRDefault="00000000" w:rsidP="0043303B">
            <w:pPr>
              <w:pStyle w:val="TableParagraph"/>
              <w:spacing w:before="1"/>
              <w:jc w:val="left"/>
              <w:rPr>
                <w:rFonts w:cs="Calibri"/>
                <w:sz w:val="18"/>
              </w:rPr>
            </w:pPr>
            <w:r w:rsidRPr="00CA2CC1">
              <w:rPr>
                <w:rFonts w:cs="Calibri"/>
                <w:color w:val="414042"/>
                <w:sz w:val="18"/>
              </w:rPr>
              <w:t>FRD</w:t>
            </w:r>
            <w:r w:rsidRPr="00CA2CC1">
              <w:rPr>
                <w:rFonts w:cs="Calibri"/>
                <w:color w:val="414042"/>
                <w:spacing w:val="-2"/>
                <w:sz w:val="18"/>
              </w:rPr>
              <w:t xml:space="preserve"> </w:t>
            </w:r>
            <w:r w:rsidRPr="00CA2CC1">
              <w:rPr>
                <w:rFonts w:cs="Calibri"/>
                <w:color w:val="414042"/>
                <w:spacing w:val="-5"/>
                <w:sz w:val="18"/>
              </w:rPr>
              <w:t>22</w:t>
            </w:r>
          </w:p>
        </w:tc>
        <w:tc>
          <w:tcPr>
            <w:tcW w:w="6227" w:type="dxa"/>
          </w:tcPr>
          <w:p w14:paraId="5BEC568E" w14:textId="77777777" w:rsidR="00FA4226" w:rsidRPr="00CA2CC1" w:rsidRDefault="00000000" w:rsidP="0043303B">
            <w:pPr>
              <w:pStyle w:val="TableParagraph"/>
              <w:spacing w:before="1"/>
              <w:jc w:val="left"/>
              <w:rPr>
                <w:rFonts w:cs="Calibri"/>
                <w:sz w:val="18"/>
              </w:rPr>
            </w:pPr>
            <w:r w:rsidRPr="00CA2CC1">
              <w:rPr>
                <w:rFonts w:cs="Calibri"/>
                <w:color w:val="414042"/>
                <w:sz w:val="18"/>
              </w:rPr>
              <w:t xml:space="preserve">Purpose, functions, powers and </w:t>
            </w:r>
            <w:r w:rsidRPr="00CA2CC1">
              <w:rPr>
                <w:rFonts w:cs="Calibri"/>
                <w:color w:val="414042"/>
                <w:spacing w:val="-2"/>
                <w:sz w:val="18"/>
              </w:rPr>
              <w:t>duties</w:t>
            </w:r>
          </w:p>
        </w:tc>
        <w:tc>
          <w:tcPr>
            <w:tcW w:w="2277" w:type="dxa"/>
          </w:tcPr>
          <w:p w14:paraId="14C1651F" w14:textId="77777777" w:rsidR="00FA4226" w:rsidRPr="00CA2CC1" w:rsidRDefault="00000000" w:rsidP="0043303B">
            <w:pPr>
              <w:pStyle w:val="TableParagraph"/>
              <w:spacing w:before="1"/>
              <w:rPr>
                <w:rFonts w:cs="Calibri"/>
                <w:sz w:val="18"/>
              </w:rPr>
            </w:pPr>
            <w:r w:rsidRPr="00CA2CC1">
              <w:rPr>
                <w:rFonts w:cs="Calibri"/>
                <w:color w:val="414042"/>
                <w:sz w:val="18"/>
              </w:rPr>
              <w:t>4-</w:t>
            </w:r>
            <w:r w:rsidRPr="00CA2CC1">
              <w:rPr>
                <w:rFonts w:cs="Calibri"/>
                <w:color w:val="414042"/>
                <w:spacing w:val="-10"/>
                <w:sz w:val="18"/>
              </w:rPr>
              <w:t>5</w:t>
            </w:r>
          </w:p>
        </w:tc>
      </w:tr>
      <w:tr w:rsidR="00FA4226" w:rsidRPr="00CA2CC1" w14:paraId="1DE735CF" w14:textId="77777777" w:rsidTr="00846E14">
        <w:trPr>
          <w:trHeight w:val="287"/>
        </w:trPr>
        <w:tc>
          <w:tcPr>
            <w:tcW w:w="1073" w:type="dxa"/>
          </w:tcPr>
          <w:p w14:paraId="75566225" w14:textId="77777777" w:rsidR="00FA4226" w:rsidRPr="00CA2CC1" w:rsidRDefault="00000000" w:rsidP="0043303B">
            <w:pPr>
              <w:pStyle w:val="TableParagraph"/>
              <w:spacing w:before="1"/>
              <w:jc w:val="left"/>
              <w:rPr>
                <w:rFonts w:cs="Calibri"/>
                <w:sz w:val="18"/>
              </w:rPr>
            </w:pPr>
            <w:r w:rsidRPr="00CA2CC1">
              <w:rPr>
                <w:rFonts w:cs="Calibri"/>
                <w:color w:val="414042"/>
                <w:sz w:val="18"/>
              </w:rPr>
              <w:t xml:space="preserve">FRD </w:t>
            </w:r>
            <w:r w:rsidRPr="00CA2CC1">
              <w:rPr>
                <w:rFonts w:cs="Calibri"/>
                <w:color w:val="414042"/>
                <w:spacing w:val="-10"/>
                <w:sz w:val="18"/>
              </w:rPr>
              <w:t>8</w:t>
            </w:r>
          </w:p>
        </w:tc>
        <w:tc>
          <w:tcPr>
            <w:tcW w:w="6227" w:type="dxa"/>
          </w:tcPr>
          <w:p w14:paraId="0E001025" w14:textId="77777777" w:rsidR="00FA4226" w:rsidRPr="00CA2CC1" w:rsidRDefault="00000000" w:rsidP="0043303B">
            <w:pPr>
              <w:pStyle w:val="TableParagraph"/>
              <w:spacing w:before="1"/>
              <w:jc w:val="left"/>
              <w:rPr>
                <w:rFonts w:cs="Calibri"/>
                <w:sz w:val="18"/>
              </w:rPr>
            </w:pPr>
            <w:r w:rsidRPr="00CA2CC1">
              <w:rPr>
                <w:rFonts w:cs="Calibri"/>
                <w:color w:val="414042"/>
                <w:sz w:val="18"/>
              </w:rPr>
              <w:t xml:space="preserve">Departmental objectives, indicators and </w:t>
            </w:r>
            <w:r w:rsidRPr="00CA2CC1">
              <w:rPr>
                <w:rFonts w:cs="Calibri"/>
                <w:color w:val="414042"/>
                <w:spacing w:val="-2"/>
                <w:sz w:val="18"/>
              </w:rPr>
              <w:t>outputs</w:t>
            </w:r>
          </w:p>
        </w:tc>
        <w:tc>
          <w:tcPr>
            <w:tcW w:w="2277" w:type="dxa"/>
          </w:tcPr>
          <w:p w14:paraId="337801BB" w14:textId="77777777" w:rsidR="00FA4226" w:rsidRPr="00CA2CC1" w:rsidRDefault="00000000" w:rsidP="0043303B">
            <w:pPr>
              <w:pStyle w:val="TableParagraph"/>
              <w:spacing w:before="1"/>
              <w:rPr>
                <w:rFonts w:cs="Calibri"/>
                <w:sz w:val="18"/>
              </w:rPr>
            </w:pPr>
            <w:r w:rsidRPr="00CA2CC1">
              <w:rPr>
                <w:rFonts w:cs="Calibri"/>
                <w:color w:val="414042"/>
                <w:sz w:val="18"/>
              </w:rPr>
              <w:t>4-</w:t>
            </w:r>
            <w:r w:rsidRPr="00CA2CC1">
              <w:rPr>
                <w:rFonts w:cs="Calibri"/>
                <w:color w:val="414042"/>
                <w:spacing w:val="-10"/>
                <w:sz w:val="18"/>
              </w:rPr>
              <w:t>5</w:t>
            </w:r>
          </w:p>
        </w:tc>
      </w:tr>
      <w:tr w:rsidR="00FA4226" w:rsidRPr="00CA2CC1" w14:paraId="36E25908" w14:textId="77777777" w:rsidTr="00846E14">
        <w:trPr>
          <w:trHeight w:val="287"/>
        </w:trPr>
        <w:tc>
          <w:tcPr>
            <w:tcW w:w="1073" w:type="dxa"/>
          </w:tcPr>
          <w:p w14:paraId="4A07F5A1" w14:textId="77777777" w:rsidR="00FA4226" w:rsidRPr="00CA2CC1" w:rsidRDefault="00000000" w:rsidP="0043303B">
            <w:pPr>
              <w:pStyle w:val="TableParagraph"/>
              <w:spacing w:before="1"/>
              <w:jc w:val="left"/>
              <w:rPr>
                <w:rFonts w:cs="Calibri"/>
                <w:sz w:val="18"/>
              </w:rPr>
            </w:pPr>
            <w:r w:rsidRPr="00CA2CC1">
              <w:rPr>
                <w:rFonts w:cs="Calibri"/>
                <w:color w:val="414042"/>
                <w:sz w:val="18"/>
              </w:rPr>
              <w:t>FRD</w:t>
            </w:r>
            <w:r w:rsidRPr="00CA2CC1">
              <w:rPr>
                <w:rFonts w:cs="Calibri"/>
                <w:color w:val="414042"/>
                <w:spacing w:val="-2"/>
                <w:sz w:val="18"/>
              </w:rPr>
              <w:t xml:space="preserve"> </w:t>
            </w:r>
            <w:r w:rsidRPr="00CA2CC1">
              <w:rPr>
                <w:rFonts w:cs="Calibri"/>
                <w:color w:val="414042"/>
                <w:spacing w:val="-5"/>
                <w:sz w:val="18"/>
              </w:rPr>
              <w:t>22</w:t>
            </w:r>
          </w:p>
        </w:tc>
        <w:tc>
          <w:tcPr>
            <w:tcW w:w="6227" w:type="dxa"/>
          </w:tcPr>
          <w:p w14:paraId="2E66FA81" w14:textId="77777777" w:rsidR="00FA4226" w:rsidRPr="00CA2CC1" w:rsidRDefault="00000000" w:rsidP="0043303B">
            <w:pPr>
              <w:pStyle w:val="TableParagraph"/>
              <w:spacing w:before="1"/>
              <w:jc w:val="left"/>
              <w:rPr>
                <w:rFonts w:cs="Calibri"/>
                <w:sz w:val="18"/>
              </w:rPr>
            </w:pPr>
            <w:r w:rsidRPr="00CA2CC1">
              <w:rPr>
                <w:rFonts w:cs="Calibri"/>
                <w:color w:val="414042"/>
                <w:sz w:val="18"/>
              </w:rPr>
              <w:t xml:space="preserve">Key initiatives and </w:t>
            </w:r>
            <w:r w:rsidRPr="00CA2CC1">
              <w:rPr>
                <w:rFonts w:cs="Calibri"/>
                <w:color w:val="414042"/>
                <w:spacing w:val="-2"/>
                <w:sz w:val="18"/>
              </w:rPr>
              <w:t>projects</w:t>
            </w:r>
          </w:p>
        </w:tc>
        <w:tc>
          <w:tcPr>
            <w:tcW w:w="2277" w:type="dxa"/>
          </w:tcPr>
          <w:p w14:paraId="3FA4F89C" w14:textId="77777777" w:rsidR="00FA4226" w:rsidRPr="00CA2CC1" w:rsidRDefault="00000000" w:rsidP="0043303B">
            <w:pPr>
              <w:pStyle w:val="TableParagraph"/>
              <w:spacing w:before="1"/>
              <w:rPr>
                <w:rFonts w:cs="Calibri"/>
                <w:sz w:val="18"/>
              </w:rPr>
            </w:pPr>
            <w:r w:rsidRPr="00CA2CC1">
              <w:rPr>
                <w:rFonts w:cs="Calibri"/>
                <w:color w:val="414042"/>
                <w:sz w:val="18"/>
              </w:rPr>
              <w:t>7-</w:t>
            </w:r>
            <w:r w:rsidRPr="00CA2CC1">
              <w:rPr>
                <w:rFonts w:cs="Calibri"/>
                <w:color w:val="414042"/>
                <w:spacing w:val="-5"/>
                <w:sz w:val="18"/>
              </w:rPr>
              <w:t>31</w:t>
            </w:r>
          </w:p>
        </w:tc>
      </w:tr>
      <w:tr w:rsidR="00FA4226" w:rsidRPr="00CA2CC1" w14:paraId="18D591C1" w14:textId="77777777" w:rsidTr="00846E14">
        <w:trPr>
          <w:trHeight w:val="249"/>
        </w:trPr>
        <w:tc>
          <w:tcPr>
            <w:tcW w:w="1073" w:type="dxa"/>
          </w:tcPr>
          <w:p w14:paraId="247E5203" w14:textId="77777777" w:rsidR="00FA4226" w:rsidRPr="00CA2CC1" w:rsidRDefault="00000000" w:rsidP="0043303B">
            <w:pPr>
              <w:pStyle w:val="TableParagraph"/>
              <w:spacing w:before="1"/>
              <w:jc w:val="left"/>
              <w:rPr>
                <w:rFonts w:cs="Calibri"/>
                <w:sz w:val="18"/>
              </w:rPr>
            </w:pPr>
            <w:r w:rsidRPr="00CA2CC1">
              <w:rPr>
                <w:rFonts w:cs="Calibri"/>
                <w:color w:val="414042"/>
                <w:sz w:val="18"/>
              </w:rPr>
              <w:t>FRD</w:t>
            </w:r>
            <w:r w:rsidRPr="00CA2CC1">
              <w:rPr>
                <w:rFonts w:cs="Calibri"/>
                <w:color w:val="414042"/>
                <w:spacing w:val="-2"/>
                <w:sz w:val="18"/>
              </w:rPr>
              <w:t xml:space="preserve"> </w:t>
            </w:r>
            <w:r w:rsidRPr="00CA2CC1">
              <w:rPr>
                <w:rFonts w:cs="Calibri"/>
                <w:color w:val="414042"/>
                <w:spacing w:val="-5"/>
                <w:sz w:val="18"/>
              </w:rPr>
              <w:t>22</w:t>
            </w:r>
          </w:p>
        </w:tc>
        <w:tc>
          <w:tcPr>
            <w:tcW w:w="6227" w:type="dxa"/>
          </w:tcPr>
          <w:p w14:paraId="1D1D0938" w14:textId="77777777" w:rsidR="00FA4226" w:rsidRPr="00CA2CC1" w:rsidRDefault="00000000" w:rsidP="0043303B">
            <w:pPr>
              <w:pStyle w:val="TableParagraph"/>
              <w:spacing w:before="1"/>
              <w:jc w:val="left"/>
              <w:rPr>
                <w:rFonts w:cs="Calibri"/>
                <w:sz w:val="18"/>
              </w:rPr>
            </w:pPr>
            <w:r w:rsidRPr="00CA2CC1">
              <w:rPr>
                <w:rFonts w:cs="Calibri"/>
                <w:color w:val="414042"/>
                <w:sz w:val="18"/>
              </w:rPr>
              <w:t>Nature</w:t>
            </w:r>
            <w:r w:rsidRPr="00CA2CC1">
              <w:rPr>
                <w:rFonts w:cs="Calibri"/>
                <w:color w:val="414042"/>
                <w:spacing w:val="-1"/>
                <w:sz w:val="18"/>
              </w:rPr>
              <w:t xml:space="preserve"> </w:t>
            </w:r>
            <w:r w:rsidRPr="00CA2CC1">
              <w:rPr>
                <w:rFonts w:cs="Calibri"/>
                <w:color w:val="414042"/>
                <w:sz w:val="18"/>
              </w:rPr>
              <w:t>and</w:t>
            </w:r>
            <w:r w:rsidRPr="00CA2CC1">
              <w:rPr>
                <w:rFonts w:cs="Calibri"/>
                <w:color w:val="414042"/>
                <w:spacing w:val="-1"/>
                <w:sz w:val="18"/>
              </w:rPr>
              <w:t xml:space="preserve"> </w:t>
            </w:r>
            <w:r w:rsidRPr="00CA2CC1">
              <w:rPr>
                <w:rFonts w:cs="Calibri"/>
                <w:color w:val="414042"/>
                <w:sz w:val="18"/>
              </w:rPr>
              <w:t>range</w:t>
            </w:r>
            <w:r w:rsidRPr="00CA2CC1">
              <w:rPr>
                <w:rFonts w:cs="Calibri"/>
                <w:color w:val="414042"/>
                <w:spacing w:val="-1"/>
                <w:sz w:val="18"/>
              </w:rPr>
              <w:t xml:space="preserve"> </w:t>
            </w:r>
            <w:r w:rsidRPr="00CA2CC1">
              <w:rPr>
                <w:rFonts w:cs="Calibri"/>
                <w:color w:val="414042"/>
                <w:sz w:val="18"/>
              </w:rPr>
              <w:t>of</w:t>
            </w:r>
            <w:r w:rsidRPr="00CA2CC1">
              <w:rPr>
                <w:rFonts w:cs="Calibri"/>
                <w:color w:val="414042"/>
                <w:spacing w:val="-1"/>
                <w:sz w:val="18"/>
              </w:rPr>
              <w:t xml:space="preserve"> </w:t>
            </w:r>
            <w:r w:rsidRPr="00CA2CC1">
              <w:rPr>
                <w:rFonts w:cs="Calibri"/>
                <w:color w:val="414042"/>
                <w:sz w:val="18"/>
              </w:rPr>
              <w:t xml:space="preserve">services </w:t>
            </w:r>
            <w:r w:rsidRPr="00CA2CC1">
              <w:rPr>
                <w:rFonts w:cs="Calibri"/>
                <w:color w:val="414042"/>
                <w:spacing w:val="-2"/>
                <w:sz w:val="18"/>
              </w:rPr>
              <w:t>provided</w:t>
            </w:r>
          </w:p>
        </w:tc>
        <w:tc>
          <w:tcPr>
            <w:tcW w:w="2277" w:type="dxa"/>
          </w:tcPr>
          <w:p w14:paraId="7DF771CC" w14:textId="77777777" w:rsidR="00FA4226" w:rsidRPr="00CA2CC1" w:rsidRDefault="00000000" w:rsidP="0043303B">
            <w:pPr>
              <w:pStyle w:val="TableParagraph"/>
              <w:spacing w:before="1"/>
              <w:rPr>
                <w:rFonts w:cs="Calibri"/>
                <w:sz w:val="18"/>
              </w:rPr>
            </w:pPr>
            <w:r w:rsidRPr="00CA2CC1">
              <w:rPr>
                <w:rFonts w:cs="Calibri"/>
                <w:color w:val="414042"/>
                <w:sz w:val="18"/>
              </w:rPr>
              <w:t>4-</w:t>
            </w:r>
            <w:r w:rsidRPr="00CA2CC1">
              <w:rPr>
                <w:rFonts w:cs="Calibri"/>
                <w:color w:val="414042"/>
                <w:spacing w:val="-10"/>
                <w:sz w:val="18"/>
              </w:rPr>
              <w:t>5</w:t>
            </w:r>
          </w:p>
        </w:tc>
      </w:tr>
    </w:tbl>
    <w:p w14:paraId="54454924" w14:textId="77777777" w:rsidR="00FA4226" w:rsidRPr="00CA2CC1" w:rsidRDefault="00000000" w:rsidP="0043303B">
      <w:pPr>
        <w:pStyle w:val="BodyText"/>
        <w:spacing w:before="78"/>
        <w:rPr>
          <w:rFonts w:cs="Calibri"/>
        </w:rPr>
      </w:pPr>
      <w:r w:rsidRPr="00CA2CC1">
        <w:rPr>
          <w:rFonts w:cs="Calibri"/>
          <w:color w:val="414042"/>
        </w:rPr>
        <w:t>Management</w:t>
      </w:r>
      <w:r w:rsidRPr="00CA2CC1">
        <w:rPr>
          <w:rFonts w:cs="Calibri"/>
          <w:color w:val="414042"/>
          <w:spacing w:val="-2"/>
        </w:rPr>
        <w:t xml:space="preserve"> </w:t>
      </w:r>
      <w:r w:rsidRPr="00CA2CC1">
        <w:rPr>
          <w:rFonts w:cs="Calibri"/>
          <w:color w:val="414042"/>
        </w:rPr>
        <w:t xml:space="preserve">and </w:t>
      </w:r>
      <w:r w:rsidRPr="00CA2CC1">
        <w:rPr>
          <w:rFonts w:cs="Calibri"/>
          <w:color w:val="414042"/>
          <w:spacing w:val="-2"/>
        </w:rPr>
        <w:t>structure</w:t>
      </w:r>
    </w:p>
    <w:p w14:paraId="0113D47B" w14:textId="6F37D631" w:rsidR="00FA4226" w:rsidRPr="00CA2CC1" w:rsidRDefault="00000000" w:rsidP="0043303B">
      <w:pPr>
        <w:pStyle w:val="BodyText"/>
        <w:tabs>
          <w:tab w:val="left" w:pos="1953"/>
          <w:tab w:val="left" w:pos="2669"/>
          <w:tab w:val="right" w:pos="10691"/>
        </w:tabs>
        <w:spacing w:before="72"/>
        <w:rPr>
          <w:rFonts w:cs="Calibri"/>
          <w:sz w:val="18"/>
        </w:rPr>
      </w:pPr>
      <w:r w:rsidRPr="00CA2CC1">
        <w:rPr>
          <w:rFonts w:cs="Calibri"/>
          <w:color w:val="414042"/>
          <w:sz w:val="18"/>
        </w:rPr>
        <w:t>FRD</w:t>
      </w:r>
      <w:r w:rsidRPr="00CA2CC1">
        <w:rPr>
          <w:rFonts w:cs="Calibri"/>
          <w:color w:val="414042"/>
          <w:spacing w:val="-2"/>
          <w:sz w:val="18"/>
        </w:rPr>
        <w:t xml:space="preserve"> </w:t>
      </w:r>
      <w:r w:rsidRPr="00CA2CC1">
        <w:rPr>
          <w:rFonts w:cs="Calibri"/>
          <w:color w:val="414042"/>
          <w:spacing w:val="-5"/>
          <w:sz w:val="18"/>
        </w:rPr>
        <w:t>22</w:t>
      </w:r>
      <w:r w:rsidR="00846E14" w:rsidRPr="00CA2CC1">
        <w:rPr>
          <w:rFonts w:cs="Calibri"/>
          <w:color w:val="414042"/>
          <w:sz w:val="18"/>
        </w:rPr>
        <w:t xml:space="preserve"> </w:t>
      </w:r>
      <w:r w:rsidR="003F1335" w:rsidRPr="00CA2CC1">
        <w:rPr>
          <w:rFonts w:cs="Calibri"/>
          <w:color w:val="414042"/>
          <w:sz w:val="18"/>
        </w:rPr>
        <w:t xml:space="preserve">             </w:t>
      </w:r>
      <w:r w:rsidRPr="00CA2CC1">
        <w:rPr>
          <w:rFonts w:cs="Calibri"/>
          <w:color w:val="414042"/>
          <w:sz w:val="18"/>
        </w:rPr>
        <w:t xml:space="preserve">Organisational </w:t>
      </w:r>
      <w:r w:rsidRPr="00CA2CC1">
        <w:rPr>
          <w:rFonts w:cs="Calibri"/>
          <w:color w:val="414042"/>
          <w:spacing w:val="-2"/>
          <w:sz w:val="18"/>
        </w:rPr>
        <w:t>structure</w:t>
      </w:r>
      <w:r w:rsidRPr="00CA2CC1">
        <w:rPr>
          <w:rFonts w:cs="Calibri"/>
          <w:color w:val="414042"/>
          <w:sz w:val="18"/>
        </w:rPr>
        <w:tab/>
      </w:r>
      <w:r w:rsidRPr="00CA2CC1">
        <w:rPr>
          <w:rFonts w:cs="Calibri"/>
          <w:color w:val="414042"/>
          <w:spacing w:val="-5"/>
          <w:sz w:val="18"/>
        </w:rPr>
        <w:t>34</w:t>
      </w:r>
    </w:p>
    <w:p w14:paraId="70CB2376" w14:textId="77777777" w:rsidR="00FA4226" w:rsidRPr="00CA2CC1" w:rsidRDefault="00000000" w:rsidP="0043303B">
      <w:pPr>
        <w:pStyle w:val="BodyText"/>
        <w:spacing w:before="76"/>
        <w:rPr>
          <w:rFonts w:cs="Calibri"/>
        </w:rPr>
      </w:pPr>
      <w:r w:rsidRPr="00CA2CC1">
        <w:rPr>
          <w:rFonts w:cs="Calibri"/>
          <w:color w:val="414042"/>
        </w:rPr>
        <w:t xml:space="preserve">Financial and other </w:t>
      </w:r>
      <w:r w:rsidRPr="00CA2CC1">
        <w:rPr>
          <w:rFonts w:cs="Calibri"/>
          <w:color w:val="414042"/>
          <w:spacing w:val="-2"/>
        </w:rPr>
        <w:t>information</w:t>
      </w:r>
    </w:p>
    <w:p w14:paraId="3C1C4939" w14:textId="77777777" w:rsidR="00FA4226" w:rsidRPr="00CA2CC1" w:rsidRDefault="00FA4226" w:rsidP="0043303B">
      <w:pPr>
        <w:pStyle w:val="BodyText"/>
        <w:spacing w:before="12"/>
        <w:rPr>
          <w:rFonts w:cs="Calibri"/>
          <w:sz w:val="7"/>
        </w:rPr>
      </w:pPr>
    </w:p>
    <w:tbl>
      <w:tblPr>
        <w:tblW w:w="9577" w:type="dxa"/>
        <w:tblLayout w:type="fixed"/>
        <w:tblCellMar>
          <w:left w:w="0" w:type="dxa"/>
          <w:right w:w="0" w:type="dxa"/>
        </w:tblCellMar>
        <w:tblLook w:val="01E0" w:firstRow="1" w:lastRow="1" w:firstColumn="1" w:lastColumn="1" w:noHBand="0" w:noVBand="0"/>
      </w:tblPr>
      <w:tblGrid>
        <w:gridCol w:w="1073"/>
        <w:gridCol w:w="7099"/>
        <w:gridCol w:w="1405"/>
      </w:tblGrid>
      <w:tr w:rsidR="00FA4226" w:rsidRPr="00CA2CC1" w14:paraId="1FD93B8F" w14:textId="77777777" w:rsidTr="00846E14">
        <w:trPr>
          <w:trHeight w:val="250"/>
        </w:trPr>
        <w:tc>
          <w:tcPr>
            <w:tcW w:w="1073" w:type="dxa"/>
          </w:tcPr>
          <w:p w14:paraId="2431EF8B" w14:textId="77777777" w:rsidR="00FA4226" w:rsidRPr="00CA2CC1" w:rsidRDefault="00000000" w:rsidP="0043303B">
            <w:pPr>
              <w:pStyle w:val="TableParagraph"/>
              <w:jc w:val="left"/>
              <w:rPr>
                <w:rFonts w:cs="Calibri"/>
                <w:sz w:val="18"/>
              </w:rPr>
            </w:pPr>
            <w:r w:rsidRPr="00CA2CC1">
              <w:rPr>
                <w:rFonts w:cs="Calibri"/>
                <w:color w:val="414042"/>
                <w:sz w:val="18"/>
              </w:rPr>
              <w:t xml:space="preserve">FRD </w:t>
            </w:r>
            <w:r w:rsidRPr="00CA2CC1">
              <w:rPr>
                <w:rFonts w:cs="Calibri"/>
                <w:color w:val="414042"/>
                <w:spacing w:val="-10"/>
                <w:sz w:val="18"/>
              </w:rPr>
              <w:t>8</w:t>
            </w:r>
          </w:p>
        </w:tc>
        <w:tc>
          <w:tcPr>
            <w:tcW w:w="7099" w:type="dxa"/>
          </w:tcPr>
          <w:p w14:paraId="2ABF6730" w14:textId="77777777" w:rsidR="00FA4226" w:rsidRPr="00CA2CC1" w:rsidRDefault="00000000" w:rsidP="0043303B">
            <w:pPr>
              <w:pStyle w:val="TableParagraph"/>
              <w:jc w:val="left"/>
              <w:rPr>
                <w:rFonts w:cs="Calibri"/>
                <w:sz w:val="18"/>
              </w:rPr>
            </w:pPr>
            <w:r w:rsidRPr="00CA2CC1">
              <w:rPr>
                <w:rFonts w:cs="Calibri"/>
                <w:color w:val="414042"/>
                <w:sz w:val="18"/>
              </w:rPr>
              <w:t xml:space="preserve">Performance against output performance </w:t>
            </w:r>
            <w:r w:rsidRPr="00CA2CC1">
              <w:rPr>
                <w:rFonts w:cs="Calibri"/>
                <w:color w:val="414042"/>
                <w:spacing w:val="-2"/>
                <w:sz w:val="18"/>
              </w:rPr>
              <w:t>measures</w:t>
            </w:r>
          </w:p>
        </w:tc>
        <w:tc>
          <w:tcPr>
            <w:tcW w:w="1405" w:type="dxa"/>
          </w:tcPr>
          <w:p w14:paraId="0BE65F0D" w14:textId="77777777" w:rsidR="00FA4226" w:rsidRPr="00CA2CC1" w:rsidRDefault="00000000" w:rsidP="0043303B">
            <w:pPr>
              <w:pStyle w:val="TableParagraph"/>
              <w:rPr>
                <w:rFonts w:cs="Calibri"/>
                <w:sz w:val="18"/>
              </w:rPr>
            </w:pPr>
            <w:r w:rsidRPr="00CA2CC1">
              <w:rPr>
                <w:rFonts w:cs="Calibri"/>
                <w:color w:val="414042"/>
                <w:sz w:val="18"/>
              </w:rPr>
              <w:t>7-</w:t>
            </w:r>
            <w:r w:rsidRPr="00CA2CC1">
              <w:rPr>
                <w:rFonts w:cs="Calibri"/>
                <w:color w:val="414042"/>
                <w:spacing w:val="-5"/>
                <w:sz w:val="18"/>
              </w:rPr>
              <w:t>31</w:t>
            </w:r>
          </w:p>
        </w:tc>
      </w:tr>
      <w:tr w:rsidR="00FA4226" w:rsidRPr="00CA2CC1" w14:paraId="600093D0" w14:textId="77777777" w:rsidTr="00846E14">
        <w:trPr>
          <w:trHeight w:val="288"/>
        </w:trPr>
        <w:tc>
          <w:tcPr>
            <w:tcW w:w="1073" w:type="dxa"/>
          </w:tcPr>
          <w:p w14:paraId="6BCE9B83" w14:textId="77777777" w:rsidR="00FA4226" w:rsidRPr="00CA2CC1" w:rsidRDefault="00000000" w:rsidP="0043303B">
            <w:pPr>
              <w:pStyle w:val="TableParagraph"/>
              <w:spacing w:before="2"/>
              <w:jc w:val="left"/>
              <w:rPr>
                <w:rFonts w:cs="Calibri"/>
                <w:sz w:val="18"/>
              </w:rPr>
            </w:pPr>
            <w:r w:rsidRPr="00CA2CC1">
              <w:rPr>
                <w:rFonts w:cs="Calibri"/>
                <w:color w:val="414042"/>
                <w:sz w:val="18"/>
              </w:rPr>
              <w:t xml:space="preserve">FRD </w:t>
            </w:r>
            <w:r w:rsidRPr="00CA2CC1">
              <w:rPr>
                <w:rFonts w:cs="Calibri"/>
                <w:color w:val="414042"/>
                <w:spacing w:val="-10"/>
                <w:sz w:val="18"/>
              </w:rPr>
              <w:t>8</w:t>
            </w:r>
          </w:p>
        </w:tc>
        <w:tc>
          <w:tcPr>
            <w:tcW w:w="7099" w:type="dxa"/>
          </w:tcPr>
          <w:p w14:paraId="7030E420" w14:textId="77777777" w:rsidR="00FA4226" w:rsidRPr="00CA2CC1" w:rsidRDefault="00000000" w:rsidP="0043303B">
            <w:pPr>
              <w:pStyle w:val="TableParagraph"/>
              <w:spacing w:before="2"/>
              <w:jc w:val="left"/>
              <w:rPr>
                <w:rFonts w:cs="Calibri"/>
                <w:sz w:val="18"/>
              </w:rPr>
            </w:pPr>
            <w:r w:rsidRPr="00CA2CC1">
              <w:rPr>
                <w:rFonts w:cs="Calibri"/>
                <w:color w:val="414042"/>
                <w:sz w:val="18"/>
              </w:rPr>
              <w:t xml:space="preserve">Budget portfolio </w:t>
            </w:r>
            <w:r w:rsidRPr="00CA2CC1">
              <w:rPr>
                <w:rFonts w:cs="Calibri"/>
                <w:color w:val="414042"/>
                <w:spacing w:val="-2"/>
                <w:sz w:val="18"/>
              </w:rPr>
              <w:t>outcomes</w:t>
            </w:r>
          </w:p>
        </w:tc>
        <w:tc>
          <w:tcPr>
            <w:tcW w:w="1405" w:type="dxa"/>
          </w:tcPr>
          <w:p w14:paraId="1EACA347" w14:textId="77777777" w:rsidR="00FA4226" w:rsidRPr="00CA2CC1" w:rsidRDefault="00000000" w:rsidP="0043303B">
            <w:pPr>
              <w:pStyle w:val="TableParagraph"/>
              <w:spacing w:before="2"/>
              <w:rPr>
                <w:rFonts w:cs="Calibri"/>
                <w:sz w:val="18"/>
              </w:rPr>
            </w:pPr>
            <w:r w:rsidRPr="00CA2CC1">
              <w:rPr>
                <w:rFonts w:cs="Calibri"/>
                <w:color w:val="414042"/>
                <w:spacing w:val="-5"/>
                <w:sz w:val="18"/>
              </w:rPr>
              <w:t>N/A</w:t>
            </w:r>
          </w:p>
        </w:tc>
      </w:tr>
      <w:tr w:rsidR="00FA4226" w:rsidRPr="00CA2CC1" w14:paraId="07A47957" w14:textId="77777777" w:rsidTr="00846E14">
        <w:trPr>
          <w:trHeight w:val="288"/>
        </w:trPr>
        <w:tc>
          <w:tcPr>
            <w:tcW w:w="1073" w:type="dxa"/>
          </w:tcPr>
          <w:p w14:paraId="1133752C" w14:textId="77777777" w:rsidR="00FA4226" w:rsidRPr="00CA2CC1" w:rsidRDefault="00000000" w:rsidP="0043303B">
            <w:pPr>
              <w:pStyle w:val="TableParagraph"/>
              <w:spacing w:before="2"/>
              <w:jc w:val="left"/>
              <w:rPr>
                <w:rFonts w:cs="Calibri"/>
                <w:sz w:val="18"/>
              </w:rPr>
            </w:pPr>
            <w:r w:rsidRPr="00CA2CC1">
              <w:rPr>
                <w:rFonts w:cs="Calibri"/>
                <w:color w:val="414042"/>
                <w:sz w:val="18"/>
              </w:rPr>
              <w:t>FRD</w:t>
            </w:r>
            <w:r w:rsidRPr="00CA2CC1">
              <w:rPr>
                <w:rFonts w:cs="Calibri"/>
                <w:color w:val="414042"/>
                <w:spacing w:val="-2"/>
                <w:sz w:val="18"/>
              </w:rPr>
              <w:t xml:space="preserve"> </w:t>
            </w:r>
            <w:r w:rsidRPr="00CA2CC1">
              <w:rPr>
                <w:rFonts w:cs="Calibri"/>
                <w:color w:val="414042"/>
                <w:spacing w:val="-5"/>
                <w:sz w:val="18"/>
              </w:rPr>
              <w:t>10</w:t>
            </w:r>
          </w:p>
        </w:tc>
        <w:tc>
          <w:tcPr>
            <w:tcW w:w="7099" w:type="dxa"/>
          </w:tcPr>
          <w:p w14:paraId="7E22CDF5" w14:textId="77777777" w:rsidR="00FA4226" w:rsidRPr="00CA2CC1" w:rsidRDefault="00000000" w:rsidP="0043303B">
            <w:pPr>
              <w:pStyle w:val="TableParagraph"/>
              <w:spacing w:before="2"/>
              <w:jc w:val="left"/>
              <w:rPr>
                <w:rFonts w:cs="Calibri"/>
                <w:sz w:val="18"/>
              </w:rPr>
            </w:pPr>
            <w:r w:rsidRPr="00CA2CC1">
              <w:rPr>
                <w:rFonts w:cs="Calibri"/>
                <w:color w:val="414042"/>
                <w:sz w:val="18"/>
              </w:rPr>
              <w:t>Disclosure</w:t>
            </w:r>
            <w:r w:rsidRPr="00CA2CC1">
              <w:rPr>
                <w:rFonts w:cs="Calibri"/>
                <w:color w:val="414042"/>
                <w:spacing w:val="-4"/>
                <w:sz w:val="18"/>
              </w:rPr>
              <w:t xml:space="preserve"> </w:t>
            </w:r>
            <w:r w:rsidRPr="00CA2CC1">
              <w:rPr>
                <w:rFonts w:cs="Calibri"/>
                <w:color w:val="414042"/>
                <w:spacing w:val="-2"/>
                <w:sz w:val="18"/>
              </w:rPr>
              <w:t>index</w:t>
            </w:r>
          </w:p>
        </w:tc>
        <w:tc>
          <w:tcPr>
            <w:tcW w:w="1405" w:type="dxa"/>
          </w:tcPr>
          <w:p w14:paraId="184419F5" w14:textId="77777777" w:rsidR="00FA4226" w:rsidRPr="00CA2CC1" w:rsidRDefault="00000000" w:rsidP="0043303B">
            <w:pPr>
              <w:pStyle w:val="TableParagraph"/>
              <w:spacing w:before="2"/>
              <w:rPr>
                <w:rFonts w:cs="Calibri"/>
                <w:sz w:val="18"/>
              </w:rPr>
            </w:pPr>
            <w:r w:rsidRPr="00CA2CC1">
              <w:rPr>
                <w:rFonts w:cs="Calibri"/>
                <w:color w:val="414042"/>
                <w:spacing w:val="-5"/>
                <w:sz w:val="18"/>
              </w:rPr>
              <w:t>48</w:t>
            </w:r>
          </w:p>
        </w:tc>
      </w:tr>
      <w:tr w:rsidR="00FA4226" w:rsidRPr="00CA2CC1" w14:paraId="2245E2DC" w14:textId="77777777" w:rsidTr="00846E14">
        <w:trPr>
          <w:trHeight w:val="288"/>
        </w:trPr>
        <w:tc>
          <w:tcPr>
            <w:tcW w:w="1073" w:type="dxa"/>
          </w:tcPr>
          <w:p w14:paraId="4BCFADF6" w14:textId="77777777" w:rsidR="00FA4226" w:rsidRPr="00CA2CC1" w:rsidRDefault="00000000" w:rsidP="0043303B">
            <w:pPr>
              <w:pStyle w:val="TableParagraph"/>
              <w:spacing w:before="2"/>
              <w:jc w:val="left"/>
              <w:rPr>
                <w:rFonts w:cs="Calibri"/>
                <w:sz w:val="18"/>
              </w:rPr>
            </w:pPr>
            <w:r w:rsidRPr="00CA2CC1">
              <w:rPr>
                <w:rFonts w:cs="Calibri"/>
                <w:color w:val="414042"/>
                <w:sz w:val="18"/>
              </w:rPr>
              <w:t>FRD</w:t>
            </w:r>
            <w:r w:rsidRPr="00CA2CC1">
              <w:rPr>
                <w:rFonts w:cs="Calibri"/>
                <w:color w:val="414042"/>
                <w:spacing w:val="-2"/>
                <w:sz w:val="18"/>
              </w:rPr>
              <w:t xml:space="preserve"> </w:t>
            </w:r>
            <w:r w:rsidRPr="00CA2CC1">
              <w:rPr>
                <w:rFonts w:cs="Calibri"/>
                <w:color w:val="414042"/>
                <w:spacing w:val="-5"/>
                <w:sz w:val="18"/>
              </w:rPr>
              <w:t>12</w:t>
            </w:r>
          </w:p>
        </w:tc>
        <w:tc>
          <w:tcPr>
            <w:tcW w:w="7099" w:type="dxa"/>
          </w:tcPr>
          <w:p w14:paraId="79518869" w14:textId="77777777" w:rsidR="00FA4226" w:rsidRPr="00CA2CC1" w:rsidRDefault="00000000" w:rsidP="0043303B">
            <w:pPr>
              <w:pStyle w:val="TableParagraph"/>
              <w:spacing w:before="2"/>
              <w:jc w:val="left"/>
              <w:rPr>
                <w:rFonts w:cs="Calibri"/>
                <w:sz w:val="18"/>
              </w:rPr>
            </w:pPr>
            <w:r w:rsidRPr="00CA2CC1">
              <w:rPr>
                <w:rFonts w:cs="Calibri"/>
                <w:color w:val="414042"/>
                <w:sz w:val="18"/>
              </w:rPr>
              <w:t>Disclosure</w:t>
            </w:r>
            <w:r w:rsidRPr="00CA2CC1">
              <w:rPr>
                <w:rFonts w:cs="Calibri"/>
                <w:color w:val="414042"/>
                <w:spacing w:val="-2"/>
                <w:sz w:val="18"/>
              </w:rPr>
              <w:t xml:space="preserve"> </w:t>
            </w:r>
            <w:r w:rsidRPr="00CA2CC1">
              <w:rPr>
                <w:rFonts w:cs="Calibri"/>
                <w:color w:val="414042"/>
                <w:sz w:val="18"/>
              </w:rPr>
              <w:t>of</w:t>
            </w:r>
            <w:r w:rsidRPr="00CA2CC1">
              <w:rPr>
                <w:rFonts w:cs="Calibri"/>
                <w:color w:val="414042"/>
                <w:spacing w:val="-1"/>
                <w:sz w:val="18"/>
              </w:rPr>
              <w:t xml:space="preserve"> </w:t>
            </w:r>
            <w:r w:rsidRPr="00CA2CC1">
              <w:rPr>
                <w:rFonts w:cs="Calibri"/>
                <w:color w:val="414042"/>
                <w:sz w:val="18"/>
              </w:rPr>
              <w:t>major</w:t>
            </w:r>
            <w:r w:rsidRPr="00CA2CC1">
              <w:rPr>
                <w:rFonts w:cs="Calibri"/>
                <w:color w:val="414042"/>
                <w:spacing w:val="-1"/>
                <w:sz w:val="18"/>
              </w:rPr>
              <w:t xml:space="preserve"> </w:t>
            </w:r>
            <w:r w:rsidRPr="00CA2CC1">
              <w:rPr>
                <w:rFonts w:cs="Calibri"/>
                <w:color w:val="414042"/>
                <w:spacing w:val="-2"/>
                <w:sz w:val="18"/>
              </w:rPr>
              <w:t>contracts</w:t>
            </w:r>
          </w:p>
        </w:tc>
        <w:tc>
          <w:tcPr>
            <w:tcW w:w="1405" w:type="dxa"/>
          </w:tcPr>
          <w:p w14:paraId="47EB2060" w14:textId="77777777" w:rsidR="00FA4226" w:rsidRPr="00CA2CC1" w:rsidRDefault="00000000" w:rsidP="0043303B">
            <w:pPr>
              <w:pStyle w:val="TableParagraph"/>
              <w:spacing w:before="2"/>
              <w:rPr>
                <w:rFonts w:cs="Calibri"/>
                <w:sz w:val="18"/>
              </w:rPr>
            </w:pPr>
            <w:r w:rsidRPr="00CA2CC1">
              <w:rPr>
                <w:rFonts w:cs="Calibri"/>
                <w:color w:val="414042"/>
                <w:sz w:val="18"/>
              </w:rPr>
              <w:t>44-</w:t>
            </w:r>
            <w:r w:rsidRPr="00CA2CC1">
              <w:rPr>
                <w:rFonts w:cs="Calibri"/>
                <w:color w:val="414042"/>
                <w:spacing w:val="-5"/>
                <w:sz w:val="18"/>
              </w:rPr>
              <w:t>45</w:t>
            </w:r>
          </w:p>
        </w:tc>
      </w:tr>
      <w:tr w:rsidR="00FA4226" w:rsidRPr="00CA2CC1" w14:paraId="7112FD3A" w14:textId="77777777" w:rsidTr="00846E14">
        <w:trPr>
          <w:trHeight w:val="288"/>
        </w:trPr>
        <w:tc>
          <w:tcPr>
            <w:tcW w:w="1073" w:type="dxa"/>
          </w:tcPr>
          <w:p w14:paraId="6E1CDF8C" w14:textId="77777777" w:rsidR="00FA4226" w:rsidRPr="00CA2CC1" w:rsidRDefault="00000000" w:rsidP="0043303B">
            <w:pPr>
              <w:pStyle w:val="TableParagraph"/>
              <w:spacing w:before="2"/>
              <w:jc w:val="left"/>
              <w:rPr>
                <w:rFonts w:cs="Calibri"/>
                <w:sz w:val="18"/>
              </w:rPr>
            </w:pPr>
            <w:r w:rsidRPr="00CA2CC1">
              <w:rPr>
                <w:rFonts w:cs="Calibri"/>
                <w:color w:val="414042"/>
                <w:sz w:val="18"/>
              </w:rPr>
              <w:t>FRD</w:t>
            </w:r>
            <w:r w:rsidRPr="00CA2CC1">
              <w:rPr>
                <w:rFonts w:cs="Calibri"/>
                <w:color w:val="414042"/>
                <w:spacing w:val="-2"/>
                <w:sz w:val="18"/>
              </w:rPr>
              <w:t xml:space="preserve"> </w:t>
            </w:r>
            <w:r w:rsidRPr="00CA2CC1">
              <w:rPr>
                <w:rFonts w:cs="Calibri"/>
                <w:color w:val="414042"/>
                <w:spacing w:val="-5"/>
                <w:sz w:val="18"/>
              </w:rPr>
              <w:t>15</w:t>
            </w:r>
          </w:p>
        </w:tc>
        <w:tc>
          <w:tcPr>
            <w:tcW w:w="7099" w:type="dxa"/>
          </w:tcPr>
          <w:p w14:paraId="64B8DE97" w14:textId="77777777" w:rsidR="00FA4226" w:rsidRPr="00CA2CC1" w:rsidRDefault="00000000" w:rsidP="0043303B">
            <w:pPr>
              <w:pStyle w:val="TableParagraph"/>
              <w:spacing w:before="2"/>
              <w:jc w:val="left"/>
              <w:rPr>
                <w:rFonts w:cs="Calibri"/>
                <w:sz w:val="18"/>
              </w:rPr>
            </w:pPr>
            <w:r w:rsidRPr="00CA2CC1">
              <w:rPr>
                <w:rFonts w:cs="Calibri"/>
                <w:color w:val="414042"/>
                <w:sz w:val="18"/>
              </w:rPr>
              <w:t>Executive</w:t>
            </w:r>
            <w:r w:rsidRPr="00CA2CC1">
              <w:rPr>
                <w:rFonts w:cs="Calibri"/>
                <w:color w:val="414042"/>
                <w:spacing w:val="-2"/>
                <w:sz w:val="18"/>
              </w:rPr>
              <w:t xml:space="preserve"> disclosures</w:t>
            </w:r>
          </w:p>
        </w:tc>
        <w:tc>
          <w:tcPr>
            <w:tcW w:w="1405" w:type="dxa"/>
          </w:tcPr>
          <w:p w14:paraId="234033E1" w14:textId="77777777" w:rsidR="00FA4226" w:rsidRPr="00CA2CC1" w:rsidRDefault="00000000" w:rsidP="0043303B">
            <w:pPr>
              <w:pStyle w:val="TableParagraph"/>
              <w:spacing w:before="2"/>
              <w:rPr>
                <w:rFonts w:cs="Calibri"/>
                <w:sz w:val="18"/>
              </w:rPr>
            </w:pPr>
            <w:r w:rsidRPr="00CA2CC1">
              <w:rPr>
                <w:rFonts w:cs="Calibri"/>
                <w:color w:val="414042"/>
                <w:spacing w:val="-5"/>
                <w:sz w:val="18"/>
              </w:rPr>
              <w:t>43</w:t>
            </w:r>
          </w:p>
        </w:tc>
      </w:tr>
      <w:tr w:rsidR="00FA4226" w:rsidRPr="00CA2CC1" w14:paraId="57424F32" w14:textId="77777777" w:rsidTr="00846E14">
        <w:trPr>
          <w:trHeight w:val="288"/>
        </w:trPr>
        <w:tc>
          <w:tcPr>
            <w:tcW w:w="1073" w:type="dxa"/>
          </w:tcPr>
          <w:p w14:paraId="008986A5" w14:textId="77777777" w:rsidR="00FA4226" w:rsidRPr="00CA2CC1" w:rsidRDefault="00000000" w:rsidP="0043303B">
            <w:pPr>
              <w:pStyle w:val="TableParagraph"/>
              <w:spacing w:before="2"/>
              <w:jc w:val="left"/>
              <w:rPr>
                <w:rFonts w:cs="Calibri"/>
                <w:sz w:val="18"/>
              </w:rPr>
            </w:pPr>
            <w:r w:rsidRPr="00CA2CC1">
              <w:rPr>
                <w:rFonts w:cs="Calibri"/>
                <w:color w:val="414042"/>
                <w:sz w:val="18"/>
              </w:rPr>
              <w:t>FRD</w:t>
            </w:r>
            <w:r w:rsidRPr="00CA2CC1">
              <w:rPr>
                <w:rFonts w:cs="Calibri"/>
                <w:color w:val="414042"/>
                <w:spacing w:val="-2"/>
                <w:sz w:val="18"/>
              </w:rPr>
              <w:t xml:space="preserve"> </w:t>
            </w:r>
            <w:r w:rsidRPr="00CA2CC1">
              <w:rPr>
                <w:rFonts w:cs="Calibri"/>
                <w:color w:val="414042"/>
                <w:spacing w:val="-5"/>
                <w:sz w:val="18"/>
              </w:rPr>
              <w:t>22</w:t>
            </w:r>
          </w:p>
        </w:tc>
        <w:tc>
          <w:tcPr>
            <w:tcW w:w="7099" w:type="dxa"/>
          </w:tcPr>
          <w:p w14:paraId="36FF2310" w14:textId="77777777" w:rsidR="00FA4226" w:rsidRPr="00CA2CC1" w:rsidRDefault="00000000" w:rsidP="0043303B">
            <w:pPr>
              <w:pStyle w:val="TableParagraph"/>
              <w:spacing w:before="2"/>
              <w:jc w:val="left"/>
              <w:rPr>
                <w:rFonts w:cs="Calibri"/>
                <w:sz w:val="18"/>
              </w:rPr>
            </w:pPr>
            <w:r w:rsidRPr="00CA2CC1">
              <w:rPr>
                <w:rFonts w:cs="Calibri"/>
                <w:color w:val="414042"/>
                <w:sz w:val="18"/>
              </w:rPr>
              <w:t xml:space="preserve">Employment and conduct </w:t>
            </w:r>
            <w:r w:rsidRPr="00CA2CC1">
              <w:rPr>
                <w:rFonts w:cs="Calibri"/>
                <w:color w:val="414042"/>
                <w:spacing w:val="-2"/>
                <w:sz w:val="18"/>
              </w:rPr>
              <w:t>principles</w:t>
            </w:r>
          </w:p>
        </w:tc>
        <w:tc>
          <w:tcPr>
            <w:tcW w:w="1405" w:type="dxa"/>
          </w:tcPr>
          <w:p w14:paraId="74F0DC5A" w14:textId="77777777" w:rsidR="00FA4226" w:rsidRPr="00CA2CC1" w:rsidRDefault="00000000" w:rsidP="0043303B">
            <w:pPr>
              <w:pStyle w:val="TableParagraph"/>
              <w:spacing w:before="2"/>
              <w:rPr>
                <w:rFonts w:cs="Calibri"/>
                <w:sz w:val="18"/>
              </w:rPr>
            </w:pPr>
            <w:r w:rsidRPr="00CA2CC1">
              <w:rPr>
                <w:rFonts w:cs="Calibri"/>
                <w:color w:val="414042"/>
                <w:spacing w:val="-5"/>
                <w:sz w:val="18"/>
              </w:rPr>
              <w:t>41</w:t>
            </w:r>
          </w:p>
        </w:tc>
      </w:tr>
      <w:tr w:rsidR="00FA4226" w:rsidRPr="00CA2CC1" w14:paraId="53FFECE8" w14:textId="77777777" w:rsidTr="00846E14">
        <w:trPr>
          <w:trHeight w:val="288"/>
        </w:trPr>
        <w:tc>
          <w:tcPr>
            <w:tcW w:w="1073" w:type="dxa"/>
          </w:tcPr>
          <w:p w14:paraId="25E51D96" w14:textId="77777777" w:rsidR="00FA4226" w:rsidRPr="00CA2CC1" w:rsidRDefault="00000000" w:rsidP="0043303B">
            <w:pPr>
              <w:pStyle w:val="TableParagraph"/>
              <w:spacing w:before="2"/>
              <w:jc w:val="left"/>
              <w:rPr>
                <w:rFonts w:cs="Calibri"/>
                <w:sz w:val="18"/>
              </w:rPr>
            </w:pPr>
            <w:r w:rsidRPr="00CA2CC1">
              <w:rPr>
                <w:rFonts w:cs="Calibri"/>
                <w:color w:val="414042"/>
                <w:sz w:val="18"/>
              </w:rPr>
              <w:t>FRD</w:t>
            </w:r>
            <w:r w:rsidRPr="00CA2CC1">
              <w:rPr>
                <w:rFonts w:cs="Calibri"/>
                <w:color w:val="414042"/>
                <w:spacing w:val="-2"/>
                <w:sz w:val="18"/>
              </w:rPr>
              <w:t xml:space="preserve"> </w:t>
            </w:r>
            <w:r w:rsidRPr="00CA2CC1">
              <w:rPr>
                <w:rFonts w:cs="Calibri"/>
                <w:color w:val="414042"/>
                <w:spacing w:val="-5"/>
                <w:sz w:val="18"/>
              </w:rPr>
              <w:t>22</w:t>
            </w:r>
          </w:p>
        </w:tc>
        <w:tc>
          <w:tcPr>
            <w:tcW w:w="7099" w:type="dxa"/>
          </w:tcPr>
          <w:p w14:paraId="61ACD6F6" w14:textId="77777777" w:rsidR="00FA4226" w:rsidRPr="00CA2CC1" w:rsidRDefault="00000000" w:rsidP="0043303B">
            <w:pPr>
              <w:pStyle w:val="TableParagraph"/>
              <w:spacing w:before="2"/>
              <w:jc w:val="left"/>
              <w:rPr>
                <w:rFonts w:cs="Calibri"/>
                <w:sz w:val="18"/>
              </w:rPr>
            </w:pPr>
            <w:r w:rsidRPr="00CA2CC1">
              <w:rPr>
                <w:rFonts w:cs="Calibri"/>
                <w:color w:val="414042"/>
                <w:sz w:val="18"/>
              </w:rPr>
              <w:t xml:space="preserve">Occupational health and safety </w:t>
            </w:r>
            <w:r w:rsidRPr="00CA2CC1">
              <w:rPr>
                <w:rFonts w:cs="Calibri"/>
                <w:color w:val="414042"/>
                <w:spacing w:val="-2"/>
                <w:sz w:val="18"/>
              </w:rPr>
              <w:t>policy</w:t>
            </w:r>
          </w:p>
        </w:tc>
        <w:tc>
          <w:tcPr>
            <w:tcW w:w="1405" w:type="dxa"/>
          </w:tcPr>
          <w:p w14:paraId="3EBF828B" w14:textId="77777777" w:rsidR="00FA4226" w:rsidRPr="00CA2CC1" w:rsidRDefault="00000000" w:rsidP="0043303B">
            <w:pPr>
              <w:pStyle w:val="TableParagraph"/>
              <w:spacing w:before="2"/>
              <w:rPr>
                <w:rFonts w:cs="Calibri"/>
                <w:sz w:val="18"/>
              </w:rPr>
            </w:pPr>
            <w:r w:rsidRPr="00CA2CC1">
              <w:rPr>
                <w:rFonts w:cs="Calibri"/>
                <w:color w:val="414042"/>
                <w:spacing w:val="-5"/>
                <w:sz w:val="18"/>
              </w:rPr>
              <w:t>41</w:t>
            </w:r>
          </w:p>
        </w:tc>
      </w:tr>
      <w:tr w:rsidR="00FA4226" w:rsidRPr="00CA2CC1" w14:paraId="04CEE86C" w14:textId="77777777" w:rsidTr="00846E14">
        <w:trPr>
          <w:trHeight w:val="288"/>
        </w:trPr>
        <w:tc>
          <w:tcPr>
            <w:tcW w:w="1073" w:type="dxa"/>
          </w:tcPr>
          <w:p w14:paraId="1C305507" w14:textId="77777777" w:rsidR="00FA4226" w:rsidRPr="00CA2CC1" w:rsidRDefault="00000000" w:rsidP="0043303B">
            <w:pPr>
              <w:pStyle w:val="TableParagraph"/>
              <w:spacing w:before="2"/>
              <w:jc w:val="left"/>
              <w:rPr>
                <w:rFonts w:cs="Calibri"/>
                <w:sz w:val="18"/>
              </w:rPr>
            </w:pPr>
            <w:r w:rsidRPr="00CA2CC1">
              <w:rPr>
                <w:rFonts w:cs="Calibri"/>
                <w:color w:val="414042"/>
                <w:sz w:val="18"/>
              </w:rPr>
              <w:t>FRD</w:t>
            </w:r>
            <w:r w:rsidRPr="00CA2CC1">
              <w:rPr>
                <w:rFonts w:cs="Calibri"/>
                <w:color w:val="414042"/>
                <w:spacing w:val="-2"/>
                <w:sz w:val="18"/>
              </w:rPr>
              <w:t xml:space="preserve"> </w:t>
            </w:r>
            <w:r w:rsidRPr="00CA2CC1">
              <w:rPr>
                <w:rFonts w:cs="Calibri"/>
                <w:color w:val="414042"/>
                <w:spacing w:val="-5"/>
                <w:sz w:val="18"/>
              </w:rPr>
              <w:t>22</w:t>
            </w:r>
          </w:p>
        </w:tc>
        <w:tc>
          <w:tcPr>
            <w:tcW w:w="7099" w:type="dxa"/>
          </w:tcPr>
          <w:p w14:paraId="053AB1BB" w14:textId="77777777" w:rsidR="00FA4226" w:rsidRPr="00CA2CC1" w:rsidRDefault="00000000" w:rsidP="0043303B">
            <w:pPr>
              <w:pStyle w:val="TableParagraph"/>
              <w:spacing w:before="2"/>
              <w:jc w:val="left"/>
              <w:rPr>
                <w:rFonts w:cs="Calibri"/>
                <w:sz w:val="18"/>
              </w:rPr>
            </w:pPr>
            <w:r w:rsidRPr="00CA2CC1">
              <w:rPr>
                <w:rFonts w:cs="Calibri"/>
                <w:color w:val="414042"/>
                <w:sz w:val="18"/>
              </w:rPr>
              <w:t>Summary</w:t>
            </w:r>
            <w:r w:rsidRPr="00CA2CC1">
              <w:rPr>
                <w:rFonts w:cs="Calibri"/>
                <w:color w:val="414042"/>
                <w:spacing w:val="-1"/>
                <w:sz w:val="18"/>
              </w:rPr>
              <w:t xml:space="preserve"> </w:t>
            </w:r>
            <w:r w:rsidRPr="00CA2CC1">
              <w:rPr>
                <w:rFonts w:cs="Calibri"/>
                <w:color w:val="414042"/>
                <w:sz w:val="18"/>
              </w:rPr>
              <w:t>of</w:t>
            </w:r>
            <w:r w:rsidRPr="00CA2CC1">
              <w:rPr>
                <w:rFonts w:cs="Calibri"/>
                <w:color w:val="414042"/>
                <w:spacing w:val="-1"/>
                <w:sz w:val="18"/>
              </w:rPr>
              <w:t xml:space="preserve"> </w:t>
            </w:r>
            <w:r w:rsidRPr="00CA2CC1">
              <w:rPr>
                <w:rFonts w:cs="Calibri"/>
                <w:color w:val="414042"/>
                <w:sz w:val="18"/>
              </w:rPr>
              <w:t>the financial</w:t>
            </w:r>
            <w:r w:rsidRPr="00CA2CC1">
              <w:rPr>
                <w:rFonts w:cs="Calibri"/>
                <w:color w:val="414042"/>
                <w:spacing w:val="-1"/>
                <w:sz w:val="18"/>
              </w:rPr>
              <w:t xml:space="preserve"> </w:t>
            </w:r>
            <w:r w:rsidRPr="00CA2CC1">
              <w:rPr>
                <w:rFonts w:cs="Calibri"/>
                <w:color w:val="414042"/>
                <w:sz w:val="18"/>
              </w:rPr>
              <w:t>results for</w:t>
            </w:r>
            <w:r w:rsidRPr="00CA2CC1">
              <w:rPr>
                <w:rFonts w:cs="Calibri"/>
                <w:color w:val="414042"/>
                <w:spacing w:val="-1"/>
                <w:sz w:val="18"/>
              </w:rPr>
              <w:t xml:space="preserve"> </w:t>
            </w:r>
            <w:r w:rsidRPr="00CA2CC1">
              <w:rPr>
                <w:rFonts w:cs="Calibri"/>
                <w:color w:val="414042"/>
                <w:sz w:val="18"/>
              </w:rPr>
              <w:t xml:space="preserve">the </w:t>
            </w:r>
            <w:r w:rsidRPr="00CA2CC1">
              <w:rPr>
                <w:rFonts w:cs="Calibri"/>
                <w:color w:val="414042"/>
                <w:spacing w:val="-4"/>
                <w:sz w:val="18"/>
              </w:rPr>
              <w:t>year</w:t>
            </w:r>
          </w:p>
        </w:tc>
        <w:tc>
          <w:tcPr>
            <w:tcW w:w="1405" w:type="dxa"/>
          </w:tcPr>
          <w:p w14:paraId="37C111A6" w14:textId="77777777" w:rsidR="00FA4226" w:rsidRPr="00CA2CC1" w:rsidRDefault="00000000" w:rsidP="0043303B">
            <w:pPr>
              <w:pStyle w:val="TableParagraph"/>
              <w:spacing w:before="2"/>
              <w:rPr>
                <w:rFonts w:cs="Calibri"/>
                <w:sz w:val="18"/>
              </w:rPr>
            </w:pPr>
            <w:r w:rsidRPr="00CA2CC1">
              <w:rPr>
                <w:rFonts w:cs="Calibri"/>
                <w:color w:val="414042"/>
                <w:spacing w:val="-5"/>
                <w:sz w:val="18"/>
              </w:rPr>
              <w:t>32</w:t>
            </w:r>
          </w:p>
        </w:tc>
      </w:tr>
      <w:tr w:rsidR="00FA4226" w:rsidRPr="00CA2CC1" w14:paraId="2C0D342E" w14:textId="77777777" w:rsidTr="00846E14">
        <w:trPr>
          <w:trHeight w:val="288"/>
        </w:trPr>
        <w:tc>
          <w:tcPr>
            <w:tcW w:w="1073" w:type="dxa"/>
          </w:tcPr>
          <w:p w14:paraId="10B725EB" w14:textId="77777777" w:rsidR="00FA4226" w:rsidRPr="00CA2CC1" w:rsidRDefault="00000000" w:rsidP="0043303B">
            <w:pPr>
              <w:pStyle w:val="TableParagraph"/>
              <w:spacing w:before="2"/>
              <w:jc w:val="left"/>
              <w:rPr>
                <w:rFonts w:cs="Calibri"/>
                <w:sz w:val="18"/>
              </w:rPr>
            </w:pPr>
            <w:r w:rsidRPr="00CA2CC1">
              <w:rPr>
                <w:rFonts w:cs="Calibri"/>
                <w:color w:val="414042"/>
                <w:sz w:val="18"/>
              </w:rPr>
              <w:t>FRD</w:t>
            </w:r>
            <w:r w:rsidRPr="00CA2CC1">
              <w:rPr>
                <w:rFonts w:cs="Calibri"/>
                <w:color w:val="414042"/>
                <w:spacing w:val="-2"/>
                <w:sz w:val="18"/>
              </w:rPr>
              <w:t xml:space="preserve"> </w:t>
            </w:r>
            <w:r w:rsidRPr="00CA2CC1">
              <w:rPr>
                <w:rFonts w:cs="Calibri"/>
                <w:color w:val="414042"/>
                <w:spacing w:val="-5"/>
                <w:sz w:val="18"/>
              </w:rPr>
              <w:t>22</w:t>
            </w:r>
          </w:p>
        </w:tc>
        <w:tc>
          <w:tcPr>
            <w:tcW w:w="7099" w:type="dxa"/>
          </w:tcPr>
          <w:p w14:paraId="5D366210" w14:textId="77777777" w:rsidR="00FA4226" w:rsidRPr="00CA2CC1" w:rsidRDefault="00000000" w:rsidP="0043303B">
            <w:pPr>
              <w:pStyle w:val="TableParagraph"/>
              <w:spacing w:before="2"/>
              <w:jc w:val="left"/>
              <w:rPr>
                <w:rFonts w:cs="Calibri"/>
                <w:sz w:val="18"/>
              </w:rPr>
            </w:pPr>
            <w:r w:rsidRPr="00CA2CC1">
              <w:rPr>
                <w:rFonts w:cs="Calibri"/>
                <w:color w:val="414042"/>
                <w:sz w:val="18"/>
              </w:rPr>
              <w:t xml:space="preserve">Significant changes in financial position during the </w:t>
            </w:r>
            <w:r w:rsidRPr="00CA2CC1">
              <w:rPr>
                <w:rFonts w:cs="Calibri"/>
                <w:color w:val="414042"/>
                <w:spacing w:val="-4"/>
                <w:sz w:val="18"/>
              </w:rPr>
              <w:t>year</w:t>
            </w:r>
          </w:p>
        </w:tc>
        <w:tc>
          <w:tcPr>
            <w:tcW w:w="1405" w:type="dxa"/>
          </w:tcPr>
          <w:p w14:paraId="0A5CFAC6" w14:textId="77777777" w:rsidR="00FA4226" w:rsidRPr="00CA2CC1" w:rsidRDefault="00000000" w:rsidP="0043303B">
            <w:pPr>
              <w:pStyle w:val="TableParagraph"/>
              <w:spacing w:before="2"/>
              <w:rPr>
                <w:rFonts w:cs="Calibri"/>
                <w:sz w:val="18"/>
              </w:rPr>
            </w:pPr>
            <w:r w:rsidRPr="00CA2CC1">
              <w:rPr>
                <w:rFonts w:cs="Calibri"/>
                <w:color w:val="414042"/>
                <w:spacing w:val="-5"/>
                <w:sz w:val="18"/>
              </w:rPr>
              <w:t>32</w:t>
            </w:r>
          </w:p>
        </w:tc>
      </w:tr>
      <w:tr w:rsidR="00FA4226" w:rsidRPr="00CA2CC1" w14:paraId="7C399D54" w14:textId="77777777" w:rsidTr="00846E14">
        <w:trPr>
          <w:trHeight w:val="288"/>
        </w:trPr>
        <w:tc>
          <w:tcPr>
            <w:tcW w:w="1073" w:type="dxa"/>
          </w:tcPr>
          <w:p w14:paraId="11978FAC" w14:textId="77777777" w:rsidR="00FA4226" w:rsidRPr="00CA2CC1" w:rsidRDefault="00000000" w:rsidP="0043303B">
            <w:pPr>
              <w:pStyle w:val="TableParagraph"/>
              <w:spacing w:before="2"/>
              <w:jc w:val="left"/>
              <w:rPr>
                <w:rFonts w:cs="Calibri"/>
                <w:sz w:val="18"/>
              </w:rPr>
            </w:pPr>
            <w:r w:rsidRPr="00CA2CC1">
              <w:rPr>
                <w:rFonts w:cs="Calibri"/>
                <w:color w:val="414042"/>
                <w:sz w:val="18"/>
              </w:rPr>
              <w:t>FRD</w:t>
            </w:r>
            <w:r w:rsidRPr="00CA2CC1">
              <w:rPr>
                <w:rFonts w:cs="Calibri"/>
                <w:color w:val="414042"/>
                <w:spacing w:val="-2"/>
                <w:sz w:val="18"/>
              </w:rPr>
              <w:t xml:space="preserve"> </w:t>
            </w:r>
            <w:r w:rsidRPr="00CA2CC1">
              <w:rPr>
                <w:rFonts w:cs="Calibri"/>
                <w:color w:val="414042"/>
                <w:spacing w:val="-5"/>
                <w:sz w:val="18"/>
              </w:rPr>
              <w:t>22</w:t>
            </w:r>
          </w:p>
        </w:tc>
        <w:tc>
          <w:tcPr>
            <w:tcW w:w="7099" w:type="dxa"/>
          </w:tcPr>
          <w:p w14:paraId="7E6F6D7B" w14:textId="77777777" w:rsidR="00FA4226" w:rsidRPr="00CA2CC1" w:rsidRDefault="00000000" w:rsidP="0043303B">
            <w:pPr>
              <w:pStyle w:val="TableParagraph"/>
              <w:spacing w:before="2"/>
              <w:jc w:val="left"/>
              <w:rPr>
                <w:rFonts w:cs="Calibri"/>
                <w:sz w:val="18"/>
              </w:rPr>
            </w:pPr>
            <w:r w:rsidRPr="00CA2CC1">
              <w:rPr>
                <w:rFonts w:cs="Calibri"/>
                <w:color w:val="414042"/>
                <w:sz w:val="18"/>
              </w:rPr>
              <w:t>Major</w:t>
            </w:r>
            <w:r w:rsidRPr="00CA2CC1">
              <w:rPr>
                <w:rFonts w:cs="Calibri"/>
                <w:color w:val="414042"/>
                <w:spacing w:val="-1"/>
                <w:sz w:val="18"/>
              </w:rPr>
              <w:t xml:space="preserve"> </w:t>
            </w:r>
            <w:r w:rsidRPr="00CA2CC1">
              <w:rPr>
                <w:rFonts w:cs="Calibri"/>
                <w:color w:val="414042"/>
                <w:sz w:val="18"/>
              </w:rPr>
              <w:t>changes</w:t>
            </w:r>
            <w:r w:rsidRPr="00CA2CC1">
              <w:rPr>
                <w:rFonts w:cs="Calibri"/>
                <w:color w:val="414042"/>
                <w:spacing w:val="-1"/>
                <w:sz w:val="18"/>
              </w:rPr>
              <w:t xml:space="preserve"> </w:t>
            </w:r>
            <w:r w:rsidRPr="00CA2CC1">
              <w:rPr>
                <w:rFonts w:cs="Calibri"/>
                <w:color w:val="414042"/>
                <w:sz w:val="18"/>
              </w:rPr>
              <w:t>or</w:t>
            </w:r>
            <w:r w:rsidRPr="00CA2CC1">
              <w:rPr>
                <w:rFonts w:cs="Calibri"/>
                <w:color w:val="414042"/>
                <w:spacing w:val="-1"/>
                <w:sz w:val="18"/>
              </w:rPr>
              <w:t xml:space="preserve"> </w:t>
            </w:r>
            <w:r w:rsidRPr="00CA2CC1">
              <w:rPr>
                <w:rFonts w:cs="Calibri"/>
                <w:color w:val="414042"/>
                <w:sz w:val="18"/>
              </w:rPr>
              <w:t>factors</w:t>
            </w:r>
            <w:r w:rsidRPr="00CA2CC1">
              <w:rPr>
                <w:rFonts w:cs="Calibri"/>
                <w:color w:val="414042"/>
                <w:spacing w:val="-1"/>
                <w:sz w:val="18"/>
              </w:rPr>
              <w:t xml:space="preserve"> </w:t>
            </w:r>
            <w:r w:rsidRPr="00CA2CC1">
              <w:rPr>
                <w:rFonts w:cs="Calibri"/>
                <w:color w:val="414042"/>
                <w:sz w:val="18"/>
              </w:rPr>
              <w:t xml:space="preserve">affecting </w:t>
            </w:r>
            <w:r w:rsidRPr="00CA2CC1">
              <w:rPr>
                <w:rFonts w:cs="Calibri"/>
                <w:color w:val="414042"/>
                <w:spacing w:val="-2"/>
                <w:sz w:val="18"/>
              </w:rPr>
              <w:t>performance</w:t>
            </w:r>
          </w:p>
        </w:tc>
        <w:tc>
          <w:tcPr>
            <w:tcW w:w="1405" w:type="dxa"/>
          </w:tcPr>
          <w:p w14:paraId="13C80A23" w14:textId="77777777" w:rsidR="00FA4226" w:rsidRPr="00CA2CC1" w:rsidRDefault="00000000" w:rsidP="0043303B">
            <w:pPr>
              <w:pStyle w:val="TableParagraph"/>
              <w:spacing w:before="2"/>
              <w:rPr>
                <w:rFonts w:cs="Calibri"/>
                <w:sz w:val="18"/>
              </w:rPr>
            </w:pPr>
            <w:r w:rsidRPr="00CA2CC1">
              <w:rPr>
                <w:rFonts w:cs="Calibri"/>
                <w:color w:val="414042"/>
                <w:spacing w:val="-5"/>
                <w:sz w:val="18"/>
              </w:rPr>
              <w:t>32</w:t>
            </w:r>
          </w:p>
        </w:tc>
      </w:tr>
      <w:tr w:rsidR="00FA4226" w:rsidRPr="00CA2CC1" w14:paraId="153CA4B9" w14:textId="77777777" w:rsidTr="00846E14">
        <w:trPr>
          <w:trHeight w:val="288"/>
        </w:trPr>
        <w:tc>
          <w:tcPr>
            <w:tcW w:w="1073" w:type="dxa"/>
          </w:tcPr>
          <w:p w14:paraId="49559DB2" w14:textId="77777777" w:rsidR="00FA4226" w:rsidRPr="00CA2CC1" w:rsidRDefault="00000000" w:rsidP="0043303B">
            <w:pPr>
              <w:pStyle w:val="TableParagraph"/>
              <w:spacing w:before="2"/>
              <w:jc w:val="left"/>
              <w:rPr>
                <w:rFonts w:cs="Calibri"/>
                <w:sz w:val="18"/>
              </w:rPr>
            </w:pPr>
            <w:r w:rsidRPr="00CA2CC1">
              <w:rPr>
                <w:rFonts w:cs="Calibri"/>
                <w:color w:val="414042"/>
                <w:sz w:val="18"/>
              </w:rPr>
              <w:t>FRD</w:t>
            </w:r>
            <w:r w:rsidRPr="00CA2CC1">
              <w:rPr>
                <w:rFonts w:cs="Calibri"/>
                <w:color w:val="414042"/>
                <w:spacing w:val="-2"/>
                <w:sz w:val="18"/>
              </w:rPr>
              <w:t xml:space="preserve"> </w:t>
            </w:r>
            <w:r w:rsidRPr="00CA2CC1">
              <w:rPr>
                <w:rFonts w:cs="Calibri"/>
                <w:color w:val="414042"/>
                <w:spacing w:val="-5"/>
                <w:sz w:val="18"/>
              </w:rPr>
              <w:t>22</w:t>
            </w:r>
          </w:p>
        </w:tc>
        <w:tc>
          <w:tcPr>
            <w:tcW w:w="7099" w:type="dxa"/>
          </w:tcPr>
          <w:p w14:paraId="748F8B01" w14:textId="77777777" w:rsidR="00FA4226" w:rsidRPr="00CA2CC1" w:rsidRDefault="00000000" w:rsidP="0043303B">
            <w:pPr>
              <w:pStyle w:val="TableParagraph"/>
              <w:spacing w:before="2"/>
              <w:jc w:val="left"/>
              <w:rPr>
                <w:rFonts w:cs="Calibri"/>
                <w:sz w:val="18"/>
              </w:rPr>
            </w:pPr>
            <w:r w:rsidRPr="00CA2CC1">
              <w:rPr>
                <w:rFonts w:cs="Calibri"/>
                <w:color w:val="414042"/>
                <w:sz w:val="18"/>
              </w:rPr>
              <w:t xml:space="preserve">Subsequent </w:t>
            </w:r>
            <w:r w:rsidRPr="00CA2CC1">
              <w:rPr>
                <w:rFonts w:cs="Calibri"/>
                <w:color w:val="414042"/>
                <w:spacing w:val="-2"/>
                <w:sz w:val="18"/>
              </w:rPr>
              <w:t>events</w:t>
            </w:r>
          </w:p>
        </w:tc>
        <w:tc>
          <w:tcPr>
            <w:tcW w:w="1405" w:type="dxa"/>
          </w:tcPr>
          <w:p w14:paraId="41D4A14B" w14:textId="77777777" w:rsidR="00FA4226" w:rsidRPr="00CA2CC1" w:rsidRDefault="00000000" w:rsidP="0043303B">
            <w:pPr>
              <w:pStyle w:val="TableParagraph"/>
              <w:spacing w:before="2"/>
              <w:rPr>
                <w:rFonts w:cs="Calibri"/>
                <w:sz w:val="18"/>
              </w:rPr>
            </w:pPr>
            <w:r w:rsidRPr="00CA2CC1">
              <w:rPr>
                <w:rFonts w:cs="Calibri"/>
                <w:color w:val="414042"/>
                <w:spacing w:val="-5"/>
                <w:sz w:val="18"/>
              </w:rPr>
              <w:t>32</w:t>
            </w:r>
          </w:p>
        </w:tc>
      </w:tr>
      <w:tr w:rsidR="00FA4226" w:rsidRPr="00CA2CC1" w14:paraId="3398D294" w14:textId="77777777" w:rsidTr="00846E14">
        <w:trPr>
          <w:trHeight w:val="288"/>
        </w:trPr>
        <w:tc>
          <w:tcPr>
            <w:tcW w:w="1073" w:type="dxa"/>
          </w:tcPr>
          <w:p w14:paraId="528804F4" w14:textId="77777777" w:rsidR="00FA4226" w:rsidRPr="00CA2CC1" w:rsidRDefault="00000000" w:rsidP="0043303B">
            <w:pPr>
              <w:pStyle w:val="TableParagraph"/>
              <w:spacing w:before="2"/>
              <w:jc w:val="left"/>
              <w:rPr>
                <w:rFonts w:cs="Calibri"/>
                <w:sz w:val="18"/>
              </w:rPr>
            </w:pPr>
            <w:r w:rsidRPr="00CA2CC1">
              <w:rPr>
                <w:rFonts w:cs="Calibri"/>
                <w:color w:val="414042"/>
                <w:sz w:val="18"/>
              </w:rPr>
              <w:t>FRD</w:t>
            </w:r>
            <w:r w:rsidRPr="00CA2CC1">
              <w:rPr>
                <w:rFonts w:cs="Calibri"/>
                <w:color w:val="414042"/>
                <w:spacing w:val="-2"/>
                <w:sz w:val="18"/>
              </w:rPr>
              <w:t xml:space="preserve"> </w:t>
            </w:r>
            <w:r w:rsidRPr="00CA2CC1">
              <w:rPr>
                <w:rFonts w:cs="Calibri"/>
                <w:color w:val="414042"/>
                <w:spacing w:val="-5"/>
                <w:sz w:val="18"/>
              </w:rPr>
              <w:t>22</w:t>
            </w:r>
          </w:p>
        </w:tc>
        <w:tc>
          <w:tcPr>
            <w:tcW w:w="7099" w:type="dxa"/>
          </w:tcPr>
          <w:p w14:paraId="4732E3E0" w14:textId="77777777" w:rsidR="00FA4226" w:rsidRPr="00CA2CC1" w:rsidRDefault="00000000" w:rsidP="0043303B">
            <w:pPr>
              <w:pStyle w:val="TableParagraph"/>
              <w:spacing w:before="2"/>
              <w:jc w:val="left"/>
              <w:rPr>
                <w:rFonts w:cs="Calibri"/>
                <w:sz w:val="18"/>
              </w:rPr>
            </w:pPr>
            <w:r w:rsidRPr="00CA2CC1">
              <w:rPr>
                <w:rFonts w:cs="Calibri"/>
                <w:color w:val="414042"/>
                <w:sz w:val="18"/>
              </w:rPr>
              <w:t>Application</w:t>
            </w:r>
            <w:r w:rsidRPr="00CA2CC1">
              <w:rPr>
                <w:rFonts w:cs="Calibri"/>
                <w:color w:val="414042"/>
                <w:spacing w:val="-1"/>
                <w:sz w:val="18"/>
              </w:rPr>
              <w:t xml:space="preserve"> </w:t>
            </w:r>
            <w:r w:rsidRPr="00CA2CC1">
              <w:rPr>
                <w:rFonts w:cs="Calibri"/>
                <w:color w:val="414042"/>
                <w:sz w:val="18"/>
              </w:rPr>
              <w:t>and operation</w:t>
            </w:r>
            <w:r w:rsidRPr="00CA2CC1">
              <w:rPr>
                <w:rFonts w:cs="Calibri"/>
                <w:color w:val="414042"/>
                <w:spacing w:val="-1"/>
                <w:sz w:val="18"/>
              </w:rPr>
              <w:t xml:space="preserve"> </w:t>
            </w:r>
            <w:r w:rsidRPr="00CA2CC1">
              <w:rPr>
                <w:rFonts w:cs="Calibri"/>
                <w:color w:val="414042"/>
                <w:sz w:val="18"/>
              </w:rPr>
              <w:t>of Freedom</w:t>
            </w:r>
            <w:r w:rsidRPr="00CA2CC1">
              <w:rPr>
                <w:rFonts w:cs="Calibri"/>
                <w:color w:val="414042"/>
                <w:spacing w:val="-1"/>
                <w:sz w:val="18"/>
              </w:rPr>
              <w:t xml:space="preserve"> </w:t>
            </w:r>
            <w:r w:rsidRPr="00CA2CC1">
              <w:rPr>
                <w:rFonts w:cs="Calibri"/>
                <w:color w:val="414042"/>
                <w:sz w:val="18"/>
              </w:rPr>
              <w:t>of Information</w:t>
            </w:r>
            <w:r w:rsidRPr="00CA2CC1">
              <w:rPr>
                <w:rFonts w:cs="Calibri"/>
                <w:color w:val="414042"/>
                <w:spacing w:val="-1"/>
                <w:sz w:val="18"/>
              </w:rPr>
              <w:t xml:space="preserve"> </w:t>
            </w:r>
            <w:r w:rsidRPr="00CA2CC1">
              <w:rPr>
                <w:rFonts w:cs="Calibri"/>
                <w:color w:val="414042"/>
                <w:sz w:val="18"/>
              </w:rPr>
              <w:t xml:space="preserve">Act </w:t>
            </w:r>
            <w:r w:rsidRPr="00CA2CC1">
              <w:rPr>
                <w:rFonts w:cs="Calibri"/>
                <w:color w:val="414042"/>
                <w:spacing w:val="-4"/>
                <w:sz w:val="18"/>
              </w:rPr>
              <w:t>1982</w:t>
            </w:r>
          </w:p>
        </w:tc>
        <w:tc>
          <w:tcPr>
            <w:tcW w:w="1405" w:type="dxa"/>
          </w:tcPr>
          <w:p w14:paraId="065CDD0C" w14:textId="77777777" w:rsidR="00FA4226" w:rsidRPr="00CA2CC1" w:rsidRDefault="00000000" w:rsidP="0043303B">
            <w:pPr>
              <w:pStyle w:val="TableParagraph"/>
              <w:spacing w:before="2"/>
              <w:rPr>
                <w:rFonts w:cs="Calibri"/>
                <w:sz w:val="18"/>
              </w:rPr>
            </w:pPr>
            <w:r w:rsidRPr="00CA2CC1">
              <w:rPr>
                <w:rFonts w:cs="Calibri"/>
                <w:color w:val="414042"/>
                <w:spacing w:val="-5"/>
                <w:sz w:val="18"/>
              </w:rPr>
              <w:t>46</w:t>
            </w:r>
          </w:p>
        </w:tc>
      </w:tr>
      <w:tr w:rsidR="00FA4226" w:rsidRPr="00CA2CC1" w14:paraId="2C4BBD61" w14:textId="77777777" w:rsidTr="00846E14">
        <w:trPr>
          <w:trHeight w:val="288"/>
        </w:trPr>
        <w:tc>
          <w:tcPr>
            <w:tcW w:w="1073" w:type="dxa"/>
          </w:tcPr>
          <w:p w14:paraId="08D33A9B" w14:textId="77777777" w:rsidR="00FA4226" w:rsidRPr="00CA2CC1" w:rsidRDefault="00000000" w:rsidP="0043303B">
            <w:pPr>
              <w:pStyle w:val="TableParagraph"/>
              <w:spacing w:before="2"/>
              <w:jc w:val="left"/>
              <w:rPr>
                <w:rFonts w:cs="Calibri"/>
                <w:sz w:val="18"/>
              </w:rPr>
            </w:pPr>
            <w:r w:rsidRPr="00CA2CC1">
              <w:rPr>
                <w:rFonts w:cs="Calibri"/>
                <w:color w:val="414042"/>
                <w:sz w:val="18"/>
              </w:rPr>
              <w:t>FRD</w:t>
            </w:r>
            <w:r w:rsidRPr="00CA2CC1">
              <w:rPr>
                <w:rFonts w:cs="Calibri"/>
                <w:color w:val="414042"/>
                <w:spacing w:val="-2"/>
                <w:sz w:val="18"/>
              </w:rPr>
              <w:t xml:space="preserve"> </w:t>
            </w:r>
            <w:r w:rsidRPr="00CA2CC1">
              <w:rPr>
                <w:rFonts w:cs="Calibri"/>
                <w:color w:val="414042"/>
                <w:spacing w:val="-5"/>
                <w:sz w:val="18"/>
              </w:rPr>
              <w:t>22</w:t>
            </w:r>
          </w:p>
        </w:tc>
        <w:tc>
          <w:tcPr>
            <w:tcW w:w="7099" w:type="dxa"/>
          </w:tcPr>
          <w:p w14:paraId="2A7C00AF" w14:textId="77777777" w:rsidR="00FA4226" w:rsidRPr="00CA2CC1" w:rsidRDefault="00000000" w:rsidP="0043303B">
            <w:pPr>
              <w:pStyle w:val="TableParagraph"/>
              <w:spacing w:before="2"/>
              <w:jc w:val="left"/>
              <w:rPr>
                <w:rFonts w:cs="Calibri"/>
                <w:sz w:val="18"/>
              </w:rPr>
            </w:pPr>
            <w:r w:rsidRPr="00CA2CC1">
              <w:rPr>
                <w:rFonts w:cs="Calibri"/>
                <w:color w:val="414042"/>
                <w:sz w:val="18"/>
              </w:rPr>
              <w:t>Compliance</w:t>
            </w:r>
            <w:r w:rsidRPr="00CA2CC1">
              <w:rPr>
                <w:rFonts w:cs="Calibri"/>
                <w:color w:val="414042"/>
                <w:spacing w:val="-1"/>
                <w:sz w:val="18"/>
              </w:rPr>
              <w:t xml:space="preserve"> </w:t>
            </w:r>
            <w:r w:rsidRPr="00CA2CC1">
              <w:rPr>
                <w:rFonts w:cs="Calibri"/>
                <w:color w:val="414042"/>
                <w:sz w:val="18"/>
              </w:rPr>
              <w:t>with building</w:t>
            </w:r>
            <w:r w:rsidRPr="00CA2CC1">
              <w:rPr>
                <w:rFonts w:cs="Calibri"/>
                <w:color w:val="414042"/>
                <w:spacing w:val="-1"/>
                <w:sz w:val="18"/>
              </w:rPr>
              <w:t xml:space="preserve"> </w:t>
            </w:r>
            <w:r w:rsidRPr="00CA2CC1">
              <w:rPr>
                <w:rFonts w:cs="Calibri"/>
                <w:color w:val="414042"/>
                <w:sz w:val="18"/>
              </w:rPr>
              <w:t>and maintenance</w:t>
            </w:r>
            <w:r w:rsidRPr="00CA2CC1">
              <w:rPr>
                <w:rFonts w:cs="Calibri"/>
                <w:color w:val="414042"/>
                <w:spacing w:val="-1"/>
                <w:sz w:val="18"/>
              </w:rPr>
              <w:t xml:space="preserve"> </w:t>
            </w:r>
            <w:r w:rsidRPr="00CA2CC1">
              <w:rPr>
                <w:rFonts w:cs="Calibri"/>
                <w:color w:val="414042"/>
                <w:sz w:val="18"/>
              </w:rPr>
              <w:t>provisions of</w:t>
            </w:r>
            <w:r w:rsidRPr="00CA2CC1">
              <w:rPr>
                <w:rFonts w:cs="Calibri"/>
                <w:color w:val="414042"/>
                <w:spacing w:val="-1"/>
                <w:sz w:val="18"/>
              </w:rPr>
              <w:t xml:space="preserve"> </w:t>
            </w:r>
            <w:r w:rsidRPr="00CA2CC1">
              <w:rPr>
                <w:rFonts w:cs="Calibri"/>
                <w:color w:val="414042"/>
                <w:sz w:val="18"/>
              </w:rPr>
              <w:t xml:space="preserve">Building Act </w:t>
            </w:r>
            <w:r w:rsidRPr="00CA2CC1">
              <w:rPr>
                <w:rFonts w:cs="Calibri"/>
                <w:color w:val="414042"/>
                <w:spacing w:val="-4"/>
                <w:sz w:val="18"/>
              </w:rPr>
              <w:t>1993</w:t>
            </w:r>
          </w:p>
        </w:tc>
        <w:tc>
          <w:tcPr>
            <w:tcW w:w="1405" w:type="dxa"/>
          </w:tcPr>
          <w:p w14:paraId="72331223" w14:textId="77777777" w:rsidR="00FA4226" w:rsidRPr="00CA2CC1" w:rsidRDefault="00000000" w:rsidP="0043303B">
            <w:pPr>
              <w:pStyle w:val="TableParagraph"/>
              <w:spacing w:before="2"/>
              <w:rPr>
                <w:rFonts w:cs="Calibri"/>
                <w:sz w:val="18"/>
              </w:rPr>
            </w:pPr>
            <w:r w:rsidRPr="00CA2CC1">
              <w:rPr>
                <w:rFonts w:cs="Calibri"/>
                <w:color w:val="414042"/>
                <w:spacing w:val="-5"/>
                <w:sz w:val="18"/>
              </w:rPr>
              <w:t>46</w:t>
            </w:r>
          </w:p>
        </w:tc>
      </w:tr>
      <w:tr w:rsidR="00FA4226" w:rsidRPr="00CA2CC1" w14:paraId="6974A4EE" w14:textId="77777777" w:rsidTr="00846E14">
        <w:trPr>
          <w:trHeight w:val="288"/>
        </w:trPr>
        <w:tc>
          <w:tcPr>
            <w:tcW w:w="1073" w:type="dxa"/>
          </w:tcPr>
          <w:p w14:paraId="70AD0508" w14:textId="77777777" w:rsidR="00FA4226" w:rsidRPr="00CA2CC1" w:rsidRDefault="00000000" w:rsidP="0043303B">
            <w:pPr>
              <w:pStyle w:val="TableParagraph"/>
              <w:spacing w:before="2"/>
              <w:jc w:val="left"/>
              <w:rPr>
                <w:rFonts w:cs="Calibri"/>
                <w:sz w:val="18"/>
              </w:rPr>
            </w:pPr>
            <w:r w:rsidRPr="00CA2CC1">
              <w:rPr>
                <w:rFonts w:cs="Calibri"/>
                <w:color w:val="414042"/>
                <w:sz w:val="18"/>
              </w:rPr>
              <w:t>FRD</w:t>
            </w:r>
            <w:r w:rsidRPr="00CA2CC1">
              <w:rPr>
                <w:rFonts w:cs="Calibri"/>
                <w:color w:val="414042"/>
                <w:spacing w:val="-2"/>
                <w:sz w:val="18"/>
              </w:rPr>
              <w:t xml:space="preserve"> </w:t>
            </w:r>
            <w:r w:rsidRPr="00CA2CC1">
              <w:rPr>
                <w:rFonts w:cs="Calibri"/>
                <w:color w:val="414042"/>
                <w:spacing w:val="-5"/>
                <w:sz w:val="18"/>
              </w:rPr>
              <w:t>22</w:t>
            </w:r>
          </w:p>
        </w:tc>
        <w:tc>
          <w:tcPr>
            <w:tcW w:w="7099" w:type="dxa"/>
          </w:tcPr>
          <w:p w14:paraId="38A6F918" w14:textId="77777777" w:rsidR="00FA4226" w:rsidRPr="00CA2CC1" w:rsidRDefault="00000000" w:rsidP="0043303B">
            <w:pPr>
              <w:pStyle w:val="TableParagraph"/>
              <w:spacing w:before="2"/>
              <w:jc w:val="left"/>
              <w:rPr>
                <w:rFonts w:cs="Calibri"/>
                <w:sz w:val="18"/>
              </w:rPr>
            </w:pPr>
            <w:r w:rsidRPr="00CA2CC1">
              <w:rPr>
                <w:rFonts w:cs="Calibri"/>
                <w:color w:val="414042"/>
                <w:sz w:val="18"/>
              </w:rPr>
              <w:t xml:space="preserve">Statement on National Competition </w:t>
            </w:r>
            <w:r w:rsidRPr="00CA2CC1">
              <w:rPr>
                <w:rFonts w:cs="Calibri"/>
                <w:color w:val="414042"/>
                <w:spacing w:val="-2"/>
                <w:sz w:val="18"/>
              </w:rPr>
              <w:t>Policy</w:t>
            </w:r>
          </w:p>
        </w:tc>
        <w:tc>
          <w:tcPr>
            <w:tcW w:w="1405" w:type="dxa"/>
          </w:tcPr>
          <w:p w14:paraId="78AEEADA" w14:textId="77777777" w:rsidR="00FA4226" w:rsidRPr="00CA2CC1" w:rsidRDefault="00000000" w:rsidP="0043303B">
            <w:pPr>
              <w:pStyle w:val="TableParagraph"/>
              <w:spacing w:before="2"/>
              <w:rPr>
                <w:rFonts w:cs="Calibri"/>
                <w:sz w:val="18"/>
              </w:rPr>
            </w:pPr>
            <w:r w:rsidRPr="00CA2CC1">
              <w:rPr>
                <w:rFonts w:cs="Calibri"/>
                <w:color w:val="414042"/>
                <w:spacing w:val="-5"/>
                <w:sz w:val="18"/>
              </w:rPr>
              <w:t>46</w:t>
            </w:r>
          </w:p>
        </w:tc>
      </w:tr>
      <w:tr w:rsidR="00FA4226" w:rsidRPr="00CA2CC1" w14:paraId="2D1AD85A" w14:textId="77777777" w:rsidTr="00846E14">
        <w:trPr>
          <w:trHeight w:val="288"/>
        </w:trPr>
        <w:tc>
          <w:tcPr>
            <w:tcW w:w="1073" w:type="dxa"/>
          </w:tcPr>
          <w:p w14:paraId="3AE82257" w14:textId="77777777" w:rsidR="00FA4226" w:rsidRPr="00CA2CC1" w:rsidRDefault="00000000" w:rsidP="0043303B">
            <w:pPr>
              <w:pStyle w:val="TableParagraph"/>
              <w:spacing w:before="2"/>
              <w:jc w:val="left"/>
              <w:rPr>
                <w:rFonts w:cs="Calibri"/>
                <w:sz w:val="18"/>
              </w:rPr>
            </w:pPr>
            <w:r w:rsidRPr="00CA2CC1">
              <w:rPr>
                <w:rFonts w:cs="Calibri"/>
                <w:color w:val="414042"/>
                <w:sz w:val="18"/>
              </w:rPr>
              <w:t>FRD</w:t>
            </w:r>
            <w:r w:rsidRPr="00CA2CC1">
              <w:rPr>
                <w:rFonts w:cs="Calibri"/>
                <w:color w:val="414042"/>
                <w:spacing w:val="-2"/>
                <w:sz w:val="18"/>
              </w:rPr>
              <w:t xml:space="preserve"> </w:t>
            </w:r>
            <w:r w:rsidRPr="00CA2CC1">
              <w:rPr>
                <w:rFonts w:cs="Calibri"/>
                <w:color w:val="414042"/>
                <w:spacing w:val="-5"/>
                <w:sz w:val="18"/>
              </w:rPr>
              <w:t>22</w:t>
            </w:r>
          </w:p>
        </w:tc>
        <w:tc>
          <w:tcPr>
            <w:tcW w:w="7099" w:type="dxa"/>
          </w:tcPr>
          <w:p w14:paraId="767A4250" w14:textId="77777777" w:rsidR="00FA4226" w:rsidRPr="00CA2CC1" w:rsidRDefault="00000000" w:rsidP="0043303B">
            <w:pPr>
              <w:pStyle w:val="TableParagraph"/>
              <w:spacing w:before="2"/>
              <w:jc w:val="left"/>
              <w:rPr>
                <w:rFonts w:cs="Calibri"/>
                <w:sz w:val="18"/>
              </w:rPr>
            </w:pPr>
            <w:r w:rsidRPr="00CA2CC1">
              <w:rPr>
                <w:rFonts w:cs="Calibri"/>
                <w:color w:val="414042"/>
                <w:sz w:val="18"/>
              </w:rPr>
              <w:t>Application</w:t>
            </w:r>
            <w:r w:rsidRPr="00CA2CC1">
              <w:rPr>
                <w:rFonts w:cs="Calibri"/>
                <w:color w:val="414042"/>
                <w:spacing w:val="-1"/>
                <w:sz w:val="18"/>
              </w:rPr>
              <w:t xml:space="preserve"> </w:t>
            </w:r>
            <w:r w:rsidRPr="00CA2CC1">
              <w:rPr>
                <w:rFonts w:cs="Calibri"/>
                <w:color w:val="414042"/>
                <w:sz w:val="18"/>
              </w:rPr>
              <w:t>and</w:t>
            </w:r>
            <w:r w:rsidRPr="00CA2CC1">
              <w:rPr>
                <w:rFonts w:cs="Calibri"/>
                <w:color w:val="414042"/>
                <w:spacing w:val="-1"/>
                <w:sz w:val="18"/>
              </w:rPr>
              <w:t xml:space="preserve"> </w:t>
            </w:r>
            <w:r w:rsidRPr="00CA2CC1">
              <w:rPr>
                <w:rFonts w:cs="Calibri"/>
                <w:color w:val="414042"/>
                <w:sz w:val="18"/>
              </w:rPr>
              <w:t>operation</w:t>
            </w:r>
            <w:r w:rsidRPr="00CA2CC1">
              <w:rPr>
                <w:rFonts w:cs="Calibri"/>
                <w:color w:val="414042"/>
                <w:spacing w:val="-1"/>
                <w:sz w:val="18"/>
              </w:rPr>
              <w:t xml:space="preserve"> </w:t>
            </w:r>
            <w:r w:rsidRPr="00CA2CC1">
              <w:rPr>
                <w:rFonts w:cs="Calibri"/>
                <w:color w:val="414042"/>
                <w:sz w:val="18"/>
              </w:rPr>
              <w:t>of</w:t>
            </w:r>
            <w:r w:rsidRPr="00CA2CC1">
              <w:rPr>
                <w:rFonts w:cs="Calibri"/>
                <w:color w:val="414042"/>
                <w:spacing w:val="-1"/>
                <w:sz w:val="18"/>
              </w:rPr>
              <w:t xml:space="preserve"> </w:t>
            </w:r>
            <w:r w:rsidRPr="00CA2CC1">
              <w:rPr>
                <w:rFonts w:cs="Calibri"/>
                <w:color w:val="414042"/>
                <w:sz w:val="18"/>
              </w:rPr>
              <w:t>the</w:t>
            </w:r>
            <w:r w:rsidRPr="00CA2CC1">
              <w:rPr>
                <w:rFonts w:cs="Calibri"/>
                <w:color w:val="414042"/>
                <w:spacing w:val="-1"/>
                <w:sz w:val="18"/>
              </w:rPr>
              <w:t xml:space="preserve"> </w:t>
            </w:r>
            <w:r w:rsidRPr="00CA2CC1">
              <w:rPr>
                <w:rFonts w:cs="Calibri"/>
                <w:color w:val="414042"/>
                <w:sz w:val="18"/>
              </w:rPr>
              <w:t>Public</w:t>
            </w:r>
            <w:r w:rsidRPr="00CA2CC1">
              <w:rPr>
                <w:rFonts w:cs="Calibri"/>
                <w:color w:val="414042"/>
                <w:spacing w:val="-1"/>
                <w:sz w:val="18"/>
              </w:rPr>
              <w:t xml:space="preserve"> </w:t>
            </w:r>
            <w:r w:rsidRPr="00CA2CC1">
              <w:rPr>
                <w:rFonts w:cs="Calibri"/>
                <w:color w:val="414042"/>
                <w:sz w:val="18"/>
              </w:rPr>
              <w:t>Interest</w:t>
            </w:r>
            <w:r w:rsidRPr="00CA2CC1">
              <w:rPr>
                <w:rFonts w:cs="Calibri"/>
                <w:color w:val="414042"/>
                <w:spacing w:val="-1"/>
                <w:sz w:val="18"/>
              </w:rPr>
              <w:t xml:space="preserve"> </w:t>
            </w:r>
            <w:r w:rsidRPr="00CA2CC1">
              <w:rPr>
                <w:rFonts w:cs="Calibri"/>
                <w:color w:val="414042"/>
                <w:sz w:val="18"/>
              </w:rPr>
              <w:t>Disclosures</w:t>
            </w:r>
            <w:r w:rsidRPr="00CA2CC1">
              <w:rPr>
                <w:rFonts w:cs="Calibri"/>
                <w:color w:val="414042"/>
                <w:spacing w:val="-1"/>
                <w:sz w:val="18"/>
              </w:rPr>
              <w:t xml:space="preserve"> </w:t>
            </w:r>
            <w:r w:rsidRPr="00CA2CC1">
              <w:rPr>
                <w:rFonts w:cs="Calibri"/>
                <w:color w:val="414042"/>
                <w:sz w:val="18"/>
              </w:rPr>
              <w:t xml:space="preserve">Act </w:t>
            </w:r>
            <w:r w:rsidRPr="00CA2CC1">
              <w:rPr>
                <w:rFonts w:cs="Calibri"/>
                <w:color w:val="414042"/>
                <w:spacing w:val="-4"/>
                <w:sz w:val="18"/>
              </w:rPr>
              <w:t>2012</w:t>
            </w:r>
          </w:p>
        </w:tc>
        <w:tc>
          <w:tcPr>
            <w:tcW w:w="1405" w:type="dxa"/>
          </w:tcPr>
          <w:p w14:paraId="4B4EE7AE" w14:textId="77777777" w:rsidR="00FA4226" w:rsidRPr="00CA2CC1" w:rsidRDefault="00000000" w:rsidP="0043303B">
            <w:pPr>
              <w:pStyle w:val="TableParagraph"/>
              <w:spacing w:before="2"/>
              <w:rPr>
                <w:rFonts w:cs="Calibri"/>
                <w:sz w:val="18"/>
              </w:rPr>
            </w:pPr>
            <w:r w:rsidRPr="00CA2CC1">
              <w:rPr>
                <w:rFonts w:cs="Calibri"/>
                <w:color w:val="414042"/>
                <w:spacing w:val="-5"/>
                <w:sz w:val="18"/>
              </w:rPr>
              <w:t>47</w:t>
            </w:r>
          </w:p>
        </w:tc>
      </w:tr>
      <w:tr w:rsidR="00FA4226" w:rsidRPr="00CA2CC1" w14:paraId="1AD229A9" w14:textId="77777777" w:rsidTr="00846E14">
        <w:trPr>
          <w:trHeight w:val="288"/>
        </w:trPr>
        <w:tc>
          <w:tcPr>
            <w:tcW w:w="1073" w:type="dxa"/>
          </w:tcPr>
          <w:p w14:paraId="79EABBE0" w14:textId="77777777" w:rsidR="00FA4226" w:rsidRPr="00CA2CC1" w:rsidRDefault="00000000" w:rsidP="0043303B">
            <w:pPr>
              <w:pStyle w:val="TableParagraph"/>
              <w:spacing w:before="2"/>
              <w:jc w:val="left"/>
              <w:rPr>
                <w:rFonts w:cs="Calibri"/>
                <w:sz w:val="18"/>
              </w:rPr>
            </w:pPr>
            <w:r w:rsidRPr="00CA2CC1">
              <w:rPr>
                <w:rFonts w:cs="Calibri"/>
                <w:color w:val="414042"/>
                <w:sz w:val="18"/>
              </w:rPr>
              <w:t>FRD</w:t>
            </w:r>
            <w:r w:rsidRPr="00CA2CC1">
              <w:rPr>
                <w:rFonts w:cs="Calibri"/>
                <w:color w:val="414042"/>
                <w:spacing w:val="-2"/>
                <w:sz w:val="18"/>
              </w:rPr>
              <w:t xml:space="preserve"> </w:t>
            </w:r>
            <w:r w:rsidRPr="00CA2CC1">
              <w:rPr>
                <w:rFonts w:cs="Calibri"/>
                <w:color w:val="414042"/>
                <w:spacing w:val="-5"/>
                <w:sz w:val="18"/>
              </w:rPr>
              <w:t>22</w:t>
            </w:r>
          </w:p>
        </w:tc>
        <w:tc>
          <w:tcPr>
            <w:tcW w:w="7099" w:type="dxa"/>
          </w:tcPr>
          <w:p w14:paraId="3D366FA5" w14:textId="77777777" w:rsidR="00FA4226" w:rsidRPr="00CA2CC1" w:rsidRDefault="00000000" w:rsidP="0043303B">
            <w:pPr>
              <w:pStyle w:val="TableParagraph"/>
              <w:spacing w:before="2"/>
              <w:jc w:val="left"/>
              <w:rPr>
                <w:rFonts w:cs="Calibri"/>
                <w:sz w:val="18"/>
              </w:rPr>
            </w:pPr>
            <w:r w:rsidRPr="00CA2CC1">
              <w:rPr>
                <w:rFonts w:cs="Calibri"/>
                <w:color w:val="414042"/>
                <w:sz w:val="18"/>
              </w:rPr>
              <w:t>Application</w:t>
            </w:r>
            <w:r w:rsidRPr="00CA2CC1">
              <w:rPr>
                <w:rFonts w:cs="Calibri"/>
                <w:color w:val="414042"/>
                <w:spacing w:val="-1"/>
                <w:sz w:val="18"/>
              </w:rPr>
              <w:t xml:space="preserve"> </w:t>
            </w:r>
            <w:r w:rsidRPr="00CA2CC1">
              <w:rPr>
                <w:rFonts w:cs="Calibri"/>
                <w:color w:val="414042"/>
                <w:sz w:val="18"/>
              </w:rPr>
              <w:t>and operation</w:t>
            </w:r>
            <w:r w:rsidRPr="00CA2CC1">
              <w:rPr>
                <w:rFonts w:cs="Calibri"/>
                <w:color w:val="414042"/>
                <w:spacing w:val="-1"/>
                <w:sz w:val="18"/>
              </w:rPr>
              <w:t xml:space="preserve"> </w:t>
            </w:r>
            <w:r w:rsidRPr="00CA2CC1">
              <w:rPr>
                <w:rFonts w:cs="Calibri"/>
                <w:color w:val="414042"/>
                <w:sz w:val="18"/>
              </w:rPr>
              <w:t>of the</w:t>
            </w:r>
            <w:r w:rsidRPr="00CA2CC1">
              <w:rPr>
                <w:rFonts w:cs="Calibri"/>
                <w:color w:val="414042"/>
                <w:spacing w:val="-1"/>
                <w:sz w:val="18"/>
              </w:rPr>
              <w:t xml:space="preserve"> </w:t>
            </w:r>
            <w:r w:rsidRPr="00CA2CC1">
              <w:rPr>
                <w:rFonts w:cs="Calibri"/>
                <w:color w:val="414042"/>
                <w:sz w:val="18"/>
              </w:rPr>
              <w:t>Carers Recognition</w:t>
            </w:r>
            <w:r w:rsidRPr="00CA2CC1">
              <w:rPr>
                <w:rFonts w:cs="Calibri"/>
                <w:color w:val="414042"/>
                <w:spacing w:val="-1"/>
                <w:sz w:val="18"/>
              </w:rPr>
              <w:t xml:space="preserve"> </w:t>
            </w:r>
            <w:r w:rsidRPr="00CA2CC1">
              <w:rPr>
                <w:rFonts w:cs="Calibri"/>
                <w:color w:val="414042"/>
                <w:sz w:val="18"/>
              </w:rPr>
              <w:t xml:space="preserve">Act </w:t>
            </w:r>
            <w:r w:rsidRPr="00CA2CC1">
              <w:rPr>
                <w:rFonts w:cs="Calibri"/>
                <w:color w:val="414042"/>
                <w:spacing w:val="-4"/>
                <w:sz w:val="18"/>
              </w:rPr>
              <w:t>2012</w:t>
            </w:r>
          </w:p>
        </w:tc>
        <w:tc>
          <w:tcPr>
            <w:tcW w:w="1405" w:type="dxa"/>
          </w:tcPr>
          <w:p w14:paraId="6C65DCBD" w14:textId="77777777" w:rsidR="00FA4226" w:rsidRPr="00CA2CC1" w:rsidRDefault="00000000" w:rsidP="0043303B">
            <w:pPr>
              <w:pStyle w:val="TableParagraph"/>
              <w:spacing w:before="2"/>
              <w:rPr>
                <w:rFonts w:cs="Calibri"/>
                <w:sz w:val="18"/>
              </w:rPr>
            </w:pPr>
            <w:r w:rsidRPr="00CA2CC1">
              <w:rPr>
                <w:rFonts w:cs="Calibri"/>
                <w:color w:val="414042"/>
                <w:spacing w:val="-5"/>
                <w:sz w:val="18"/>
              </w:rPr>
              <w:t>47</w:t>
            </w:r>
          </w:p>
        </w:tc>
      </w:tr>
      <w:tr w:rsidR="00FA4226" w:rsidRPr="00CA2CC1" w14:paraId="4B9676C6" w14:textId="77777777" w:rsidTr="00846E14">
        <w:trPr>
          <w:trHeight w:val="288"/>
        </w:trPr>
        <w:tc>
          <w:tcPr>
            <w:tcW w:w="1073" w:type="dxa"/>
          </w:tcPr>
          <w:p w14:paraId="0B94FA8F" w14:textId="77777777" w:rsidR="00FA4226" w:rsidRPr="00CA2CC1" w:rsidRDefault="00000000" w:rsidP="0043303B">
            <w:pPr>
              <w:pStyle w:val="TableParagraph"/>
              <w:spacing w:before="2"/>
              <w:jc w:val="left"/>
              <w:rPr>
                <w:rFonts w:cs="Calibri"/>
                <w:sz w:val="18"/>
              </w:rPr>
            </w:pPr>
            <w:r w:rsidRPr="00CA2CC1">
              <w:rPr>
                <w:rFonts w:cs="Calibri"/>
                <w:color w:val="414042"/>
                <w:sz w:val="18"/>
              </w:rPr>
              <w:t>FRD</w:t>
            </w:r>
            <w:r w:rsidRPr="00CA2CC1">
              <w:rPr>
                <w:rFonts w:cs="Calibri"/>
                <w:color w:val="414042"/>
                <w:spacing w:val="-2"/>
                <w:sz w:val="18"/>
              </w:rPr>
              <w:t xml:space="preserve"> </w:t>
            </w:r>
            <w:r w:rsidRPr="00CA2CC1">
              <w:rPr>
                <w:rFonts w:cs="Calibri"/>
                <w:color w:val="414042"/>
                <w:spacing w:val="-5"/>
                <w:sz w:val="18"/>
              </w:rPr>
              <w:t>22</w:t>
            </w:r>
          </w:p>
        </w:tc>
        <w:tc>
          <w:tcPr>
            <w:tcW w:w="7099" w:type="dxa"/>
          </w:tcPr>
          <w:p w14:paraId="6D5D0255" w14:textId="77777777" w:rsidR="00FA4226" w:rsidRPr="00CA2CC1" w:rsidRDefault="00000000" w:rsidP="0043303B">
            <w:pPr>
              <w:pStyle w:val="TableParagraph"/>
              <w:spacing w:before="2"/>
              <w:jc w:val="left"/>
              <w:rPr>
                <w:rFonts w:cs="Calibri"/>
                <w:sz w:val="18"/>
              </w:rPr>
            </w:pPr>
            <w:r w:rsidRPr="00CA2CC1">
              <w:rPr>
                <w:rFonts w:cs="Calibri"/>
                <w:color w:val="414042"/>
                <w:sz w:val="18"/>
              </w:rPr>
              <w:t xml:space="preserve">Details of consultancies over $10 </w:t>
            </w:r>
            <w:r w:rsidRPr="00CA2CC1">
              <w:rPr>
                <w:rFonts w:cs="Calibri"/>
                <w:color w:val="414042"/>
                <w:spacing w:val="-5"/>
                <w:sz w:val="18"/>
              </w:rPr>
              <w:t>000</w:t>
            </w:r>
          </w:p>
        </w:tc>
        <w:tc>
          <w:tcPr>
            <w:tcW w:w="1405" w:type="dxa"/>
          </w:tcPr>
          <w:p w14:paraId="242F7489" w14:textId="77777777" w:rsidR="00FA4226" w:rsidRPr="00CA2CC1" w:rsidRDefault="00000000" w:rsidP="0043303B">
            <w:pPr>
              <w:pStyle w:val="TableParagraph"/>
              <w:spacing w:before="2"/>
              <w:rPr>
                <w:rFonts w:cs="Calibri"/>
                <w:sz w:val="18"/>
              </w:rPr>
            </w:pPr>
            <w:r w:rsidRPr="00CA2CC1">
              <w:rPr>
                <w:rFonts w:cs="Calibri"/>
                <w:color w:val="414042"/>
                <w:spacing w:val="-5"/>
                <w:sz w:val="18"/>
              </w:rPr>
              <w:t>43</w:t>
            </w:r>
          </w:p>
        </w:tc>
      </w:tr>
      <w:tr w:rsidR="00FA4226" w:rsidRPr="00CA2CC1" w14:paraId="671293FE" w14:textId="77777777" w:rsidTr="00846E14">
        <w:trPr>
          <w:trHeight w:val="288"/>
        </w:trPr>
        <w:tc>
          <w:tcPr>
            <w:tcW w:w="1073" w:type="dxa"/>
          </w:tcPr>
          <w:p w14:paraId="66575CF3" w14:textId="77777777" w:rsidR="00FA4226" w:rsidRPr="00CA2CC1" w:rsidRDefault="00000000" w:rsidP="0043303B">
            <w:pPr>
              <w:pStyle w:val="TableParagraph"/>
              <w:spacing w:before="2"/>
              <w:jc w:val="left"/>
              <w:rPr>
                <w:rFonts w:cs="Calibri"/>
                <w:sz w:val="18"/>
              </w:rPr>
            </w:pPr>
            <w:r w:rsidRPr="00CA2CC1">
              <w:rPr>
                <w:rFonts w:cs="Calibri"/>
                <w:color w:val="414042"/>
                <w:sz w:val="18"/>
              </w:rPr>
              <w:t>FRD</w:t>
            </w:r>
            <w:r w:rsidRPr="00CA2CC1">
              <w:rPr>
                <w:rFonts w:cs="Calibri"/>
                <w:color w:val="414042"/>
                <w:spacing w:val="-2"/>
                <w:sz w:val="18"/>
              </w:rPr>
              <w:t xml:space="preserve"> </w:t>
            </w:r>
            <w:r w:rsidRPr="00CA2CC1">
              <w:rPr>
                <w:rFonts w:cs="Calibri"/>
                <w:color w:val="414042"/>
                <w:spacing w:val="-5"/>
                <w:sz w:val="18"/>
              </w:rPr>
              <w:t>22</w:t>
            </w:r>
          </w:p>
        </w:tc>
        <w:tc>
          <w:tcPr>
            <w:tcW w:w="7099" w:type="dxa"/>
          </w:tcPr>
          <w:p w14:paraId="4095BA02" w14:textId="77777777" w:rsidR="00FA4226" w:rsidRPr="00CA2CC1" w:rsidRDefault="00000000" w:rsidP="0043303B">
            <w:pPr>
              <w:pStyle w:val="TableParagraph"/>
              <w:spacing w:before="2"/>
              <w:jc w:val="left"/>
              <w:rPr>
                <w:rFonts w:cs="Calibri"/>
                <w:sz w:val="18"/>
              </w:rPr>
            </w:pPr>
            <w:r w:rsidRPr="00CA2CC1">
              <w:rPr>
                <w:rFonts w:cs="Calibri"/>
                <w:color w:val="414042"/>
                <w:sz w:val="18"/>
              </w:rPr>
              <w:t xml:space="preserve">Details of consultancies under $10 </w:t>
            </w:r>
            <w:r w:rsidRPr="00CA2CC1">
              <w:rPr>
                <w:rFonts w:cs="Calibri"/>
                <w:color w:val="414042"/>
                <w:spacing w:val="-5"/>
                <w:sz w:val="18"/>
              </w:rPr>
              <w:t>000</w:t>
            </w:r>
          </w:p>
        </w:tc>
        <w:tc>
          <w:tcPr>
            <w:tcW w:w="1405" w:type="dxa"/>
          </w:tcPr>
          <w:p w14:paraId="4B0DAF80" w14:textId="77777777" w:rsidR="00FA4226" w:rsidRPr="00CA2CC1" w:rsidRDefault="00000000" w:rsidP="0043303B">
            <w:pPr>
              <w:pStyle w:val="TableParagraph"/>
              <w:spacing w:before="2"/>
              <w:rPr>
                <w:rFonts w:cs="Calibri"/>
                <w:sz w:val="18"/>
              </w:rPr>
            </w:pPr>
            <w:r w:rsidRPr="00CA2CC1">
              <w:rPr>
                <w:rFonts w:cs="Calibri"/>
                <w:color w:val="414042"/>
                <w:spacing w:val="-5"/>
                <w:sz w:val="18"/>
              </w:rPr>
              <w:t>43</w:t>
            </w:r>
          </w:p>
        </w:tc>
      </w:tr>
      <w:tr w:rsidR="00FA4226" w:rsidRPr="00CA2CC1" w14:paraId="77D2AF8F" w14:textId="77777777" w:rsidTr="00846E14">
        <w:trPr>
          <w:trHeight w:val="288"/>
        </w:trPr>
        <w:tc>
          <w:tcPr>
            <w:tcW w:w="1073" w:type="dxa"/>
          </w:tcPr>
          <w:p w14:paraId="4EC476F3" w14:textId="77777777" w:rsidR="00FA4226" w:rsidRPr="00CA2CC1" w:rsidRDefault="00000000" w:rsidP="0043303B">
            <w:pPr>
              <w:pStyle w:val="TableParagraph"/>
              <w:spacing w:before="2"/>
              <w:jc w:val="left"/>
              <w:rPr>
                <w:rFonts w:cs="Calibri"/>
                <w:sz w:val="18"/>
              </w:rPr>
            </w:pPr>
            <w:r w:rsidRPr="00CA2CC1">
              <w:rPr>
                <w:rFonts w:cs="Calibri"/>
                <w:color w:val="414042"/>
                <w:sz w:val="18"/>
              </w:rPr>
              <w:t>FRD</w:t>
            </w:r>
            <w:r w:rsidRPr="00CA2CC1">
              <w:rPr>
                <w:rFonts w:cs="Calibri"/>
                <w:color w:val="414042"/>
                <w:spacing w:val="-2"/>
                <w:sz w:val="18"/>
              </w:rPr>
              <w:t xml:space="preserve"> </w:t>
            </w:r>
            <w:r w:rsidRPr="00CA2CC1">
              <w:rPr>
                <w:rFonts w:cs="Calibri"/>
                <w:color w:val="414042"/>
                <w:spacing w:val="-5"/>
                <w:sz w:val="18"/>
              </w:rPr>
              <w:t>22</w:t>
            </w:r>
          </w:p>
        </w:tc>
        <w:tc>
          <w:tcPr>
            <w:tcW w:w="7099" w:type="dxa"/>
          </w:tcPr>
          <w:p w14:paraId="621435E5" w14:textId="77777777" w:rsidR="00FA4226" w:rsidRPr="00CA2CC1" w:rsidRDefault="00000000" w:rsidP="0043303B">
            <w:pPr>
              <w:pStyle w:val="TableParagraph"/>
              <w:spacing w:before="2"/>
              <w:jc w:val="left"/>
              <w:rPr>
                <w:rFonts w:cs="Calibri"/>
                <w:sz w:val="18"/>
              </w:rPr>
            </w:pPr>
            <w:r w:rsidRPr="00CA2CC1">
              <w:rPr>
                <w:rFonts w:cs="Calibri"/>
                <w:color w:val="414042"/>
                <w:sz w:val="18"/>
              </w:rPr>
              <w:t>Disclosure</w:t>
            </w:r>
            <w:r w:rsidRPr="00CA2CC1">
              <w:rPr>
                <w:rFonts w:cs="Calibri"/>
                <w:color w:val="414042"/>
                <w:spacing w:val="-1"/>
                <w:sz w:val="18"/>
              </w:rPr>
              <w:t xml:space="preserve"> </w:t>
            </w:r>
            <w:r w:rsidRPr="00CA2CC1">
              <w:rPr>
                <w:rFonts w:cs="Calibri"/>
                <w:color w:val="414042"/>
                <w:sz w:val="18"/>
              </w:rPr>
              <w:t xml:space="preserve">of government advertising </w:t>
            </w:r>
            <w:r w:rsidRPr="00CA2CC1">
              <w:rPr>
                <w:rFonts w:cs="Calibri"/>
                <w:color w:val="414042"/>
                <w:spacing w:val="-2"/>
                <w:sz w:val="18"/>
              </w:rPr>
              <w:t>expenditure</w:t>
            </w:r>
          </w:p>
        </w:tc>
        <w:tc>
          <w:tcPr>
            <w:tcW w:w="1405" w:type="dxa"/>
          </w:tcPr>
          <w:p w14:paraId="3C64886E" w14:textId="77777777" w:rsidR="00FA4226" w:rsidRPr="00CA2CC1" w:rsidRDefault="00000000" w:rsidP="0043303B">
            <w:pPr>
              <w:pStyle w:val="TableParagraph"/>
              <w:spacing w:before="2"/>
              <w:rPr>
                <w:rFonts w:cs="Calibri"/>
                <w:sz w:val="18"/>
              </w:rPr>
            </w:pPr>
            <w:r w:rsidRPr="00CA2CC1">
              <w:rPr>
                <w:rFonts w:cs="Calibri"/>
                <w:color w:val="414042"/>
                <w:spacing w:val="-5"/>
                <w:sz w:val="18"/>
              </w:rPr>
              <w:t>44</w:t>
            </w:r>
          </w:p>
        </w:tc>
      </w:tr>
      <w:tr w:rsidR="00FA4226" w:rsidRPr="00CA2CC1" w14:paraId="2A7EE5F4" w14:textId="77777777" w:rsidTr="00846E14">
        <w:trPr>
          <w:trHeight w:val="288"/>
        </w:trPr>
        <w:tc>
          <w:tcPr>
            <w:tcW w:w="1073" w:type="dxa"/>
          </w:tcPr>
          <w:p w14:paraId="68A60BB7" w14:textId="77777777" w:rsidR="00FA4226" w:rsidRPr="00CA2CC1" w:rsidRDefault="00000000" w:rsidP="0043303B">
            <w:pPr>
              <w:pStyle w:val="TableParagraph"/>
              <w:spacing w:before="2"/>
              <w:jc w:val="left"/>
              <w:rPr>
                <w:rFonts w:cs="Calibri"/>
                <w:sz w:val="18"/>
              </w:rPr>
            </w:pPr>
            <w:r w:rsidRPr="00CA2CC1">
              <w:rPr>
                <w:rFonts w:cs="Calibri"/>
                <w:color w:val="414042"/>
                <w:sz w:val="18"/>
              </w:rPr>
              <w:t>FRD</w:t>
            </w:r>
            <w:r w:rsidRPr="00CA2CC1">
              <w:rPr>
                <w:rFonts w:cs="Calibri"/>
                <w:color w:val="414042"/>
                <w:spacing w:val="-2"/>
                <w:sz w:val="18"/>
              </w:rPr>
              <w:t xml:space="preserve"> </w:t>
            </w:r>
            <w:r w:rsidRPr="00CA2CC1">
              <w:rPr>
                <w:rFonts w:cs="Calibri"/>
                <w:color w:val="414042"/>
                <w:spacing w:val="-5"/>
                <w:sz w:val="18"/>
              </w:rPr>
              <w:t>22</w:t>
            </w:r>
          </w:p>
        </w:tc>
        <w:tc>
          <w:tcPr>
            <w:tcW w:w="7099" w:type="dxa"/>
          </w:tcPr>
          <w:p w14:paraId="451C549B" w14:textId="77777777" w:rsidR="00FA4226" w:rsidRPr="00CA2CC1" w:rsidRDefault="00000000" w:rsidP="0043303B">
            <w:pPr>
              <w:pStyle w:val="TableParagraph"/>
              <w:spacing w:before="2"/>
              <w:jc w:val="left"/>
              <w:rPr>
                <w:rFonts w:cs="Calibri"/>
                <w:sz w:val="18"/>
              </w:rPr>
            </w:pPr>
            <w:r w:rsidRPr="00CA2CC1">
              <w:rPr>
                <w:rFonts w:cs="Calibri"/>
                <w:color w:val="414042"/>
                <w:sz w:val="18"/>
              </w:rPr>
              <w:t>Disclosure</w:t>
            </w:r>
            <w:r w:rsidRPr="00CA2CC1">
              <w:rPr>
                <w:rFonts w:cs="Calibri"/>
                <w:color w:val="414042"/>
                <w:spacing w:val="-2"/>
                <w:sz w:val="18"/>
              </w:rPr>
              <w:t xml:space="preserve"> </w:t>
            </w:r>
            <w:r w:rsidRPr="00CA2CC1">
              <w:rPr>
                <w:rFonts w:cs="Calibri"/>
                <w:color w:val="414042"/>
                <w:sz w:val="18"/>
              </w:rPr>
              <w:t>of</w:t>
            </w:r>
            <w:r w:rsidRPr="00CA2CC1">
              <w:rPr>
                <w:rFonts w:cs="Calibri"/>
                <w:color w:val="414042"/>
                <w:spacing w:val="-1"/>
                <w:sz w:val="18"/>
              </w:rPr>
              <w:t xml:space="preserve"> </w:t>
            </w:r>
            <w:r w:rsidRPr="00CA2CC1">
              <w:rPr>
                <w:rFonts w:cs="Calibri"/>
                <w:color w:val="414042"/>
                <w:sz w:val="18"/>
              </w:rPr>
              <w:t>ICT</w:t>
            </w:r>
            <w:r w:rsidRPr="00CA2CC1">
              <w:rPr>
                <w:rFonts w:cs="Calibri"/>
                <w:color w:val="414042"/>
                <w:spacing w:val="-1"/>
                <w:sz w:val="18"/>
              </w:rPr>
              <w:t xml:space="preserve"> </w:t>
            </w:r>
            <w:r w:rsidRPr="00CA2CC1">
              <w:rPr>
                <w:rFonts w:cs="Calibri"/>
                <w:color w:val="414042"/>
                <w:spacing w:val="-2"/>
                <w:sz w:val="18"/>
              </w:rPr>
              <w:t>expenditure</w:t>
            </w:r>
          </w:p>
        </w:tc>
        <w:tc>
          <w:tcPr>
            <w:tcW w:w="1405" w:type="dxa"/>
          </w:tcPr>
          <w:p w14:paraId="6AE69213" w14:textId="77777777" w:rsidR="00FA4226" w:rsidRPr="00CA2CC1" w:rsidRDefault="00000000" w:rsidP="0043303B">
            <w:pPr>
              <w:pStyle w:val="TableParagraph"/>
              <w:spacing w:before="2"/>
              <w:rPr>
                <w:rFonts w:cs="Calibri"/>
                <w:sz w:val="18"/>
              </w:rPr>
            </w:pPr>
            <w:r w:rsidRPr="00CA2CC1">
              <w:rPr>
                <w:rFonts w:cs="Calibri"/>
                <w:color w:val="414042"/>
                <w:spacing w:val="-5"/>
                <w:sz w:val="18"/>
              </w:rPr>
              <w:t>46</w:t>
            </w:r>
          </w:p>
        </w:tc>
      </w:tr>
      <w:tr w:rsidR="00FA4226" w:rsidRPr="00CA2CC1" w14:paraId="5757DCF7" w14:textId="77777777" w:rsidTr="00846E14">
        <w:trPr>
          <w:trHeight w:val="288"/>
        </w:trPr>
        <w:tc>
          <w:tcPr>
            <w:tcW w:w="1073" w:type="dxa"/>
          </w:tcPr>
          <w:p w14:paraId="61488FA4" w14:textId="77777777" w:rsidR="00FA4226" w:rsidRPr="00CA2CC1" w:rsidRDefault="00000000" w:rsidP="0043303B">
            <w:pPr>
              <w:pStyle w:val="TableParagraph"/>
              <w:spacing w:before="2"/>
              <w:jc w:val="left"/>
              <w:rPr>
                <w:rFonts w:cs="Calibri"/>
                <w:sz w:val="18"/>
              </w:rPr>
            </w:pPr>
            <w:r w:rsidRPr="00CA2CC1">
              <w:rPr>
                <w:rFonts w:cs="Calibri"/>
                <w:color w:val="414042"/>
                <w:sz w:val="18"/>
              </w:rPr>
              <w:t>FRD</w:t>
            </w:r>
            <w:r w:rsidRPr="00CA2CC1">
              <w:rPr>
                <w:rFonts w:cs="Calibri"/>
                <w:color w:val="414042"/>
                <w:spacing w:val="-2"/>
                <w:sz w:val="18"/>
              </w:rPr>
              <w:t xml:space="preserve"> </w:t>
            </w:r>
            <w:r w:rsidRPr="00CA2CC1">
              <w:rPr>
                <w:rFonts w:cs="Calibri"/>
                <w:color w:val="414042"/>
                <w:spacing w:val="-5"/>
                <w:sz w:val="18"/>
              </w:rPr>
              <w:t>24</w:t>
            </w:r>
          </w:p>
        </w:tc>
        <w:tc>
          <w:tcPr>
            <w:tcW w:w="7099" w:type="dxa"/>
          </w:tcPr>
          <w:p w14:paraId="37BB63CA" w14:textId="77777777" w:rsidR="00FA4226" w:rsidRPr="00CA2CC1" w:rsidRDefault="00000000" w:rsidP="0043303B">
            <w:pPr>
              <w:pStyle w:val="TableParagraph"/>
              <w:spacing w:before="2"/>
              <w:jc w:val="left"/>
              <w:rPr>
                <w:rFonts w:cs="Calibri"/>
                <w:sz w:val="18"/>
              </w:rPr>
            </w:pPr>
            <w:r w:rsidRPr="00CA2CC1">
              <w:rPr>
                <w:rFonts w:cs="Calibri"/>
                <w:color w:val="414042"/>
                <w:sz w:val="18"/>
              </w:rPr>
              <w:t>Environmental</w:t>
            </w:r>
            <w:r w:rsidRPr="00CA2CC1">
              <w:rPr>
                <w:rFonts w:cs="Calibri"/>
                <w:color w:val="414042"/>
                <w:spacing w:val="-4"/>
                <w:sz w:val="18"/>
              </w:rPr>
              <w:t xml:space="preserve"> </w:t>
            </w:r>
            <w:r w:rsidRPr="00CA2CC1">
              <w:rPr>
                <w:rFonts w:cs="Calibri"/>
                <w:color w:val="414042"/>
                <w:spacing w:val="-2"/>
                <w:sz w:val="18"/>
              </w:rPr>
              <w:t>reporting</w:t>
            </w:r>
          </w:p>
        </w:tc>
        <w:tc>
          <w:tcPr>
            <w:tcW w:w="1405" w:type="dxa"/>
          </w:tcPr>
          <w:p w14:paraId="2AF014BA" w14:textId="77777777" w:rsidR="00FA4226" w:rsidRPr="00CA2CC1" w:rsidRDefault="00000000" w:rsidP="0043303B">
            <w:pPr>
              <w:pStyle w:val="TableParagraph"/>
              <w:spacing w:before="2"/>
              <w:rPr>
                <w:rFonts w:cs="Calibri"/>
                <w:sz w:val="18"/>
              </w:rPr>
            </w:pPr>
            <w:r w:rsidRPr="00CA2CC1">
              <w:rPr>
                <w:rFonts w:cs="Calibri"/>
                <w:color w:val="414042"/>
                <w:spacing w:val="-5"/>
                <w:sz w:val="18"/>
              </w:rPr>
              <w:t>47</w:t>
            </w:r>
          </w:p>
        </w:tc>
      </w:tr>
      <w:tr w:rsidR="00FA4226" w:rsidRPr="00CA2CC1" w14:paraId="59B329B8" w14:textId="77777777" w:rsidTr="00846E14">
        <w:trPr>
          <w:trHeight w:val="288"/>
        </w:trPr>
        <w:tc>
          <w:tcPr>
            <w:tcW w:w="1073" w:type="dxa"/>
          </w:tcPr>
          <w:p w14:paraId="60C4CED0" w14:textId="77777777" w:rsidR="00FA4226" w:rsidRPr="00CA2CC1" w:rsidRDefault="00000000" w:rsidP="0043303B">
            <w:pPr>
              <w:pStyle w:val="TableParagraph"/>
              <w:spacing w:before="2"/>
              <w:jc w:val="left"/>
              <w:rPr>
                <w:rFonts w:cs="Calibri"/>
                <w:sz w:val="18"/>
              </w:rPr>
            </w:pPr>
            <w:r w:rsidRPr="00CA2CC1">
              <w:rPr>
                <w:rFonts w:cs="Calibri"/>
                <w:color w:val="414042"/>
                <w:sz w:val="18"/>
              </w:rPr>
              <w:t>FRD</w:t>
            </w:r>
            <w:r w:rsidRPr="00CA2CC1">
              <w:rPr>
                <w:rFonts w:cs="Calibri"/>
                <w:color w:val="414042"/>
                <w:spacing w:val="-2"/>
                <w:sz w:val="18"/>
              </w:rPr>
              <w:t xml:space="preserve"> </w:t>
            </w:r>
            <w:r w:rsidRPr="00CA2CC1">
              <w:rPr>
                <w:rFonts w:cs="Calibri"/>
                <w:color w:val="414042"/>
                <w:spacing w:val="-5"/>
                <w:sz w:val="18"/>
              </w:rPr>
              <w:t>25</w:t>
            </w:r>
          </w:p>
        </w:tc>
        <w:tc>
          <w:tcPr>
            <w:tcW w:w="7099" w:type="dxa"/>
          </w:tcPr>
          <w:p w14:paraId="793EEEA8" w14:textId="77777777" w:rsidR="00FA4226" w:rsidRPr="00CA2CC1" w:rsidRDefault="00000000" w:rsidP="0043303B">
            <w:pPr>
              <w:pStyle w:val="TableParagraph"/>
              <w:spacing w:before="2"/>
              <w:jc w:val="left"/>
              <w:rPr>
                <w:rFonts w:cs="Calibri"/>
                <w:sz w:val="18"/>
              </w:rPr>
            </w:pPr>
            <w:r w:rsidRPr="00CA2CC1">
              <w:rPr>
                <w:rFonts w:cs="Calibri"/>
                <w:color w:val="414042"/>
                <w:sz w:val="18"/>
              </w:rPr>
              <w:t xml:space="preserve">Local Jobs </w:t>
            </w:r>
            <w:r w:rsidRPr="00CA2CC1">
              <w:rPr>
                <w:rFonts w:cs="Calibri"/>
                <w:color w:val="414042"/>
                <w:spacing w:val="-4"/>
                <w:sz w:val="18"/>
              </w:rPr>
              <w:t>First</w:t>
            </w:r>
          </w:p>
        </w:tc>
        <w:tc>
          <w:tcPr>
            <w:tcW w:w="1405" w:type="dxa"/>
          </w:tcPr>
          <w:p w14:paraId="7E568ED9" w14:textId="77777777" w:rsidR="00FA4226" w:rsidRPr="00CA2CC1" w:rsidRDefault="00000000" w:rsidP="0043303B">
            <w:pPr>
              <w:pStyle w:val="TableParagraph"/>
              <w:spacing w:before="2"/>
              <w:rPr>
                <w:rFonts w:cs="Calibri"/>
                <w:sz w:val="18"/>
              </w:rPr>
            </w:pPr>
            <w:r w:rsidRPr="00CA2CC1">
              <w:rPr>
                <w:rFonts w:cs="Calibri"/>
                <w:color w:val="414042"/>
                <w:spacing w:val="-5"/>
                <w:sz w:val="18"/>
              </w:rPr>
              <w:t>44</w:t>
            </w:r>
          </w:p>
        </w:tc>
      </w:tr>
      <w:tr w:rsidR="00FA4226" w:rsidRPr="00CA2CC1" w14:paraId="3F7F3492" w14:textId="77777777" w:rsidTr="00846E14">
        <w:trPr>
          <w:trHeight w:val="250"/>
        </w:trPr>
        <w:tc>
          <w:tcPr>
            <w:tcW w:w="1073" w:type="dxa"/>
          </w:tcPr>
          <w:p w14:paraId="495460AB" w14:textId="77777777" w:rsidR="00FA4226" w:rsidRPr="00CA2CC1" w:rsidRDefault="00000000" w:rsidP="0043303B">
            <w:pPr>
              <w:pStyle w:val="TableParagraph"/>
              <w:spacing w:before="2"/>
              <w:jc w:val="left"/>
              <w:rPr>
                <w:rFonts w:cs="Calibri"/>
                <w:sz w:val="18"/>
              </w:rPr>
            </w:pPr>
            <w:r w:rsidRPr="00CA2CC1">
              <w:rPr>
                <w:rFonts w:cs="Calibri"/>
                <w:color w:val="414042"/>
                <w:sz w:val="18"/>
              </w:rPr>
              <w:t>FRD</w:t>
            </w:r>
            <w:r w:rsidRPr="00CA2CC1">
              <w:rPr>
                <w:rFonts w:cs="Calibri"/>
                <w:color w:val="414042"/>
                <w:spacing w:val="-2"/>
                <w:sz w:val="18"/>
              </w:rPr>
              <w:t xml:space="preserve"> </w:t>
            </w:r>
            <w:r w:rsidRPr="00CA2CC1">
              <w:rPr>
                <w:rFonts w:cs="Calibri"/>
                <w:color w:val="414042"/>
                <w:spacing w:val="-5"/>
                <w:sz w:val="18"/>
              </w:rPr>
              <w:t>29</w:t>
            </w:r>
          </w:p>
        </w:tc>
        <w:tc>
          <w:tcPr>
            <w:tcW w:w="7099" w:type="dxa"/>
          </w:tcPr>
          <w:p w14:paraId="450D5E62" w14:textId="77777777" w:rsidR="00FA4226" w:rsidRPr="00CA2CC1" w:rsidRDefault="00000000" w:rsidP="0043303B">
            <w:pPr>
              <w:pStyle w:val="TableParagraph"/>
              <w:spacing w:before="2"/>
              <w:jc w:val="left"/>
              <w:rPr>
                <w:rFonts w:cs="Calibri"/>
                <w:sz w:val="18"/>
              </w:rPr>
            </w:pPr>
            <w:r w:rsidRPr="00CA2CC1">
              <w:rPr>
                <w:rFonts w:cs="Calibri"/>
                <w:color w:val="414042"/>
                <w:sz w:val="18"/>
              </w:rPr>
              <w:t>Workforce</w:t>
            </w:r>
            <w:r w:rsidRPr="00CA2CC1">
              <w:rPr>
                <w:rFonts w:cs="Calibri"/>
                <w:color w:val="414042"/>
                <w:spacing w:val="-4"/>
                <w:sz w:val="18"/>
              </w:rPr>
              <w:t xml:space="preserve"> </w:t>
            </w:r>
            <w:r w:rsidRPr="00CA2CC1">
              <w:rPr>
                <w:rFonts w:cs="Calibri"/>
                <w:color w:val="414042"/>
                <w:sz w:val="18"/>
              </w:rPr>
              <w:t>Data</w:t>
            </w:r>
            <w:r w:rsidRPr="00CA2CC1">
              <w:rPr>
                <w:rFonts w:cs="Calibri"/>
                <w:color w:val="414042"/>
                <w:spacing w:val="-4"/>
                <w:sz w:val="18"/>
              </w:rPr>
              <w:t xml:space="preserve"> </w:t>
            </w:r>
            <w:r w:rsidRPr="00CA2CC1">
              <w:rPr>
                <w:rFonts w:cs="Calibri"/>
                <w:color w:val="414042"/>
                <w:spacing w:val="-2"/>
                <w:sz w:val="18"/>
              </w:rPr>
              <w:t>disclosures</w:t>
            </w:r>
          </w:p>
        </w:tc>
        <w:tc>
          <w:tcPr>
            <w:tcW w:w="1405" w:type="dxa"/>
          </w:tcPr>
          <w:p w14:paraId="2CEA9C69" w14:textId="77777777" w:rsidR="00FA4226" w:rsidRPr="00CA2CC1" w:rsidRDefault="00000000" w:rsidP="0043303B">
            <w:pPr>
              <w:pStyle w:val="TableParagraph"/>
              <w:spacing w:before="2"/>
              <w:rPr>
                <w:rFonts w:cs="Calibri"/>
                <w:sz w:val="18"/>
              </w:rPr>
            </w:pPr>
            <w:r w:rsidRPr="00CA2CC1">
              <w:rPr>
                <w:rFonts w:cs="Calibri"/>
                <w:color w:val="414042"/>
                <w:spacing w:val="-5"/>
                <w:sz w:val="18"/>
              </w:rPr>
              <w:t>42</w:t>
            </w:r>
          </w:p>
        </w:tc>
      </w:tr>
    </w:tbl>
    <w:p w14:paraId="0E10A95F" w14:textId="77777777" w:rsidR="00FA4226" w:rsidRPr="00CA2CC1" w:rsidRDefault="00FA4226" w:rsidP="0043303B">
      <w:pPr>
        <w:pStyle w:val="BodyText"/>
        <w:rPr>
          <w:rFonts w:cs="Calibri"/>
        </w:rPr>
      </w:pPr>
    </w:p>
    <w:p w14:paraId="65CEFA61" w14:textId="77777777" w:rsidR="00FA4226" w:rsidRPr="00CA2CC1" w:rsidRDefault="00FA4226" w:rsidP="0043303B">
      <w:pPr>
        <w:rPr>
          <w:rFonts w:cs="Calibri"/>
          <w:sz w:val="16"/>
        </w:rPr>
        <w:sectPr w:rsidR="00FA4226" w:rsidRPr="00CA2CC1" w:rsidSect="00E941A5">
          <w:pgSz w:w="11910" w:h="16840"/>
          <w:pgMar w:top="1134" w:right="1278" w:bottom="1134" w:left="1134" w:header="720" w:footer="720" w:gutter="0"/>
          <w:cols w:space="720"/>
        </w:sectPr>
      </w:pPr>
    </w:p>
    <w:p w14:paraId="04F0B4FC" w14:textId="77777777" w:rsidR="00FA4226" w:rsidRPr="00CA2CC1" w:rsidRDefault="00000000" w:rsidP="0043303B">
      <w:pPr>
        <w:pStyle w:val="BodyText"/>
        <w:spacing w:before="64"/>
        <w:rPr>
          <w:rFonts w:cs="Calibri"/>
        </w:rPr>
      </w:pPr>
      <w:r w:rsidRPr="00CA2CC1">
        <w:rPr>
          <w:rFonts w:cs="Calibri"/>
          <w:color w:val="414042"/>
        </w:rPr>
        <w:lastRenderedPageBreak/>
        <w:t xml:space="preserve">Compliance attestation and </w:t>
      </w:r>
      <w:r w:rsidRPr="00CA2CC1">
        <w:rPr>
          <w:rFonts w:cs="Calibri"/>
          <w:color w:val="414042"/>
          <w:spacing w:val="-2"/>
        </w:rPr>
        <w:t>declaration</w:t>
      </w:r>
    </w:p>
    <w:p w14:paraId="215BE54A" w14:textId="77777777" w:rsidR="00FA4226" w:rsidRPr="00CA2CC1" w:rsidRDefault="00FA4226" w:rsidP="0043303B">
      <w:pPr>
        <w:pStyle w:val="BodyText"/>
        <w:spacing w:before="12"/>
        <w:rPr>
          <w:rFonts w:cs="Calibri"/>
          <w:sz w:val="7"/>
        </w:rPr>
      </w:pPr>
    </w:p>
    <w:tbl>
      <w:tblPr>
        <w:tblW w:w="9640" w:type="dxa"/>
        <w:tblLayout w:type="fixed"/>
        <w:tblCellMar>
          <w:left w:w="0" w:type="dxa"/>
          <w:right w:w="0" w:type="dxa"/>
        </w:tblCellMar>
        <w:tblLook w:val="01E0" w:firstRow="1" w:lastRow="1" w:firstColumn="1" w:lastColumn="1" w:noHBand="0" w:noVBand="0"/>
      </w:tblPr>
      <w:tblGrid>
        <w:gridCol w:w="1152"/>
        <w:gridCol w:w="6633"/>
        <w:gridCol w:w="1855"/>
      </w:tblGrid>
      <w:tr w:rsidR="00FA4226" w:rsidRPr="00CA2CC1" w14:paraId="5144CA26" w14:textId="77777777" w:rsidTr="00FC0EBB">
        <w:trPr>
          <w:trHeight w:val="250"/>
        </w:trPr>
        <w:tc>
          <w:tcPr>
            <w:tcW w:w="1152" w:type="dxa"/>
          </w:tcPr>
          <w:p w14:paraId="5D781522" w14:textId="77777777" w:rsidR="00FA4226" w:rsidRPr="00CA2CC1" w:rsidRDefault="00000000" w:rsidP="0043303B">
            <w:pPr>
              <w:pStyle w:val="TableParagraph"/>
              <w:jc w:val="left"/>
              <w:rPr>
                <w:rFonts w:cs="Calibri"/>
                <w:sz w:val="18"/>
              </w:rPr>
            </w:pPr>
            <w:r w:rsidRPr="00CA2CC1">
              <w:rPr>
                <w:rFonts w:cs="Calibri"/>
                <w:color w:val="414042"/>
                <w:sz w:val="18"/>
              </w:rPr>
              <w:t xml:space="preserve">SD </w:t>
            </w:r>
            <w:r w:rsidRPr="00CA2CC1">
              <w:rPr>
                <w:rFonts w:cs="Calibri"/>
                <w:color w:val="414042"/>
                <w:spacing w:val="-4"/>
                <w:sz w:val="18"/>
              </w:rPr>
              <w:t>5.4.1</w:t>
            </w:r>
          </w:p>
        </w:tc>
        <w:tc>
          <w:tcPr>
            <w:tcW w:w="6633" w:type="dxa"/>
          </w:tcPr>
          <w:p w14:paraId="62CF9D9B" w14:textId="77777777" w:rsidR="00FA4226" w:rsidRPr="00CA2CC1" w:rsidRDefault="00000000" w:rsidP="0043303B">
            <w:pPr>
              <w:pStyle w:val="TableParagraph"/>
              <w:jc w:val="left"/>
              <w:rPr>
                <w:rFonts w:cs="Calibri"/>
                <w:sz w:val="18"/>
              </w:rPr>
            </w:pPr>
            <w:r w:rsidRPr="00CA2CC1">
              <w:rPr>
                <w:rFonts w:cs="Calibri"/>
                <w:color w:val="414042"/>
                <w:sz w:val="18"/>
              </w:rPr>
              <w:t xml:space="preserve">Attestation for compliance with Ministerial Standing </w:t>
            </w:r>
            <w:r w:rsidRPr="00CA2CC1">
              <w:rPr>
                <w:rFonts w:cs="Calibri"/>
                <w:color w:val="414042"/>
                <w:spacing w:val="-2"/>
                <w:sz w:val="18"/>
              </w:rPr>
              <w:t>Direction</w:t>
            </w:r>
          </w:p>
        </w:tc>
        <w:tc>
          <w:tcPr>
            <w:tcW w:w="1855" w:type="dxa"/>
          </w:tcPr>
          <w:p w14:paraId="51DE1E7F" w14:textId="77777777" w:rsidR="00FA4226" w:rsidRPr="00CA2CC1" w:rsidRDefault="00000000" w:rsidP="0043303B">
            <w:pPr>
              <w:pStyle w:val="TableParagraph"/>
              <w:rPr>
                <w:rFonts w:cs="Calibri"/>
                <w:sz w:val="18"/>
              </w:rPr>
            </w:pPr>
            <w:r w:rsidRPr="00CA2CC1">
              <w:rPr>
                <w:rFonts w:cs="Calibri"/>
                <w:color w:val="414042"/>
                <w:spacing w:val="-5"/>
                <w:sz w:val="18"/>
              </w:rPr>
              <w:t>47</w:t>
            </w:r>
          </w:p>
        </w:tc>
      </w:tr>
      <w:tr w:rsidR="00FA4226" w:rsidRPr="00CA2CC1" w14:paraId="52698D93" w14:textId="77777777" w:rsidTr="00FC0EBB">
        <w:trPr>
          <w:trHeight w:val="292"/>
        </w:trPr>
        <w:tc>
          <w:tcPr>
            <w:tcW w:w="1152" w:type="dxa"/>
          </w:tcPr>
          <w:p w14:paraId="570BEFBE" w14:textId="77777777" w:rsidR="00FA4226" w:rsidRPr="00CA2CC1" w:rsidRDefault="00000000" w:rsidP="0043303B">
            <w:pPr>
              <w:pStyle w:val="TableParagraph"/>
              <w:spacing w:before="2"/>
              <w:jc w:val="left"/>
              <w:rPr>
                <w:rFonts w:cs="Calibri"/>
                <w:sz w:val="18"/>
              </w:rPr>
            </w:pPr>
            <w:r w:rsidRPr="00CA2CC1">
              <w:rPr>
                <w:rFonts w:cs="Calibri"/>
                <w:color w:val="414042"/>
                <w:sz w:val="18"/>
              </w:rPr>
              <w:t xml:space="preserve">SD </w:t>
            </w:r>
            <w:r w:rsidRPr="00CA2CC1">
              <w:rPr>
                <w:rFonts w:cs="Calibri"/>
                <w:color w:val="414042"/>
                <w:spacing w:val="-4"/>
                <w:sz w:val="18"/>
              </w:rPr>
              <w:t>5.2.3</w:t>
            </w:r>
          </w:p>
        </w:tc>
        <w:tc>
          <w:tcPr>
            <w:tcW w:w="6633" w:type="dxa"/>
          </w:tcPr>
          <w:p w14:paraId="7FF920FD" w14:textId="77777777" w:rsidR="00FA4226" w:rsidRPr="00CA2CC1" w:rsidRDefault="00000000" w:rsidP="0043303B">
            <w:pPr>
              <w:pStyle w:val="TableParagraph"/>
              <w:spacing w:before="2"/>
              <w:jc w:val="left"/>
              <w:rPr>
                <w:rFonts w:cs="Calibri"/>
                <w:sz w:val="18"/>
              </w:rPr>
            </w:pPr>
            <w:r w:rsidRPr="00CA2CC1">
              <w:rPr>
                <w:rFonts w:cs="Calibri"/>
                <w:color w:val="414042"/>
                <w:sz w:val="18"/>
              </w:rPr>
              <w:t>Declaration</w:t>
            </w:r>
            <w:r w:rsidRPr="00CA2CC1">
              <w:rPr>
                <w:rFonts w:cs="Calibri"/>
                <w:color w:val="414042"/>
                <w:spacing w:val="-3"/>
                <w:sz w:val="18"/>
              </w:rPr>
              <w:t xml:space="preserve"> </w:t>
            </w:r>
            <w:r w:rsidRPr="00CA2CC1">
              <w:rPr>
                <w:rFonts w:cs="Calibri"/>
                <w:color w:val="414042"/>
                <w:sz w:val="18"/>
              </w:rPr>
              <w:t>in</w:t>
            </w:r>
            <w:r w:rsidRPr="00CA2CC1">
              <w:rPr>
                <w:rFonts w:cs="Calibri"/>
                <w:color w:val="414042"/>
                <w:spacing w:val="-1"/>
                <w:sz w:val="18"/>
              </w:rPr>
              <w:t xml:space="preserve"> </w:t>
            </w:r>
            <w:r w:rsidRPr="00CA2CC1">
              <w:rPr>
                <w:rFonts w:cs="Calibri"/>
                <w:color w:val="414042"/>
                <w:sz w:val="18"/>
              </w:rPr>
              <w:t>report</w:t>
            </w:r>
            <w:r w:rsidRPr="00CA2CC1">
              <w:rPr>
                <w:rFonts w:cs="Calibri"/>
                <w:color w:val="414042"/>
                <w:spacing w:val="-1"/>
                <w:sz w:val="18"/>
              </w:rPr>
              <w:t xml:space="preserve"> </w:t>
            </w:r>
            <w:r w:rsidRPr="00CA2CC1">
              <w:rPr>
                <w:rFonts w:cs="Calibri"/>
                <w:color w:val="414042"/>
                <w:sz w:val="18"/>
              </w:rPr>
              <w:t>of</w:t>
            </w:r>
            <w:r w:rsidRPr="00CA2CC1">
              <w:rPr>
                <w:rFonts w:cs="Calibri"/>
                <w:color w:val="414042"/>
                <w:spacing w:val="-1"/>
                <w:sz w:val="18"/>
              </w:rPr>
              <w:t xml:space="preserve"> </w:t>
            </w:r>
            <w:r w:rsidRPr="00CA2CC1">
              <w:rPr>
                <w:rFonts w:cs="Calibri"/>
                <w:color w:val="414042"/>
                <w:spacing w:val="-2"/>
                <w:sz w:val="18"/>
              </w:rPr>
              <w:t>operations</w:t>
            </w:r>
          </w:p>
        </w:tc>
        <w:tc>
          <w:tcPr>
            <w:tcW w:w="1855" w:type="dxa"/>
          </w:tcPr>
          <w:p w14:paraId="1373895E" w14:textId="77777777" w:rsidR="00FA4226" w:rsidRPr="00CA2CC1" w:rsidRDefault="00000000" w:rsidP="0043303B">
            <w:pPr>
              <w:pStyle w:val="TableParagraph"/>
              <w:spacing w:before="2"/>
              <w:rPr>
                <w:rFonts w:cs="Calibri"/>
                <w:sz w:val="18"/>
              </w:rPr>
            </w:pPr>
            <w:r w:rsidRPr="00CA2CC1">
              <w:rPr>
                <w:rFonts w:cs="Calibri"/>
                <w:color w:val="414042"/>
                <w:sz w:val="18"/>
              </w:rPr>
              <w:t>2</w:t>
            </w:r>
          </w:p>
        </w:tc>
      </w:tr>
      <w:tr w:rsidR="00FA4226" w:rsidRPr="00CA2CC1" w14:paraId="7A87DE07" w14:textId="77777777" w:rsidTr="00FC0EBB">
        <w:trPr>
          <w:trHeight w:val="368"/>
        </w:trPr>
        <w:tc>
          <w:tcPr>
            <w:tcW w:w="9640" w:type="dxa"/>
            <w:gridSpan w:val="3"/>
            <w:shd w:val="clear" w:color="auto" w:fill="D8E9EF"/>
          </w:tcPr>
          <w:p w14:paraId="3669239C" w14:textId="77777777" w:rsidR="00FA4226" w:rsidRPr="00CA2CC1" w:rsidRDefault="00000000" w:rsidP="0043303B">
            <w:pPr>
              <w:pStyle w:val="TableParagraph"/>
              <w:spacing w:before="74"/>
              <w:jc w:val="left"/>
              <w:rPr>
                <w:rFonts w:cs="Calibri"/>
                <w:i/>
                <w:sz w:val="18"/>
              </w:rPr>
            </w:pPr>
            <w:r w:rsidRPr="00CA2CC1">
              <w:rPr>
                <w:rFonts w:cs="Calibri"/>
                <w:i/>
                <w:color w:val="414042"/>
                <w:sz w:val="18"/>
              </w:rPr>
              <w:t>Financial</w:t>
            </w:r>
            <w:r w:rsidRPr="00CA2CC1">
              <w:rPr>
                <w:rFonts w:cs="Calibri"/>
                <w:i/>
                <w:color w:val="414042"/>
                <w:spacing w:val="-2"/>
                <w:sz w:val="18"/>
              </w:rPr>
              <w:t xml:space="preserve"> statements</w:t>
            </w:r>
          </w:p>
        </w:tc>
      </w:tr>
    </w:tbl>
    <w:p w14:paraId="495DA1E3" w14:textId="77777777" w:rsidR="00FA4226" w:rsidRPr="00CA2CC1" w:rsidRDefault="00000000" w:rsidP="0043303B">
      <w:pPr>
        <w:pStyle w:val="BodyText"/>
        <w:spacing w:before="36"/>
        <w:rPr>
          <w:rFonts w:cs="Calibri"/>
        </w:rPr>
      </w:pPr>
      <w:r w:rsidRPr="00CA2CC1">
        <w:rPr>
          <w:rFonts w:cs="Calibri"/>
          <w:color w:val="414042"/>
          <w:spacing w:val="-2"/>
        </w:rPr>
        <w:t>Declaration</w:t>
      </w:r>
    </w:p>
    <w:p w14:paraId="28185829" w14:textId="0F21BE40" w:rsidR="00FA4226" w:rsidRPr="00CA2CC1" w:rsidRDefault="00000000" w:rsidP="0043303B">
      <w:pPr>
        <w:pStyle w:val="BodyText"/>
        <w:tabs>
          <w:tab w:val="left" w:pos="2669"/>
          <w:tab w:val="right" w:pos="10691"/>
        </w:tabs>
        <w:spacing w:before="38"/>
        <w:rPr>
          <w:rFonts w:cs="Calibri"/>
          <w:sz w:val="18"/>
        </w:rPr>
      </w:pPr>
      <w:r w:rsidRPr="00CA2CC1">
        <w:rPr>
          <w:rFonts w:cs="Calibri"/>
          <w:color w:val="414042"/>
          <w:sz w:val="18"/>
        </w:rPr>
        <w:t xml:space="preserve">SD </w:t>
      </w:r>
      <w:r w:rsidRPr="00CA2CC1">
        <w:rPr>
          <w:rFonts w:cs="Calibri"/>
          <w:color w:val="414042"/>
          <w:spacing w:val="-4"/>
          <w:sz w:val="18"/>
        </w:rPr>
        <w:t>5.2.2</w:t>
      </w:r>
      <w:r w:rsidR="00D10DF3" w:rsidRPr="00CA2CC1">
        <w:rPr>
          <w:rFonts w:cs="Calibri"/>
          <w:color w:val="414042"/>
          <w:sz w:val="18"/>
        </w:rPr>
        <w:t xml:space="preserve">               </w:t>
      </w:r>
      <w:r w:rsidRPr="00CA2CC1">
        <w:rPr>
          <w:rFonts w:cs="Calibri"/>
          <w:color w:val="414042"/>
          <w:sz w:val="18"/>
        </w:rPr>
        <w:t>Declaration</w:t>
      </w:r>
      <w:r w:rsidRPr="00CA2CC1">
        <w:rPr>
          <w:rFonts w:cs="Calibri"/>
          <w:color w:val="414042"/>
          <w:spacing w:val="-2"/>
          <w:sz w:val="18"/>
        </w:rPr>
        <w:t xml:space="preserve"> </w:t>
      </w:r>
      <w:r w:rsidRPr="00CA2CC1">
        <w:rPr>
          <w:rFonts w:cs="Calibri"/>
          <w:color w:val="414042"/>
          <w:sz w:val="18"/>
        </w:rPr>
        <w:t xml:space="preserve">in financial </w:t>
      </w:r>
      <w:r w:rsidRPr="00CA2CC1">
        <w:rPr>
          <w:rFonts w:cs="Calibri"/>
          <w:color w:val="414042"/>
          <w:spacing w:val="-2"/>
          <w:sz w:val="18"/>
        </w:rPr>
        <w:t>statements</w:t>
      </w:r>
      <w:r w:rsidRPr="00CA2CC1">
        <w:rPr>
          <w:rFonts w:cs="Calibri"/>
          <w:color w:val="414042"/>
          <w:sz w:val="18"/>
        </w:rPr>
        <w:tab/>
      </w:r>
      <w:r w:rsidRPr="00CA2CC1">
        <w:rPr>
          <w:rFonts w:cs="Calibri"/>
          <w:color w:val="414042"/>
          <w:spacing w:val="-5"/>
          <w:sz w:val="18"/>
        </w:rPr>
        <w:t>80</w:t>
      </w:r>
    </w:p>
    <w:p w14:paraId="2F4D24CE" w14:textId="77777777" w:rsidR="004C35DF" w:rsidRPr="00CA2CC1" w:rsidRDefault="004C35DF" w:rsidP="0043303B">
      <w:pPr>
        <w:pStyle w:val="BodyText"/>
        <w:tabs>
          <w:tab w:val="left" w:pos="2669"/>
          <w:tab w:val="left" w:pos="9433"/>
        </w:tabs>
        <w:spacing w:before="64"/>
        <w:rPr>
          <w:rFonts w:cs="Calibri"/>
          <w:color w:val="34AFC8"/>
          <w:spacing w:val="-2"/>
        </w:rPr>
      </w:pPr>
    </w:p>
    <w:p w14:paraId="13CA214F" w14:textId="457D457D" w:rsidR="004C35DF" w:rsidRPr="00C274F3" w:rsidRDefault="004C35DF" w:rsidP="0043303B">
      <w:pPr>
        <w:pStyle w:val="BodyText"/>
        <w:tabs>
          <w:tab w:val="left" w:pos="2669"/>
          <w:tab w:val="left" w:pos="9433"/>
        </w:tabs>
        <w:spacing w:before="64"/>
        <w:rPr>
          <w:rFonts w:cs="Calibri"/>
        </w:rPr>
      </w:pPr>
      <w:r w:rsidRPr="00C274F3">
        <w:rPr>
          <w:rFonts w:cs="Calibri"/>
          <w:spacing w:val="-2"/>
        </w:rPr>
        <w:t>Legislation</w:t>
      </w:r>
      <w:r w:rsidRPr="00C274F3">
        <w:rPr>
          <w:rFonts w:cs="Calibri"/>
        </w:rPr>
        <w:t xml:space="preserve">   </w:t>
      </w:r>
      <w:r w:rsidR="00D10DF3" w:rsidRPr="00C274F3">
        <w:rPr>
          <w:rFonts w:cs="Calibri"/>
        </w:rPr>
        <w:t xml:space="preserve">  </w:t>
      </w:r>
      <w:r w:rsidRPr="00C274F3">
        <w:rPr>
          <w:rFonts w:cs="Calibri"/>
          <w:spacing w:val="-2"/>
        </w:rPr>
        <w:t>Requirement</w:t>
      </w:r>
      <w:r w:rsidRPr="00C274F3">
        <w:rPr>
          <w:rFonts w:cs="Calibri"/>
        </w:rPr>
        <w:t xml:space="preserve">                                                                                                                     Page </w:t>
      </w:r>
      <w:r w:rsidRPr="00C274F3">
        <w:rPr>
          <w:rFonts w:cs="Calibri"/>
          <w:spacing w:val="-2"/>
        </w:rPr>
        <w:t>reference</w:t>
      </w:r>
    </w:p>
    <w:p w14:paraId="5A0173B5" w14:textId="77777777" w:rsidR="00FA4226" w:rsidRPr="00CA2CC1" w:rsidRDefault="00000000" w:rsidP="0043303B">
      <w:pPr>
        <w:pStyle w:val="BodyText"/>
        <w:spacing w:before="8"/>
        <w:rPr>
          <w:rFonts w:cs="Calibri"/>
          <w:sz w:val="3"/>
        </w:rPr>
      </w:pPr>
      <w:r w:rsidRPr="00CA2CC1">
        <w:rPr>
          <w:rFonts w:cs="Calibri"/>
          <w:noProof/>
        </w:rPr>
        <mc:AlternateContent>
          <mc:Choice Requires="wps">
            <w:drawing>
              <wp:anchor distT="0" distB="0" distL="0" distR="0" simplePos="0" relativeHeight="487651840" behindDoc="1" locked="0" layoutInCell="1" allowOverlap="1" wp14:anchorId="5A4272CE" wp14:editId="51F2C145">
                <wp:simplePos x="0" y="0"/>
                <wp:positionH relativeFrom="page">
                  <wp:posOffset>720001</wp:posOffset>
                </wp:positionH>
                <wp:positionV relativeFrom="paragraph">
                  <wp:posOffset>46848</wp:posOffset>
                </wp:positionV>
                <wp:extent cx="6120130" cy="234315"/>
                <wp:effectExtent l="0" t="0" r="0" b="0"/>
                <wp:wrapTopAndBottom/>
                <wp:docPr id="599" name="Textbox 599" descr="Standing Directions &amp; Financial Reporting Directions&#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130" cy="234315"/>
                        </a:xfrm>
                        <a:prstGeom prst="rect">
                          <a:avLst/>
                        </a:prstGeom>
                        <a:solidFill>
                          <a:srgbClr val="34AFC8"/>
                        </a:solidFill>
                      </wps:spPr>
                      <wps:txbx>
                        <w:txbxContent>
                          <w:p w14:paraId="182DE246" w14:textId="77777777" w:rsidR="00FA4226" w:rsidRDefault="00000000">
                            <w:pPr>
                              <w:spacing w:before="74"/>
                              <w:ind w:left="79"/>
                              <w:rPr>
                                <w:rFonts w:ascii="HelveticaNeue-MediumItalic"/>
                                <w:i/>
                                <w:color w:val="000000"/>
                                <w:sz w:val="18"/>
                              </w:rPr>
                            </w:pPr>
                            <w:r>
                              <w:rPr>
                                <w:rFonts w:ascii="HelveticaNeue-MediumItalic"/>
                                <w:i/>
                                <w:color w:val="FFFFFF"/>
                                <w:sz w:val="18"/>
                              </w:rPr>
                              <w:t xml:space="preserve">Standing Directions &amp; Financial Reporting </w:t>
                            </w:r>
                            <w:r>
                              <w:rPr>
                                <w:rFonts w:ascii="HelveticaNeue-MediumItalic"/>
                                <w:i/>
                                <w:color w:val="FFFFFF"/>
                                <w:spacing w:val="-2"/>
                                <w:sz w:val="18"/>
                              </w:rPr>
                              <w:t>Directions</w:t>
                            </w:r>
                          </w:p>
                        </w:txbxContent>
                      </wps:txbx>
                      <wps:bodyPr wrap="square" lIns="0" tIns="0" rIns="0" bIns="0" rtlCol="0">
                        <a:noAutofit/>
                      </wps:bodyPr>
                    </wps:wsp>
                  </a:graphicData>
                </a:graphic>
              </wp:anchor>
            </w:drawing>
          </mc:Choice>
          <mc:Fallback>
            <w:pict>
              <v:shape w14:anchorId="5A4272CE" id="Textbox 599" o:spid="_x0000_s1029" type="#_x0000_t202" alt="Standing Directions &amp; Financial Reporting Directions&#10;" style="position:absolute;margin-left:56.7pt;margin-top:3.7pt;width:481.9pt;height:18.45pt;z-index:-15664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" fillcolor="#34afc8" stroked="f">
                <v:textbox inset="0,0,0,0">
                  <w:txbxContent>
                    <w:p w14:paraId="182DE246" w14:textId="77777777" w:rsidR="00FA4226" w:rsidRDefault="00000000">
                      <w:pPr>
                        <w:spacing w:before="74"/>
                        <w:ind w:left="79"/>
                        <w:rPr>
                          <w:rFonts w:ascii="HelveticaNeue-MediumItalic"/>
                          <w:i/>
                          <w:color w:val="000000"/>
                          <w:sz w:val="18"/>
                        </w:rPr>
                      </w:pPr>
                      <w:r>
                        <w:rPr>
                          <w:rFonts w:ascii="HelveticaNeue-MediumItalic"/>
                          <w:i/>
                          <w:color w:val="FFFFFF"/>
                          <w:sz w:val="18"/>
                        </w:rPr>
                        <w:t xml:space="preserve">Standing Directions &amp; Financial Reporting </w:t>
                      </w:r>
                      <w:r>
                        <w:rPr>
                          <w:rFonts w:ascii="HelveticaNeue-MediumItalic"/>
                          <w:i/>
                          <w:color w:val="FFFFFF"/>
                          <w:spacing w:val="-2"/>
                          <w:sz w:val="18"/>
                        </w:rPr>
                        <w:t>Directions</w:t>
                      </w:r>
                    </w:p>
                  </w:txbxContent>
                </v:textbox>
                <w10:wrap type="topAndBottom" anchorx="page"/>
              </v:shape>
            </w:pict>
          </mc:Fallback>
        </mc:AlternateContent>
      </w:r>
    </w:p>
    <w:p w14:paraId="04C0CB9C" w14:textId="77777777" w:rsidR="00FA4226" w:rsidRPr="00CA2CC1" w:rsidRDefault="00000000" w:rsidP="0043303B">
      <w:pPr>
        <w:pStyle w:val="BodyText"/>
        <w:spacing w:before="34"/>
        <w:rPr>
          <w:rFonts w:cs="Calibri"/>
        </w:rPr>
      </w:pPr>
      <w:r w:rsidRPr="00CA2CC1">
        <w:rPr>
          <w:rFonts w:cs="Calibri"/>
          <w:color w:val="414042"/>
        </w:rPr>
        <w:t>Other</w:t>
      </w:r>
      <w:r w:rsidRPr="00CA2CC1">
        <w:rPr>
          <w:rFonts w:cs="Calibri"/>
          <w:color w:val="414042"/>
          <w:spacing w:val="-3"/>
        </w:rPr>
        <w:t xml:space="preserve"> </w:t>
      </w:r>
      <w:r w:rsidRPr="00CA2CC1">
        <w:rPr>
          <w:rFonts w:cs="Calibri"/>
          <w:color w:val="414042"/>
        </w:rPr>
        <w:t>requirements</w:t>
      </w:r>
      <w:r w:rsidRPr="00CA2CC1">
        <w:rPr>
          <w:rFonts w:cs="Calibri"/>
          <w:color w:val="414042"/>
          <w:spacing w:val="-2"/>
        </w:rPr>
        <w:t xml:space="preserve"> </w:t>
      </w:r>
      <w:r w:rsidRPr="00CA2CC1">
        <w:rPr>
          <w:rFonts w:cs="Calibri"/>
          <w:color w:val="414042"/>
        </w:rPr>
        <w:t>under</w:t>
      </w:r>
      <w:r w:rsidRPr="00CA2CC1">
        <w:rPr>
          <w:rFonts w:cs="Calibri"/>
          <w:color w:val="414042"/>
          <w:spacing w:val="-3"/>
        </w:rPr>
        <w:t xml:space="preserve"> </w:t>
      </w:r>
      <w:r w:rsidRPr="00CA2CC1">
        <w:rPr>
          <w:rFonts w:cs="Calibri"/>
          <w:color w:val="414042"/>
        </w:rPr>
        <w:t>Standing</w:t>
      </w:r>
      <w:r w:rsidRPr="00CA2CC1">
        <w:rPr>
          <w:rFonts w:cs="Calibri"/>
          <w:color w:val="414042"/>
          <w:spacing w:val="-2"/>
        </w:rPr>
        <w:t xml:space="preserve"> </w:t>
      </w:r>
      <w:r w:rsidRPr="00CA2CC1">
        <w:rPr>
          <w:rFonts w:cs="Calibri"/>
          <w:color w:val="414042"/>
        </w:rPr>
        <w:t>Directions</w:t>
      </w:r>
      <w:r w:rsidRPr="00CA2CC1">
        <w:rPr>
          <w:rFonts w:cs="Calibri"/>
          <w:color w:val="414042"/>
          <w:spacing w:val="-2"/>
        </w:rPr>
        <w:t xml:space="preserve"> </w:t>
      </w:r>
      <w:r w:rsidRPr="00CA2CC1">
        <w:rPr>
          <w:rFonts w:cs="Calibri"/>
          <w:color w:val="414042"/>
          <w:spacing w:val="-5"/>
        </w:rPr>
        <w:t>5.2</w:t>
      </w:r>
    </w:p>
    <w:p w14:paraId="734FE5E0" w14:textId="77777777" w:rsidR="00FA4226" w:rsidRPr="00CA2CC1" w:rsidRDefault="00FA4226" w:rsidP="0043303B">
      <w:pPr>
        <w:pStyle w:val="BodyText"/>
        <w:spacing w:before="12"/>
        <w:rPr>
          <w:rFonts w:cs="Calibri"/>
          <w:sz w:val="7"/>
        </w:rPr>
      </w:pPr>
    </w:p>
    <w:tbl>
      <w:tblPr>
        <w:tblW w:w="9618" w:type="dxa"/>
        <w:tblLayout w:type="fixed"/>
        <w:tblCellMar>
          <w:left w:w="0" w:type="dxa"/>
          <w:right w:w="0" w:type="dxa"/>
        </w:tblCellMar>
        <w:tblLook w:val="01E0" w:firstRow="1" w:lastRow="1" w:firstColumn="1" w:lastColumn="1" w:noHBand="0" w:noVBand="0"/>
      </w:tblPr>
      <w:tblGrid>
        <w:gridCol w:w="1237"/>
        <w:gridCol w:w="7114"/>
        <w:gridCol w:w="1267"/>
      </w:tblGrid>
      <w:tr w:rsidR="00FA4226" w:rsidRPr="00CA2CC1" w14:paraId="63464CF8" w14:textId="77777777" w:rsidTr="004C35DF">
        <w:trPr>
          <w:trHeight w:val="450"/>
        </w:trPr>
        <w:tc>
          <w:tcPr>
            <w:tcW w:w="1237" w:type="dxa"/>
          </w:tcPr>
          <w:p w14:paraId="5B32CA25" w14:textId="77777777" w:rsidR="00FA4226" w:rsidRPr="00CA2CC1" w:rsidRDefault="00000000" w:rsidP="0043303B">
            <w:pPr>
              <w:pStyle w:val="TableParagraph"/>
              <w:jc w:val="left"/>
              <w:rPr>
                <w:rFonts w:cs="Calibri"/>
                <w:sz w:val="18"/>
              </w:rPr>
            </w:pPr>
            <w:r w:rsidRPr="00CA2CC1">
              <w:rPr>
                <w:rFonts w:cs="Calibri"/>
                <w:color w:val="414042"/>
                <w:sz w:val="18"/>
              </w:rPr>
              <w:t xml:space="preserve">SD </w:t>
            </w:r>
            <w:r w:rsidRPr="00CA2CC1">
              <w:rPr>
                <w:rFonts w:cs="Calibri"/>
                <w:color w:val="414042"/>
                <w:spacing w:val="-2"/>
                <w:sz w:val="18"/>
              </w:rPr>
              <w:t>5.2.1(a)</w:t>
            </w:r>
          </w:p>
        </w:tc>
        <w:tc>
          <w:tcPr>
            <w:tcW w:w="7114" w:type="dxa"/>
          </w:tcPr>
          <w:p w14:paraId="4681CC60" w14:textId="77777777" w:rsidR="00FA4226" w:rsidRPr="00CA2CC1" w:rsidRDefault="00000000" w:rsidP="0043303B">
            <w:pPr>
              <w:pStyle w:val="TableParagraph"/>
              <w:spacing w:before="6"/>
              <w:jc w:val="left"/>
              <w:rPr>
                <w:rFonts w:cs="Calibri"/>
                <w:sz w:val="18"/>
              </w:rPr>
            </w:pPr>
            <w:r w:rsidRPr="00CA2CC1">
              <w:rPr>
                <w:rFonts w:cs="Calibri"/>
                <w:color w:val="414042"/>
                <w:sz w:val="18"/>
              </w:rPr>
              <w:t>Compliance</w:t>
            </w:r>
            <w:r w:rsidRPr="00CA2CC1">
              <w:rPr>
                <w:rFonts w:cs="Calibri"/>
                <w:color w:val="414042"/>
                <w:spacing w:val="-6"/>
                <w:sz w:val="18"/>
              </w:rPr>
              <w:t xml:space="preserve"> </w:t>
            </w:r>
            <w:r w:rsidRPr="00CA2CC1">
              <w:rPr>
                <w:rFonts w:cs="Calibri"/>
                <w:color w:val="414042"/>
                <w:sz w:val="18"/>
              </w:rPr>
              <w:t>with</w:t>
            </w:r>
            <w:r w:rsidRPr="00CA2CC1">
              <w:rPr>
                <w:rFonts w:cs="Calibri"/>
                <w:color w:val="414042"/>
                <w:spacing w:val="-6"/>
                <w:sz w:val="18"/>
              </w:rPr>
              <w:t xml:space="preserve"> </w:t>
            </w:r>
            <w:r w:rsidRPr="00CA2CC1">
              <w:rPr>
                <w:rFonts w:cs="Calibri"/>
                <w:color w:val="414042"/>
                <w:sz w:val="18"/>
              </w:rPr>
              <w:t>Australian</w:t>
            </w:r>
            <w:r w:rsidRPr="00CA2CC1">
              <w:rPr>
                <w:rFonts w:cs="Calibri"/>
                <w:color w:val="414042"/>
                <w:spacing w:val="-6"/>
                <w:sz w:val="18"/>
              </w:rPr>
              <w:t xml:space="preserve"> </w:t>
            </w:r>
            <w:r w:rsidRPr="00CA2CC1">
              <w:rPr>
                <w:rFonts w:cs="Calibri"/>
                <w:color w:val="414042"/>
                <w:sz w:val="18"/>
              </w:rPr>
              <w:t>accounting</w:t>
            </w:r>
            <w:r w:rsidRPr="00CA2CC1">
              <w:rPr>
                <w:rFonts w:cs="Calibri"/>
                <w:color w:val="414042"/>
                <w:spacing w:val="-6"/>
                <w:sz w:val="18"/>
              </w:rPr>
              <w:t xml:space="preserve"> </w:t>
            </w:r>
            <w:r w:rsidRPr="00CA2CC1">
              <w:rPr>
                <w:rFonts w:cs="Calibri"/>
                <w:color w:val="414042"/>
                <w:sz w:val="18"/>
              </w:rPr>
              <w:t>standards</w:t>
            </w:r>
            <w:r w:rsidRPr="00CA2CC1">
              <w:rPr>
                <w:rFonts w:cs="Calibri"/>
                <w:color w:val="414042"/>
                <w:spacing w:val="-6"/>
                <w:sz w:val="18"/>
              </w:rPr>
              <w:t xml:space="preserve"> </w:t>
            </w:r>
            <w:r w:rsidRPr="00CA2CC1">
              <w:rPr>
                <w:rFonts w:cs="Calibri"/>
                <w:color w:val="414042"/>
                <w:sz w:val="18"/>
              </w:rPr>
              <w:t>and</w:t>
            </w:r>
            <w:r w:rsidRPr="00CA2CC1">
              <w:rPr>
                <w:rFonts w:cs="Calibri"/>
                <w:color w:val="414042"/>
                <w:spacing w:val="-6"/>
                <w:sz w:val="18"/>
              </w:rPr>
              <w:t xml:space="preserve"> </w:t>
            </w:r>
            <w:r w:rsidRPr="00CA2CC1">
              <w:rPr>
                <w:rFonts w:cs="Calibri"/>
                <w:color w:val="414042"/>
                <w:sz w:val="18"/>
              </w:rPr>
              <w:t>other</w:t>
            </w:r>
            <w:r w:rsidRPr="00CA2CC1">
              <w:rPr>
                <w:rFonts w:cs="Calibri"/>
                <w:color w:val="414042"/>
                <w:spacing w:val="-6"/>
                <w:sz w:val="18"/>
              </w:rPr>
              <w:t xml:space="preserve"> </w:t>
            </w:r>
            <w:r w:rsidRPr="00CA2CC1">
              <w:rPr>
                <w:rFonts w:cs="Calibri"/>
                <w:color w:val="414042"/>
                <w:sz w:val="18"/>
              </w:rPr>
              <w:t xml:space="preserve">authoritative </w:t>
            </w:r>
            <w:r w:rsidRPr="00CA2CC1">
              <w:rPr>
                <w:rFonts w:cs="Calibri"/>
                <w:color w:val="414042"/>
                <w:spacing w:val="-2"/>
                <w:sz w:val="18"/>
              </w:rPr>
              <w:t>pronouncements</w:t>
            </w:r>
          </w:p>
        </w:tc>
        <w:tc>
          <w:tcPr>
            <w:tcW w:w="1267" w:type="dxa"/>
          </w:tcPr>
          <w:p w14:paraId="7C8A5E08" w14:textId="77777777" w:rsidR="00FA4226" w:rsidRPr="00CA2CC1" w:rsidRDefault="00000000" w:rsidP="0043303B">
            <w:pPr>
              <w:pStyle w:val="TableParagraph"/>
              <w:rPr>
                <w:rFonts w:cs="Calibri"/>
                <w:sz w:val="18"/>
              </w:rPr>
            </w:pPr>
            <w:r w:rsidRPr="00CA2CC1">
              <w:rPr>
                <w:rFonts w:cs="Calibri"/>
                <w:color w:val="414042"/>
                <w:spacing w:val="-5"/>
                <w:sz w:val="18"/>
              </w:rPr>
              <w:t>104</w:t>
            </w:r>
          </w:p>
        </w:tc>
      </w:tr>
      <w:tr w:rsidR="00FA4226" w:rsidRPr="00CA2CC1" w14:paraId="1DA1590F" w14:textId="77777777" w:rsidTr="004C35DF">
        <w:trPr>
          <w:trHeight w:val="288"/>
        </w:trPr>
        <w:tc>
          <w:tcPr>
            <w:tcW w:w="1237" w:type="dxa"/>
          </w:tcPr>
          <w:p w14:paraId="1B03ADDF" w14:textId="77777777" w:rsidR="00FA4226" w:rsidRPr="00CA2CC1" w:rsidRDefault="00000000" w:rsidP="0043303B">
            <w:pPr>
              <w:pStyle w:val="TableParagraph"/>
              <w:spacing w:before="2"/>
              <w:jc w:val="left"/>
              <w:rPr>
                <w:rFonts w:cs="Calibri"/>
                <w:sz w:val="18"/>
              </w:rPr>
            </w:pPr>
            <w:r w:rsidRPr="00CA2CC1">
              <w:rPr>
                <w:rFonts w:cs="Calibri"/>
                <w:color w:val="414042"/>
                <w:sz w:val="18"/>
              </w:rPr>
              <w:t xml:space="preserve">SD </w:t>
            </w:r>
            <w:r w:rsidRPr="00CA2CC1">
              <w:rPr>
                <w:rFonts w:cs="Calibri"/>
                <w:color w:val="414042"/>
                <w:spacing w:val="-2"/>
                <w:sz w:val="18"/>
              </w:rPr>
              <w:t>5.2.1(a)</w:t>
            </w:r>
          </w:p>
        </w:tc>
        <w:tc>
          <w:tcPr>
            <w:tcW w:w="7114" w:type="dxa"/>
          </w:tcPr>
          <w:p w14:paraId="77320D70" w14:textId="77777777" w:rsidR="00FA4226" w:rsidRPr="00CA2CC1" w:rsidRDefault="00000000" w:rsidP="0043303B">
            <w:pPr>
              <w:pStyle w:val="TableParagraph"/>
              <w:spacing w:before="2"/>
              <w:jc w:val="left"/>
              <w:rPr>
                <w:rFonts w:cs="Calibri"/>
                <w:sz w:val="18"/>
              </w:rPr>
            </w:pPr>
            <w:r w:rsidRPr="00CA2CC1">
              <w:rPr>
                <w:rFonts w:cs="Calibri"/>
                <w:color w:val="414042"/>
                <w:sz w:val="18"/>
              </w:rPr>
              <w:t>Compliance</w:t>
            </w:r>
            <w:r w:rsidRPr="00CA2CC1">
              <w:rPr>
                <w:rFonts w:cs="Calibri"/>
                <w:color w:val="414042"/>
                <w:spacing w:val="-2"/>
                <w:sz w:val="18"/>
              </w:rPr>
              <w:t xml:space="preserve"> </w:t>
            </w:r>
            <w:r w:rsidRPr="00CA2CC1">
              <w:rPr>
                <w:rFonts w:cs="Calibri"/>
                <w:color w:val="414042"/>
                <w:sz w:val="18"/>
              </w:rPr>
              <w:t xml:space="preserve">with Standing </w:t>
            </w:r>
            <w:r w:rsidRPr="00CA2CC1">
              <w:rPr>
                <w:rFonts w:cs="Calibri"/>
                <w:color w:val="414042"/>
                <w:spacing w:val="-2"/>
                <w:sz w:val="18"/>
              </w:rPr>
              <w:t>Directions</w:t>
            </w:r>
          </w:p>
        </w:tc>
        <w:tc>
          <w:tcPr>
            <w:tcW w:w="1267" w:type="dxa"/>
          </w:tcPr>
          <w:p w14:paraId="563A8230" w14:textId="77777777" w:rsidR="00FA4226" w:rsidRPr="00CA2CC1" w:rsidRDefault="00000000" w:rsidP="0043303B">
            <w:pPr>
              <w:pStyle w:val="TableParagraph"/>
              <w:spacing w:before="2"/>
              <w:rPr>
                <w:rFonts w:cs="Calibri"/>
                <w:sz w:val="18"/>
              </w:rPr>
            </w:pPr>
            <w:r w:rsidRPr="00CA2CC1">
              <w:rPr>
                <w:rFonts w:cs="Calibri"/>
                <w:color w:val="414042"/>
                <w:spacing w:val="-5"/>
                <w:sz w:val="18"/>
              </w:rPr>
              <w:t>49</w:t>
            </w:r>
          </w:p>
        </w:tc>
      </w:tr>
      <w:tr w:rsidR="00FA4226" w:rsidRPr="00CA2CC1" w14:paraId="7E1B8813" w14:textId="77777777" w:rsidTr="004C35DF">
        <w:trPr>
          <w:trHeight w:val="250"/>
        </w:trPr>
        <w:tc>
          <w:tcPr>
            <w:tcW w:w="1237" w:type="dxa"/>
          </w:tcPr>
          <w:p w14:paraId="51E26452" w14:textId="77777777" w:rsidR="00FA4226" w:rsidRPr="00CA2CC1" w:rsidRDefault="00000000" w:rsidP="0043303B">
            <w:pPr>
              <w:pStyle w:val="TableParagraph"/>
              <w:spacing w:before="2"/>
              <w:jc w:val="left"/>
              <w:rPr>
                <w:rFonts w:cs="Calibri"/>
                <w:sz w:val="18"/>
              </w:rPr>
            </w:pPr>
            <w:r w:rsidRPr="00CA2CC1">
              <w:rPr>
                <w:rFonts w:cs="Calibri"/>
                <w:color w:val="414042"/>
                <w:sz w:val="18"/>
              </w:rPr>
              <w:t xml:space="preserve">SD </w:t>
            </w:r>
            <w:r w:rsidRPr="00CA2CC1">
              <w:rPr>
                <w:rFonts w:cs="Calibri"/>
                <w:color w:val="414042"/>
                <w:spacing w:val="-2"/>
                <w:sz w:val="18"/>
              </w:rPr>
              <w:t>5.2.1(b)</w:t>
            </w:r>
          </w:p>
        </w:tc>
        <w:tc>
          <w:tcPr>
            <w:tcW w:w="7114" w:type="dxa"/>
          </w:tcPr>
          <w:p w14:paraId="752F8FC1" w14:textId="77777777" w:rsidR="00FA4226" w:rsidRPr="00CA2CC1" w:rsidRDefault="00000000" w:rsidP="0043303B">
            <w:pPr>
              <w:pStyle w:val="TableParagraph"/>
              <w:spacing w:before="2"/>
              <w:jc w:val="left"/>
              <w:rPr>
                <w:rFonts w:cs="Calibri"/>
                <w:sz w:val="18"/>
              </w:rPr>
            </w:pPr>
            <w:r w:rsidRPr="00CA2CC1">
              <w:rPr>
                <w:rFonts w:cs="Calibri"/>
                <w:color w:val="414042"/>
                <w:sz w:val="18"/>
              </w:rPr>
              <w:t xml:space="preserve">Compliance with Model Financial </w:t>
            </w:r>
            <w:r w:rsidRPr="00CA2CC1">
              <w:rPr>
                <w:rFonts w:cs="Calibri"/>
                <w:color w:val="414042"/>
                <w:spacing w:val="-2"/>
                <w:sz w:val="18"/>
              </w:rPr>
              <w:t>Report</w:t>
            </w:r>
          </w:p>
        </w:tc>
        <w:tc>
          <w:tcPr>
            <w:tcW w:w="1267" w:type="dxa"/>
          </w:tcPr>
          <w:p w14:paraId="3CAAC385" w14:textId="77777777" w:rsidR="00FA4226" w:rsidRPr="00CA2CC1" w:rsidRDefault="00000000" w:rsidP="0043303B">
            <w:pPr>
              <w:pStyle w:val="TableParagraph"/>
              <w:spacing w:before="2"/>
              <w:rPr>
                <w:rFonts w:cs="Calibri"/>
                <w:sz w:val="18"/>
              </w:rPr>
            </w:pPr>
            <w:r w:rsidRPr="00CA2CC1">
              <w:rPr>
                <w:rFonts w:cs="Calibri"/>
                <w:color w:val="414042"/>
                <w:spacing w:val="-5"/>
                <w:sz w:val="18"/>
              </w:rPr>
              <w:t>104</w:t>
            </w:r>
          </w:p>
        </w:tc>
      </w:tr>
      <w:tr w:rsidR="00FA4226" w:rsidRPr="00CA2CC1" w14:paraId="1825A4F5" w14:textId="77777777" w:rsidTr="004C35DF">
        <w:trPr>
          <w:trHeight w:val="323"/>
        </w:trPr>
        <w:tc>
          <w:tcPr>
            <w:tcW w:w="9618" w:type="dxa"/>
            <w:gridSpan w:val="3"/>
          </w:tcPr>
          <w:p w14:paraId="01403B0A" w14:textId="77777777" w:rsidR="00FA4226" w:rsidRPr="00CA2CC1" w:rsidRDefault="00000000" w:rsidP="0043303B">
            <w:pPr>
              <w:pStyle w:val="TableParagraph"/>
              <w:spacing w:before="76"/>
              <w:jc w:val="left"/>
              <w:rPr>
                <w:rFonts w:cs="Calibri"/>
                <w:sz w:val="10"/>
              </w:rPr>
            </w:pPr>
            <w:r w:rsidRPr="00CA2CC1">
              <w:rPr>
                <w:rFonts w:cs="Calibri"/>
                <w:color w:val="414042"/>
                <w:sz w:val="18"/>
              </w:rPr>
              <w:t>Other</w:t>
            </w:r>
            <w:r w:rsidRPr="00CA2CC1">
              <w:rPr>
                <w:rFonts w:cs="Calibri"/>
                <w:color w:val="414042"/>
                <w:spacing w:val="-2"/>
                <w:sz w:val="18"/>
              </w:rPr>
              <w:t xml:space="preserve"> </w:t>
            </w:r>
            <w:r w:rsidRPr="00CA2CC1">
              <w:rPr>
                <w:rFonts w:cs="Calibri"/>
                <w:color w:val="414042"/>
                <w:sz w:val="18"/>
              </w:rPr>
              <w:t>disclosures</w:t>
            </w:r>
            <w:r w:rsidRPr="00CA2CC1">
              <w:rPr>
                <w:rFonts w:cs="Calibri"/>
                <w:color w:val="414042"/>
                <w:spacing w:val="-1"/>
                <w:sz w:val="18"/>
              </w:rPr>
              <w:t xml:space="preserve"> </w:t>
            </w:r>
            <w:r w:rsidRPr="00CA2CC1">
              <w:rPr>
                <w:rFonts w:cs="Calibri"/>
                <w:color w:val="414042"/>
                <w:sz w:val="18"/>
              </w:rPr>
              <w:t>as</w:t>
            </w:r>
            <w:r w:rsidRPr="00CA2CC1">
              <w:rPr>
                <w:rFonts w:cs="Calibri"/>
                <w:color w:val="414042"/>
                <w:spacing w:val="-1"/>
                <w:sz w:val="18"/>
              </w:rPr>
              <w:t xml:space="preserve"> </w:t>
            </w:r>
            <w:r w:rsidRPr="00CA2CC1">
              <w:rPr>
                <w:rFonts w:cs="Calibri"/>
                <w:color w:val="414042"/>
                <w:sz w:val="18"/>
              </w:rPr>
              <w:t>required</w:t>
            </w:r>
            <w:r w:rsidRPr="00CA2CC1">
              <w:rPr>
                <w:rFonts w:cs="Calibri"/>
                <w:color w:val="414042"/>
                <w:spacing w:val="-1"/>
                <w:sz w:val="18"/>
              </w:rPr>
              <w:t xml:space="preserve"> </w:t>
            </w:r>
            <w:r w:rsidRPr="00CA2CC1">
              <w:rPr>
                <w:rFonts w:cs="Calibri"/>
                <w:color w:val="414042"/>
                <w:sz w:val="18"/>
              </w:rPr>
              <w:t>by</w:t>
            </w:r>
            <w:r w:rsidRPr="00CA2CC1">
              <w:rPr>
                <w:rFonts w:cs="Calibri"/>
                <w:color w:val="414042"/>
                <w:spacing w:val="-1"/>
                <w:sz w:val="18"/>
              </w:rPr>
              <w:t xml:space="preserve"> </w:t>
            </w:r>
            <w:r w:rsidRPr="00CA2CC1">
              <w:rPr>
                <w:rFonts w:cs="Calibri"/>
                <w:color w:val="414042"/>
                <w:sz w:val="18"/>
              </w:rPr>
              <w:t>FRDs</w:t>
            </w:r>
            <w:r w:rsidRPr="00CA2CC1">
              <w:rPr>
                <w:rFonts w:cs="Calibri"/>
                <w:color w:val="414042"/>
                <w:spacing w:val="-1"/>
                <w:sz w:val="18"/>
              </w:rPr>
              <w:t xml:space="preserve"> </w:t>
            </w:r>
            <w:r w:rsidRPr="00CA2CC1">
              <w:rPr>
                <w:rFonts w:cs="Calibri"/>
                <w:color w:val="414042"/>
                <w:sz w:val="18"/>
              </w:rPr>
              <w:t>in</w:t>
            </w:r>
            <w:r w:rsidRPr="00CA2CC1">
              <w:rPr>
                <w:rFonts w:cs="Calibri"/>
                <w:color w:val="414042"/>
                <w:spacing w:val="-1"/>
                <w:sz w:val="18"/>
              </w:rPr>
              <w:t xml:space="preserve"> </w:t>
            </w:r>
            <w:r w:rsidRPr="00CA2CC1">
              <w:rPr>
                <w:rFonts w:cs="Calibri"/>
                <w:color w:val="414042"/>
                <w:sz w:val="18"/>
              </w:rPr>
              <w:t>notes</w:t>
            </w:r>
            <w:r w:rsidRPr="00CA2CC1">
              <w:rPr>
                <w:rFonts w:cs="Calibri"/>
                <w:color w:val="414042"/>
                <w:spacing w:val="-1"/>
                <w:sz w:val="18"/>
              </w:rPr>
              <w:t xml:space="preserve"> </w:t>
            </w:r>
            <w:r w:rsidRPr="00CA2CC1">
              <w:rPr>
                <w:rFonts w:cs="Calibri"/>
                <w:color w:val="414042"/>
                <w:sz w:val="18"/>
              </w:rPr>
              <w:t>to</w:t>
            </w:r>
            <w:r w:rsidRPr="00CA2CC1">
              <w:rPr>
                <w:rFonts w:cs="Calibri"/>
                <w:color w:val="414042"/>
                <w:spacing w:val="-1"/>
                <w:sz w:val="18"/>
              </w:rPr>
              <w:t xml:space="preserve"> </w:t>
            </w:r>
            <w:r w:rsidRPr="00CA2CC1">
              <w:rPr>
                <w:rFonts w:cs="Calibri"/>
                <w:color w:val="414042"/>
                <w:sz w:val="18"/>
              </w:rPr>
              <w:t>the</w:t>
            </w:r>
            <w:r w:rsidRPr="00CA2CC1">
              <w:rPr>
                <w:rFonts w:cs="Calibri"/>
                <w:color w:val="414042"/>
                <w:spacing w:val="-1"/>
                <w:sz w:val="18"/>
              </w:rPr>
              <w:t xml:space="preserve"> </w:t>
            </w:r>
            <w:r w:rsidRPr="00CA2CC1">
              <w:rPr>
                <w:rFonts w:cs="Calibri"/>
                <w:color w:val="414042"/>
                <w:sz w:val="18"/>
              </w:rPr>
              <w:t>financial</w:t>
            </w:r>
            <w:r w:rsidRPr="00CA2CC1">
              <w:rPr>
                <w:rFonts w:cs="Calibri"/>
                <w:color w:val="414042"/>
                <w:spacing w:val="-1"/>
                <w:sz w:val="18"/>
              </w:rPr>
              <w:t xml:space="preserve"> </w:t>
            </w:r>
            <w:r w:rsidRPr="00CA2CC1">
              <w:rPr>
                <w:rFonts w:cs="Calibri"/>
                <w:color w:val="414042"/>
                <w:sz w:val="18"/>
              </w:rPr>
              <w:t>statements</w:t>
            </w:r>
            <w:r w:rsidRPr="00CA2CC1">
              <w:rPr>
                <w:rFonts w:cs="Calibri"/>
                <w:color w:val="414042"/>
                <w:spacing w:val="-21"/>
                <w:sz w:val="18"/>
              </w:rPr>
              <w:t xml:space="preserve"> </w:t>
            </w:r>
            <w:r w:rsidRPr="00CA2CC1">
              <w:rPr>
                <w:rFonts w:cs="Calibri"/>
                <w:color w:val="414042"/>
                <w:spacing w:val="-5"/>
                <w:position w:val="6"/>
                <w:sz w:val="10"/>
              </w:rPr>
              <w:t>(a)</w:t>
            </w:r>
          </w:p>
        </w:tc>
      </w:tr>
      <w:tr w:rsidR="00FA4226" w:rsidRPr="00CA2CC1" w14:paraId="07DDF1F0" w14:textId="77777777" w:rsidTr="004C35DF">
        <w:trPr>
          <w:trHeight w:val="358"/>
        </w:trPr>
        <w:tc>
          <w:tcPr>
            <w:tcW w:w="1237" w:type="dxa"/>
          </w:tcPr>
          <w:p w14:paraId="773618ED" w14:textId="77777777" w:rsidR="00FA4226" w:rsidRPr="00CA2CC1" w:rsidRDefault="00000000" w:rsidP="0043303B">
            <w:pPr>
              <w:pStyle w:val="TableParagraph"/>
              <w:spacing w:before="72"/>
              <w:jc w:val="left"/>
              <w:rPr>
                <w:rFonts w:cs="Calibri"/>
                <w:sz w:val="18"/>
              </w:rPr>
            </w:pPr>
            <w:r w:rsidRPr="00CA2CC1">
              <w:rPr>
                <w:rFonts w:cs="Calibri"/>
                <w:color w:val="414042"/>
                <w:sz w:val="18"/>
              </w:rPr>
              <w:t xml:space="preserve">FRD </w:t>
            </w:r>
            <w:r w:rsidRPr="00CA2CC1">
              <w:rPr>
                <w:rFonts w:cs="Calibri"/>
                <w:color w:val="414042"/>
                <w:spacing w:val="-10"/>
                <w:sz w:val="18"/>
              </w:rPr>
              <w:t>9</w:t>
            </w:r>
          </w:p>
        </w:tc>
        <w:tc>
          <w:tcPr>
            <w:tcW w:w="7114" w:type="dxa"/>
          </w:tcPr>
          <w:p w14:paraId="71674434" w14:textId="77777777" w:rsidR="00FA4226" w:rsidRPr="00CA2CC1" w:rsidRDefault="00000000" w:rsidP="0043303B">
            <w:pPr>
              <w:pStyle w:val="TableParagraph"/>
              <w:spacing w:before="72"/>
              <w:jc w:val="left"/>
              <w:rPr>
                <w:rFonts w:cs="Calibri"/>
                <w:sz w:val="18"/>
              </w:rPr>
            </w:pPr>
            <w:r w:rsidRPr="00CA2CC1">
              <w:rPr>
                <w:rFonts w:cs="Calibri"/>
                <w:color w:val="414042"/>
                <w:sz w:val="18"/>
              </w:rPr>
              <w:t>Departmental</w:t>
            </w:r>
            <w:r w:rsidRPr="00CA2CC1">
              <w:rPr>
                <w:rFonts w:cs="Calibri"/>
                <w:color w:val="414042"/>
                <w:spacing w:val="-1"/>
                <w:sz w:val="18"/>
              </w:rPr>
              <w:t xml:space="preserve"> </w:t>
            </w:r>
            <w:r w:rsidRPr="00CA2CC1">
              <w:rPr>
                <w:rFonts w:cs="Calibri"/>
                <w:color w:val="414042"/>
                <w:sz w:val="18"/>
              </w:rPr>
              <w:t>Disclosure</w:t>
            </w:r>
            <w:r w:rsidRPr="00CA2CC1">
              <w:rPr>
                <w:rFonts w:cs="Calibri"/>
                <w:color w:val="414042"/>
                <w:spacing w:val="-1"/>
                <w:sz w:val="18"/>
              </w:rPr>
              <w:t xml:space="preserve"> </w:t>
            </w:r>
            <w:r w:rsidRPr="00CA2CC1">
              <w:rPr>
                <w:rFonts w:cs="Calibri"/>
                <w:color w:val="414042"/>
                <w:sz w:val="18"/>
              </w:rPr>
              <w:t>of</w:t>
            </w:r>
            <w:r w:rsidRPr="00CA2CC1">
              <w:rPr>
                <w:rFonts w:cs="Calibri"/>
                <w:color w:val="414042"/>
                <w:spacing w:val="-1"/>
                <w:sz w:val="18"/>
              </w:rPr>
              <w:t xml:space="preserve"> </w:t>
            </w:r>
            <w:r w:rsidRPr="00CA2CC1">
              <w:rPr>
                <w:rFonts w:cs="Calibri"/>
                <w:color w:val="414042"/>
                <w:sz w:val="18"/>
              </w:rPr>
              <w:t>Administered</w:t>
            </w:r>
            <w:r w:rsidRPr="00CA2CC1">
              <w:rPr>
                <w:rFonts w:cs="Calibri"/>
                <w:color w:val="414042"/>
                <w:spacing w:val="-1"/>
                <w:sz w:val="18"/>
              </w:rPr>
              <w:t xml:space="preserve"> </w:t>
            </w:r>
            <w:r w:rsidRPr="00CA2CC1">
              <w:rPr>
                <w:rFonts w:cs="Calibri"/>
                <w:color w:val="414042"/>
                <w:sz w:val="18"/>
              </w:rPr>
              <w:t>Assets</w:t>
            </w:r>
            <w:r w:rsidRPr="00CA2CC1">
              <w:rPr>
                <w:rFonts w:cs="Calibri"/>
                <w:color w:val="414042"/>
                <w:spacing w:val="-1"/>
                <w:sz w:val="18"/>
              </w:rPr>
              <w:t xml:space="preserve"> </w:t>
            </w:r>
            <w:r w:rsidRPr="00CA2CC1">
              <w:rPr>
                <w:rFonts w:cs="Calibri"/>
                <w:color w:val="414042"/>
                <w:sz w:val="18"/>
              </w:rPr>
              <w:t>and</w:t>
            </w:r>
            <w:r w:rsidRPr="00CA2CC1">
              <w:rPr>
                <w:rFonts w:cs="Calibri"/>
                <w:color w:val="414042"/>
                <w:spacing w:val="-1"/>
                <w:sz w:val="18"/>
              </w:rPr>
              <w:t xml:space="preserve"> </w:t>
            </w:r>
            <w:r w:rsidRPr="00CA2CC1">
              <w:rPr>
                <w:rFonts w:cs="Calibri"/>
                <w:color w:val="414042"/>
                <w:sz w:val="18"/>
              </w:rPr>
              <w:t>Liabilities</w:t>
            </w:r>
            <w:r w:rsidRPr="00CA2CC1">
              <w:rPr>
                <w:rFonts w:cs="Calibri"/>
                <w:color w:val="414042"/>
                <w:spacing w:val="-1"/>
                <w:sz w:val="18"/>
              </w:rPr>
              <w:t xml:space="preserve"> </w:t>
            </w:r>
            <w:r w:rsidRPr="00CA2CC1">
              <w:rPr>
                <w:rFonts w:cs="Calibri"/>
                <w:color w:val="414042"/>
                <w:sz w:val="18"/>
              </w:rPr>
              <w:t>by</w:t>
            </w:r>
            <w:r w:rsidRPr="00CA2CC1">
              <w:rPr>
                <w:rFonts w:cs="Calibri"/>
                <w:color w:val="414042"/>
                <w:spacing w:val="-1"/>
                <w:sz w:val="18"/>
              </w:rPr>
              <w:t xml:space="preserve"> </w:t>
            </w:r>
            <w:r w:rsidRPr="00CA2CC1">
              <w:rPr>
                <w:rFonts w:cs="Calibri"/>
                <w:color w:val="414042"/>
                <w:spacing w:val="-2"/>
                <w:sz w:val="18"/>
              </w:rPr>
              <w:t>Activity</w:t>
            </w:r>
          </w:p>
        </w:tc>
        <w:tc>
          <w:tcPr>
            <w:tcW w:w="1267" w:type="dxa"/>
          </w:tcPr>
          <w:p w14:paraId="21B069F7" w14:textId="77777777" w:rsidR="00FA4226" w:rsidRPr="00CA2CC1" w:rsidRDefault="00000000" w:rsidP="0043303B">
            <w:pPr>
              <w:pStyle w:val="TableParagraph"/>
              <w:spacing w:before="72"/>
              <w:rPr>
                <w:rFonts w:cs="Calibri"/>
                <w:sz w:val="18"/>
              </w:rPr>
            </w:pPr>
            <w:r w:rsidRPr="00CA2CC1">
              <w:rPr>
                <w:rFonts w:cs="Calibri"/>
                <w:color w:val="414042"/>
                <w:spacing w:val="-5"/>
                <w:sz w:val="18"/>
              </w:rPr>
              <w:t>111</w:t>
            </w:r>
          </w:p>
        </w:tc>
      </w:tr>
      <w:tr w:rsidR="00FA4226" w:rsidRPr="00CA2CC1" w14:paraId="6B6261F9" w14:textId="77777777" w:rsidTr="004C35DF">
        <w:trPr>
          <w:trHeight w:val="288"/>
        </w:trPr>
        <w:tc>
          <w:tcPr>
            <w:tcW w:w="1237" w:type="dxa"/>
          </w:tcPr>
          <w:p w14:paraId="6897496B" w14:textId="77777777" w:rsidR="00FA4226" w:rsidRPr="00CA2CC1" w:rsidRDefault="00000000" w:rsidP="0043303B">
            <w:pPr>
              <w:pStyle w:val="TableParagraph"/>
              <w:spacing w:before="2"/>
              <w:jc w:val="left"/>
              <w:rPr>
                <w:rFonts w:cs="Calibri"/>
                <w:sz w:val="18"/>
              </w:rPr>
            </w:pPr>
            <w:r w:rsidRPr="00CA2CC1">
              <w:rPr>
                <w:rFonts w:cs="Calibri"/>
                <w:color w:val="414042"/>
                <w:sz w:val="18"/>
              </w:rPr>
              <w:t>FRD</w:t>
            </w:r>
            <w:r w:rsidRPr="00CA2CC1">
              <w:rPr>
                <w:rFonts w:cs="Calibri"/>
                <w:color w:val="414042"/>
                <w:spacing w:val="-2"/>
                <w:sz w:val="18"/>
              </w:rPr>
              <w:t xml:space="preserve"> </w:t>
            </w:r>
            <w:r w:rsidRPr="00CA2CC1">
              <w:rPr>
                <w:rFonts w:cs="Calibri"/>
                <w:color w:val="414042"/>
                <w:spacing w:val="-5"/>
                <w:sz w:val="18"/>
              </w:rPr>
              <w:t>11</w:t>
            </w:r>
          </w:p>
        </w:tc>
        <w:tc>
          <w:tcPr>
            <w:tcW w:w="7114" w:type="dxa"/>
          </w:tcPr>
          <w:p w14:paraId="0EE887C8" w14:textId="77777777" w:rsidR="00FA4226" w:rsidRPr="00CA2CC1" w:rsidRDefault="00000000" w:rsidP="0043303B">
            <w:pPr>
              <w:pStyle w:val="TableParagraph"/>
              <w:spacing w:before="2"/>
              <w:jc w:val="left"/>
              <w:rPr>
                <w:rFonts w:cs="Calibri"/>
                <w:sz w:val="18"/>
              </w:rPr>
            </w:pPr>
            <w:r w:rsidRPr="00CA2CC1">
              <w:rPr>
                <w:rFonts w:cs="Calibri"/>
                <w:color w:val="414042"/>
                <w:sz w:val="18"/>
              </w:rPr>
              <w:t>Disclosure</w:t>
            </w:r>
            <w:r w:rsidRPr="00CA2CC1">
              <w:rPr>
                <w:rFonts w:cs="Calibri"/>
                <w:color w:val="414042"/>
                <w:spacing w:val="-1"/>
                <w:sz w:val="18"/>
              </w:rPr>
              <w:t xml:space="preserve"> </w:t>
            </w:r>
            <w:r w:rsidRPr="00CA2CC1">
              <w:rPr>
                <w:rFonts w:cs="Calibri"/>
                <w:color w:val="414042"/>
                <w:sz w:val="18"/>
              </w:rPr>
              <w:t>of</w:t>
            </w:r>
            <w:r w:rsidRPr="00CA2CC1">
              <w:rPr>
                <w:rFonts w:cs="Calibri"/>
                <w:color w:val="414042"/>
                <w:spacing w:val="-1"/>
                <w:sz w:val="18"/>
              </w:rPr>
              <w:t xml:space="preserve"> </w:t>
            </w:r>
            <w:r w:rsidRPr="00CA2CC1">
              <w:rPr>
                <w:rFonts w:cs="Calibri"/>
                <w:color w:val="414042"/>
                <w:sz w:val="18"/>
              </w:rPr>
              <w:t>Ex</w:t>
            </w:r>
            <w:r w:rsidRPr="00CA2CC1">
              <w:rPr>
                <w:rFonts w:cs="Calibri"/>
                <w:color w:val="414042"/>
                <w:spacing w:val="-1"/>
                <w:sz w:val="18"/>
              </w:rPr>
              <w:t xml:space="preserve"> </w:t>
            </w:r>
            <w:r w:rsidRPr="00CA2CC1">
              <w:rPr>
                <w:rFonts w:cs="Calibri"/>
                <w:color w:val="414042"/>
                <w:sz w:val="18"/>
              </w:rPr>
              <w:t>gratia</w:t>
            </w:r>
            <w:r w:rsidRPr="00CA2CC1">
              <w:rPr>
                <w:rFonts w:cs="Calibri"/>
                <w:color w:val="414042"/>
                <w:spacing w:val="-1"/>
                <w:sz w:val="18"/>
              </w:rPr>
              <w:t xml:space="preserve"> </w:t>
            </w:r>
            <w:r w:rsidRPr="00CA2CC1">
              <w:rPr>
                <w:rFonts w:cs="Calibri"/>
                <w:color w:val="414042"/>
                <w:spacing w:val="-2"/>
                <w:sz w:val="18"/>
              </w:rPr>
              <w:t>Expenses</w:t>
            </w:r>
          </w:p>
        </w:tc>
        <w:tc>
          <w:tcPr>
            <w:tcW w:w="1267" w:type="dxa"/>
          </w:tcPr>
          <w:p w14:paraId="09ADCB71" w14:textId="77777777" w:rsidR="00FA4226" w:rsidRPr="00CA2CC1" w:rsidRDefault="00000000" w:rsidP="0043303B">
            <w:pPr>
              <w:pStyle w:val="TableParagraph"/>
              <w:spacing w:before="2"/>
              <w:rPr>
                <w:rFonts w:cs="Calibri"/>
                <w:sz w:val="18"/>
              </w:rPr>
            </w:pPr>
            <w:r w:rsidRPr="00CA2CC1">
              <w:rPr>
                <w:rFonts w:cs="Calibri"/>
                <w:color w:val="414042"/>
                <w:spacing w:val="-5"/>
                <w:sz w:val="18"/>
              </w:rPr>
              <w:t>N/A</w:t>
            </w:r>
          </w:p>
        </w:tc>
      </w:tr>
      <w:tr w:rsidR="00FA4226" w:rsidRPr="00CA2CC1" w14:paraId="25084B21" w14:textId="77777777" w:rsidTr="004C35DF">
        <w:trPr>
          <w:trHeight w:val="288"/>
        </w:trPr>
        <w:tc>
          <w:tcPr>
            <w:tcW w:w="1237" w:type="dxa"/>
          </w:tcPr>
          <w:p w14:paraId="385588F1" w14:textId="77777777" w:rsidR="00FA4226" w:rsidRPr="00CA2CC1" w:rsidRDefault="00000000" w:rsidP="0043303B">
            <w:pPr>
              <w:pStyle w:val="TableParagraph"/>
              <w:spacing w:before="2"/>
              <w:jc w:val="left"/>
              <w:rPr>
                <w:rFonts w:cs="Calibri"/>
                <w:sz w:val="18"/>
              </w:rPr>
            </w:pPr>
            <w:r w:rsidRPr="00CA2CC1">
              <w:rPr>
                <w:rFonts w:cs="Calibri"/>
                <w:color w:val="414042"/>
                <w:sz w:val="18"/>
              </w:rPr>
              <w:t>FRD</w:t>
            </w:r>
            <w:r w:rsidRPr="00CA2CC1">
              <w:rPr>
                <w:rFonts w:cs="Calibri"/>
                <w:color w:val="414042"/>
                <w:spacing w:val="-2"/>
                <w:sz w:val="18"/>
              </w:rPr>
              <w:t xml:space="preserve"> </w:t>
            </w:r>
            <w:r w:rsidRPr="00CA2CC1">
              <w:rPr>
                <w:rFonts w:cs="Calibri"/>
                <w:color w:val="414042"/>
                <w:spacing w:val="-5"/>
                <w:sz w:val="18"/>
              </w:rPr>
              <w:t>13</w:t>
            </w:r>
          </w:p>
        </w:tc>
        <w:tc>
          <w:tcPr>
            <w:tcW w:w="7114" w:type="dxa"/>
          </w:tcPr>
          <w:p w14:paraId="44734637" w14:textId="77777777" w:rsidR="00FA4226" w:rsidRPr="00CA2CC1" w:rsidRDefault="00000000" w:rsidP="0043303B">
            <w:pPr>
              <w:pStyle w:val="TableParagraph"/>
              <w:spacing w:before="2"/>
              <w:jc w:val="left"/>
              <w:rPr>
                <w:rFonts w:cs="Calibri"/>
                <w:sz w:val="18"/>
              </w:rPr>
            </w:pPr>
            <w:r w:rsidRPr="00CA2CC1">
              <w:rPr>
                <w:rFonts w:cs="Calibri"/>
                <w:color w:val="414042"/>
                <w:sz w:val="18"/>
              </w:rPr>
              <w:t>Disclosure</w:t>
            </w:r>
            <w:r w:rsidRPr="00CA2CC1">
              <w:rPr>
                <w:rFonts w:cs="Calibri"/>
                <w:color w:val="414042"/>
                <w:spacing w:val="-2"/>
                <w:sz w:val="18"/>
              </w:rPr>
              <w:t xml:space="preserve"> </w:t>
            </w:r>
            <w:r w:rsidRPr="00CA2CC1">
              <w:rPr>
                <w:rFonts w:cs="Calibri"/>
                <w:color w:val="414042"/>
                <w:sz w:val="18"/>
              </w:rPr>
              <w:t>of</w:t>
            </w:r>
            <w:r w:rsidRPr="00CA2CC1">
              <w:rPr>
                <w:rFonts w:cs="Calibri"/>
                <w:color w:val="414042"/>
                <w:spacing w:val="-1"/>
                <w:sz w:val="18"/>
              </w:rPr>
              <w:t xml:space="preserve"> </w:t>
            </w:r>
            <w:r w:rsidRPr="00CA2CC1">
              <w:rPr>
                <w:rFonts w:cs="Calibri"/>
                <w:color w:val="414042"/>
                <w:sz w:val="18"/>
              </w:rPr>
              <w:t>Parliamentary</w:t>
            </w:r>
            <w:r w:rsidRPr="00CA2CC1">
              <w:rPr>
                <w:rFonts w:cs="Calibri"/>
                <w:color w:val="414042"/>
                <w:spacing w:val="-1"/>
                <w:sz w:val="18"/>
              </w:rPr>
              <w:t xml:space="preserve"> </w:t>
            </w:r>
            <w:r w:rsidRPr="00CA2CC1">
              <w:rPr>
                <w:rFonts w:cs="Calibri"/>
                <w:color w:val="414042"/>
                <w:spacing w:val="-2"/>
                <w:sz w:val="18"/>
              </w:rPr>
              <w:t>Appropriations</w:t>
            </w:r>
          </w:p>
        </w:tc>
        <w:tc>
          <w:tcPr>
            <w:tcW w:w="1267" w:type="dxa"/>
          </w:tcPr>
          <w:p w14:paraId="15597C75" w14:textId="77777777" w:rsidR="00FA4226" w:rsidRPr="00CA2CC1" w:rsidRDefault="00000000" w:rsidP="0043303B">
            <w:pPr>
              <w:pStyle w:val="TableParagraph"/>
              <w:spacing w:before="2"/>
              <w:rPr>
                <w:rFonts w:cs="Calibri"/>
                <w:sz w:val="18"/>
              </w:rPr>
            </w:pPr>
            <w:r w:rsidRPr="00CA2CC1">
              <w:rPr>
                <w:rFonts w:cs="Calibri"/>
                <w:color w:val="414042"/>
                <w:spacing w:val="-5"/>
                <w:sz w:val="18"/>
              </w:rPr>
              <w:t>105</w:t>
            </w:r>
          </w:p>
        </w:tc>
      </w:tr>
      <w:tr w:rsidR="00FA4226" w:rsidRPr="00CA2CC1" w14:paraId="4C50651D" w14:textId="77777777" w:rsidTr="004C35DF">
        <w:trPr>
          <w:trHeight w:val="488"/>
        </w:trPr>
        <w:tc>
          <w:tcPr>
            <w:tcW w:w="1237" w:type="dxa"/>
          </w:tcPr>
          <w:p w14:paraId="4A36F46C" w14:textId="77777777" w:rsidR="00FA4226" w:rsidRPr="00CA2CC1" w:rsidRDefault="00000000" w:rsidP="0043303B">
            <w:pPr>
              <w:pStyle w:val="TableParagraph"/>
              <w:spacing w:before="2"/>
              <w:jc w:val="left"/>
              <w:rPr>
                <w:rFonts w:cs="Calibri"/>
                <w:sz w:val="18"/>
              </w:rPr>
            </w:pPr>
            <w:r w:rsidRPr="00CA2CC1">
              <w:rPr>
                <w:rFonts w:cs="Calibri"/>
                <w:color w:val="414042"/>
                <w:sz w:val="18"/>
              </w:rPr>
              <w:t>FRD</w:t>
            </w:r>
            <w:r w:rsidRPr="00CA2CC1">
              <w:rPr>
                <w:rFonts w:cs="Calibri"/>
                <w:color w:val="414042"/>
                <w:spacing w:val="-2"/>
                <w:sz w:val="18"/>
              </w:rPr>
              <w:t xml:space="preserve"> </w:t>
            </w:r>
            <w:r w:rsidRPr="00CA2CC1">
              <w:rPr>
                <w:rFonts w:cs="Calibri"/>
                <w:color w:val="414042"/>
                <w:spacing w:val="-5"/>
                <w:sz w:val="18"/>
              </w:rPr>
              <w:t>21</w:t>
            </w:r>
          </w:p>
        </w:tc>
        <w:tc>
          <w:tcPr>
            <w:tcW w:w="7114" w:type="dxa"/>
          </w:tcPr>
          <w:p w14:paraId="394BBF5B" w14:textId="77777777" w:rsidR="00FA4226" w:rsidRPr="00CA2CC1" w:rsidRDefault="00000000" w:rsidP="0043303B">
            <w:pPr>
              <w:pStyle w:val="TableParagraph"/>
              <w:spacing w:before="44"/>
              <w:jc w:val="left"/>
              <w:rPr>
                <w:rFonts w:cs="Calibri"/>
                <w:sz w:val="18"/>
              </w:rPr>
            </w:pPr>
            <w:r w:rsidRPr="00CA2CC1">
              <w:rPr>
                <w:rFonts w:cs="Calibri"/>
                <w:color w:val="414042"/>
                <w:sz w:val="18"/>
              </w:rPr>
              <w:t>Disclosures of Responsible Persons, Executive Officers and other Personnel (Contractors</w:t>
            </w:r>
            <w:r w:rsidRPr="00CA2CC1">
              <w:rPr>
                <w:rFonts w:cs="Calibri"/>
                <w:color w:val="414042"/>
                <w:spacing w:val="-5"/>
                <w:sz w:val="18"/>
              </w:rPr>
              <w:t xml:space="preserve"> </w:t>
            </w:r>
            <w:r w:rsidRPr="00CA2CC1">
              <w:rPr>
                <w:rFonts w:cs="Calibri"/>
                <w:color w:val="414042"/>
                <w:sz w:val="18"/>
              </w:rPr>
              <w:t>with</w:t>
            </w:r>
            <w:r w:rsidRPr="00CA2CC1">
              <w:rPr>
                <w:rFonts w:cs="Calibri"/>
                <w:color w:val="414042"/>
                <w:spacing w:val="-5"/>
                <w:sz w:val="18"/>
              </w:rPr>
              <w:t xml:space="preserve"> </w:t>
            </w:r>
            <w:r w:rsidRPr="00CA2CC1">
              <w:rPr>
                <w:rFonts w:cs="Calibri"/>
                <w:color w:val="414042"/>
                <w:sz w:val="18"/>
              </w:rPr>
              <w:t>Significant</w:t>
            </w:r>
            <w:r w:rsidRPr="00CA2CC1">
              <w:rPr>
                <w:rFonts w:cs="Calibri"/>
                <w:color w:val="414042"/>
                <w:spacing w:val="-5"/>
                <w:sz w:val="18"/>
              </w:rPr>
              <w:t xml:space="preserve"> </w:t>
            </w:r>
            <w:r w:rsidRPr="00CA2CC1">
              <w:rPr>
                <w:rFonts w:cs="Calibri"/>
                <w:color w:val="414042"/>
                <w:sz w:val="18"/>
              </w:rPr>
              <w:t>Management</w:t>
            </w:r>
            <w:r w:rsidRPr="00CA2CC1">
              <w:rPr>
                <w:rFonts w:cs="Calibri"/>
                <w:color w:val="414042"/>
                <w:spacing w:val="-5"/>
                <w:sz w:val="18"/>
              </w:rPr>
              <w:t xml:space="preserve"> </w:t>
            </w:r>
            <w:r w:rsidRPr="00CA2CC1">
              <w:rPr>
                <w:rFonts w:cs="Calibri"/>
                <w:color w:val="414042"/>
                <w:sz w:val="18"/>
              </w:rPr>
              <w:t>Responsibilities)</w:t>
            </w:r>
            <w:r w:rsidRPr="00CA2CC1">
              <w:rPr>
                <w:rFonts w:cs="Calibri"/>
                <w:color w:val="414042"/>
                <w:spacing w:val="-5"/>
                <w:sz w:val="18"/>
              </w:rPr>
              <w:t xml:space="preserve"> </w:t>
            </w:r>
            <w:r w:rsidRPr="00CA2CC1">
              <w:rPr>
                <w:rFonts w:cs="Calibri"/>
                <w:color w:val="414042"/>
                <w:sz w:val="18"/>
              </w:rPr>
              <w:t>in</w:t>
            </w:r>
            <w:r w:rsidRPr="00CA2CC1">
              <w:rPr>
                <w:rFonts w:cs="Calibri"/>
                <w:color w:val="414042"/>
                <w:spacing w:val="-5"/>
                <w:sz w:val="18"/>
              </w:rPr>
              <w:t xml:space="preserve"> </w:t>
            </w:r>
            <w:r w:rsidRPr="00CA2CC1">
              <w:rPr>
                <w:rFonts w:cs="Calibri"/>
                <w:color w:val="414042"/>
                <w:sz w:val="18"/>
              </w:rPr>
              <w:t>the</w:t>
            </w:r>
            <w:r w:rsidRPr="00CA2CC1">
              <w:rPr>
                <w:rFonts w:cs="Calibri"/>
                <w:color w:val="414042"/>
                <w:spacing w:val="-5"/>
                <w:sz w:val="18"/>
              </w:rPr>
              <w:t xml:space="preserve"> </w:t>
            </w:r>
            <w:r w:rsidRPr="00CA2CC1">
              <w:rPr>
                <w:rFonts w:cs="Calibri"/>
                <w:color w:val="414042"/>
                <w:sz w:val="18"/>
              </w:rPr>
              <w:t>Financial</w:t>
            </w:r>
            <w:r w:rsidRPr="00CA2CC1">
              <w:rPr>
                <w:rFonts w:cs="Calibri"/>
                <w:color w:val="414042"/>
                <w:spacing w:val="-5"/>
                <w:sz w:val="18"/>
              </w:rPr>
              <w:t xml:space="preserve"> </w:t>
            </w:r>
            <w:r w:rsidRPr="00CA2CC1">
              <w:rPr>
                <w:rFonts w:cs="Calibri"/>
                <w:color w:val="414042"/>
                <w:sz w:val="18"/>
              </w:rPr>
              <w:t>Report</w:t>
            </w:r>
          </w:p>
        </w:tc>
        <w:tc>
          <w:tcPr>
            <w:tcW w:w="1267" w:type="dxa"/>
          </w:tcPr>
          <w:p w14:paraId="29F8E405" w14:textId="77777777" w:rsidR="00FA4226" w:rsidRPr="00CA2CC1" w:rsidRDefault="00000000" w:rsidP="0043303B">
            <w:pPr>
              <w:pStyle w:val="TableParagraph"/>
              <w:spacing w:before="2"/>
              <w:rPr>
                <w:rFonts w:cs="Calibri"/>
                <w:sz w:val="18"/>
              </w:rPr>
            </w:pPr>
            <w:r w:rsidRPr="00CA2CC1">
              <w:rPr>
                <w:rFonts w:cs="Calibri"/>
                <w:color w:val="414042"/>
                <w:sz w:val="18"/>
              </w:rPr>
              <w:t>121-</w:t>
            </w:r>
            <w:r w:rsidRPr="00CA2CC1">
              <w:rPr>
                <w:rFonts w:cs="Calibri"/>
                <w:color w:val="414042"/>
                <w:spacing w:val="-5"/>
                <w:sz w:val="18"/>
              </w:rPr>
              <w:t>122</w:t>
            </w:r>
          </w:p>
        </w:tc>
      </w:tr>
      <w:tr w:rsidR="00FA4226" w:rsidRPr="00CA2CC1" w14:paraId="1F7C84CA" w14:textId="77777777" w:rsidTr="004C35DF">
        <w:trPr>
          <w:trHeight w:val="288"/>
        </w:trPr>
        <w:tc>
          <w:tcPr>
            <w:tcW w:w="1237" w:type="dxa"/>
          </w:tcPr>
          <w:p w14:paraId="4343E672" w14:textId="77777777" w:rsidR="00FA4226" w:rsidRPr="00CA2CC1" w:rsidRDefault="00000000" w:rsidP="0043303B">
            <w:pPr>
              <w:pStyle w:val="TableParagraph"/>
              <w:spacing w:before="2"/>
              <w:jc w:val="left"/>
              <w:rPr>
                <w:rFonts w:cs="Calibri"/>
                <w:sz w:val="18"/>
              </w:rPr>
            </w:pPr>
            <w:r w:rsidRPr="00CA2CC1">
              <w:rPr>
                <w:rFonts w:cs="Calibri"/>
                <w:color w:val="414042"/>
                <w:sz w:val="18"/>
              </w:rPr>
              <w:t xml:space="preserve">FRD </w:t>
            </w:r>
            <w:r w:rsidRPr="00CA2CC1">
              <w:rPr>
                <w:rFonts w:cs="Calibri"/>
                <w:color w:val="414042"/>
                <w:spacing w:val="-5"/>
                <w:sz w:val="18"/>
              </w:rPr>
              <w:t>103</w:t>
            </w:r>
          </w:p>
        </w:tc>
        <w:tc>
          <w:tcPr>
            <w:tcW w:w="7114" w:type="dxa"/>
          </w:tcPr>
          <w:p w14:paraId="1EEC863F" w14:textId="77777777" w:rsidR="00FA4226" w:rsidRPr="00CA2CC1" w:rsidRDefault="00000000" w:rsidP="0043303B">
            <w:pPr>
              <w:pStyle w:val="TableParagraph"/>
              <w:spacing w:before="2"/>
              <w:jc w:val="left"/>
              <w:rPr>
                <w:rFonts w:cs="Calibri"/>
                <w:sz w:val="18"/>
              </w:rPr>
            </w:pPr>
            <w:r w:rsidRPr="00CA2CC1">
              <w:rPr>
                <w:rFonts w:cs="Calibri"/>
                <w:color w:val="414042"/>
                <w:sz w:val="18"/>
              </w:rPr>
              <w:t xml:space="preserve">NonFinancial Physical </w:t>
            </w:r>
            <w:r w:rsidRPr="00CA2CC1">
              <w:rPr>
                <w:rFonts w:cs="Calibri"/>
                <w:color w:val="414042"/>
                <w:spacing w:val="-2"/>
                <w:sz w:val="18"/>
              </w:rPr>
              <w:t>Assets</w:t>
            </w:r>
          </w:p>
        </w:tc>
        <w:tc>
          <w:tcPr>
            <w:tcW w:w="1267" w:type="dxa"/>
          </w:tcPr>
          <w:p w14:paraId="72E6E8C3" w14:textId="77777777" w:rsidR="00FA4226" w:rsidRPr="00CA2CC1" w:rsidRDefault="00000000" w:rsidP="0043303B">
            <w:pPr>
              <w:pStyle w:val="TableParagraph"/>
              <w:spacing w:before="2"/>
              <w:rPr>
                <w:rFonts w:cs="Calibri"/>
                <w:sz w:val="18"/>
              </w:rPr>
            </w:pPr>
            <w:r w:rsidRPr="00CA2CC1">
              <w:rPr>
                <w:rFonts w:cs="Calibri"/>
                <w:color w:val="414042"/>
                <w:spacing w:val="-5"/>
                <w:sz w:val="18"/>
              </w:rPr>
              <w:t>111</w:t>
            </w:r>
          </w:p>
        </w:tc>
      </w:tr>
      <w:tr w:rsidR="00FA4226" w:rsidRPr="00CA2CC1" w14:paraId="6A7B7655" w14:textId="77777777" w:rsidTr="004C35DF">
        <w:trPr>
          <w:trHeight w:val="288"/>
        </w:trPr>
        <w:tc>
          <w:tcPr>
            <w:tcW w:w="1237" w:type="dxa"/>
          </w:tcPr>
          <w:p w14:paraId="06FF0E48" w14:textId="77777777" w:rsidR="00FA4226" w:rsidRPr="00CA2CC1" w:rsidRDefault="00000000" w:rsidP="0043303B">
            <w:pPr>
              <w:pStyle w:val="TableParagraph"/>
              <w:spacing w:before="2"/>
              <w:jc w:val="left"/>
              <w:rPr>
                <w:rFonts w:cs="Calibri"/>
                <w:sz w:val="18"/>
              </w:rPr>
            </w:pPr>
            <w:r w:rsidRPr="00CA2CC1">
              <w:rPr>
                <w:rFonts w:cs="Calibri"/>
                <w:color w:val="414042"/>
                <w:sz w:val="18"/>
              </w:rPr>
              <w:t xml:space="preserve">FRD </w:t>
            </w:r>
            <w:r w:rsidRPr="00CA2CC1">
              <w:rPr>
                <w:rFonts w:cs="Calibri"/>
                <w:color w:val="414042"/>
                <w:spacing w:val="-5"/>
                <w:sz w:val="18"/>
              </w:rPr>
              <w:t>110</w:t>
            </w:r>
          </w:p>
        </w:tc>
        <w:tc>
          <w:tcPr>
            <w:tcW w:w="7114" w:type="dxa"/>
          </w:tcPr>
          <w:p w14:paraId="01D38BEB" w14:textId="77777777" w:rsidR="00FA4226" w:rsidRPr="00CA2CC1" w:rsidRDefault="00000000" w:rsidP="0043303B">
            <w:pPr>
              <w:pStyle w:val="TableParagraph"/>
              <w:spacing w:before="2"/>
              <w:jc w:val="left"/>
              <w:rPr>
                <w:rFonts w:cs="Calibri"/>
                <w:sz w:val="18"/>
              </w:rPr>
            </w:pPr>
            <w:r w:rsidRPr="00CA2CC1">
              <w:rPr>
                <w:rFonts w:cs="Calibri"/>
                <w:color w:val="414042"/>
                <w:sz w:val="18"/>
              </w:rPr>
              <w:t xml:space="preserve">Cash Flow </w:t>
            </w:r>
            <w:r w:rsidRPr="00CA2CC1">
              <w:rPr>
                <w:rFonts w:cs="Calibri"/>
                <w:color w:val="414042"/>
                <w:spacing w:val="-2"/>
                <w:sz w:val="18"/>
              </w:rPr>
              <w:t>Statements</w:t>
            </w:r>
          </w:p>
        </w:tc>
        <w:tc>
          <w:tcPr>
            <w:tcW w:w="1267" w:type="dxa"/>
          </w:tcPr>
          <w:p w14:paraId="2BAB6CD8" w14:textId="77777777" w:rsidR="00FA4226" w:rsidRPr="00CA2CC1" w:rsidRDefault="00000000" w:rsidP="0043303B">
            <w:pPr>
              <w:pStyle w:val="TableParagraph"/>
              <w:spacing w:before="2"/>
              <w:rPr>
                <w:rFonts w:cs="Calibri"/>
                <w:sz w:val="18"/>
              </w:rPr>
            </w:pPr>
            <w:r w:rsidRPr="00CA2CC1">
              <w:rPr>
                <w:rFonts w:cs="Calibri"/>
                <w:color w:val="414042"/>
                <w:spacing w:val="-5"/>
                <w:sz w:val="18"/>
              </w:rPr>
              <w:t>100</w:t>
            </w:r>
          </w:p>
        </w:tc>
      </w:tr>
      <w:tr w:rsidR="00FA4226" w:rsidRPr="00CA2CC1" w14:paraId="7BC4F167" w14:textId="77777777" w:rsidTr="004C35DF">
        <w:trPr>
          <w:trHeight w:val="288"/>
        </w:trPr>
        <w:tc>
          <w:tcPr>
            <w:tcW w:w="1237" w:type="dxa"/>
          </w:tcPr>
          <w:p w14:paraId="1D777FE2" w14:textId="77777777" w:rsidR="00FA4226" w:rsidRPr="00CA2CC1" w:rsidRDefault="00000000" w:rsidP="0043303B">
            <w:pPr>
              <w:pStyle w:val="TableParagraph"/>
              <w:spacing w:before="2"/>
              <w:jc w:val="left"/>
              <w:rPr>
                <w:rFonts w:cs="Calibri"/>
                <w:sz w:val="18"/>
              </w:rPr>
            </w:pPr>
            <w:r w:rsidRPr="00CA2CC1">
              <w:rPr>
                <w:rFonts w:cs="Calibri"/>
                <w:color w:val="414042"/>
                <w:sz w:val="18"/>
              </w:rPr>
              <w:t xml:space="preserve">FRD </w:t>
            </w:r>
            <w:r w:rsidRPr="00CA2CC1">
              <w:rPr>
                <w:rFonts w:cs="Calibri"/>
                <w:color w:val="414042"/>
                <w:spacing w:val="-5"/>
                <w:sz w:val="18"/>
              </w:rPr>
              <w:t>112</w:t>
            </w:r>
          </w:p>
        </w:tc>
        <w:tc>
          <w:tcPr>
            <w:tcW w:w="7114" w:type="dxa"/>
          </w:tcPr>
          <w:p w14:paraId="0C71D540" w14:textId="77777777" w:rsidR="00FA4226" w:rsidRPr="00CA2CC1" w:rsidRDefault="00000000" w:rsidP="0043303B">
            <w:pPr>
              <w:pStyle w:val="TableParagraph"/>
              <w:spacing w:before="2"/>
              <w:jc w:val="left"/>
              <w:rPr>
                <w:rFonts w:cs="Calibri"/>
                <w:sz w:val="18"/>
              </w:rPr>
            </w:pPr>
            <w:r w:rsidRPr="00CA2CC1">
              <w:rPr>
                <w:rFonts w:cs="Calibri"/>
                <w:color w:val="414042"/>
                <w:sz w:val="18"/>
              </w:rPr>
              <w:t xml:space="preserve">Defined Benefit Superannuation </w:t>
            </w:r>
            <w:r w:rsidRPr="00CA2CC1">
              <w:rPr>
                <w:rFonts w:cs="Calibri"/>
                <w:color w:val="414042"/>
                <w:spacing w:val="-2"/>
                <w:sz w:val="18"/>
              </w:rPr>
              <w:t>Obligations</w:t>
            </w:r>
          </w:p>
        </w:tc>
        <w:tc>
          <w:tcPr>
            <w:tcW w:w="1267" w:type="dxa"/>
          </w:tcPr>
          <w:p w14:paraId="060EAB0E" w14:textId="77777777" w:rsidR="00FA4226" w:rsidRPr="00CA2CC1" w:rsidRDefault="00000000" w:rsidP="0043303B">
            <w:pPr>
              <w:pStyle w:val="TableParagraph"/>
              <w:spacing w:before="2"/>
              <w:rPr>
                <w:rFonts w:cs="Calibri"/>
                <w:sz w:val="18"/>
              </w:rPr>
            </w:pPr>
            <w:r w:rsidRPr="00CA2CC1">
              <w:rPr>
                <w:rFonts w:cs="Calibri"/>
                <w:color w:val="414042"/>
                <w:spacing w:val="-5"/>
                <w:sz w:val="18"/>
              </w:rPr>
              <w:t>106</w:t>
            </w:r>
          </w:p>
        </w:tc>
      </w:tr>
      <w:tr w:rsidR="00FA4226" w:rsidRPr="00CA2CC1" w14:paraId="25E12E0B" w14:textId="77777777" w:rsidTr="004C35DF">
        <w:trPr>
          <w:trHeight w:val="450"/>
        </w:trPr>
        <w:tc>
          <w:tcPr>
            <w:tcW w:w="1237" w:type="dxa"/>
          </w:tcPr>
          <w:p w14:paraId="4D6DFAE5" w14:textId="77777777" w:rsidR="00FA4226" w:rsidRPr="00CA2CC1" w:rsidRDefault="00000000" w:rsidP="0043303B">
            <w:pPr>
              <w:pStyle w:val="TableParagraph"/>
              <w:spacing w:before="2"/>
              <w:jc w:val="left"/>
              <w:rPr>
                <w:rFonts w:cs="Calibri"/>
                <w:sz w:val="18"/>
              </w:rPr>
            </w:pPr>
            <w:r w:rsidRPr="00CA2CC1">
              <w:rPr>
                <w:rFonts w:cs="Calibri"/>
                <w:color w:val="414042"/>
                <w:sz w:val="18"/>
              </w:rPr>
              <w:t xml:space="preserve">FRD </w:t>
            </w:r>
            <w:r w:rsidRPr="00CA2CC1">
              <w:rPr>
                <w:rFonts w:cs="Calibri"/>
                <w:color w:val="414042"/>
                <w:spacing w:val="-5"/>
                <w:sz w:val="18"/>
              </w:rPr>
              <w:t>114</w:t>
            </w:r>
          </w:p>
        </w:tc>
        <w:tc>
          <w:tcPr>
            <w:tcW w:w="7114" w:type="dxa"/>
          </w:tcPr>
          <w:p w14:paraId="0F3F1469" w14:textId="77777777" w:rsidR="00FA4226" w:rsidRPr="00CA2CC1" w:rsidRDefault="00000000" w:rsidP="0043303B">
            <w:pPr>
              <w:pStyle w:val="TableParagraph"/>
              <w:spacing w:before="30"/>
              <w:jc w:val="left"/>
              <w:rPr>
                <w:rFonts w:cs="Calibri"/>
                <w:sz w:val="18"/>
              </w:rPr>
            </w:pPr>
            <w:r w:rsidRPr="00CA2CC1">
              <w:rPr>
                <w:rFonts w:cs="Calibri"/>
                <w:color w:val="414042"/>
                <w:sz w:val="18"/>
              </w:rPr>
              <w:t>Financial</w:t>
            </w:r>
            <w:r w:rsidRPr="00CA2CC1">
              <w:rPr>
                <w:rFonts w:cs="Calibri"/>
                <w:color w:val="414042"/>
                <w:spacing w:val="-5"/>
                <w:sz w:val="18"/>
              </w:rPr>
              <w:t xml:space="preserve"> </w:t>
            </w:r>
            <w:r w:rsidRPr="00CA2CC1">
              <w:rPr>
                <w:rFonts w:cs="Calibri"/>
                <w:color w:val="414042"/>
                <w:sz w:val="18"/>
              </w:rPr>
              <w:t>Instruments</w:t>
            </w:r>
            <w:r w:rsidRPr="00CA2CC1">
              <w:rPr>
                <w:rFonts w:cs="Calibri"/>
                <w:color w:val="414042"/>
                <w:spacing w:val="-5"/>
                <w:sz w:val="18"/>
              </w:rPr>
              <w:t xml:space="preserve"> </w:t>
            </w:r>
            <w:r w:rsidRPr="00CA2CC1">
              <w:rPr>
                <w:rFonts w:cs="Calibri"/>
                <w:color w:val="414042"/>
                <w:sz w:val="18"/>
              </w:rPr>
              <w:t>–</w:t>
            </w:r>
            <w:r w:rsidRPr="00CA2CC1">
              <w:rPr>
                <w:rFonts w:cs="Calibri"/>
                <w:color w:val="414042"/>
                <w:spacing w:val="-5"/>
                <w:sz w:val="18"/>
              </w:rPr>
              <w:t xml:space="preserve"> </w:t>
            </w:r>
            <w:r w:rsidRPr="00CA2CC1">
              <w:rPr>
                <w:rFonts w:cs="Calibri"/>
                <w:color w:val="414042"/>
                <w:sz w:val="18"/>
              </w:rPr>
              <w:t>general</w:t>
            </w:r>
            <w:r w:rsidRPr="00CA2CC1">
              <w:rPr>
                <w:rFonts w:cs="Calibri"/>
                <w:color w:val="414042"/>
                <w:spacing w:val="-5"/>
                <w:sz w:val="18"/>
              </w:rPr>
              <w:t xml:space="preserve"> </w:t>
            </w:r>
            <w:r w:rsidRPr="00CA2CC1">
              <w:rPr>
                <w:rFonts w:cs="Calibri"/>
                <w:color w:val="414042"/>
                <w:sz w:val="18"/>
              </w:rPr>
              <w:t>government</w:t>
            </w:r>
            <w:r w:rsidRPr="00CA2CC1">
              <w:rPr>
                <w:rFonts w:cs="Calibri"/>
                <w:color w:val="414042"/>
                <w:spacing w:val="-5"/>
                <w:sz w:val="18"/>
              </w:rPr>
              <w:t xml:space="preserve"> </w:t>
            </w:r>
            <w:r w:rsidRPr="00CA2CC1">
              <w:rPr>
                <w:rFonts w:cs="Calibri"/>
                <w:color w:val="414042"/>
                <w:sz w:val="18"/>
              </w:rPr>
              <w:t>entities</w:t>
            </w:r>
            <w:r w:rsidRPr="00CA2CC1">
              <w:rPr>
                <w:rFonts w:cs="Calibri"/>
                <w:color w:val="414042"/>
                <w:spacing w:val="-5"/>
                <w:sz w:val="18"/>
              </w:rPr>
              <w:t xml:space="preserve"> </w:t>
            </w:r>
            <w:r w:rsidRPr="00CA2CC1">
              <w:rPr>
                <w:rFonts w:cs="Calibri"/>
                <w:color w:val="414042"/>
                <w:sz w:val="18"/>
              </w:rPr>
              <w:t>and</w:t>
            </w:r>
            <w:r w:rsidRPr="00CA2CC1">
              <w:rPr>
                <w:rFonts w:cs="Calibri"/>
                <w:color w:val="414042"/>
                <w:spacing w:val="-5"/>
                <w:sz w:val="18"/>
              </w:rPr>
              <w:t xml:space="preserve"> </w:t>
            </w:r>
            <w:r w:rsidRPr="00CA2CC1">
              <w:rPr>
                <w:rFonts w:cs="Calibri"/>
                <w:color w:val="414042"/>
                <w:sz w:val="18"/>
              </w:rPr>
              <w:t>public</w:t>
            </w:r>
            <w:r w:rsidRPr="00CA2CC1">
              <w:rPr>
                <w:rFonts w:cs="Calibri"/>
                <w:color w:val="414042"/>
                <w:spacing w:val="-5"/>
                <w:sz w:val="18"/>
              </w:rPr>
              <w:t xml:space="preserve"> </w:t>
            </w:r>
            <w:r w:rsidRPr="00CA2CC1">
              <w:rPr>
                <w:rFonts w:cs="Calibri"/>
                <w:color w:val="414042"/>
                <w:sz w:val="18"/>
              </w:rPr>
              <w:t xml:space="preserve">non-financial </w:t>
            </w:r>
            <w:r w:rsidRPr="00CA2CC1">
              <w:rPr>
                <w:rFonts w:cs="Calibri"/>
                <w:color w:val="414042"/>
                <w:spacing w:val="-2"/>
                <w:sz w:val="18"/>
              </w:rPr>
              <w:t>corporations</w:t>
            </w:r>
          </w:p>
        </w:tc>
        <w:tc>
          <w:tcPr>
            <w:tcW w:w="1267" w:type="dxa"/>
          </w:tcPr>
          <w:p w14:paraId="01FEC53C" w14:textId="77777777" w:rsidR="00FA4226" w:rsidRPr="00CA2CC1" w:rsidRDefault="00000000" w:rsidP="0043303B">
            <w:pPr>
              <w:pStyle w:val="TableParagraph"/>
              <w:spacing w:before="2"/>
              <w:rPr>
                <w:rFonts w:cs="Calibri"/>
                <w:sz w:val="18"/>
              </w:rPr>
            </w:pPr>
            <w:r w:rsidRPr="00CA2CC1">
              <w:rPr>
                <w:rFonts w:cs="Calibri"/>
                <w:color w:val="414042"/>
                <w:spacing w:val="-5"/>
                <w:sz w:val="18"/>
              </w:rPr>
              <w:t>112</w:t>
            </w:r>
          </w:p>
        </w:tc>
      </w:tr>
    </w:tbl>
    <w:p w14:paraId="4AB02C06" w14:textId="77777777" w:rsidR="00FA4226" w:rsidRPr="00CA2CC1" w:rsidRDefault="00000000" w:rsidP="0043303B">
      <w:pPr>
        <w:spacing w:before="82"/>
        <w:rPr>
          <w:rFonts w:cs="Calibri"/>
          <w:i/>
          <w:sz w:val="18"/>
        </w:rPr>
      </w:pPr>
      <w:r w:rsidRPr="00CA2CC1">
        <w:rPr>
          <w:rFonts w:cs="Calibri"/>
          <w:i/>
          <w:color w:val="414042"/>
          <w:spacing w:val="-4"/>
          <w:sz w:val="18"/>
        </w:rPr>
        <w:t>Note:</w:t>
      </w:r>
    </w:p>
    <w:p w14:paraId="6395AC5B" w14:textId="77777777" w:rsidR="00FA4226" w:rsidRPr="00CA2CC1" w:rsidRDefault="00000000" w:rsidP="0043303B">
      <w:pPr>
        <w:spacing w:before="16"/>
        <w:rPr>
          <w:rFonts w:cs="Calibri"/>
          <w:i/>
          <w:sz w:val="18"/>
        </w:rPr>
      </w:pPr>
      <w:r w:rsidRPr="00CA2CC1">
        <w:rPr>
          <w:rFonts w:cs="Calibri"/>
          <w:i/>
          <w:color w:val="414042"/>
          <w:sz w:val="18"/>
        </w:rPr>
        <w:t>(a)</w:t>
      </w:r>
      <w:r w:rsidRPr="00CA2CC1">
        <w:rPr>
          <w:rFonts w:cs="Calibri"/>
          <w:i/>
          <w:color w:val="414042"/>
          <w:spacing w:val="-2"/>
          <w:sz w:val="18"/>
        </w:rPr>
        <w:t xml:space="preserve"> </w:t>
      </w:r>
      <w:r w:rsidRPr="00CA2CC1">
        <w:rPr>
          <w:rFonts w:cs="Calibri"/>
          <w:i/>
          <w:color w:val="414042"/>
          <w:sz w:val="18"/>
        </w:rPr>
        <w:t>References</w:t>
      </w:r>
      <w:r w:rsidRPr="00CA2CC1">
        <w:rPr>
          <w:rFonts w:cs="Calibri"/>
          <w:i/>
          <w:color w:val="414042"/>
          <w:spacing w:val="-2"/>
          <w:sz w:val="18"/>
        </w:rPr>
        <w:t xml:space="preserve"> </w:t>
      </w:r>
      <w:r w:rsidRPr="00CA2CC1">
        <w:rPr>
          <w:rFonts w:cs="Calibri"/>
          <w:i/>
          <w:color w:val="414042"/>
          <w:sz w:val="18"/>
        </w:rPr>
        <w:t>to</w:t>
      </w:r>
      <w:r w:rsidRPr="00CA2CC1">
        <w:rPr>
          <w:rFonts w:cs="Calibri"/>
          <w:i/>
          <w:color w:val="414042"/>
          <w:spacing w:val="-2"/>
          <w:sz w:val="18"/>
        </w:rPr>
        <w:t xml:space="preserve"> </w:t>
      </w:r>
      <w:r w:rsidRPr="00CA2CC1">
        <w:rPr>
          <w:rFonts w:cs="Calibri"/>
          <w:i/>
          <w:color w:val="414042"/>
          <w:sz w:val="18"/>
        </w:rPr>
        <w:t>FRDs</w:t>
      </w:r>
      <w:r w:rsidRPr="00CA2CC1">
        <w:rPr>
          <w:rFonts w:cs="Calibri"/>
          <w:i/>
          <w:color w:val="414042"/>
          <w:spacing w:val="-2"/>
          <w:sz w:val="18"/>
        </w:rPr>
        <w:t xml:space="preserve"> </w:t>
      </w:r>
      <w:r w:rsidRPr="00CA2CC1">
        <w:rPr>
          <w:rFonts w:cs="Calibri"/>
          <w:i/>
          <w:color w:val="414042"/>
          <w:sz w:val="18"/>
        </w:rPr>
        <w:t>have</w:t>
      </w:r>
      <w:r w:rsidRPr="00CA2CC1">
        <w:rPr>
          <w:rFonts w:cs="Calibri"/>
          <w:i/>
          <w:color w:val="414042"/>
          <w:spacing w:val="-2"/>
          <w:sz w:val="18"/>
        </w:rPr>
        <w:t xml:space="preserve"> </w:t>
      </w:r>
      <w:r w:rsidRPr="00CA2CC1">
        <w:rPr>
          <w:rFonts w:cs="Calibri"/>
          <w:i/>
          <w:color w:val="414042"/>
          <w:sz w:val="18"/>
        </w:rPr>
        <w:t>been</w:t>
      </w:r>
      <w:r w:rsidRPr="00CA2CC1">
        <w:rPr>
          <w:rFonts w:cs="Calibri"/>
          <w:i/>
          <w:color w:val="414042"/>
          <w:spacing w:val="-2"/>
          <w:sz w:val="18"/>
        </w:rPr>
        <w:t xml:space="preserve"> </w:t>
      </w:r>
      <w:r w:rsidRPr="00CA2CC1">
        <w:rPr>
          <w:rFonts w:cs="Calibri"/>
          <w:i/>
          <w:color w:val="414042"/>
          <w:sz w:val="18"/>
        </w:rPr>
        <w:t>removed</w:t>
      </w:r>
      <w:r w:rsidRPr="00CA2CC1">
        <w:rPr>
          <w:rFonts w:cs="Calibri"/>
          <w:i/>
          <w:color w:val="414042"/>
          <w:spacing w:val="-2"/>
          <w:sz w:val="18"/>
        </w:rPr>
        <w:t xml:space="preserve"> </w:t>
      </w:r>
      <w:r w:rsidRPr="00CA2CC1">
        <w:rPr>
          <w:rFonts w:cs="Calibri"/>
          <w:i/>
          <w:color w:val="414042"/>
          <w:sz w:val="18"/>
        </w:rPr>
        <w:t>from</w:t>
      </w:r>
      <w:r w:rsidRPr="00CA2CC1">
        <w:rPr>
          <w:rFonts w:cs="Calibri"/>
          <w:i/>
          <w:color w:val="414042"/>
          <w:spacing w:val="-2"/>
          <w:sz w:val="18"/>
        </w:rPr>
        <w:t xml:space="preserve"> </w:t>
      </w:r>
      <w:r w:rsidRPr="00CA2CC1">
        <w:rPr>
          <w:rFonts w:cs="Calibri"/>
          <w:i/>
          <w:color w:val="414042"/>
          <w:sz w:val="18"/>
        </w:rPr>
        <w:t>the</w:t>
      </w:r>
      <w:r w:rsidRPr="00CA2CC1">
        <w:rPr>
          <w:rFonts w:cs="Calibri"/>
          <w:i/>
          <w:color w:val="414042"/>
          <w:spacing w:val="-2"/>
          <w:sz w:val="18"/>
        </w:rPr>
        <w:t xml:space="preserve"> </w:t>
      </w:r>
      <w:r w:rsidRPr="00CA2CC1">
        <w:rPr>
          <w:rFonts w:cs="Calibri"/>
          <w:i/>
          <w:color w:val="414042"/>
          <w:sz w:val="18"/>
        </w:rPr>
        <w:t>Disclosure</w:t>
      </w:r>
      <w:r w:rsidRPr="00CA2CC1">
        <w:rPr>
          <w:rFonts w:cs="Calibri"/>
          <w:i/>
          <w:color w:val="414042"/>
          <w:spacing w:val="-2"/>
          <w:sz w:val="18"/>
        </w:rPr>
        <w:t xml:space="preserve"> </w:t>
      </w:r>
      <w:r w:rsidRPr="00CA2CC1">
        <w:rPr>
          <w:rFonts w:cs="Calibri"/>
          <w:i/>
          <w:color w:val="414042"/>
          <w:sz w:val="18"/>
        </w:rPr>
        <w:t>Index</w:t>
      </w:r>
      <w:r w:rsidRPr="00CA2CC1">
        <w:rPr>
          <w:rFonts w:cs="Calibri"/>
          <w:i/>
          <w:color w:val="414042"/>
          <w:spacing w:val="-2"/>
          <w:sz w:val="18"/>
        </w:rPr>
        <w:t xml:space="preserve"> </w:t>
      </w:r>
      <w:r w:rsidRPr="00CA2CC1">
        <w:rPr>
          <w:rFonts w:cs="Calibri"/>
          <w:i/>
          <w:color w:val="414042"/>
          <w:sz w:val="18"/>
        </w:rPr>
        <w:t>if</w:t>
      </w:r>
      <w:r w:rsidRPr="00CA2CC1">
        <w:rPr>
          <w:rFonts w:cs="Calibri"/>
          <w:i/>
          <w:color w:val="414042"/>
          <w:spacing w:val="-2"/>
          <w:sz w:val="18"/>
        </w:rPr>
        <w:t xml:space="preserve"> </w:t>
      </w:r>
      <w:r w:rsidRPr="00CA2CC1">
        <w:rPr>
          <w:rFonts w:cs="Calibri"/>
          <w:i/>
          <w:color w:val="414042"/>
          <w:sz w:val="18"/>
        </w:rPr>
        <w:t>the</w:t>
      </w:r>
      <w:r w:rsidRPr="00CA2CC1">
        <w:rPr>
          <w:rFonts w:cs="Calibri"/>
          <w:i/>
          <w:color w:val="414042"/>
          <w:spacing w:val="-2"/>
          <w:sz w:val="18"/>
        </w:rPr>
        <w:t xml:space="preserve"> </w:t>
      </w:r>
      <w:r w:rsidRPr="00CA2CC1">
        <w:rPr>
          <w:rFonts w:cs="Calibri"/>
          <w:i/>
          <w:color w:val="414042"/>
          <w:sz w:val="18"/>
        </w:rPr>
        <w:t>specific</w:t>
      </w:r>
      <w:r w:rsidRPr="00CA2CC1">
        <w:rPr>
          <w:rFonts w:cs="Calibri"/>
          <w:i/>
          <w:color w:val="414042"/>
          <w:spacing w:val="-2"/>
          <w:sz w:val="18"/>
        </w:rPr>
        <w:t xml:space="preserve"> </w:t>
      </w:r>
      <w:r w:rsidRPr="00CA2CC1">
        <w:rPr>
          <w:rFonts w:cs="Calibri"/>
          <w:i/>
          <w:color w:val="414042"/>
          <w:sz w:val="18"/>
        </w:rPr>
        <w:t>FRDs</w:t>
      </w:r>
      <w:r w:rsidRPr="00CA2CC1">
        <w:rPr>
          <w:rFonts w:cs="Calibri"/>
          <w:i/>
          <w:color w:val="414042"/>
          <w:spacing w:val="-2"/>
          <w:sz w:val="18"/>
        </w:rPr>
        <w:t xml:space="preserve"> </w:t>
      </w:r>
      <w:r w:rsidRPr="00CA2CC1">
        <w:rPr>
          <w:rFonts w:cs="Calibri"/>
          <w:i/>
          <w:color w:val="414042"/>
          <w:sz w:val="18"/>
        </w:rPr>
        <w:t>do</w:t>
      </w:r>
      <w:r w:rsidRPr="00CA2CC1">
        <w:rPr>
          <w:rFonts w:cs="Calibri"/>
          <w:i/>
          <w:color w:val="414042"/>
          <w:spacing w:val="-2"/>
          <w:sz w:val="18"/>
        </w:rPr>
        <w:t xml:space="preserve"> </w:t>
      </w:r>
      <w:r w:rsidRPr="00CA2CC1">
        <w:rPr>
          <w:rFonts w:cs="Calibri"/>
          <w:i/>
          <w:color w:val="414042"/>
          <w:sz w:val="18"/>
        </w:rPr>
        <w:t>not</w:t>
      </w:r>
      <w:r w:rsidRPr="00CA2CC1">
        <w:rPr>
          <w:rFonts w:cs="Calibri"/>
          <w:i/>
          <w:color w:val="414042"/>
          <w:spacing w:val="-2"/>
          <w:sz w:val="18"/>
        </w:rPr>
        <w:t xml:space="preserve"> </w:t>
      </w:r>
      <w:r w:rsidRPr="00CA2CC1">
        <w:rPr>
          <w:rFonts w:cs="Calibri"/>
          <w:i/>
          <w:color w:val="414042"/>
          <w:sz w:val="18"/>
        </w:rPr>
        <w:t>contain</w:t>
      </w:r>
      <w:r w:rsidRPr="00CA2CC1">
        <w:rPr>
          <w:rFonts w:cs="Calibri"/>
          <w:i/>
          <w:color w:val="414042"/>
          <w:spacing w:val="-2"/>
          <w:sz w:val="18"/>
        </w:rPr>
        <w:t xml:space="preserve"> </w:t>
      </w:r>
      <w:r w:rsidRPr="00CA2CC1">
        <w:rPr>
          <w:rFonts w:cs="Calibri"/>
          <w:i/>
          <w:color w:val="414042"/>
          <w:sz w:val="18"/>
        </w:rPr>
        <w:t>requirements that are in the nature of disclosure.</w:t>
      </w:r>
    </w:p>
    <w:p w14:paraId="00021886" w14:textId="77777777" w:rsidR="00FA4226" w:rsidRPr="00CA2CC1" w:rsidRDefault="00FA4226" w:rsidP="0043303B">
      <w:pPr>
        <w:pStyle w:val="BodyText"/>
        <w:spacing w:before="6"/>
        <w:rPr>
          <w:rFonts w:cs="Calibri"/>
          <w:i/>
          <w:sz w:val="14"/>
        </w:rPr>
      </w:pPr>
    </w:p>
    <w:tbl>
      <w:tblPr>
        <w:tblW w:w="9637" w:type="dxa"/>
        <w:tblLayout w:type="fixed"/>
        <w:tblCellMar>
          <w:left w:w="0" w:type="dxa"/>
          <w:right w:w="0" w:type="dxa"/>
        </w:tblCellMar>
        <w:tblLook w:val="01E0" w:firstRow="1" w:lastRow="1" w:firstColumn="1" w:lastColumn="1" w:noHBand="0" w:noVBand="0"/>
      </w:tblPr>
      <w:tblGrid>
        <w:gridCol w:w="6114"/>
        <w:gridCol w:w="3523"/>
      </w:tblGrid>
      <w:tr w:rsidR="00FA4226" w:rsidRPr="00CA2CC1" w14:paraId="3E090B86" w14:textId="77777777" w:rsidTr="00E6672A">
        <w:trPr>
          <w:trHeight w:val="368"/>
        </w:trPr>
        <w:tc>
          <w:tcPr>
            <w:tcW w:w="6114" w:type="dxa"/>
            <w:shd w:val="clear" w:color="auto" w:fill="D8E9EF"/>
          </w:tcPr>
          <w:p w14:paraId="6B736AA6" w14:textId="77777777" w:rsidR="00FA4226" w:rsidRPr="00CA2CC1" w:rsidRDefault="00000000" w:rsidP="0043303B">
            <w:pPr>
              <w:pStyle w:val="TableParagraph"/>
              <w:spacing w:before="74"/>
              <w:jc w:val="left"/>
              <w:rPr>
                <w:rFonts w:cs="Calibri"/>
                <w:i/>
                <w:sz w:val="18"/>
              </w:rPr>
            </w:pPr>
            <w:r w:rsidRPr="00CA2CC1">
              <w:rPr>
                <w:rFonts w:cs="Calibri"/>
                <w:i/>
                <w:color w:val="414042"/>
                <w:spacing w:val="-2"/>
                <w:sz w:val="18"/>
              </w:rPr>
              <w:t>Legislation</w:t>
            </w:r>
          </w:p>
        </w:tc>
        <w:tc>
          <w:tcPr>
            <w:tcW w:w="3523" w:type="dxa"/>
            <w:shd w:val="clear" w:color="auto" w:fill="D8E9EF"/>
          </w:tcPr>
          <w:p w14:paraId="45CF5552" w14:textId="77777777" w:rsidR="00FA4226" w:rsidRPr="00CA2CC1" w:rsidRDefault="00FA4226" w:rsidP="0043303B">
            <w:pPr>
              <w:pStyle w:val="TableParagraph"/>
              <w:jc w:val="left"/>
              <w:rPr>
                <w:rFonts w:cs="Calibri"/>
                <w:sz w:val="16"/>
              </w:rPr>
            </w:pPr>
          </w:p>
        </w:tc>
      </w:tr>
      <w:tr w:rsidR="00FA4226" w:rsidRPr="00CA2CC1" w14:paraId="2417ED7A" w14:textId="77777777" w:rsidTr="00E6672A">
        <w:trPr>
          <w:trHeight w:val="285"/>
        </w:trPr>
        <w:tc>
          <w:tcPr>
            <w:tcW w:w="6114" w:type="dxa"/>
          </w:tcPr>
          <w:p w14:paraId="7C0BDA42" w14:textId="77777777" w:rsidR="00FA4226" w:rsidRPr="00CA2CC1" w:rsidRDefault="00000000" w:rsidP="0043303B">
            <w:pPr>
              <w:pStyle w:val="TableParagraph"/>
              <w:jc w:val="left"/>
              <w:rPr>
                <w:rFonts w:cs="Calibri"/>
                <w:sz w:val="18"/>
              </w:rPr>
            </w:pPr>
            <w:r w:rsidRPr="00CA2CC1">
              <w:rPr>
                <w:rFonts w:cs="Calibri"/>
                <w:color w:val="414042"/>
                <w:sz w:val="18"/>
              </w:rPr>
              <w:t>Freedom</w:t>
            </w:r>
            <w:r w:rsidRPr="00CA2CC1">
              <w:rPr>
                <w:rFonts w:cs="Calibri"/>
                <w:color w:val="414042"/>
                <w:spacing w:val="-1"/>
                <w:sz w:val="18"/>
              </w:rPr>
              <w:t xml:space="preserve"> </w:t>
            </w:r>
            <w:r w:rsidRPr="00CA2CC1">
              <w:rPr>
                <w:rFonts w:cs="Calibri"/>
                <w:color w:val="414042"/>
                <w:sz w:val="18"/>
              </w:rPr>
              <w:t>of</w:t>
            </w:r>
            <w:r w:rsidRPr="00CA2CC1">
              <w:rPr>
                <w:rFonts w:cs="Calibri"/>
                <w:color w:val="414042"/>
                <w:spacing w:val="-1"/>
                <w:sz w:val="18"/>
              </w:rPr>
              <w:t xml:space="preserve"> </w:t>
            </w:r>
            <w:r w:rsidRPr="00CA2CC1">
              <w:rPr>
                <w:rFonts w:cs="Calibri"/>
                <w:color w:val="414042"/>
                <w:sz w:val="18"/>
              </w:rPr>
              <w:t>Information</w:t>
            </w:r>
            <w:r w:rsidRPr="00CA2CC1">
              <w:rPr>
                <w:rFonts w:cs="Calibri"/>
                <w:color w:val="414042"/>
                <w:spacing w:val="-1"/>
                <w:sz w:val="18"/>
              </w:rPr>
              <w:t xml:space="preserve"> </w:t>
            </w:r>
            <w:r w:rsidRPr="00CA2CC1">
              <w:rPr>
                <w:rFonts w:cs="Calibri"/>
                <w:color w:val="414042"/>
                <w:sz w:val="18"/>
              </w:rPr>
              <w:t>Act</w:t>
            </w:r>
            <w:r w:rsidRPr="00CA2CC1">
              <w:rPr>
                <w:rFonts w:cs="Calibri"/>
                <w:color w:val="414042"/>
                <w:spacing w:val="-1"/>
                <w:sz w:val="18"/>
              </w:rPr>
              <w:t xml:space="preserve"> </w:t>
            </w:r>
            <w:r w:rsidRPr="00CA2CC1">
              <w:rPr>
                <w:rFonts w:cs="Calibri"/>
                <w:color w:val="414042"/>
                <w:spacing w:val="-4"/>
                <w:sz w:val="18"/>
              </w:rPr>
              <w:t>1982</w:t>
            </w:r>
          </w:p>
        </w:tc>
        <w:tc>
          <w:tcPr>
            <w:tcW w:w="3523" w:type="dxa"/>
          </w:tcPr>
          <w:p w14:paraId="6DC11A39" w14:textId="77777777" w:rsidR="00FA4226" w:rsidRPr="00CA2CC1" w:rsidRDefault="00000000" w:rsidP="0043303B">
            <w:pPr>
              <w:pStyle w:val="TableParagraph"/>
              <w:rPr>
                <w:rFonts w:cs="Calibri"/>
                <w:sz w:val="18"/>
              </w:rPr>
            </w:pPr>
            <w:r w:rsidRPr="00CA2CC1">
              <w:rPr>
                <w:rFonts w:cs="Calibri"/>
                <w:color w:val="414042"/>
                <w:spacing w:val="-5"/>
                <w:sz w:val="18"/>
              </w:rPr>
              <w:t>46</w:t>
            </w:r>
          </w:p>
        </w:tc>
      </w:tr>
      <w:tr w:rsidR="00FA4226" w:rsidRPr="00CA2CC1" w14:paraId="6F241445" w14:textId="77777777" w:rsidTr="00E6672A">
        <w:trPr>
          <w:trHeight w:val="288"/>
        </w:trPr>
        <w:tc>
          <w:tcPr>
            <w:tcW w:w="6114" w:type="dxa"/>
          </w:tcPr>
          <w:p w14:paraId="44FE2308" w14:textId="77777777" w:rsidR="00FA4226" w:rsidRPr="00CA2CC1" w:rsidRDefault="00000000" w:rsidP="0043303B">
            <w:pPr>
              <w:pStyle w:val="TableParagraph"/>
              <w:spacing w:before="2"/>
              <w:jc w:val="left"/>
              <w:rPr>
                <w:rFonts w:cs="Calibri"/>
                <w:sz w:val="18"/>
              </w:rPr>
            </w:pPr>
            <w:r w:rsidRPr="00CA2CC1">
              <w:rPr>
                <w:rFonts w:cs="Calibri"/>
                <w:color w:val="414042"/>
                <w:sz w:val="18"/>
              </w:rPr>
              <w:t xml:space="preserve">Building Act </w:t>
            </w:r>
            <w:r w:rsidRPr="00CA2CC1">
              <w:rPr>
                <w:rFonts w:cs="Calibri"/>
                <w:color w:val="414042"/>
                <w:spacing w:val="-4"/>
                <w:sz w:val="18"/>
              </w:rPr>
              <w:t>1993</w:t>
            </w:r>
          </w:p>
        </w:tc>
        <w:tc>
          <w:tcPr>
            <w:tcW w:w="3523" w:type="dxa"/>
          </w:tcPr>
          <w:p w14:paraId="6492CF35" w14:textId="77777777" w:rsidR="00FA4226" w:rsidRPr="00CA2CC1" w:rsidRDefault="00000000" w:rsidP="0043303B">
            <w:pPr>
              <w:pStyle w:val="TableParagraph"/>
              <w:spacing w:before="2"/>
              <w:rPr>
                <w:rFonts w:cs="Calibri"/>
                <w:sz w:val="18"/>
              </w:rPr>
            </w:pPr>
            <w:r w:rsidRPr="00CA2CC1">
              <w:rPr>
                <w:rFonts w:cs="Calibri"/>
                <w:color w:val="414042"/>
                <w:spacing w:val="-5"/>
                <w:sz w:val="18"/>
              </w:rPr>
              <w:t>46</w:t>
            </w:r>
          </w:p>
        </w:tc>
      </w:tr>
      <w:tr w:rsidR="00FA4226" w:rsidRPr="00CA2CC1" w14:paraId="7E68AE16" w14:textId="77777777" w:rsidTr="00E6672A">
        <w:trPr>
          <w:trHeight w:val="288"/>
        </w:trPr>
        <w:tc>
          <w:tcPr>
            <w:tcW w:w="6114" w:type="dxa"/>
          </w:tcPr>
          <w:p w14:paraId="562A8A1C" w14:textId="77777777" w:rsidR="00FA4226" w:rsidRPr="00CA2CC1" w:rsidRDefault="00000000" w:rsidP="0043303B">
            <w:pPr>
              <w:pStyle w:val="TableParagraph"/>
              <w:spacing w:before="2"/>
              <w:jc w:val="left"/>
              <w:rPr>
                <w:rFonts w:cs="Calibri"/>
                <w:sz w:val="18"/>
              </w:rPr>
            </w:pPr>
            <w:r w:rsidRPr="00CA2CC1">
              <w:rPr>
                <w:rFonts w:cs="Calibri"/>
                <w:color w:val="414042"/>
                <w:sz w:val="18"/>
              </w:rPr>
              <w:t>Public</w:t>
            </w:r>
            <w:r w:rsidRPr="00CA2CC1">
              <w:rPr>
                <w:rFonts w:cs="Calibri"/>
                <w:color w:val="414042"/>
                <w:spacing w:val="-2"/>
                <w:sz w:val="18"/>
              </w:rPr>
              <w:t xml:space="preserve"> </w:t>
            </w:r>
            <w:r w:rsidRPr="00CA2CC1">
              <w:rPr>
                <w:rFonts w:cs="Calibri"/>
                <w:color w:val="414042"/>
                <w:sz w:val="18"/>
              </w:rPr>
              <w:t>Interest</w:t>
            </w:r>
            <w:r w:rsidRPr="00CA2CC1">
              <w:rPr>
                <w:rFonts w:cs="Calibri"/>
                <w:color w:val="414042"/>
                <w:spacing w:val="-2"/>
                <w:sz w:val="18"/>
              </w:rPr>
              <w:t xml:space="preserve"> </w:t>
            </w:r>
            <w:r w:rsidRPr="00CA2CC1">
              <w:rPr>
                <w:rFonts w:cs="Calibri"/>
                <w:color w:val="414042"/>
                <w:sz w:val="18"/>
              </w:rPr>
              <w:t>Disclosures</w:t>
            </w:r>
            <w:r w:rsidRPr="00CA2CC1">
              <w:rPr>
                <w:rFonts w:cs="Calibri"/>
                <w:color w:val="414042"/>
                <w:spacing w:val="-2"/>
                <w:sz w:val="18"/>
              </w:rPr>
              <w:t xml:space="preserve"> </w:t>
            </w:r>
            <w:r w:rsidRPr="00CA2CC1">
              <w:rPr>
                <w:rFonts w:cs="Calibri"/>
                <w:color w:val="414042"/>
                <w:sz w:val="18"/>
              </w:rPr>
              <w:t>Act</w:t>
            </w:r>
            <w:r w:rsidRPr="00CA2CC1">
              <w:rPr>
                <w:rFonts w:cs="Calibri"/>
                <w:color w:val="414042"/>
                <w:spacing w:val="-2"/>
                <w:sz w:val="18"/>
              </w:rPr>
              <w:t xml:space="preserve"> </w:t>
            </w:r>
            <w:r w:rsidRPr="00CA2CC1">
              <w:rPr>
                <w:rFonts w:cs="Calibri"/>
                <w:color w:val="414042"/>
                <w:spacing w:val="-4"/>
                <w:sz w:val="18"/>
              </w:rPr>
              <w:t>2012</w:t>
            </w:r>
          </w:p>
        </w:tc>
        <w:tc>
          <w:tcPr>
            <w:tcW w:w="3523" w:type="dxa"/>
          </w:tcPr>
          <w:p w14:paraId="3901355B" w14:textId="77777777" w:rsidR="00FA4226" w:rsidRPr="00CA2CC1" w:rsidRDefault="00000000" w:rsidP="0043303B">
            <w:pPr>
              <w:pStyle w:val="TableParagraph"/>
              <w:spacing w:before="2"/>
              <w:rPr>
                <w:rFonts w:cs="Calibri"/>
                <w:sz w:val="18"/>
              </w:rPr>
            </w:pPr>
            <w:r w:rsidRPr="00CA2CC1">
              <w:rPr>
                <w:rFonts w:cs="Calibri"/>
                <w:color w:val="414042"/>
                <w:spacing w:val="-5"/>
                <w:sz w:val="18"/>
              </w:rPr>
              <w:t>47</w:t>
            </w:r>
          </w:p>
        </w:tc>
      </w:tr>
      <w:tr w:rsidR="00FA4226" w:rsidRPr="00CA2CC1" w14:paraId="3743662E" w14:textId="77777777" w:rsidTr="00E6672A">
        <w:trPr>
          <w:trHeight w:val="288"/>
        </w:trPr>
        <w:tc>
          <w:tcPr>
            <w:tcW w:w="6114" w:type="dxa"/>
          </w:tcPr>
          <w:p w14:paraId="10EB6D84" w14:textId="77777777" w:rsidR="00FA4226" w:rsidRPr="00CA2CC1" w:rsidRDefault="00000000" w:rsidP="0043303B">
            <w:pPr>
              <w:pStyle w:val="TableParagraph"/>
              <w:spacing w:before="2"/>
              <w:jc w:val="left"/>
              <w:rPr>
                <w:rFonts w:cs="Calibri"/>
                <w:sz w:val="18"/>
              </w:rPr>
            </w:pPr>
            <w:r w:rsidRPr="00CA2CC1">
              <w:rPr>
                <w:rFonts w:cs="Calibri"/>
                <w:color w:val="414042"/>
                <w:sz w:val="18"/>
              </w:rPr>
              <w:t>Carers</w:t>
            </w:r>
            <w:r w:rsidRPr="00CA2CC1">
              <w:rPr>
                <w:rFonts w:cs="Calibri"/>
                <w:color w:val="414042"/>
                <w:spacing w:val="-4"/>
                <w:sz w:val="18"/>
              </w:rPr>
              <w:t xml:space="preserve"> </w:t>
            </w:r>
            <w:r w:rsidRPr="00CA2CC1">
              <w:rPr>
                <w:rFonts w:cs="Calibri"/>
                <w:color w:val="414042"/>
                <w:sz w:val="18"/>
              </w:rPr>
              <w:t>Recognition</w:t>
            </w:r>
            <w:r w:rsidRPr="00CA2CC1">
              <w:rPr>
                <w:rFonts w:cs="Calibri"/>
                <w:color w:val="414042"/>
                <w:spacing w:val="-1"/>
                <w:sz w:val="18"/>
              </w:rPr>
              <w:t xml:space="preserve"> </w:t>
            </w:r>
            <w:r w:rsidRPr="00CA2CC1">
              <w:rPr>
                <w:rFonts w:cs="Calibri"/>
                <w:color w:val="414042"/>
                <w:sz w:val="18"/>
              </w:rPr>
              <w:t>Act</w:t>
            </w:r>
            <w:r w:rsidRPr="00CA2CC1">
              <w:rPr>
                <w:rFonts w:cs="Calibri"/>
                <w:color w:val="414042"/>
                <w:spacing w:val="-1"/>
                <w:sz w:val="18"/>
              </w:rPr>
              <w:t xml:space="preserve"> </w:t>
            </w:r>
            <w:r w:rsidRPr="00CA2CC1">
              <w:rPr>
                <w:rFonts w:cs="Calibri"/>
                <w:color w:val="414042"/>
                <w:spacing w:val="-4"/>
                <w:sz w:val="18"/>
              </w:rPr>
              <w:t>2012</w:t>
            </w:r>
          </w:p>
        </w:tc>
        <w:tc>
          <w:tcPr>
            <w:tcW w:w="3523" w:type="dxa"/>
          </w:tcPr>
          <w:p w14:paraId="32D52D9B" w14:textId="77777777" w:rsidR="00FA4226" w:rsidRPr="00CA2CC1" w:rsidRDefault="00000000" w:rsidP="0043303B">
            <w:pPr>
              <w:pStyle w:val="TableParagraph"/>
              <w:spacing w:before="2"/>
              <w:rPr>
                <w:rFonts w:cs="Calibri"/>
                <w:sz w:val="18"/>
              </w:rPr>
            </w:pPr>
            <w:r w:rsidRPr="00CA2CC1">
              <w:rPr>
                <w:rFonts w:cs="Calibri"/>
                <w:color w:val="414042"/>
                <w:spacing w:val="-5"/>
                <w:sz w:val="18"/>
              </w:rPr>
              <w:t>47</w:t>
            </w:r>
          </w:p>
        </w:tc>
      </w:tr>
      <w:tr w:rsidR="00FA4226" w:rsidRPr="00CA2CC1" w14:paraId="235CEA7D" w14:textId="77777777" w:rsidTr="00E6672A">
        <w:trPr>
          <w:trHeight w:val="288"/>
        </w:trPr>
        <w:tc>
          <w:tcPr>
            <w:tcW w:w="6114" w:type="dxa"/>
          </w:tcPr>
          <w:p w14:paraId="2FB3C881" w14:textId="77777777" w:rsidR="00FA4226" w:rsidRPr="00CA2CC1" w:rsidRDefault="00000000" w:rsidP="0043303B">
            <w:pPr>
              <w:pStyle w:val="TableParagraph"/>
              <w:spacing w:before="2"/>
              <w:jc w:val="left"/>
              <w:rPr>
                <w:rFonts w:cs="Calibri"/>
                <w:sz w:val="18"/>
              </w:rPr>
            </w:pPr>
            <w:r w:rsidRPr="00CA2CC1">
              <w:rPr>
                <w:rFonts w:cs="Calibri"/>
                <w:color w:val="414042"/>
                <w:sz w:val="18"/>
              </w:rPr>
              <w:t xml:space="preserve">Disability Act </w:t>
            </w:r>
            <w:r w:rsidRPr="00CA2CC1">
              <w:rPr>
                <w:rFonts w:cs="Calibri"/>
                <w:color w:val="414042"/>
                <w:spacing w:val="-4"/>
                <w:sz w:val="18"/>
              </w:rPr>
              <w:t>2006</w:t>
            </w:r>
          </w:p>
        </w:tc>
        <w:tc>
          <w:tcPr>
            <w:tcW w:w="3523" w:type="dxa"/>
          </w:tcPr>
          <w:p w14:paraId="1F1FD5E1" w14:textId="77777777" w:rsidR="00FA4226" w:rsidRPr="00CA2CC1" w:rsidRDefault="00000000" w:rsidP="0043303B">
            <w:pPr>
              <w:pStyle w:val="TableParagraph"/>
              <w:spacing w:before="2"/>
              <w:rPr>
                <w:rFonts w:cs="Calibri"/>
                <w:sz w:val="18"/>
              </w:rPr>
            </w:pPr>
            <w:r w:rsidRPr="00CA2CC1">
              <w:rPr>
                <w:rFonts w:cs="Calibri"/>
                <w:color w:val="414042"/>
                <w:spacing w:val="-5"/>
                <w:sz w:val="18"/>
              </w:rPr>
              <w:t>47</w:t>
            </w:r>
          </w:p>
        </w:tc>
      </w:tr>
      <w:tr w:rsidR="00FA4226" w:rsidRPr="00CA2CC1" w14:paraId="204BC298" w14:textId="77777777" w:rsidTr="00E6672A">
        <w:trPr>
          <w:trHeight w:val="288"/>
        </w:trPr>
        <w:tc>
          <w:tcPr>
            <w:tcW w:w="6114" w:type="dxa"/>
          </w:tcPr>
          <w:p w14:paraId="3E9C7768" w14:textId="77777777" w:rsidR="00FA4226" w:rsidRPr="00CA2CC1" w:rsidRDefault="00000000" w:rsidP="0043303B">
            <w:pPr>
              <w:pStyle w:val="TableParagraph"/>
              <w:spacing w:before="2"/>
              <w:jc w:val="left"/>
              <w:rPr>
                <w:rFonts w:cs="Calibri"/>
                <w:sz w:val="18"/>
              </w:rPr>
            </w:pPr>
            <w:r w:rsidRPr="00CA2CC1">
              <w:rPr>
                <w:rFonts w:cs="Calibri"/>
                <w:color w:val="414042"/>
                <w:sz w:val="18"/>
              </w:rPr>
              <w:t xml:space="preserve">Local Jobs Act </w:t>
            </w:r>
            <w:r w:rsidRPr="00CA2CC1">
              <w:rPr>
                <w:rFonts w:cs="Calibri"/>
                <w:color w:val="414042"/>
                <w:spacing w:val="-4"/>
                <w:sz w:val="18"/>
              </w:rPr>
              <w:t>2003</w:t>
            </w:r>
          </w:p>
        </w:tc>
        <w:tc>
          <w:tcPr>
            <w:tcW w:w="3523" w:type="dxa"/>
          </w:tcPr>
          <w:p w14:paraId="139D9AE3" w14:textId="77777777" w:rsidR="00FA4226" w:rsidRPr="00CA2CC1" w:rsidRDefault="00000000" w:rsidP="0043303B">
            <w:pPr>
              <w:pStyle w:val="TableParagraph"/>
              <w:spacing w:before="2"/>
              <w:rPr>
                <w:rFonts w:cs="Calibri"/>
                <w:sz w:val="18"/>
              </w:rPr>
            </w:pPr>
            <w:r w:rsidRPr="00CA2CC1">
              <w:rPr>
                <w:rFonts w:cs="Calibri"/>
                <w:color w:val="414042"/>
                <w:spacing w:val="-5"/>
                <w:sz w:val="18"/>
              </w:rPr>
              <w:t>44</w:t>
            </w:r>
          </w:p>
        </w:tc>
      </w:tr>
      <w:tr w:rsidR="00FA4226" w:rsidRPr="00CA2CC1" w14:paraId="2F21E805" w14:textId="77777777" w:rsidTr="00E6672A">
        <w:trPr>
          <w:trHeight w:val="250"/>
        </w:trPr>
        <w:tc>
          <w:tcPr>
            <w:tcW w:w="6114" w:type="dxa"/>
          </w:tcPr>
          <w:p w14:paraId="157509AD" w14:textId="77777777" w:rsidR="00FA4226" w:rsidRPr="00CA2CC1" w:rsidRDefault="00000000" w:rsidP="0043303B">
            <w:pPr>
              <w:pStyle w:val="TableParagraph"/>
              <w:spacing w:before="2"/>
              <w:jc w:val="left"/>
              <w:rPr>
                <w:rFonts w:cs="Calibri"/>
                <w:sz w:val="18"/>
              </w:rPr>
            </w:pPr>
            <w:r w:rsidRPr="00CA2CC1">
              <w:rPr>
                <w:rFonts w:cs="Calibri"/>
                <w:color w:val="414042"/>
                <w:sz w:val="18"/>
              </w:rPr>
              <w:t xml:space="preserve">Financial Management Act </w:t>
            </w:r>
            <w:r w:rsidRPr="00CA2CC1">
              <w:rPr>
                <w:rFonts w:cs="Calibri"/>
                <w:color w:val="414042"/>
                <w:spacing w:val="-4"/>
                <w:sz w:val="18"/>
              </w:rPr>
              <w:t>1994</w:t>
            </w:r>
          </w:p>
        </w:tc>
        <w:tc>
          <w:tcPr>
            <w:tcW w:w="3523" w:type="dxa"/>
          </w:tcPr>
          <w:p w14:paraId="4600FE20" w14:textId="77777777" w:rsidR="00FA4226" w:rsidRPr="00CA2CC1" w:rsidRDefault="00000000" w:rsidP="0043303B">
            <w:pPr>
              <w:pStyle w:val="TableParagraph"/>
              <w:spacing w:before="2"/>
              <w:rPr>
                <w:rFonts w:cs="Calibri"/>
                <w:sz w:val="18"/>
              </w:rPr>
            </w:pPr>
            <w:r w:rsidRPr="00CA2CC1">
              <w:rPr>
                <w:rFonts w:cs="Calibri"/>
                <w:color w:val="414042"/>
                <w:spacing w:val="-5"/>
                <w:sz w:val="18"/>
              </w:rPr>
              <w:t>96</w:t>
            </w:r>
          </w:p>
        </w:tc>
      </w:tr>
    </w:tbl>
    <w:p w14:paraId="42CECBDA" w14:textId="77777777" w:rsidR="00FA4226" w:rsidRPr="00CA2CC1" w:rsidRDefault="00FA4226" w:rsidP="0043303B">
      <w:pPr>
        <w:pStyle w:val="BodyText"/>
        <w:rPr>
          <w:rFonts w:cs="Calibri"/>
          <w:i/>
          <w:sz w:val="20"/>
        </w:rPr>
      </w:pPr>
    </w:p>
    <w:p w14:paraId="387FB53C" w14:textId="77777777" w:rsidR="00FA4226" w:rsidRPr="00CA2CC1" w:rsidRDefault="00FA4226" w:rsidP="0043303B">
      <w:pPr>
        <w:pStyle w:val="BodyText"/>
        <w:rPr>
          <w:rFonts w:cs="Calibri"/>
          <w:sz w:val="20"/>
        </w:rPr>
      </w:pPr>
    </w:p>
    <w:p w14:paraId="16588DD9" w14:textId="77777777" w:rsidR="00FA4226" w:rsidRPr="00CA2CC1" w:rsidRDefault="00FA4226" w:rsidP="0043303B">
      <w:pPr>
        <w:pStyle w:val="BodyText"/>
        <w:rPr>
          <w:rFonts w:cs="Calibri"/>
          <w:sz w:val="20"/>
        </w:rPr>
      </w:pPr>
    </w:p>
    <w:p w14:paraId="5E468982" w14:textId="77777777" w:rsidR="00FA4226" w:rsidRPr="00CA2CC1" w:rsidRDefault="00FA4226" w:rsidP="0043303B">
      <w:pPr>
        <w:pStyle w:val="BodyText"/>
        <w:rPr>
          <w:rFonts w:cs="Calibri"/>
          <w:sz w:val="20"/>
        </w:rPr>
      </w:pPr>
    </w:p>
    <w:p w14:paraId="53162B99" w14:textId="77777777" w:rsidR="00FA4226" w:rsidRPr="00CA2CC1" w:rsidRDefault="00FA4226" w:rsidP="0043303B">
      <w:pPr>
        <w:pStyle w:val="BodyText"/>
        <w:rPr>
          <w:rFonts w:cs="Calibri"/>
          <w:sz w:val="20"/>
        </w:rPr>
      </w:pPr>
    </w:p>
    <w:p w14:paraId="14937197" w14:textId="77777777" w:rsidR="00FA4226" w:rsidRPr="00CA2CC1" w:rsidRDefault="00FA4226" w:rsidP="0043303B">
      <w:pPr>
        <w:pStyle w:val="BodyText"/>
        <w:rPr>
          <w:rFonts w:cs="Calibri"/>
          <w:sz w:val="20"/>
        </w:rPr>
      </w:pPr>
    </w:p>
    <w:p w14:paraId="77795BA2" w14:textId="77777777" w:rsidR="00FA4226" w:rsidRPr="00CA2CC1" w:rsidRDefault="00FA4226" w:rsidP="0043303B">
      <w:pPr>
        <w:pStyle w:val="BodyText"/>
        <w:rPr>
          <w:rFonts w:cs="Calibri"/>
          <w:sz w:val="20"/>
        </w:rPr>
      </w:pPr>
    </w:p>
    <w:p w14:paraId="05BD5562" w14:textId="77777777" w:rsidR="00FA4226" w:rsidRPr="00CA2CC1" w:rsidRDefault="00FA4226" w:rsidP="0043303B">
      <w:pPr>
        <w:pStyle w:val="BodyText"/>
        <w:rPr>
          <w:rFonts w:cs="Calibri"/>
          <w:sz w:val="20"/>
        </w:rPr>
      </w:pPr>
    </w:p>
    <w:p w14:paraId="4B8149EC" w14:textId="77777777" w:rsidR="00FA4226" w:rsidRPr="00CA2CC1" w:rsidRDefault="00FA4226" w:rsidP="0043303B">
      <w:pPr>
        <w:pStyle w:val="BodyText"/>
        <w:rPr>
          <w:rFonts w:cs="Calibri"/>
          <w:sz w:val="20"/>
        </w:rPr>
      </w:pPr>
    </w:p>
    <w:p w14:paraId="39FDBADA" w14:textId="77777777" w:rsidR="00FA4226" w:rsidRPr="00CA2CC1" w:rsidRDefault="00FA4226" w:rsidP="0043303B">
      <w:pPr>
        <w:pStyle w:val="BodyText"/>
        <w:rPr>
          <w:rFonts w:cs="Calibri"/>
          <w:sz w:val="20"/>
        </w:rPr>
      </w:pPr>
    </w:p>
    <w:p w14:paraId="55F6080C" w14:textId="77777777" w:rsidR="00FA4226" w:rsidRPr="00CA2CC1" w:rsidRDefault="00FA4226" w:rsidP="0043303B">
      <w:pPr>
        <w:pStyle w:val="BodyText"/>
        <w:rPr>
          <w:rFonts w:cs="Calibri"/>
          <w:sz w:val="20"/>
        </w:rPr>
      </w:pPr>
    </w:p>
    <w:p w14:paraId="5A9F9FCE" w14:textId="77777777" w:rsidR="00FA4226" w:rsidRPr="00CA2CC1" w:rsidRDefault="00FA4226" w:rsidP="0043303B">
      <w:pPr>
        <w:pStyle w:val="BodyText"/>
        <w:rPr>
          <w:rFonts w:cs="Calibri"/>
          <w:sz w:val="20"/>
        </w:rPr>
      </w:pPr>
    </w:p>
    <w:p w14:paraId="3FCB3518" w14:textId="77777777" w:rsidR="00FA4226" w:rsidRPr="00883958" w:rsidRDefault="00000000" w:rsidP="0043303B">
      <w:pPr>
        <w:pStyle w:val="Heading1"/>
        <w:spacing w:before="134"/>
        <w:rPr>
          <w:rFonts w:cs="Calibri"/>
          <w:color w:val="000000" w:themeColor="text1"/>
          <w:w w:val="105"/>
        </w:rPr>
      </w:pPr>
      <w:bookmarkStart w:id="46" w:name="Assessment_of_priorities_and_progress_in"/>
      <w:bookmarkStart w:id="47" w:name="_bookmark22"/>
      <w:bookmarkEnd w:id="46"/>
      <w:bookmarkEnd w:id="47"/>
      <w:r w:rsidRPr="00883958">
        <w:rPr>
          <w:rFonts w:cs="Calibri"/>
          <w:color w:val="000000" w:themeColor="text1"/>
          <w:w w:val="105"/>
        </w:rPr>
        <w:t>Assessment of priorities and progress in meeting Victoria’s infrastructure</w:t>
      </w:r>
      <w:r w:rsidRPr="00883958">
        <w:rPr>
          <w:rFonts w:cs="Calibri"/>
          <w:color w:val="000000" w:themeColor="text1"/>
          <w:spacing w:val="80"/>
          <w:w w:val="105"/>
        </w:rPr>
        <w:t xml:space="preserve"> </w:t>
      </w:r>
      <w:r w:rsidRPr="00883958">
        <w:rPr>
          <w:rFonts w:cs="Calibri"/>
          <w:color w:val="000000" w:themeColor="text1"/>
          <w:w w:val="105"/>
        </w:rPr>
        <w:t>needs</w:t>
      </w:r>
    </w:p>
    <w:p w14:paraId="4376009A" w14:textId="38E2AF41" w:rsidR="00373ED9" w:rsidRPr="00CA2CC1" w:rsidRDefault="00373ED9" w:rsidP="0043303B">
      <w:pPr>
        <w:rPr>
          <w:rFonts w:cs="Calibri"/>
        </w:rPr>
      </w:pPr>
      <w:bookmarkStart w:id="48" w:name="_Toc109662724"/>
    </w:p>
    <w:p w14:paraId="610B6B68" w14:textId="77777777" w:rsidR="00373ED9" w:rsidRPr="00CA2CC1" w:rsidRDefault="00373ED9" w:rsidP="0043303B">
      <w:pPr>
        <w:rPr>
          <w:rFonts w:eastAsia="Times New Roman" w:cs="Calibri"/>
          <w:sz w:val="64"/>
          <w:szCs w:val="64"/>
        </w:rPr>
      </w:pPr>
      <w:r w:rsidRPr="00CA2CC1">
        <w:rPr>
          <w:rFonts w:cs="Calibri"/>
        </w:rPr>
        <w:br w:type="page"/>
      </w:r>
    </w:p>
    <w:p w14:paraId="2101F80D" w14:textId="6B6A1DF0" w:rsidR="00373ED9" w:rsidRPr="00CA2CC1" w:rsidRDefault="00373ED9" w:rsidP="0043303B">
      <w:pPr>
        <w:pStyle w:val="Heading1"/>
        <w:rPr>
          <w:rFonts w:cs="Calibri"/>
        </w:rPr>
      </w:pPr>
      <w:r w:rsidRPr="00CA2CC1">
        <w:rPr>
          <w:rFonts w:cs="Calibri"/>
        </w:rPr>
        <w:lastRenderedPageBreak/>
        <w:t>Introduction</w:t>
      </w:r>
      <w:bookmarkEnd w:id="48"/>
    </w:p>
    <w:p w14:paraId="6395D7F9" w14:textId="77777777" w:rsidR="00373ED9" w:rsidRPr="00CA2CC1" w:rsidRDefault="00373ED9" w:rsidP="0043303B">
      <w:pPr>
        <w:pStyle w:val="IVIntrotext"/>
        <w:spacing w:line="240" w:lineRule="auto"/>
        <w:rPr>
          <w:rFonts w:cs="Calibri"/>
          <w:color w:val="auto"/>
        </w:rPr>
      </w:pPr>
      <w:r w:rsidRPr="00CA2CC1">
        <w:rPr>
          <w:rFonts w:cs="Calibri"/>
          <w:color w:val="auto"/>
        </w:rPr>
        <w:t xml:space="preserve">Each year, Infrastructure Victoria assesses the Victorian Government’s specified priorities and progress in meeting the infrastructure needs identified in the Victorian infrastructure plan. </w:t>
      </w:r>
    </w:p>
    <w:p w14:paraId="068B4FB7" w14:textId="77777777" w:rsidR="00373ED9" w:rsidRPr="00CA2CC1" w:rsidRDefault="00373ED9" w:rsidP="0043303B">
      <w:pPr>
        <w:pStyle w:val="IVBodyText"/>
        <w:spacing w:line="240" w:lineRule="auto"/>
        <w:rPr>
          <w:rFonts w:ascii="Calibri" w:hAnsi="Calibri" w:cs="Calibri"/>
          <w:color w:val="auto"/>
        </w:rPr>
      </w:pPr>
      <w:r w:rsidRPr="00CA2CC1">
        <w:rPr>
          <w:rFonts w:ascii="Calibri" w:hAnsi="Calibri" w:cs="Calibri"/>
          <w:color w:val="auto"/>
        </w:rPr>
        <w:t xml:space="preserve">The </w:t>
      </w:r>
      <w:r w:rsidRPr="00CA2CC1">
        <w:rPr>
          <w:rFonts w:ascii="Calibri" w:hAnsi="Calibri" w:cs="Calibri"/>
          <w:i/>
          <w:iCs/>
          <w:color w:val="auto"/>
        </w:rPr>
        <w:t>Infrastructure Victoria Act 2015</w:t>
      </w:r>
      <w:r w:rsidRPr="00CA2CC1">
        <w:rPr>
          <w:rFonts w:ascii="Calibri" w:hAnsi="Calibri" w:cs="Calibri"/>
          <w:color w:val="auto"/>
        </w:rPr>
        <w:t xml:space="preserve"> requires Infrastructure Victoria to publish the assessment in its annual report. In August 2021, Infrastructure Victoria tabled </w:t>
      </w:r>
      <w:hyperlink r:id="rId35" w:history="1">
        <w:r w:rsidRPr="00CA2CC1">
          <w:rPr>
            <w:rStyle w:val="Hyperlink"/>
            <w:rFonts w:ascii="Calibri" w:hAnsi="Calibri" w:cs="Calibri"/>
            <w:i/>
            <w:iCs/>
          </w:rPr>
          <w:t>Victoria’s infrastructure strategy 2021–2051</w:t>
        </w:r>
      </w:hyperlink>
      <w:r w:rsidRPr="00CA2CC1">
        <w:rPr>
          <w:rFonts w:ascii="Calibri" w:hAnsi="Calibri" w:cs="Calibri"/>
          <w:color w:val="auto"/>
        </w:rPr>
        <w:t xml:space="preserve"> in the Victorian Parliament. It contains 94 recommendations for projects, policies, and reforms to confront long-term challenges, manage urban change, harness infrastructure for productivity and growth, and develop regional Victoria. The Victorian Government responded to the recommendations when it published its new 5-year infrastructure plan, the </w:t>
      </w:r>
      <w:hyperlink r:id="rId36" w:history="1">
        <w:r w:rsidRPr="00CA2CC1">
          <w:rPr>
            <w:rStyle w:val="Hyperlink"/>
            <w:rFonts w:ascii="Calibri" w:hAnsi="Calibri" w:cs="Calibri"/>
            <w:i/>
            <w:iCs/>
          </w:rPr>
          <w:t>Victorian infrastructure plan 2021</w:t>
        </w:r>
      </w:hyperlink>
      <w:r w:rsidRPr="00CA2CC1">
        <w:rPr>
          <w:rFonts w:ascii="Calibri" w:hAnsi="Calibri" w:cs="Calibri"/>
          <w:i/>
          <w:iCs/>
          <w:color w:val="auto"/>
        </w:rPr>
        <w:t>.</w:t>
      </w:r>
    </w:p>
    <w:p w14:paraId="297DD44E" w14:textId="77777777" w:rsidR="00373ED9" w:rsidRPr="00CA2CC1" w:rsidRDefault="00373ED9" w:rsidP="0043303B">
      <w:pPr>
        <w:pStyle w:val="Heading2"/>
        <w:rPr>
          <w:rFonts w:cs="Calibri"/>
        </w:rPr>
      </w:pPr>
      <w:bookmarkStart w:id="49" w:name="_Toc109662725"/>
      <w:r w:rsidRPr="00CA2CC1">
        <w:rPr>
          <w:rFonts w:cs="Calibri"/>
        </w:rPr>
        <w:t>Assessing priorities and progress in meeting infrastructure needs</w:t>
      </w:r>
      <w:bookmarkEnd w:id="49"/>
    </w:p>
    <w:p w14:paraId="5B469059" w14:textId="77777777" w:rsidR="00373ED9" w:rsidRPr="00CA2CC1" w:rsidRDefault="00373ED9" w:rsidP="0043303B">
      <w:pPr>
        <w:pStyle w:val="Heading3"/>
        <w:rPr>
          <w:rFonts w:cs="Calibri"/>
        </w:rPr>
      </w:pPr>
      <w:r w:rsidRPr="00CA2CC1">
        <w:rPr>
          <w:rFonts w:cs="Calibri"/>
        </w:rPr>
        <w:t>Approach to the assessment</w:t>
      </w:r>
    </w:p>
    <w:p w14:paraId="3D1C8245" w14:textId="77777777" w:rsidR="00373ED9" w:rsidRPr="00CA2CC1" w:rsidRDefault="00373ED9" w:rsidP="0043303B">
      <w:pPr>
        <w:pStyle w:val="IVBodyText"/>
        <w:spacing w:line="240" w:lineRule="auto"/>
        <w:rPr>
          <w:rFonts w:ascii="Calibri" w:hAnsi="Calibri" w:cs="Calibri"/>
          <w:color w:val="auto"/>
        </w:rPr>
      </w:pPr>
      <w:bookmarkStart w:id="50" w:name="_Hlk109385962"/>
      <w:r w:rsidRPr="00CA2CC1">
        <w:rPr>
          <w:rFonts w:ascii="Calibri" w:hAnsi="Calibri" w:cs="Calibri"/>
          <w:color w:val="auto"/>
        </w:rPr>
        <w:t xml:space="preserve">In 2022, Infrastructure Victoria reviewed its assessment approach to better evaluate the government’s priorities and progress in meeting infrastructure needs. This coincided with the Victorian Government releasing its new 5-year plan, the </w:t>
      </w:r>
      <w:r w:rsidRPr="00CA2CC1">
        <w:rPr>
          <w:rFonts w:ascii="Calibri" w:hAnsi="Calibri" w:cs="Calibri"/>
          <w:i/>
          <w:iCs/>
          <w:color w:val="auto"/>
        </w:rPr>
        <w:t>Victorian infrastructure plan 2021</w:t>
      </w:r>
      <w:r w:rsidRPr="00CA2CC1">
        <w:rPr>
          <w:rFonts w:ascii="Calibri" w:hAnsi="Calibri" w:cs="Calibri"/>
          <w:color w:val="auto"/>
        </w:rPr>
        <w:t>. Our 2023 assessment uses the same methodology and approach.</w:t>
      </w:r>
    </w:p>
    <w:bookmarkEnd w:id="50"/>
    <w:p w14:paraId="09BE660A"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color w:val="auto"/>
        </w:rPr>
        <w:t xml:space="preserve">The </w:t>
      </w:r>
      <w:r w:rsidRPr="00CA2CC1">
        <w:rPr>
          <w:rFonts w:ascii="Calibri" w:hAnsi="Calibri" w:cs="Calibri"/>
          <w:i/>
          <w:iCs/>
          <w:color w:val="auto"/>
        </w:rPr>
        <w:t>Victorian infrastructure plan 2021</w:t>
      </w:r>
      <w:r w:rsidRPr="00CA2CC1">
        <w:rPr>
          <w:rFonts w:ascii="Calibri" w:hAnsi="Calibri" w:cs="Calibri"/>
          <w:color w:val="auto"/>
        </w:rPr>
        <w:t xml:space="preserve"> covers 8 infrastructure sectors. It lists 35 long-term priorities, 103 key projects and 43 reforms. The plan generally expresses the 35 long-term priorities as a high-level objective or outcome, which we interpreted as ‘infrastructure needs’. We assessed progress against these priorities. We documented the commitments and initiatives that indicate the direction in which Victoria’s infrastructure delivery is travelling.</w:t>
      </w:r>
      <w:r w:rsidRPr="00CA2CC1">
        <w:rPr>
          <w:rFonts w:ascii="Calibri" w:hAnsi="Calibri" w:cs="Calibri"/>
        </w:rPr>
        <w:t xml:space="preserve"> We also identified areas for improvement for the Victorian Government to consider.</w:t>
      </w:r>
    </w:p>
    <w:p w14:paraId="685D405B"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color w:val="auto"/>
        </w:rPr>
        <w:t xml:space="preserve">Infrastructure Victoria assessed progress during the 2022–2023 financial year on the projects and reforms included in the Victorian infrastructure plan, and any new ones announced after release of the plan. </w:t>
      </w:r>
      <w:r w:rsidRPr="00CA2CC1">
        <w:rPr>
          <w:rFonts w:ascii="Calibri" w:hAnsi="Calibri" w:cs="Calibri"/>
        </w:rPr>
        <w:t>This includes government initiatives announced, completed or with major milestones achieved between</w:t>
      </w:r>
      <w:r w:rsidRPr="00CA2CC1">
        <w:rPr>
          <w:rFonts w:ascii="Calibri" w:hAnsi="Calibri" w:cs="Calibri"/>
          <w:color w:val="auto"/>
        </w:rPr>
        <w:t xml:space="preserve"> 1 July 2022 to 30 June 2023. We also considered earlier government actions in the 2022 assessment. We will consider later government actions in our 2024 assessment.</w:t>
      </w:r>
    </w:p>
    <w:p w14:paraId="5C7AE223" w14:textId="77777777" w:rsidR="00373ED9" w:rsidRPr="00CA2CC1" w:rsidRDefault="00373ED9" w:rsidP="0043303B">
      <w:pPr>
        <w:pStyle w:val="IVBodyText"/>
        <w:spacing w:line="240" w:lineRule="auto"/>
        <w:rPr>
          <w:rFonts w:ascii="Calibri" w:hAnsi="Calibri" w:cs="Calibri"/>
          <w:color w:val="auto"/>
        </w:rPr>
      </w:pPr>
      <w:r w:rsidRPr="00CA2CC1">
        <w:rPr>
          <w:rFonts w:ascii="Calibri" w:hAnsi="Calibri" w:cs="Calibri"/>
          <w:color w:val="auto"/>
        </w:rPr>
        <w:t>Infrastructure Victoria based the assessment on publicly available information that we could locate at the time we completed the assessment. For each priority, we used this information and data to describe government’s performance. The assessment is largely qualitative. We will keep refining this method over time, adopting better data or indicators to improve our insights. We will maintain these datasets over the long-term, where possible, and seek to update them each year to measure progress over time. On some topics, we did not find suitable data to measure progress.</w:t>
      </w:r>
    </w:p>
    <w:p w14:paraId="714234F3"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color w:val="auto"/>
        </w:rPr>
        <w:t xml:space="preserve">Infrastructure Victoria used different sources to assess progress in meeting the priorities. We examined the </w:t>
      </w:r>
      <w:r w:rsidRPr="00CA2CC1">
        <w:rPr>
          <w:rFonts w:ascii="Calibri" w:hAnsi="Calibri" w:cs="Calibri"/>
          <w:i/>
          <w:iCs/>
          <w:color w:val="auto"/>
        </w:rPr>
        <w:t>2022 Victorian Economic and Fiscal Update</w:t>
      </w:r>
      <w:r w:rsidRPr="00CA2CC1">
        <w:rPr>
          <w:rStyle w:val="EndnoteReference"/>
          <w:rFonts w:ascii="Calibri" w:hAnsi="Calibri" w:cs="Calibri"/>
          <w:i/>
          <w:iCs/>
          <w:color w:val="auto"/>
        </w:rPr>
        <w:endnoteReference w:id="1"/>
      </w:r>
      <w:r w:rsidRPr="00CA2CC1">
        <w:rPr>
          <w:rFonts w:ascii="Calibri" w:hAnsi="Calibri" w:cs="Calibri"/>
          <w:color w:val="auto"/>
        </w:rPr>
        <w:t xml:space="preserve"> and the 2023–24 Victorian Budget for initiatives that align with the Victorian Government’s specified priorities. We checked government websites for evidence of progress on relevant initiatives, and reviewed government media releases. We also met with Victorian government departments and agencies to ensure we did not miss anything. We believe we captured all major initiatives. We did not examine every policy commitment, or all departmental and agency work. </w:t>
      </w:r>
    </w:p>
    <w:p w14:paraId="13F63F1F" w14:textId="77777777" w:rsidR="00373ED9" w:rsidRPr="00CA2CC1" w:rsidRDefault="00373ED9" w:rsidP="0043303B">
      <w:pPr>
        <w:pStyle w:val="Heading3"/>
        <w:rPr>
          <w:rFonts w:cs="Calibri"/>
        </w:rPr>
      </w:pPr>
      <w:r w:rsidRPr="00CA2CC1">
        <w:rPr>
          <w:rFonts w:cs="Calibri"/>
        </w:rPr>
        <w:lastRenderedPageBreak/>
        <w:t>Summary</w:t>
      </w:r>
    </w:p>
    <w:p w14:paraId="68E050DD" w14:textId="77777777" w:rsidR="00373ED9" w:rsidRPr="00CA2CC1" w:rsidRDefault="00373ED9" w:rsidP="0043303B">
      <w:pPr>
        <w:pStyle w:val="BodyText"/>
        <w:rPr>
          <w:rFonts w:cs="Calibri"/>
        </w:rPr>
      </w:pPr>
      <w:r w:rsidRPr="00CA2CC1">
        <w:rPr>
          <w:rFonts w:cs="Calibri"/>
        </w:rPr>
        <w:t>The world witnessed several major events during 2022–2023 financial year. Russia continued its war in Ukraine, which affected global energy and food supplies. The world’s population reached 8 billion people.</w:t>
      </w:r>
      <w:r w:rsidRPr="00CA2CC1">
        <w:rPr>
          <w:rStyle w:val="EndnoteReference"/>
          <w:rFonts w:cs="Calibri"/>
        </w:rPr>
        <w:endnoteReference w:id="2"/>
      </w:r>
      <w:r w:rsidRPr="00CA2CC1">
        <w:rPr>
          <w:rFonts w:cs="Calibri"/>
        </w:rPr>
        <w:t xml:space="preserve"> People all over the globe felt the impacts of climate change. Europe recorded its hottest summer.</w:t>
      </w:r>
      <w:r w:rsidRPr="00CA2CC1">
        <w:rPr>
          <w:rStyle w:val="EndnoteReference"/>
          <w:rFonts w:cs="Calibri"/>
        </w:rPr>
        <w:endnoteReference w:id="3"/>
      </w:r>
      <w:r w:rsidRPr="00CA2CC1">
        <w:rPr>
          <w:rFonts w:cs="Calibri"/>
        </w:rPr>
        <w:t xml:space="preserve"> Pakistan experienced one of the most severe floods in its history.</w:t>
      </w:r>
      <w:r w:rsidRPr="00CA2CC1">
        <w:rPr>
          <w:rStyle w:val="EndnoteReference"/>
          <w:rFonts w:cs="Calibri"/>
        </w:rPr>
        <w:endnoteReference w:id="4"/>
      </w:r>
      <w:r w:rsidRPr="00CA2CC1">
        <w:rPr>
          <w:rFonts w:cs="Calibri"/>
        </w:rPr>
        <w:t xml:space="preserve"> Victoria also experienced major flooding in October 2022,</w:t>
      </w:r>
      <w:r w:rsidRPr="00CA2CC1">
        <w:rPr>
          <w:rStyle w:val="EndnoteReference"/>
          <w:rFonts w:cs="Calibri"/>
        </w:rPr>
        <w:endnoteReference w:id="5"/>
      </w:r>
      <w:r w:rsidRPr="00CA2CC1">
        <w:rPr>
          <w:rFonts w:cs="Calibri"/>
        </w:rPr>
        <w:t xml:space="preserve"> damaging roads, infrastructure and homes.</w:t>
      </w:r>
      <w:r w:rsidRPr="00CA2CC1">
        <w:rPr>
          <w:rStyle w:val="EndnoteReference"/>
          <w:rFonts w:cs="Calibri"/>
        </w:rPr>
        <w:endnoteReference w:id="6"/>
      </w:r>
    </w:p>
    <w:p w14:paraId="008B2EDE" w14:textId="77777777" w:rsidR="00373ED9" w:rsidRPr="00CA2CC1" w:rsidRDefault="00373ED9" w:rsidP="0043303B">
      <w:pPr>
        <w:pStyle w:val="BodyText"/>
        <w:rPr>
          <w:rFonts w:cs="Calibri"/>
        </w:rPr>
      </w:pPr>
      <w:r w:rsidRPr="00CA2CC1">
        <w:rPr>
          <w:rFonts w:cs="Calibri"/>
        </w:rPr>
        <w:t>The Reserve Bank of Australia increased the cash interest rate from 0.85% on 1 July 2022 to 4.10% on 30 July 2023.</w:t>
      </w:r>
      <w:r w:rsidRPr="00CA2CC1">
        <w:rPr>
          <w:rStyle w:val="EndnoteReference"/>
          <w:rFonts w:cs="Calibri"/>
        </w:rPr>
        <w:endnoteReference w:id="7"/>
      </w:r>
      <w:r w:rsidRPr="00CA2CC1">
        <w:rPr>
          <w:rFonts w:cs="Calibri"/>
        </w:rPr>
        <w:t xml:space="preserve"> Victoria’s economy was still recovering after the COVID-19 pandemic,</w:t>
      </w:r>
      <w:r w:rsidRPr="00CA2CC1">
        <w:rPr>
          <w:rStyle w:val="CommentReference"/>
          <w:rFonts w:cs="Calibri"/>
        </w:rPr>
        <w:t xml:space="preserve"> </w:t>
      </w:r>
      <w:r w:rsidRPr="00CA2CC1">
        <w:rPr>
          <w:rFonts w:cs="Calibri"/>
        </w:rPr>
        <w:t>and many Victorians felt cost of living pressures from high inflation, interest rate rises and rising housing costs.</w:t>
      </w:r>
      <w:r w:rsidRPr="00CA2CC1">
        <w:rPr>
          <w:rStyle w:val="EndnoteReference"/>
          <w:rFonts w:cs="Calibri"/>
        </w:rPr>
        <w:endnoteReference w:id="8"/>
      </w:r>
      <w:r w:rsidRPr="00CA2CC1" w:rsidDel="005E1C5E">
        <w:rPr>
          <w:rFonts w:cs="Calibri"/>
        </w:rPr>
        <w:t xml:space="preserve"> </w:t>
      </w:r>
      <w:r w:rsidRPr="00CA2CC1">
        <w:rPr>
          <w:rFonts w:cs="Calibri"/>
        </w:rPr>
        <w:t>National governments eased COVID-19 national border restrictions in late 2021. This meant migrants, particularly foreign students, could more easily enter Australia again. By late 2022, migration had returned to around its pre-pandemic level.</w:t>
      </w:r>
      <w:r w:rsidRPr="00CA2CC1">
        <w:rPr>
          <w:rStyle w:val="EndnoteReference"/>
          <w:rFonts w:cs="Calibri"/>
        </w:rPr>
        <w:endnoteReference w:id="9"/>
      </w:r>
    </w:p>
    <w:p w14:paraId="7691A26F" w14:textId="77777777" w:rsidR="00373ED9" w:rsidRPr="00CA2CC1" w:rsidRDefault="00373ED9" w:rsidP="0043303B">
      <w:pPr>
        <w:pStyle w:val="BodyText"/>
        <w:rPr>
          <w:rFonts w:cs="Calibri"/>
        </w:rPr>
      </w:pPr>
      <w:r w:rsidRPr="00CA2CC1">
        <w:rPr>
          <w:rFonts w:cs="Calibri"/>
        </w:rPr>
        <w:t xml:space="preserve">In November 2022, Victorians elected a new Parliament. They elected Australian Labor Party members to a majority of seats in the Legislative Assembly, meaning the party will govern for a third term. </w:t>
      </w:r>
    </w:p>
    <w:p w14:paraId="4C116779" w14:textId="77777777" w:rsidR="00373ED9" w:rsidRPr="00CA2CC1" w:rsidRDefault="00373ED9" w:rsidP="0043303B">
      <w:pPr>
        <w:pStyle w:val="BodyText"/>
        <w:rPr>
          <w:rFonts w:cs="Calibri"/>
        </w:rPr>
      </w:pPr>
      <w:r w:rsidRPr="00CA2CC1">
        <w:rPr>
          <w:rFonts w:cs="Calibri"/>
        </w:rPr>
        <w:t>In May 2023, the Victorian Government announced new emissions reduction targets. The targets are to reduce emissions from 2005 levels by between 75% and 80% by 2035,</w:t>
      </w:r>
      <w:r w:rsidRPr="00CA2CC1">
        <w:rPr>
          <w:rStyle w:val="EndnoteReference"/>
          <w:rFonts w:cs="Calibri"/>
        </w:rPr>
        <w:endnoteReference w:id="10"/>
      </w:r>
      <w:r w:rsidRPr="00CA2CC1">
        <w:rPr>
          <w:rFonts w:cs="Calibri"/>
        </w:rPr>
        <w:t xml:space="preserve"> and reach net zero emissions by 2045. This is 5 years earlier than the previous 2050 net zero target.</w:t>
      </w:r>
      <w:r w:rsidRPr="00CA2CC1">
        <w:rPr>
          <w:rStyle w:val="EndnoteReference"/>
          <w:rFonts w:cs="Calibri"/>
        </w:rPr>
        <w:endnoteReference w:id="11"/>
      </w:r>
      <w:r w:rsidRPr="00CA2CC1">
        <w:rPr>
          <w:rFonts w:cs="Calibri"/>
        </w:rPr>
        <w:t xml:space="preserve"> The government also announced new renewable energy targets</w:t>
      </w:r>
      <w:r w:rsidRPr="00CA2CC1">
        <w:rPr>
          <w:rStyle w:val="EndnoteReference"/>
          <w:rFonts w:cs="Calibri"/>
        </w:rPr>
        <w:endnoteReference w:id="12"/>
      </w:r>
      <w:r w:rsidRPr="00CA2CC1">
        <w:rPr>
          <w:rFonts w:cs="Calibri"/>
        </w:rPr>
        <w:t xml:space="preserve"> and renewable energy storage targets.</w:t>
      </w:r>
      <w:r w:rsidRPr="00CA2CC1">
        <w:rPr>
          <w:rStyle w:val="EndnoteReference"/>
          <w:rFonts w:cs="Calibri"/>
        </w:rPr>
        <w:endnoteReference w:id="13"/>
      </w:r>
    </w:p>
    <w:p w14:paraId="52BB6898" w14:textId="0F1BD100" w:rsidR="00373ED9" w:rsidRPr="00CA2CC1" w:rsidRDefault="00373ED9" w:rsidP="0043303B">
      <w:pPr>
        <w:pStyle w:val="BodyText"/>
        <w:rPr>
          <w:rFonts w:cs="Calibri"/>
        </w:rPr>
      </w:pPr>
      <w:r w:rsidRPr="00CA2CC1">
        <w:rPr>
          <w:rFonts w:cs="Calibri"/>
        </w:rPr>
        <w:t>Renewable electricity generation sites will need new infrastructure to transmit electricity to the places that use it.</w:t>
      </w:r>
      <w:r w:rsidRPr="00CA2CC1">
        <w:rPr>
          <w:rStyle w:val="EndnoteReference"/>
          <w:rFonts w:cs="Calibri"/>
        </w:rPr>
        <w:endnoteReference w:id="14"/>
      </w:r>
      <w:r w:rsidRPr="00CA2CC1">
        <w:rPr>
          <w:rFonts w:cs="Calibri"/>
        </w:rPr>
        <w:t xml:space="preserve"> </w:t>
      </w:r>
      <w:r w:rsidRPr="00CA2CC1">
        <w:rPr>
          <w:rFonts w:cs="Calibri"/>
          <w:i/>
          <w:iCs/>
        </w:rPr>
        <w:t xml:space="preserve">Victoria’s infrastructure strategy 2021–2051 </w:t>
      </w:r>
      <w:r w:rsidRPr="00CA2CC1">
        <w:rPr>
          <w:rFonts w:cs="Calibri"/>
        </w:rPr>
        <w:t xml:space="preserve">recommended new investment in electricity transmission infrastructure. The </w:t>
      </w:r>
      <w:r w:rsidRPr="00CA2CC1">
        <w:rPr>
          <w:rFonts w:cs="Calibri"/>
          <w:color w:val="auto"/>
        </w:rPr>
        <w:t xml:space="preserve">2023–24 </w:t>
      </w:r>
      <w:r w:rsidRPr="00CA2CC1">
        <w:rPr>
          <w:rFonts w:cs="Calibri"/>
        </w:rPr>
        <w:t>Budget committed $1 billion of equity to re-establish the State Electricity Commission.</w:t>
      </w:r>
      <w:r w:rsidRPr="00CA2CC1">
        <w:rPr>
          <w:rStyle w:val="EndnoteReference"/>
          <w:rFonts w:cs="Calibri"/>
        </w:rPr>
        <w:endnoteReference w:id="15"/>
      </w:r>
      <w:r w:rsidRPr="00CA2CC1">
        <w:rPr>
          <w:rFonts w:cs="Calibri"/>
        </w:rPr>
        <w:t xml:space="preserve"> The Budget also allocated $21 million for VicGrid to coordinate transmission infrastructure planning and investment.</w:t>
      </w:r>
      <w:r w:rsidRPr="00CA2CC1">
        <w:rPr>
          <w:rStyle w:val="EndnoteReference"/>
          <w:rFonts w:cs="Calibri"/>
        </w:rPr>
        <w:endnoteReference w:id="16"/>
      </w:r>
      <w:r w:rsidRPr="00CA2CC1">
        <w:rPr>
          <w:rFonts w:cs="Calibri"/>
        </w:rPr>
        <w:t xml:space="preserve"> </w:t>
      </w:r>
    </w:p>
    <w:p w14:paraId="7AA86EAD" w14:textId="583CCD95" w:rsidR="00373ED9" w:rsidRPr="00CA2CC1" w:rsidRDefault="00373ED9" w:rsidP="0043303B">
      <w:pPr>
        <w:pStyle w:val="BodyText"/>
        <w:rPr>
          <w:rFonts w:cs="Calibri"/>
        </w:rPr>
      </w:pPr>
      <w:r w:rsidRPr="00CA2CC1">
        <w:rPr>
          <w:rFonts w:cs="Calibri"/>
        </w:rPr>
        <w:t xml:space="preserve">Infrastructure Victoria advised the government on the future of gas infrastructure in our report: </w:t>
      </w:r>
      <w:r w:rsidRPr="00CA2CC1">
        <w:rPr>
          <w:rFonts w:cs="Calibri"/>
          <w:i/>
          <w:iCs/>
        </w:rPr>
        <w:t>Towards 2050: gas infrastructure in a net zero emissions economy – final report</w:t>
      </w:r>
      <w:r w:rsidRPr="00CA2CC1">
        <w:rPr>
          <w:rFonts w:cs="Calibri"/>
        </w:rPr>
        <w:t>.</w:t>
      </w:r>
      <w:r w:rsidRPr="00CA2CC1">
        <w:rPr>
          <w:rStyle w:val="EndnoteReference"/>
          <w:rFonts w:cs="Calibri"/>
        </w:rPr>
        <w:endnoteReference w:id="17"/>
      </w:r>
      <w:r w:rsidRPr="00CA2CC1">
        <w:rPr>
          <w:rFonts w:cs="Calibri"/>
        </w:rPr>
        <w:t xml:space="preserve"> The Victorian Government released the </w:t>
      </w:r>
      <w:r w:rsidRPr="00CA2CC1">
        <w:rPr>
          <w:rFonts w:cs="Calibri"/>
          <w:i/>
          <w:iCs/>
        </w:rPr>
        <w:t xml:space="preserve">Gas substitution roadmap </w:t>
      </w:r>
      <w:r w:rsidRPr="00CA2CC1">
        <w:rPr>
          <w:rFonts w:cs="Calibri"/>
        </w:rPr>
        <w:t>in July 2022 to help Victoria transition away from natural gas.</w:t>
      </w:r>
      <w:r w:rsidRPr="00CA2CC1">
        <w:rPr>
          <w:rStyle w:val="EndnoteReference"/>
          <w:rFonts w:cs="Calibri"/>
        </w:rPr>
        <w:endnoteReference w:id="18"/>
      </w:r>
      <w:r w:rsidRPr="00CA2CC1">
        <w:rPr>
          <w:rFonts w:cs="Calibri"/>
        </w:rPr>
        <w:t xml:space="preserve"> The Budget provided</w:t>
      </w:r>
      <w:r w:rsidR="001E190C" w:rsidRPr="00CA2CC1">
        <w:rPr>
          <w:rFonts w:cs="Calibri"/>
        </w:rPr>
        <w:t>,</w:t>
      </w:r>
      <w:r w:rsidRPr="00CA2CC1">
        <w:rPr>
          <w:rFonts w:cs="Calibri"/>
        </w:rPr>
        <w:t xml:space="preserve"> </w:t>
      </w:r>
      <w:r w:rsidR="001E190C" w:rsidRPr="00CA2CC1">
        <w:rPr>
          <w:rFonts w:cs="Calibri"/>
        </w:rPr>
        <w:t xml:space="preserve">or service delivery, </w:t>
      </w:r>
      <w:r w:rsidRPr="00CA2CC1">
        <w:rPr>
          <w:rFonts w:cs="Calibri"/>
        </w:rPr>
        <w:t>output funding of $5 million to implement it.</w:t>
      </w:r>
      <w:r w:rsidRPr="00CA2CC1">
        <w:rPr>
          <w:rStyle w:val="EndnoteReference"/>
          <w:rFonts w:cs="Calibri"/>
        </w:rPr>
        <w:endnoteReference w:id="19"/>
      </w:r>
      <w:r w:rsidRPr="00CA2CC1">
        <w:rPr>
          <w:rFonts w:cs="Calibri"/>
        </w:rPr>
        <w:t xml:space="preserve"> Our advice recommend</w:t>
      </w:r>
      <w:r w:rsidRPr="00CA2CC1" w:rsidDel="00770B42">
        <w:rPr>
          <w:rFonts w:cs="Calibri"/>
        </w:rPr>
        <w:t xml:space="preserve">ed </w:t>
      </w:r>
      <w:r w:rsidRPr="00CA2CC1">
        <w:rPr>
          <w:rFonts w:cs="Calibri"/>
        </w:rPr>
        <w:t>the Victorian Government can also conduct regional strategic planning and trials for a diverse, decentralised low or zero emissions gas supply in Victoria. It can also scale up biogas and biomethane production and fast-track the development of Victoria’s green hydrogen industry.</w:t>
      </w:r>
    </w:p>
    <w:p w14:paraId="2AAACC6C" w14:textId="77777777" w:rsidR="00373ED9" w:rsidRPr="00CA2CC1" w:rsidRDefault="00373ED9" w:rsidP="0043303B">
      <w:pPr>
        <w:pStyle w:val="BodyText"/>
        <w:rPr>
          <w:rFonts w:cs="Calibri"/>
        </w:rPr>
      </w:pPr>
      <w:r w:rsidRPr="00CA2CC1">
        <w:rPr>
          <w:rFonts w:cs="Calibri"/>
        </w:rPr>
        <w:t xml:space="preserve">In </w:t>
      </w:r>
      <w:r w:rsidRPr="00CA2CC1">
        <w:rPr>
          <w:rFonts w:cs="Calibri"/>
          <w:i/>
          <w:iCs/>
        </w:rPr>
        <w:t>Victoria’s infrastructure strategy 2021–2051,</w:t>
      </w:r>
      <w:r w:rsidRPr="00CA2CC1">
        <w:rPr>
          <w:rFonts w:cs="Calibri"/>
        </w:rPr>
        <w:t xml:space="preserve"> we identified the need to strategically review climate change consequences for infrastructure.</w:t>
      </w:r>
      <w:r w:rsidRPr="00CA2CC1">
        <w:rPr>
          <w:rStyle w:val="EndnoteReference"/>
          <w:rFonts w:cs="Calibri"/>
        </w:rPr>
        <w:endnoteReference w:id="20"/>
      </w:r>
      <w:r w:rsidRPr="00CA2CC1">
        <w:rPr>
          <w:rFonts w:cs="Calibri"/>
        </w:rPr>
        <w:t xml:space="preserve"> We also recommended specifying climate scenarios and carbon value in assessing infrastructure.</w:t>
      </w:r>
      <w:r w:rsidRPr="00CA2CC1">
        <w:rPr>
          <w:rStyle w:val="EndnoteReference"/>
          <w:rFonts w:cs="Calibri"/>
        </w:rPr>
        <w:endnoteReference w:id="21"/>
      </w:r>
      <w:r w:rsidRPr="00CA2CC1">
        <w:rPr>
          <w:rFonts w:cs="Calibri"/>
        </w:rPr>
        <w:t xml:space="preserve"> Making more progress on these recommendations can help to meet the government’s emission reduction targets and make Victoria’s infrastructure more resilient to future extreme weather events.</w:t>
      </w:r>
    </w:p>
    <w:p w14:paraId="75712286" w14:textId="77777777" w:rsidR="00373ED9" w:rsidRPr="00CA2CC1" w:rsidRDefault="00373ED9" w:rsidP="0043303B">
      <w:pPr>
        <w:pStyle w:val="BodyText"/>
        <w:rPr>
          <w:rFonts w:cs="Calibri"/>
        </w:rPr>
      </w:pPr>
      <w:r w:rsidRPr="00CA2CC1">
        <w:rPr>
          <w:rFonts w:cs="Calibri"/>
        </w:rPr>
        <w:t xml:space="preserve">In </w:t>
      </w:r>
      <w:r w:rsidRPr="00CA2CC1">
        <w:rPr>
          <w:rFonts w:cs="Calibri"/>
          <w:i/>
          <w:iCs/>
        </w:rPr>
        <w:t>Victoria’s infrastructure strategy 2021–51</w:t>
      </w:r>
      <w:r w:rsidRPr="00CA2CC1">
        <w:rPr>
          <w:rFonts w:cs="Calibri"/>
        </w:rPr>
        <w:t>, we recommended building new hospital capacity</w:t>
      </w:r>
      <w:r w:rsidRPr="00CA2CC1">
        <w:rPr>
          <w:rStyle w:val="EndnoteReference"/>
          <w:rFonts w:cs="Calibri"/>
        </w:rPr>
        <w:endnoteReference w:id="22"/>
      </w:r>
      <w:r w:rsidRPr="00CA2CC1">
        <w:rPr>
          <w:rFonts w:cs="Calibri"/>
        </w:rPr>
        <w:t xml:space="preserve"> and upgrading and rebuilding public hospital infrastructure.</w:t>
      </w:r>
      <w:r w:rsidRPr="00CA2CC1">
        <w:rPr>
          <w:rStyle w:val="EndnoteReference"/>
          <w:rFonts w:cs="Calibri"/>
        </w:rPr>
        <w:endnoteReference w:id="23"/>
      </w:r>
      <w:r w:rsidRPr="00CA2CC1">
        <w:rPr>
          <w:rFonts w:cs="Calibri"/>
        </w:rPr>
        <w:t xml:space="preserve"> In October 2022, the government announced a $2.338 billion redevelopment of the Royal Melbourne Hospital and Royal Women’s Hospital.</w:t>
      </w:r>
      <w:r w:rsidRPr="00CA2CC1">
        <w:rPr>
          <w:rStyle w:val="EndnoteReference"/>
          <w:rFonts w:cs="Calibri"/>
        </w:rPr>
        <w:endnoteReference w:id="24"/>
      </w:r>
      <w:r w:rsidRPr="00CA2CC1">
        <w:rPr>
          <w:rFonts w:cs="Calibri"/>
        </w:rPr>
        <w:t xml:space="preserve"> These investments aim to increase access to women’s health services including low risk birthing, day surgery and ambulatory services. They will also help create activity and encourage private development in the new Arden precinct.</w:t>
      </w:r>
      <w:r w:rsidRPr="00CA2CC1">
        <w:rPr>
          <w:rStyle w:val="EndnoteReference"/>
          <w:rFonts w:cs="Calibri"/>
        </w:rPr>
        <w:endnoteReference w:id="25"/>
      </w:r>
      <w:r w:rsidRPr="00CA2CC1">
        <w:rPr>
          <w:rFonts w:cs="Calibri"/>
        </w:rPr>
        <w:t xml:space="preserve"> In the future, the government can progress the upgrade and rebuild of the Alfred and Austin hospitals.</w:t>
      </w:r>
      <w:r w:rsidRPr="00CA2CC1">
        <w:rPr>
          <w:rStyle w:val="EndnoteReference"/>
          <w:rFonts w:cs="Calibri"/>
        </w:rPr>
        <w:endnoteReference w:id="26"/>
      </w:r>
      <w:r w:rsidRPr="00CA2CC1">
        <w:rPr>
          <w:rFonts w:cs="Calibri"/>
        </w:rPr>
        <w:t xml:space="preserve">  </w:t>
      </w:r>
    </w:p>
    <w:p w14:paraId="10465FF9" w14:textId="76ABEDD4" w:rsidR="00373ED9" w:rsidRPr="00CA2CC1" w:rsidRDefault="00F530C0" w:rsidP="0043303B">
      <w:pPr>
        <w:pStyle w:val="BodyText"/>
        <w:rPr>
          <w:rFonts w:cs="Calibri"/>
        </w:rPr>
      </w:pPr>
      <w:r w:rsidRPr="00CA2CC1">
        <w:rPr>
          <w:rFonts w:cs="Calibri"/>
        </w:rPr>
        <w:t>The 2022–23 Budget also provided more funds to meet demand for health services. This included $320 million in new capital funding for the Hospital Infrastructure Delivery Fund to plan major investments at 7 hospitals</w:t>
      </w:r>
      <w:r w:rsidRPr="00CA2CC1">
        <w:rPr>
          <w:rStyle w:val="EndnoteReference"/>
          <w:rFonts w:cs="Calibri"/>
        </w:rPr>
        <w:endnoteReference w:id="27"/>
      </w:r>
      <w:r w:rsidRPr="00CA2CC1">
        <w:rPr>
          <w:rFonts w:cs="Calibri"/>
        </w:rPr>
        <w:t xml:space="preserve"> and $162 million capital funding to build 3 new rural and regional public sector residential aged care services.</w:t>
      </w:r>
      <w:r w:rsidRPr="00CA2CC1">
        <w:rPr>
          <w:rStyle w:val="EndnoteReference"/>
          <w:rFonts w:cs="Calibri"/>
        </w:rPr>
        <w:endnoteReference w:id="28"/>
      </w:r>
      <w:r w:rsidRPr="00CA2CC1">
        <w:rPr>
          <w:rFonts w:cs="Calibri"/>
        </w:rPr>
        <w:t xml:space="preserve"> </w:t>
      </w:r>
      <w:hyperlink r:id="rId37" w:history="1">
        <w:r w:rsidRPr="00CA2CC1">
          <w:rPr>
            <w:rFonts w:cs="Calibri"/>
          </w:rPr>
          <w:t>Monash Health’s Victorian Heart Hospital officially opened in February 2023.</w:t>
        </w:r>
      </w:hyperlink>
      <w:r w:rsidRPr="00CA2CC1">
        <w:rPr>
          <w:rStyle w:val="EndnoteReference"/>
          <w:rFonts w:cs="Calibri"/>
        </w:rPr>
        <w:endnoteReference w:id="29"/>
      </w:r>
      <w:r w:rsidRPr="00CA2CC1">
        <w:rPr>
          <w:rFonts w:cs="Calibri"/>
        </w:rPr>
        <w:t xml:space="preserve"> </w:t>
      </w:r>
      <w:r w:rsidR="00373ED9" w:rsidRPr="00CA2CC1">
        <w:rPr>
          <w:rFonts w:cs="Calibri"/>
          <w:i/>
          <w:iCs/>
        </w:rPr>
        <w:t>Victoria’s infrastructure strategy 2021–2051</w:t>
      </w:r>
      <w:r w:rsidR="00373ED9" w:rsidRPr="00CA2CC1">
        <w:rPr>
          <w:rFonts w:cs="Calibri"/>
        </w:rPr>
        <w:t xml:space="preserve"> also recommended delivering new infrastructure for a more responsive and integrated mental health system.</w:t>
      </w:r>
      <w:r w:rsidR="00373ED9" w:rsidRPr="00CA2CC1">
        <w:rPr>
          <w:rStyle w:val="EndnoteReference"/>
          <w:rFonts w:cs="Calibri"/>
        </w:rPr>
        <w:endnoteReference w:id="30"/>
      </w:r>
      <w:r w:rsidR="00373ED9" w:rsidRPr="00CA2CC1">
        <w:rPr>
          <w:rFonts w:cs="Calibri"/>
        </w:rPr>
        <w:t xml:space="preserve"> The 2023–24 Budget invested $63 million in the Mental Health Capital Fund to implement recommendations from the 2021 Royal Commission into Victoria’s mental health system.</w:t>
      </w:r>
      <w:r w:rsidR="00373ED9" w:rsidRPr="00CA2CC1">
        <w:rPr>
          <w:rStyle w:val="EndnoteReference"/>
          <w:rFonts w:cs="Calibri"/>
        </w:rPr>
        <w:endnoteReference w:id="31"/>
      </w:r>
      <w:r w:rsidR="00373ED9" w:rsidRPr="00CA2CC1">
        <w:rPr>
          <w:rFonts w:cs="Calibri"/>
        </w:rPr>
        <w:t xml:space="preserve"> </w:t>
      </w:r>
    </w:p>
    <w:p w14:paraId="76DC9F82" w14:textId="5EDE7A8B" w:rsidR="00373ED9" w:rsidRPr="00CA2CC1" w:rsidRDefault="00373ED9" w:rsidP="0043303B">
      <w:pPr>
        <w:pStyle w:val="BodyText"/>
        <w:rPr>
          <w:rFonts w:cs="Calibri"/>
        </w:rPr>
      </w:pPr>
      <w:r w:rsidRPr="00CA2CC1">
        <w:rPr>
          <w:rFonts w:cs="Calibri"/>
        </w:rPr>
        <w:lastRenderedPageBreak/>
        <w:t>The Victorian Government committed to provide up to 30 hours of kindergarten (pre-prep) for every 4-year-old in Victoria by 2032.</w:t>
      </w:r>
      <w:r w:rsidRPr="00CA2CC1">
        <w:rPr>
          <w:rStyle w:val="EndnoteReference"/>
          <w:rFonts w:cs="Calibri"/>
        </w:rPr>
        <w:endnoteReference w:id="32"/>
      </w:r>
      <w:r w:rsidRPr="00CA2CC1">
        <w:rPr>
          <w:rFonts w:cs="Calibri"/>
        </w:rPr>
        <w:t xml:space="preserve"> In 2022–23, the government announced $2.429 billion of new capital funding for kindergarten infrastructure to support these commitments.</w:t>
      </w:r>
      <w:r w:rsidRPr="00CA2CC1">
        <w:rPr>
          <w:rFonts w:cs="Calibri"/>
          <w:vertAlign w:val="superscript"/>
        </w:rPr>
        <w:endnoteReference w:id="33"/>
      </w:r>
      <w:r w:rsidRPr="00CA2CC1">
        <w:rPr>
          <w:rFonts w:cs="Calibri"/>
        </w:rPr>
        <w:t xml:space="preserve"> This includes funds to build the first 35 of 50 Victorian Government-owned early learning centres in places with the greatest unmet demand.</w:t>
      </w:r>
      <w:r w:rsidRPr="00CA2CC1">
        <w:rPr>
          <w:rFonts w:cs="Calibri"/>
          <w:vertAlign w:val="superscript"/>
        </w:rPr>
        <w:endnoteReference w:id="34"/>
      </w:r>
    </w:p>
    <w:p w14:paraId="08E02615" w14:textId="6F5F750A" w:rsidR="00373ED9" w:rsidRPr="00CA2CC1" w:rsidRDefault="00373ED9" w:rsidP="0043303B">
      <w:pPr>
        <w:pStyle w:val="BodyText"/>
        <w:rPr>
          <w:rFonts w:cs="Calibri"/>
        </w:rPr>
      </w:pPr>
      <w:r w:rsidRPr="00CA2CC1">
        <w:rPr>
          <w:rFonts w:cs="Calibri"/>
        </w:rPr>
        <w:t>To cater for Victoria’s growing population, the government kept progressing its commitment to build 100 new schools by 2026. It also managed demand for schools using other solutions including using relocatable buildings, monitoring and managing school zones, buying land, and expanding and upgrading schools in established areas. The 2023</w:t>
      </w:r>
      <w:r w:rsidRPr="00CA2CC1">
        <w:rPr>
          <w:rFonts w:cs="Calibri"/>
          <w:color w:val="auto"/>
        </w:rPr>
        <w:t>–</w:t>
      </w:r>
      <w:r w:rsidRPr="00CA2CC1">
        <w:rPr>
          <w:rFonts w:cs="Calibri"/>
        </w:rPr>
        <w:t xml:space="preserve">24 Budget also provided </w:t>
      </w:r>
      <w:r w:rsidR="00BF5422" w:rsidRPr="00CA2CC1">
        <w:rPr>
          <w:rFonts w:cs="Calibri"/>
        </w:rPr>
        <w:t>$2.3 billion in funding over 10 years to maintain and renew roads</w:t>
      </w:r>
      <w:r w:rsidRPr="00CA2CC1">
        <w:rPr>
          <w:rFonts w:cs="Calibri"/>
        </w:rPr>
        <w:t>.</w:t>
      </w:r>
      <w:r w:rsidRPr="00CA2CC1">
        <w:rPr>
          <w:rFonts w:cs="Calibri"/>
          <w:vertAlign w:val="superscript"/>
        </w:rPr>
        <w:endnoteReference w:id="35"/>
      </w:r>
    </w:p>
    <w:p w14:paraId="1A219DAB" w14:textId="77777777" w:rsidR="00373ED9" w:rsidRPr="00CA2CC1" w:rsidRDefault="00373ED9" w:rsidP="0043303B">
      <w:pPr>
        <w:pStyle w:val="BodyText"/>
        <w:rPr>
          <w:rFonts w:cs="Calibri"/>
          <w:shd w:val="clear" w:color="auto" w:fill="FFFFFF"/>
        </w:rPr>
      </w:pPr>
      <w:r w:rsidRPr="00CA2CC1">
        <w:rPr>
          <w:rFonts w:cs="Calibri"/>
        </w:rPr>
        <w:t xml:space="preserve">The Victorian Government kept investing to maintain and expand fit for purpose Technical and Further Education (TAFE) infrastructure. It launched the </w:t>
      </w:r>
      <w:r w:rsidRPr="00CA2CC1">
        <w:rPr>
          <w:rFonts w:cs="Calibri"/>
          <w:i/>
        </w:rPr>
        <w:t xml:space="preserve">Victorian skills </w:t>
      </w:r>
      <w:r w:rsidRPr="00CA2CC1">
        <w:rPr>
          <w:rFonts w:cs="Calibri"/>
          <w:i/>
          <w:iCs/>
        </w:rPr>
        <w:t>plan 2022</w:t>
      </w:r>
      <w:r w:rsidRPr="00CA2CC1">
        <w:rPr>
          <w:rFonts w:cs="Calibri"/>
        </w:rPr>
        <w:t xml:space="preserve"> in August that year.</w:t>
      </w:r>
      <w:r w:rsidRPr="00CA2CC1">
        <w:rPr>
          <w:rFonts w:cs="Calibri"/>
          <w:vertAlign w:val="superscript"/>
        </w:rPr>
        <w:endnoteReference w:id="36"/>
      </w:r>
      <w:r w:rsidRPr="00CA2CC1">
        <w:rPr>
          <w:rFonts w:cs="Calibri"/>
        </w:rPr>
        <w:t xml:space="preserve"> The 2023</w:t>
      </w:r>
      <w:r w:rsidRPr="00CA2CC1">
        <w:rPr>
          <w:rFonts w:cs="Calibri"/>
          <w:color w:val="auto"/>
        </w:rPr>
        <w:t>–</w:t>
      </w:r>
      <w:r w:rsidRPr="00CA2CC1">
        <w:rPr>
          <w:rFonts w:cs="Calibri"/>
        </w:rPr>
        <w:t>24 Budget provided another $170 million for</w:t>
      </w:r>
      <w:r w:rsidRPr="00CA2CC1">
        <w:rPr>
          <w:rFonts w:cs="Calibri"/>
          <w:color w:val="000000"/>
        </w:rPr>
        <w:t xml:space="preserve"> the Building Better TAFE Fund.</w:t>
      </w:r>
      <w:r w:rsidRPr="00CA2CC1">
        <w:rPr>
          <w:rFonts w:cs="Calibri"/>
          <w:color w:val="000000"/>
          <w:vertAlign w:val="superscript"/>
        </w:rPr>
        <w:endnoteReference w:id="37"/>
      </w:r>
      <w:r w:rsidRPr="00CA2CC1">
        <w:rPr>
          <w:rFonts w:cs="Calibri"/>
          <w:color w:val="000000"/>
        </w:rPr>
        <w:t xml:space="preserve"> </w:t>
      </w:r>
      <w:r w:rsidRPr="00CA2CC1">
        <w:rPr>
          <w:rFonts w:cs="Calibri"/>
          <w:shd w:val="clear" w:color="auto" w:fill="FFFFFF"/>
        </w:rPr>
        <w:t>During 2022–23, the government also progressed previous investments to upgrade and expand several TAFE facilities.</w:t>
      </w:r>
      <w:r w:rsidRPr="00CA2CC1">
        <w:rPr>
          <w:rFonts w:cs="Calibri"/>
          <w:shd w:val="clear" w:color="auto" w:fill="FFFFFF"/>
          <w:vertAlign w:val="superscript"/>
        </w:rPr>
        <w:endnoteReference w:id="38"/>
      </w:r>
      <w:r w:rsidRPr="00CA2CC1">
        <w:rPr>
          <w:rFonts w:cs="Calibri"/>
          <w:shd w:val="clear" w:color="auto" w:fill="FFFFFF"/>
          <w:vertAlign w:val="superscript"/>
        </w:rPr>
        <w:t xml:space="preserve"> </w:t>
      </w:r>
    </w:p>
    <w:p w14:paraId="16AA58C7" w14:textId="74D0A8C2" w:rsidR="00373ED9" w:rsidRPr="00CA2CC1" w:rsidRDefault="00373ED9" w:rsidP="0043303B">
      <w:pPr>
        <w:pStyle w:val="BodyText"/>
        <w:rPr>
          <w:rFonts w:cs="Calibri"/>
        </w:rPr>
      </w:pPr>
      <w:r w:rsidRPr="00CA2CC1">
        <w:rPr>
          <w:rFonts w:cs="Calibri"/>
        </w:rPr>
        <w:t xml:space="preserve">The government is building many major infrastructure projects to increase the capacity of the transport network. Many commenced prior to 2022–23 and are still going. </w:t>
      </w:r>
      <w:r w:rsidRPr="00CA2CC1">
        <w:rPr>
          <w:rFonts w:cs="Calibri"/>
          <w:i/>
          <w:iCs/>
        </w:rPr>
        <w:t>Victoria’s infrastructure strategy 2021–51</w:t>
      </w:r>
      <w:r w:rsidRPr="00CA2CC1">
        <w:rPr>
          <w:rFonts w:cs="Calibri"/>
        </w:rPr>
        <w:t xml:space="preserve"> also recommended delivering long-term funding certainty for regional road maintenance and upgrades.</w:t>
      </w:r>
      <w:r w:rsidRPr="00CA2CC1">
        <w:rPr>
          <w:rStyle w:val="EndnoteReference"/>
          <w:rFonts w:cs="Calibri"/>
          <w:color w:val="000000"/>
        </w:rPr>
        <w:endnoteReference w:id="39"/>
      </w:r>
      <w:r w:rsidRPr="00CA2CC1">
        <w:rPr>
          <w:rFonts w:cs="Calibri"/>
        </w:rPr>
        <w:t xml:space="preserve"> The 2023–24 Budget provided funding over 10 years to maintain and renew roads.</w:t>
      </w:r>
      <w:r w:rsidR="00E62D66" w:rsidRPr="00CA2CC1">
        <w:rPr>
          <w:rStyle w:val="EndnoteReference"/>
          <w:rFonts w:cs="Calibri"/>
        </w:rPr>
        <w:endnoteReference w:id="40"/>
      </w:r>
    </w:p>
    <w:p w14:paraId="201C91DA" w14:textId="66815AFF" w:rsidR="00373ED9" w:rsidRPr="00CA2CC1" w:rsidRDefault="00373ED9" w:rsidP="0043303B">
      <w:pPr>
        <w:pStyle w:val="BodyText"/>
        <w:rPr>
          <w:rFonts w:cs="Calibri"/>
        </w:rPr>
      </w:pPr>
      <w:r w:rsidRPr="00CA2CC1">
        <w:rPr>
          <w:rFonts w:cs="Calibri"/>
        </w:rPr>
        <w:t>The Victorian Government’s Level Crossing Removal Project aims to help reduce congestion and make it easier for people to travel in Melbourne.</w:t>
      </w:r>
      <w:r w:rsidRPr="00CA2CC1">
        <w:rPr>
          <w:rStyle w:val="EndnoteReference"/>
          <w:rFonts w:cs="Calibri"/>
        </w:rPr>
        <w:endnoteReference w:id="41"/>
      </w:r>
      <w:r w:rsidRPr="00CA2CC1">
        <w:rPr>
          <w:rFonts w:cs="Calibri"/>
        </w:rPr>
        <w:t xml:space="preserve"> </w:t>
      </w:r>
      <w:r w:rsidR="0080406C" w:rsidRPr="00CA2CC1">
        <w:rPr>
          <w:rFonts w:eastAsiaTheme="minorHAnsi" w:cs="Calibri"/>
          <w:color w:val="000000"/>
          <w:szCs w:val="22"/>
          <w:lang w:val="en-GB"/>
        </w:rPr>
        <w:t>The government announced $6.5 billion to remove another 25 level crossings</w:t>
      </w:r>
      <w:r w:rsidRPr="00CA2CC1">
        <w:rPr>
          <w:rFonts w:cs="Calibri"/>
        </w:rPr>
        <w:t>.</w:t>
      </w:r>
      <w:r w:rsidRPr="00CA2CC1">
        <w:rPr>
          <w:rStyle w:val="EndnoteReference"/>
          <w:rFonts w:cs="Calibri"/>
        </w:rPr>
        <w:endnoteReference w:id="42"/>
      </w:r>
      <w:r w:rsidRPr="00CA2CC1">
        <w:rPr>
          <w:rFonts w:cs="Calibri"/>
        </w:rPr>
        <w:t xml:space="preserve"> Since 2015, level crossing removals have also created 56 kilometres of walking and cycling paths,</w:t>
      </w:r>
      <w:r w:rsidRPr="00CA2CC1">
        <w:rPr>
          <w:rStyle w:val="EndnoteReference"/>
          <w:rFonts w:cs="Calibri"/>
        </w:rPr>
        <w:endnoteReference w:id="43"/>
      </w:r>
      <w:r w:rsidRPr="00CA2CC1">
        <w:rPr>
          <w:rFonts w:cs="Calibri"/>
        </w:rPr>
        <w:t xml:space="preserve"> promoting greater use of active transport. </w:t>
      </w:r>
    </w:p>
    <w:p w14:paraId="03141D95" w14:textId="77777777" w:rsidR="00373ED9" w:rsidRPr="00CA2CC1" w:rsidRDefault="00373ED9" w:rsidP="0043303B">
      <w:pPr>
        <w:pStyle w:val="BodyText"/>
        <w:rPr>
          <w:rFonts w:cs="Calibri"/>
        </w:rPr>
      </w:pPr>
      <w:r w:rsidRPr="00CA2CC1">
        <w:rPr>
          <w:rFonts w:cs="Calibri"/>
        </w:rPr>
        <w:t>The government also invested in regional Victoria’s transport services. In March 2023, it capped the cost of a regional daily ticket at the same price as a metropolitan daily fare.</w:t>
      </w:r>
      <w:r w:rsidRPr="00CA2CC1">
        <w:rPr>
          <w:rStyle w:val="EndnoteReference"/>
          <w:rFonts w:cs="Calibri"/>
        </w:rPr>
        <w:endnoteReference w:id="44"/>
      </w:r>
      <w:r w:rsidRPr="00CA2CC1">
        <w:rPr>
          <w:rFonts w:cs="Calibri"/>
        </w:rPr>
        <w:t xml:space="preserve"> It also funded new VLocity trains</w:t>
      </w:r>
      <w:r w:rsidRPr="00CA2CC1">
        <w:rPr>
          <w:rStyle w:val="EndnoteReference"/>
          <w:rFonts w:cs="Calibri"/>
        </w:rPr>
        <w:endnoteReference w:id="45"/>
      </w:r>
      <w:r w:rsidRPr="00CA2CC1">
        <w:rPr>
          <w:rFonts w:cs="Calibri"/>
        </w:rPr>
        <w:t xml:space="preserve"> and timetabled more trains in regional Victoria.</w:t>
      </w:r>
      <w:r w:rsidRPr="00CA2CC1">
        <w:rPr>
          <w:rStyle w:val="EndnoteReference"/>
          <w:rFonts w:cs="Calibri"/>
        </w:rPr>
        <w:endnoteReference w:id="46"/>
      </w:r>
      <w:r w:rsidRPr="00CA2CC1">
        <w:rPr>
          <w:rFonts w:cs="Calibri"/>
        </w:rPr>
        <w:t xml:space="preserve"> It also progressed technology initiatives to improve transport services. The government signed a new public transport ticketing contract in May 2023. The new contract will improve the Myki ticketing system so Victorians can tap on and tap off with a smartphone, smartwatch, credit, or debit card.</w:t>
      </w:r>
      <w:r w:rsidRPr="00CA2CC1">
        <w:rPr>
          <w:rStyle w:val="EndnoteReference"/>
          <w:rFonts w:cs="Calibri"/>
        </w:rPr>
        <w:endnoteReference w:id="47"/>
      </w:r>
      <w:r w:rsidRPr="00CA2CC1">
        <w:rPr>
          <w:rFonts w:cs="Calibri"/>
        </w:rPr>
        <w:t xml:space="preserve"> The new ticketing system might offer new opportunities to implement the fare changes recommended in </w:t>
      </w:r>
      <w:r w:rsidRPr="00CA2CC1">
        <w:rPr>
          <w:rFonts w:cs="Calibri"/>
          <w:i/>
          <w:iCs/>
        </w:rPr>
        <w:t>Victoria’s infrastructure strategy 2021–51.</w:t>
      </w:r>
      <w:r w:rsidRPr="00CA2CC1">
        <w:rPr>
          <w:rFonts w:cs="Calibri"/>
        </w:rPr>
        <w:t xml:space="preserve"> It</w:t>
      </w:r>
      <w:r w:rsidRPr="00CA2CC1">
        <w:rPr>
          <w:rFonts w:cs="Calibri"/>
          <w:color w:val="000000"/>
        </w:rPr>
        <w:t xml:space="preserve"> </w:t>
      </w:r>
      <w:r w:rsidRPr="00CA2CC1">
        <w:rPr>
          <w:rFonts w:cs="Calibri"/>
        </w:rPr>
        <w:t>recommended the Victorian Government reduce bus and tram fares, and make off-peak fares cheaper to encourage people to use public transport more often, especially in places and at times with spare capacity.</w:t>
      </w:r>
      <w:r w:rsidRPr="00CA2CC1">
        <w:rPr>
          <w:rStyle w:val="EndnoteReference"/>
          <w:rFonts w:cs="Calibri"/>
        </w:rPr>
        <w:endnoteReference w:id="48"/>
      </w:r>
    </w:p>
    <w:p w14:paraId="35BF9840" w14:textId="77777777" w:rsidR="00373ED9" w:rsidRPr="00CA2CC1" w:rsidRDefault="00373ED9" w:rsidP="0043303B">
      <w:pPr>
        <w:pStyle w:val="BodyText"/>
        <w:rPr>
          <w:rFonts w:cs="Calibri"/>
          <w:highlight w:val="yellow"/>
        </w:rPr>
      </w:pPr>
      <w:r w:rsidRPr="00CA2CC1">
        <w:rPr>
          <w:rFonts w:cs="Calibri"/>
        </w:rPr>
        <w:t xml:space="preserve">In 2022–23, the Victorian Government released the </w:t>
      </w:r>
      <w:r w:rsidRPr="00CA2CC1">
        <w:rPr>
          <w:rFonts w:cs="Calibri"/>
          <w:i/>
          <w:iCs/>
        </w:rPr>
        <w:t>Central and Gippsland Region Sustainable Water Strategy</w:t>
      </w:r>
      <w:r w:rsidRPr="00CA2CC1">
        <w:rPr>
          <w:rFonts w:cs="Calibri"/>
        </w:rPr>
        <w:t>.</w:t>
      </w:r>
      <w:r w:rsidRPr="00CA2CC1">
        <w:rPr>
          <w:rStyle w:val="EndnoteReference"/>
          <w:rFonts w:cs="Calibri"/>
        </w:rPr>
        <w:endnoteReference w:id="49"/>
      </w:r>
      <w:r w:rsidRPr="00CA2CC1">
        <w:rPr>
          <w:rFonts w:cs="Calibri"/>
        </w:rPr>
        <w:t xml:space="preserve"> The strategy sets policy directions and outlines actions for securing the region’s long-term water supplies to protect the jobs, farms, ecosystems, communities, and support Traditional Owners that rely on them.</w:t>
      </w:r>
      <w:r w:rsidRPr="00CA2CC1">
        <w:rPr>
          <w:rStyle w:val="EndnoteReference"/>
          <w:rFonts w:cs="Calibri"/>
        </w:rPr>
        <w:endnoteReference w:id="50"/>
      </w:r>
      <w:r w:rsidRPr="00CA2CC1">
        <w:rPr>
          <w:rFonts w:cs="Calibri"/>
        </w:rPr>
        <w:t xml:space="preserve"> The strategy will guide future infrastructure investments and includes specific actions to investigate desalination, large-scale recycled water, irrigation development and improving waterway health.</w:t>
      </w:r>
      <w:r w:rsidRPr="00CA2CC1">
        <w:rPr>
          <w:rStyle w:val="EndnoteReference"/>
          <w:rFonts w:cs="Calibri"/>
        </w:rPr>
        <w:endnoteReference w:id="51"/>
      </w:r>
      <w:r w:rsidRPr="00CA2CC1">
        <w:rPr>
          <w:rFonts w:cs="Calibri"/>
        </w:rPr>
        <w:t xml:space="preserve"> It also released </w:t>
      </w:r>
      <w:r w:rsidRPr="00CA2CC1">
        <w:rPr>
          <w:rFonts w:cs="Calibri"/>
          <w:i/>
          <w:iCs/>
        </w:rPr>
        <w:t>Experience Victoria 2033</w:t>
      </w:r>
      <w:r w:rsidRPr="00CA2CC1">
        <w:rPr>
          <w:rFonts w:cs="Calibri"/>
        </w:rPr>
        <w:t>, a 10-year strategic plan to grow Victoria’s tourism industry and create jobs.</w:t>
      </w:r>
      <w:r w:rsidRPr="00CA2CC1">
        <w:rPr>
          <w:rStyle w:val="EndnoteReference"/>
          <w:rFonts w:cs="Calibri"/>
        </w:rPr>
        <w:endnoteReference w:id="52"/>
      </w:r>
      <w:r w:rsidRPr="00CA2CC1">
        <w:rPr>
          <w:rFonts w:cs="Calibri"/>
        </w:rPr>
        <w:t xml:space="preserve"> It focuses on 5 product priorities for future investment and infrastructure development.</w:t>
      </w:r>
      <w:r w:rsidRPr="00CA2CC1">
        <w:rPr>
          <w:rStyle w:val="EndnoteReference"/>
          <w:rFonts w:cs="Calibri"/>
        </w:rPr>
        <w:endnoteReference w:id="53"/>
      </w:r>
      <w:r w:rsidRPr="00CA2CC1">
        <w:rPr>
          <w:rFonts w:cs="Calibri"/>
        </w:rPr>
        <w:t xml:space="preserve">  </w:t>
      </w:r>
    </w:p>
    <w:p w14:paraId="12408ECB" w14:textId="77777777" w:rsidR="00373ED9" w:rsidRPr="00CA2CC1" w:rsidRDefault="00373ED9" w:rsidP="0043303B">
      <w:pPr>
        <w:pStyle w:val="BodyText"/>
        <w:rPr>
          <w:rFonts w:cs="Calibri"/>
        </w:rPr>
      </w:pPr>
      <w:r w:rsidRPr="00CA2CC1">
        <w:rPr>
          <w:rFonts w:cs="Calibri"/>
        </w:rPr>
        <w:t xml:space="preserve">The Victorian Government’s efforts to deliver self-determination for Victoria’s First Nations peoples’ are outlined in </w:t>
      </w:r>
      <w:r w:rsidRPr="00CA2CC1">
        <w:rPr>
          <w:rFonts w:cs="Calibri"/>
          <w:i/>
          <w:iCs/>
        </w:rPr>
        <w:t>The Victorian closing the gap implementation plan 2021–2023</w:t>
      </w:r>
      <w:r w:rsidRPr="00CA2CC1">
        <w:rPr>
          <w:rFonts w:cs="Calibri"/>
        </w:rPr>
        <w:t>. The plan outlines actions the government will take to achieve the objective of the national agreement.</w:t>
      </w:r>
      <w:r w:rsidRPr="00CA2CC1">
        <w:rPr>
          <w:rStyle w:val="EndnoteReference"/>
          <w:rFonts w:cs="Calibri"/>
        </w:rPr>
        <w:endnoteReference w:id="54"/>
      </w:r>
      <w:r w:rsidRPr="00CA2CC1">
        <w:rPr>
          <w:rFonts w:cs="Calibri"/>
        </w:rPr>
        <w:t xml:space="preserve">  In 2022</w:t>
      </w:r>
      <w:r w:rsidRPr="00CA2CC1">
        <w:rPr>
          <w:rFonts w:cs="Calibri"/>
          <w:i/>
          <w:iCs/>
        </w:rPr>
        <w:t>–</w:t>
      </w:r>
      <w:r w:rsidRPr="00CA2CC1">
        <w:rPr>
          <w:rFonts w:cs="Calibri"/>
        </w:rPr>
        <w:t xml:space="preserve">23, the government released </w:t>
      </w:r>
      <w:r w:rsidRPr="00CA2CC1">
        <w:rPr>
          <w:rFonts w:cs="Calibri"/>
          <w:i/>
          <w:iCs/>
        </w:rPr>
        <w:t>Water is life: Traditional Owner access to water roadmap</w:t>
      </w:r>
      <w:r w:rsidRPr="00CA2CC1">
        <w:rPr>
          <w:rFonts w:cs="Calibri"/>
        </w:rPr>
        <w:t>.</w:t>
      </w:r>
      <w:r w:rsidRPr="00CA2CC1">
        <w:rPr>
          <w:rStyle w:val="EndnoteReference"/>
          <w:rFonts w:cs="Calibri"/>
        </w:rPr>
        <w:endnoteReference w:id="55"/>
      </w:r>
      <w:r w:rsidRPr="00CA2CC1">
        <w:rPr>
          <w:rFonts w:cs="Calibri"/>
        </w:rPr>
        <w:t xml:space="preserve"> It</w:t>
      </w:r>
      <w:r w:rsidRPr="00CA2CC1">
        <w:rPr>
          <w:rFonts w:cs="Calibri"/>
          <w:i/>
          <w:iCs/>
        </w:rPr>
        <w:t xml:space="preserve"> </w:t>
      </w:r>
      <w:r w:rsidRPr="00CA2CC1">
        <w:rPr>
          <w:rFonts w:cs="Calibri"/>
        </w:rPr>
        <w:t xml:space="preserve">takes a ‘restorative justice’ approach to Traditional Owner water rights. </w:t>
      </w:r>
    </w:p>
    <w:p w14:paraId="51B2CD6C" w14:textId="77777777" w:rsidR="00373ED9" w:rsidRPr="00CA2CC1" w:rsidRDefault="00373ED9" w:rsidP="0043303B">
      <w:pPr>
        <w:pStyle w:val="BodyText"/>
        <w:rPr>
          <w:rFonts w:cs="Calibri"/>
        </w:rPr>
      </w:pPr>
      <w:r w:rsidRPr="00CA2CC1">
        <w:rPr>
          <w:rFonts w:cs="Calibri"/>
        </w:rPr>
        <w:t>The government also announced the expansion of the Aboriginal Private Rental Assistance Program</w:t>
      </w:r>
      <w:r w:rsidRPr="00CA2CC1">
        <w:rPr>
          <w:rStyle w:val="EndnoteReference"/>
          <w:rFonts w:cs="Calibri"/>
        </w:rPr>
        <w:endnoteReference w:id="56"/>
      </w:r>
      <w:r w:rsidRPr="00CA2CC1">
        <w:rPr>
          <w:rFonts w:cs="Calibri"/>
        </w:rPr>
        <w:t xml:space="preserve"> and more funding for the Aboriginal Community Infrastructure Fund.</w:t>
      </w:r>
      <w:r w:rsidRPr="00CA2CC1">
        <w:rPr>
          <w:rStyle w:val="EndnoteReference"/>
          <w:rFonts w:cs="Calibri"/>
        </w:rPr>
        <w:endnoteReference w:id="57"/>
      </w:r>
      <w:r w:rsidRPr="00CA2CC1">
        <w:rPr>
          <w:rFonts w:cs="Calibri"/>
        </w:rPr>
        <w:t xml:space="preserve"> These initiatives aim to address Aboriginal disadvantage and respond to the current and future infrastructure needs of Victoria’s First Nations people. The next step can be to develop a plan, co-designed with Aboriginal Victorians, to guide investment in Aboriginal community-controlled infrastructure, as recommended in </w:t>
      </w:r>
      <w:r w:rsidRPr="00CA2CC1">
        <w:rPr>
          <w:rFonts w:cs="Calibri"/>
          <w:i/>
          <w:iCs/>
        </w:rPr>
        <w:t>Victoria’s infrastructure strategy 2021–2051</w:t>
      </w:r>
      <w:r w:rsidRPr="00CA2CC1">
        <w:rPr>
          <w:rFonts w:cs="Calibri"/>
        </w:rPr>
        <w:t>.</w:t>
      </w:r>
      <w:r w:rsidRPr="00CA2CC1">
        <w:rPr>
          <w:rStyle w:val="EndnoteReference"/>
          <w:rFonts w:cs="Calibri"/>
        </w:rPr>
        <w:endnoteReference w:id="58"/>
      </w:r>
      <w:r w:rsidRPr="00CA2CC1">
        <w:rPr>
          <w:rFonts w:cs="Calibri"/>
        </w:rPr>
        <w:t xml:space="preserve"> </w:t>
      </w:r>
    </w:p>
    <w:p w14:paraId="537F939B" w14:textId="77777777" w:rsidR="00373ED9" w:rsidRPr="00CA2CC1" w:rsidRDefault="00373ED9" w:rsidP="0043303B">
      <w:pPr>
        <w:pStyle w:val="BodyText"/>
        <w:rPr>
          <w:rFonts w:cs="Calibri"/>
        </w:rPr>
      </w:pPr>
      <w:r w:rsidRPr="00CA2CC1">
        <w:rPr>
          <w:rFonts w:cs="Calibri"/>
        </w:rPr>
        <w:lastRenderedPageBreak/>
        <w:t xml:space="preserve">More can also be done to progress the government’s housing priorities. In </w:t>
      </w:r>
      <w:r w:rsidRPr="00CA2CC1">
        <w:rPr>
          <w:rFonts w:cs="Calibri"/>
          <w:i/>
          <w:iCs/>
        </w:rPr>
        <w:t xml:space="preserve">Victoria’s infrastructure strategy 2021–2051 </w:t>
      </w:r>
      <w:r w:rsidRPr="00CA2CC1">
        <w:rPr>
          <w:rFonts w:cs="Calibri"/>
        </w:rPr>
        <w:t>we recommended rapidly renewing old public housing</w:t>
      </w:r>
      <w:r w:rsidRPr="00CA2CC1">
        <w:rPr>
          <w:rStyle w:val="EndnoteReference"/>
          <w:rFonts w:cs="Calibri"/>
        </w:rPr>
        <w:endnoteReference w:id="59"/>
      </w:r>
      <w:r w:rsidRPr="00CA2CC1">
        <w:rPr>
          <w:rFonts w:cs="Calibri"/>
        </w:rPr>
        <w:t xml:space="preserve"> and using value-capture mechanisms to deliver very low income housing.</w:t>
      </w:r>
      <w:r w:rsidRPr="00CA2CC1">
        <w:rPr>
          <w:rStyle w:val="EndnoteReference"/>
          <w:rFonts w:cs="Calibri"/>
        </w:rPr>
        <w:endnoteReference w:id="60"/>
      </w:r>
      <w:r w:rsidRPr="00CA2CC1">
        <w:rPr>
          <w:rFonts w:cs="Calibri"/>
        </w:rPr>
        <w:t xml:space="preserve"> To meet the needs of Victoria’s growing population we also recommended supporting more homes in priority established areas.</w:t>
      </w:r>
      <w:r w:rsidRPr="00CA2CC1">
        <w:rPr>
          <w:rStyle w:val="EndnoteReference"/>
          <w:rFonts w:cs="Calibri"/>
        </w:rPr>
        <w:endnoteReference w:id="61"/>
      </w:r>
      <w:r w:rsidRPr="00CA2CC1">
        <w:rPr>
          <w:rFonts w:cs="Calibri"/>
        </w:rPr>
        <w:t xml:space="preserve"> </w:t>
      </w:r>
      <w:r w:rsidRPr="00CA2CC1">
        <w:rPr>
          <w:rFonts w:cs="Calibri"/>
          <w:i/>
          <w:iCs/>
        </w:rPr>
        <w:t>Our home choices</w:t>
      </w:r>
      <w:r w:rsidRPr="00CA2CC1">
        <w:rPr>
          <w:rFonts w:cs="Calibri"/>
        </w:rPr>
        <w:t xml:space="preserve"> showed that Melbourne’s existing suburbs do not offer a choice of homes at a price that many households can afford. We found that 1 in 5 households would trade a detached home in a new suburb for a townhouse or apartment for the same price closer to city centres.</w:t>
      </w:r>
      <w:r w:rsidRPr="00CA2CC1">
        <w:rPr>
          <w:rStyle w:val="EndnoteReference"/>
          <w:rFonts w:cs="Calibri"/>
        </w:rPr>
        <w:endnoteReference w:id="62"/>
      </w:r>
      <w:r w:rsidRPr="00CA2CC1">
        <w:rPr>
          <w:rFonts w:cs="Calibri"/>
        </w:rPr>
        <w:t xml:space="preserve"> We outlined several reforms for the Victorian Government to consider to create more appropriate housing choices in established suburbs. These included changes to existing financial incentives that distort housing choices, planning reforms and reforming infrastructure contribution schemes to better reflect associated infrastructure costs.</w:t>
      </w:r>
      <w:r w:rsidRPr="00CA2CC1">
        <w:rPr>
          <w:rStyle w:val="EndnoteReference"/>
          <w:rFonts w:cs="Calibri"/>
        </w:rPr>
        <w:endnoteReference w:id="63"/>
      </w:r>
    </w:p>
    <w:p w14:paraId="543E3C59" w14:textId="77777777" w:rsidR="006D551C" w:rsidRDefault="006D551C" w:rsidP="006D551C">
      <w:pPr>
        <w:pStyle w:val="BodyText"/>
      </w:pPr>
      <w:bookmarkStart w:id="52" w:name="_Toc109662727"/>
    </w:p>
    <w:p w14:paraId="3F837F35" w14:textId="4C437DCF" w:rsidR="00373ED9" w:rsidRPr="00CA2CC1" w:rsidRDefault="00373ED9" w:rsidP="0043303B">
      <w:pPr>
        <w:pStyle w:val="Heading1"/>
        <w:rPr>
          <w:rFonts w:cs="Calibri"/>
        </w:rPr>
      </w:pPr>
      <w:r w:rsidRPr="00CA2CC1">
        <w:rPr>
          <w:rFonts w:cs="Calibri"/>
        </w:rPr>
        <w:t>Transport</w:t>
      </w:r>
      <w:bookmarkEnd w:id="52"/>
    </w:p>
    <w:p w14:paraId="32B3ED6B" w14:textId="77777777" w:rsidR="00373ED9" w:rsidRPr="00CA2CC1" w:rsidRDefault="00373ED9" w:rsidP="0043303B">
      <w:pPr>
        <w:pStyle w:val="IVIntrotext"/>
        <w:tabs>
          <w:tab w:val="left" w:pos="8931"/>
        </w:tabs>
        <w:spacing w:line="240" w:lineRule="auto"/>
        <w:rPr>
          <w:rFonts w:cs="Calibri"/>
          <w:color w:val="auto"/>
        </w:rPr>
      </w:pPr>
      <w:r w:rsidRPr="00CA2CC1">
        <w:rPr>
          <w:rFonts w:cs="Calibri"/>
          <w:color w:val="auto"/>
        </w:rPr>
        <w:t>Victoria’s transport infrastructure includes an interconnected system of roads, rail, public transport, private transport, pedestrian and cycling paths, and ports. The transport network facilitates moving people and goods to their destinations. It enables Victorians to access jobs, services, recreation, and social activities. It also ensures goods can be transported to markets.</w:t>
      </w:r>
    </w:p>
    <w:p w14:paraId="3BA8018E" w14:textId="77777777" w:rsidR="00373ED9" w:rsidRPr="00CA2CC1" w:rsidRDefault="00373ED9" w:rsidP="0043303B">
      <w:pPr>
        <w:pStyle w:val="IVBodyText"/>
        <w:spacing w:line="240" w:lineRule="auto"/>
        <w:rPr>
          <w:rFonts w:ascii="Calibri" w:hAnsi="Calibri" w:cs="Calibri"/>
          <w:color w:val="auto"/>
        </w:rPr>
      </w:pPr>
      <w:r w:rsidRPr="00CA2CC1">
        <w:rPr>
          <w:rFonts w:ascii="Calibri" w:hAnsi="Calibri" w:cs="Calibri"/>
          <w:color w:val="auto"/>
        </w:rPr>
        <w:t xml:space="preserve">The </w:t>
      </w:r>
      <w:r w:rsidRPr="00CA2CC1">
        <w:rPr>
          <w:rFonts w:ascii="Calibri" w:hAnsi="Calibri" w:cs="Calibri"/>
          <w:i/>
          <w:iCs/>
          <w:color w:val="auto"/>
        </w:rPr>
        <w:t>Victorian infrastructure plan 2021</w:t>
      </w:r>
      <w:r w:rsidRPr="00CA2CC1">
        <w:rPr>
          <w:rFonts w:ascii="Calibri" w:hAnsi="Calibri" w:cs="Calibri"/>
          <w:color w:val="auto"/>
        </w:rPr>
        <w:t xml:space="preserve"> outlines 4 transport priorities which cover existing and new state-wide and community-level infrastructure, and smart technology that can shape new travelling patterns. The priorities largely complement the </w:t>
      </w:r>
      <w:r w:rsidRPr="00CA2CC1">
        <w:rPr>
          <w:rFonts w:ascii="Calibri" w:hAnsi="Calibri" w:cs="Calibri"/>
          <w:i/>
          <w:iCs/>
          <w:color w:val="auto"/>
        </w:rPr>
        <w:t>Department of Transport strategic plan 2022–26</w:t>
      </w:r>
      <w:r w:rsidRPr="00CA2CC1">
        <w:rPr>
          <w:rFonts w:ascii="Calibri" w:hAnsi="Calibri" w:cs="Calibri"/>
          <w:color w:val="auto"/>
        </w:rPr>
        <w:t>.</w:t>
      </w:r>
      <w:r w:rsidRPr="00CA2CC1">
        <w:rPr>
          <w:rStyle w:val="EndnoteReference"/>
          <w:rFonts w:ascii="Calibri" w:eastAsiaTheme="majorEastAsia" w:hAnsi="Calibri" w:cs="Calibri"/>
          <w:i/>
          <w:color w:val="auto"/>
        </w:rPr>
        <w:endnoteReference w:id="64"/>
      </w:r>
      <w:r w:rsidRPr="00CA2CC1">
        <w:rPr>
          <w:rFonts w:ascii="Calibri" w:hAnsi="Calibri" w:cs="Calibri"/>
          <w:color w:val="auto"/>
        </w:rPr>
        <w:t xml:space="preserve"> The transport priorities are:</w:t>
      </w:r>
    </w:p>
    <w:p w14:paraId="37507CB4" w14:textId="77777777" w:rsidR="00373ED9" w:rsidRPr="00CA2CC1" w:rsidRDefault="00373ED9" w:rsidP="0043303B">
      <w:pPr>
        <w:pStyle w:val="BodyText"/>
        <w:numPr>
          <w:ilvl w:val="0"/>
          <w:numId w:val="58"/>
        </w:numPr>
        <w:rPr>
          <w:rFonts w:cs="Calibri"/>
        </w:rPr>
      </w:pPr>
      <w:r w:rsidRPr="00CA2CC1">
        <w:rPr>
          <w:rFonts w:cs="Calibri"/>
        </w:rPr>
        <w:t>making the most of existing assets</w:t>
      </w:r>
    </w:p>
    <w:p w14:paraId="25CCD03F" w14:textId="77777777" w:rsidR="00373ED9" w:rsidRPr="00CA2CC1" w:rsidRDefault="00373ED9" w:rsidP="0043303B">
      <w:pPr>
        <w:pStyle w:val="BodyText"/>
        <w:numPr>
          <w:ilvl w:val="0"/>
          <w:numId w:val="58"/>
        </w:numPr>
        <w:rPr>
          <w:rFonts w:cs="Calibri"/>
        </w:rPr>
      </w:pPr>
      <w:r w:rsidRPr="00CA2CC1">
        <w:rPr>
          <w:rFonts w:cs="Calibri"/>
        </w:rPr>
        <w:t>building for the future</w:t>
      </w:r>
    </w:p>
    <w:p w14:paraId="3D5DC5F9" w14:textId="77777777" w:rsidR="00373ED9" w:rsidRPr="00CA2CC1" w:rsidRDefault="00373ED9" w:rsidP="0043303B">
      <w:pPr>
        <w:pStyle w:val="BodyText"/>
        <w:numPr>
          <w:ilvl w:val="0"/>
          <w:numId w:val="58"/>
        </w:numPr>
        <w:rPr>
          <w:rFonts w:cs="Calibri"/>
        </w:rPr>
      </w:pPr>
      <w:r w:rsidRPr="00CA2CC1">
        <w:rPr>
          <w:rFonts w:cs="Calibri"/>
        </w:rPr>
        <w:t>connecting communities</w:t>
      </w:r>
    </w:p>
    <w:p w14:paraId="5180A711" w14:textId="77777777" w:rsidR="00373ED9" w:rsidRPr="00CA2CC1" w:rsidRDefault="00373ED9" w:rsidP="0043303B">
      <w:pPr>
        <w:pStyle w:val="BodyText"/>
        <w:numPr>
          <w:ilvl w:val="0"/>
          <w:numId w:val="58"/>
        </w:numPr>
        <w:spacing w:after="230"/>
        <w:ind w:left="357" w:hanging="357"/>
        <w:rPr>
          <w:rFonts w:cs="Calibri"/>
        </w:rPr>
      </w:pPr>
      <w:r w:rsidRPr="00CA2CC1">
        <w:rPr>
          <w:rFonts w:cs="Calibri"/>
        </w:rPr>
        <w:t>smarter transport solutions.</w:t>
      </w:r>
    </w:p>
    <w:p w14:paraId="6191CAC6" w14:textId="77777777" w:rsidR="002D0C5C" w:rsidRPr="00CA2CC1" w:rsidRDefault="00373ED9" w:rsidP="002D0C5C">
      <w:pPr>
        <w:spacing w:after="160"/>
        <w:rPr>
          <w:rFonts w:cs="Calibri"/>
        </w:rPr>
      </w:pPr>
      <w:r w:rsidRPr="00CA2CC1">
        <w:rPr>
          <w:rFonts w:cs="Calibri"/>
        </w:rPr>
        <w:t>Note: Some Victorian transport infrastructure projects involve co-investment with the Australian Government. On 1 May 2023, the Australian Government announced a review of its $120 billion Infrastructure Investment Program.</w:t>
      </w:r>
      <w:r w:rsidRPr="00CA2CC1">
        <w:rPr>
          <w:rStyle w:val="EndnoteReference"/>
          <w:rFonts w:cs="Calibri"/>
        </w:rPr>
        <w:endnoteReference w:id="65"/>
      </w:r>
      <w:r w:rsidRPr="00CA2CC1">
        <w:rPr>
          <w:rFonts w:cs="Calibri"/>
        </w:rPr>
        <w:t xml:space="preserve"> The review was due for completion by 31 July 2023.</w:t>
      </w:r>
      <w:r w:rsidRPr="00CA2CC1">
        <w:rPr>
          <w:rStyle w:val="EndnoteReference"/>
          <w:rFonts w:cs="Calibri"/>
        </w:rPr>
        <w:endnoteReference w:id="66"/>
      </w:r>
      <w:r w:rsidRPr="00CA2CC1">
        <w:rPr>
          <w:rFonts w:cs="Calibri"/>
        </w:rPr>
        <w:t xml:space="preserve"> The review’s advice might alter Victoria’s transport infrastructure pipeline. Our assessment is based on the Victorian Government’s progress in delivering its 5-year infrastructure plan as at 30 June 2023. We will assess effects of the Australian Government’s infrastructure review in our 2024 annual assessment.</w:t>
      </w:r>
      <w:bookmarkStart w:id="53" w:name="_Toc109662728"/>
    </w:p>
    <w:p w14:paraId="3F782545" w14:textId="77777777" w:rsidR="002D0C5C" w:rsidRPr="00CA2CC1" w:rsidRDefault="002D0C5C" w:rsidP="002D0C5C">
      <w:pPr>
        <w:spacing w:after="160"/>
        <w:rPr>
          <w:rFonts w:cs="Calibri"/>
        </w:rPr>
      </w:pPr>
    </w:p>
    <w:p w14:paraId="499F0911" w14:textId="311CF88E" w:rsidR="00373ED9" w:rsidRPr="00CA2CC1" w:rsidRDefault="00373ED9" w:rsidP="002D0C5C">
      <w:pPr>
        <w:pStyle w:val="Heading2"/>
        <w:rPr>
          <w:rFonts w:cs="Calibri"/>
        </w:rPr>
      </w:pPr>
      <w:r w:rsidRPr="00CA2CC1">
        <w:rPr>
          <w:rFonts w:cs="Calibri"/>
        </w:rPr>
        <w:t>Making the most of existing assets</w:t>
      </w:r>
      <w:bookmarkEnd w:id="53"/>
    </w:p>
    <w:p w14:paraId="752BAD56" w14:textId="77777777" w:rsidR="00373ED9" w:rsidRPr="00CA2CC1" w:rsidRDefault="00373ED9" w:rsidP="0043303B">
      <w:pPr>
        <w:pStyle w:val="Heading3"/>
        <w:rPr>
          <w:rFonts w:cs="Calibri"/>
        </w:rPr>
      </w:pPr>
      <w:r w:rsidRPr="00CA2CC1">
        <w:rPr>
          <w:rFonts w:cs="Calibri"/>
        </w:rPr>
        <w:t xml:space="preserve">Priority description from the </w:t>
      </w:r>
      <w:r w:rsidRPr="00CA2CC1">
        <w:rPr>
          <w:rFonts w:cs="Calibri"/>
          <w:i/>
          <w:iCs/>
        </w:rPr>
        <w:t>Victorian infrastructure plan 2021</w:t>
      </w:r>
    </w:p>
    <w:p w14:paraId="27A5A61E" w14:textId="77777777" w:rsidR="00373ED9" w:rsidRPr="00CA2CC1" w:rsidRDefault="00373ED9" w:rsidP="0043303B">
      <w:pPr>
        <w:pStyle w:val="IVBodyText"/>
        <w:spacing w:line="240" w:lineRule="auto"/>
        <w:rPr>
          <w:rFonts w:ascii="Calibri" w:hAnsi="Calibri" w:cs="Calibri"/>
          <w:color w:val="auto"/>
        </w:rPr>
      </w:pPr>
      <w:r w:rsidRPr="00CA2CC1">
        <w:rPr>
          <w:rFonts w:ascii="Calibri" w:hAnsi="Calibri" w:cs="Calibri"/>
          <w:color w:val="auto"/>
        </w:rPr>
        <w:t>Victoria’s transport network is extensive, covering every corner of the state. We’re making the most of this valuable asset by investing in maintenance and upgrades which increase its capacity, efficiency and longevity.</w:t>
      </w:r>
    </w:p>
    <w:p w14:paraId="18E299B4" w14:textId="77777777" w:rsidR="00373ED9" w:rsidRPr="00CA2CC1" w:rsidRDefault="00373ED9" w:rsidP="0043303B">
      <w:pPr>
        <w:pStyle w:val="Heading3"/>
        <w:rPr>
          <w:rFonts w:cs="Calibri"/>
        </w:rPr>
      </w:pPr>
      <w:r w:rsidRPr="00CA2CC1">
        <w:rPr>
          <w:rFonts w:cs="Calibri"/>
        </w:rPr>
        <w:t>Victorian Government progress in 2022–23</w:t>
      </w:r>
    </w:p>
    <w:p w14:paraId="482F48D6"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 xml:space="preserve">This priority focuses on maintaining and improving existing transport infrastructure. We considered existing infrastructure when assessing this priority, including suburban and regional roads, freeways, rail </w:t>
      </w:r>
      <w:r w:rsidRPr="00CA2CC1">
        <w:rPr>
          <w:rFonts w:ascii="Calibri" w:hAnsi="Calibri" w:cs="Calibri"/>
        </w:rPr>
        <w:lastRenderedPageBreak/>
        <w:t xml:space="preserve">and tram lines, public transport stations, interchanges and stops, cycling and walking infrastructure, and local ports. Making the most of these assets can increase their capacity, deliver faster travel and extend their use over time. Maintenance and upgrades can also reduce the need to build new infrastructure. </w:t>
      </w:r>
    </w:p>
    <w:p w14:paraId="590A074B"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While this priority includes increasing capacity as an aim, we focused primarily on assessing maintenance and upgrades that deliver efficiency and longevity objectives. We discuss increasing capacity in the Building for the future priority.</w:t>
      </w:r>
    </w:p>
    <w:p w14:paraId="70C6A202" w14:textId="7427E33E" w:rsidR="00373ED9" w:rsidRPr="00CA2CC1" w:rsidRDefault="00373ED9" w:rsidP="0043303B">
      <w:pPr>
        <w:pStyle w:val="IVBodyText"/>
        <w:spacing w:line="240" w:lineRule="auto"/>
        <w:rPr>
          <w:rFonts w:ascii="Calibri" w:hAnsi="Calibri" w:cs="Calibri"/>
        </w:rPr>
      </w:pPr>
      <w:r w:rsidRPr="00CA2CC1">
        <w:rPr>
          <w:rFonts w:ascii="Calibri" w:hAnsi="Calibri" w:cs="Calibri"/>
        </w:rPr>
        <w:t>Arterial road and bridge maintenance expenditure can indicate progress in asset maintenance. In 2021</w:t>
      </w:r>
      <w:r w:rsidRPr="00CA2CC1">
        <w:rPr>
          <w:rFonts w:ascii="Calibri" w:hAnsi="Calibri" w:cs="Calibri"/>
          <w:i/>
          <w:iCs/>
          <w:color w:val="auto"/>
        </w:rPr>
        <w:t>–</w:t>
      </w:r>
      <w:r w:rsidRPr="00CA2CC1">
        <w:rPr>
          <w:rFonts w:ascii="Calibri" w:hAnsi="Calibri" w:cs="Calibri"/>
        </w:rPr>
        <w:t>22, the Victorian Government spent $603 million on arterial road and bridge maintenance.</w:t>
      </w:r>
      <w:r w:rsidRPr="00CA2CC1">
        <w:rPr>
          <w:rStyle w:val="EndnoteReference"/>
          <w:rFonts w:ascii="Calibri" w:hAnsi="Calibri" w:cs="Calibri"/>
        </w:rPr>
        <w:endnoteReference w:id="67"/>
      </w:r>
      <w:r w:rsidRPr="00CA2CC1">
        <w:rPr>
          <w:rFonts w:ascii="Calibri" w:hAnsi="Calibri" w:cs="Calibri"/>
        </w:rPr>
        <w:t xml:space="preserve"> </w:t>
      </w:r>
      <w:r w:rsidRPr="00CA2CC1">
        <w:rPr>
          <w:rFonts w:ascii="Calibri" w:hAnsi="Calibri" w:cs="Calibri"/>
        </w:rPr>
        <w:fldChar w:fldCharType="begin"/>
      </w:r>
      <w:r w:rsidRPr="00CA2CC1">
        <w:rPr>
          <w:rFonts w:ascii="Calibri" w:hAnsi="Calibri" w:cs="Calibri"/>
        </w:rPr>
        <w:instrText xml:space="preserve"> REF _Ref143507666 \h </w:instrText>
      </w:r>
      <w:r w:rsidR="00CA2CC1">
        <w:rPr>
          <w:rFonts w:ascii="Calibri" w:hAnsi="Calibri" w:cs="Calibri"/>
        </w:rPr>
        <w:instrText xml:space="preserve"> \* MERGEFORMAT </w:instrText>
      </w:r>
      <w:r w:rsidRPr="00CA2CC1">
        <w:rPr>
          <w:rFonts w:ascii="Calibri" w:hAnsi="Calibri" w:cs="Calibri"/>
        </w:rPr>
      </w:r>
      <w:r w:rsidRPr="00CA2CC1">
        <w:rPr>
          <w:rFonts w:ascii="Calibri" w:hAnsi="Calibri" w:cs="Calibri"/>
        </w:rPr>
        <w:fldChar w:fldCharType="separate"/>
      </w:r>
      <w:r w:rsidRPr="00CA2CC1">
        <w:rPr>
          <w:rFonts w:ascii="Calibri" w:hAnsi="Calibri" w:cs="Calibri"/>
        </w:rPr>
        <w:t xml:space="preserve">Figure </w:t>
      </w:r>
      <w:r w:rsidRPr="00CA2CC1">
        <w:rPr>
          <w:rFonts w:ascii="Calibri" w:hAnsi="Calibri" w:cs="Calibri"/>
          <w:noProof/>
        </w:rPr>
        <w:t>1</w:t>
      </w:r>
      <w:r w:rsidRPr="00CA2CC1">
        <w:rPr>
          <w:rFonts w:ascii="Calibri" w:hAnsi="Calibri" w:cs="Calibri"/>
        </w:rPr>
        <w:fldChar w:fldCharType="end"/>
      </w:r>
      <w:r w:rsidRPr="00CA2CC1">
        <w:rPr>
          <w:rFonts w:ascii="Calibri" w:hAnsi="Calibri" w:cs="Calibri"/>
        </w:rPr>
        <w:t xml:space="preserve"> shows the expenditure on arterial road and bridge maintenance from 2014</w:t>
      </w:r>
      <w:r w:rsidRPr="00CA2CC1">
        <w:rPr>
          <w:rFonts w:ascii="Calibri" w:hAnsi="Calibri" w:cs="Calibri"/>
          <w:i/>
          <w:iCs/>
          <w:color w:val="auto"/>
        </w:rPr>
        <w:t>–</w:t>
      </w:r>
      <w:r w:rsidRPr="00CA2CC1">
        <w:rPr>
          <w:rFonts w:ascii="Calibri" w:hAnsi="Calibri" w:cs="Calibri"/>
        </w:rPr>
        <w:t>15 to 2021</w:t>
      </w:r>
      <w:r w:rsidRPr="00CA2CC1">
        <w:rPr>
          <w:rFonts w:ascii="Calibri" w:hAnsi="Calibri" w:cs="Calibri"/>
          <w:i/>
          <w:iCs/>
          <w:color w:val="auto"/>
        </w:rPr>
        <w:t>–</w:t>
      </w:r>
      <w:r w:rsidRPr="00CA2CC1">
        <w:rPr>
          <w:rFonts w:ascii="Calibri" w:hAnsi="Calibri" w:cs="Calibri"/>
        </w:rPr>
        <w:t>22.</w:t>
      </w:r>
      <w:r w:rsidRPr="00CA2CC1">
        <w:rPr>
          <w:rStyle w:val="EndnoteReference"/>
          <w:rFonts w:ascii="Calibri" w:hAnsi="Calibri" w:cs="Calibri"/>
        </w:rPr>
        <w:endnoteReference w:id="68"/>
      </w:r>
    </w:p>
    <w:p w14:paraId="0F4217CC" w14:textId="6EE1CB37" w:rsidR="00373ED9" w:rsidRDefault="00373ED9" w:rsidP="0043303B">
      <w:pPr>
        <w:pStyle w:val="Caption"/>
        <w:spacing w:line="240" w:lineRule="auto"/>
        <w:rPr>
          <w:rFonts w:ascii="Calibri" w:hAnsi="Calibri" w:cs="Calibri"/>
          <w:bCs/>
        </w:rPr>
      </w:pPr>
      <w:bookmarkStart w:id="54" w:name="_Ref143507666"/>
      <w:r w:rsidRPr="00CA2CC1">
        <w:rPr>
          <w:rFonts w:ascii="Calibri" w:hAnsi="Calibri" w:cs="Calibri"/>
        </w:rPr>
        <w:t xml:space="preserve">Figure </w:t>
      </w:r>
      <w:r w:rsidRPr="00CA2CC1">
        <w:rPr>
          <w:rFonts w:ascii="Calibri" w:hAnsi="Calibri" w:cs="Calibri"/>
        </w:rPr>
        <w:fldChar w:fldCharType="begin"/>
      </w:r>
      <w:r w:rsidRPr="00CA2CC1">
        <w:rPr>
          <w:rFonts w:ascii="Calibri" w:hAnsi="Calibri" w:cs="Calibri"/>
        </w:rPr>
        <w:instrText xml:space="preserve"> SEQ Figure \* ARABIC </w:instrText>
      </w:r>
      <w:r w:rsidRPr="00CA2CC1">
        <w:rPr>
          <w:rFonts w:ascii="Calibri" w:hAnsi="Calibri" w:cs="Calibri"/>
        </w:rPr>
        <w:fldChar w:fldCharType="separate"/>
      </w:r>
      <w:r w:rsidRPr="00CA2CC1">
        <w:rPr>
          <w:rFonts w:ascii="Calibri" w:hAnsi="Calibri" w:cs="Calibri"/>
          <w:noProof/>
        </w:rPr>
        <w:t>1</w:t>
      </w:r>
      <w:r w:rsidRPr="00CA2CC1">
        <w:rPr>
          <w:rFonts w:ascii="Calibri" w:hAnsi="Calibri" w:cs="Calibri"/>
          <w:noProof/>
        </w:rPr>
        <w:fldChar w:fldCharType="end"/>
      </w:r>
      <w:bookmarkEnd w:id="54"/>
      <w:r w:rsidRPr="00CA2CC1">
        <w:rPr>
          <w:rFonts w:ascii="Calibri" w:hAnsi="Calibri" w:cs="Calibri"/>
          <w:bCs/>
        </w:rPr>
        <w:t xml:space="preserve"> – </w:t>
      </w:r>
      <w:r w:rsidR="00873278" w:rsidRPr="00CA2CC1">
        <w:rPr>
          <w:rFonts w:ascii="Calibri" w:eastAsiaTheme="minorHAnsi" w:hAnsi="Calibri" w:cs="Calibri"/>
          <w:color w:val="000000"/>
          <w:lang w:val="en-GB"/>
        </w:rPr>
        <w:t xml:space="preserve">Victorian expenditure on arterial road and bridge </w:t>
      </w:r>
      <w:r w:rsidRPr="00CA2CC1">
        <w:rPr>
          <w:rFonts w:ascii="Calibri" w:hAnsi="Calibri" w:cs="Calibri"/>
          <w:bCs/>
        </w:rPr>
        <w:t>maintenance (constant 2021–22 prices)</w:t>
      </w:r>
    </w:p>
    <w:p w14:paraId="3D451B98" w14:textId="12AB0994" w:rsidR="009C65C9" w:rsidRPr="009C65C9" w:rsidRDefault="009C65C9" w:rsidP="009C65C9">
      <w:pPr>
        <w:rPr>
          <w:lang w:val="en-AU" w:eastAsia="en-AU"/>
        </w:rPr>
      </w:pPr>
      <w:r>
        <w:rPr>
          <w:noProof/>
          <w:lang w:val="en-AU" w:eastAsia="en-AU"/>
        </w:rPr>
        <w:drawing>
          <wp:inline distT="0" distB="0" distL="0" distR="0" wp14:anchorId="469B2B69" wp14:editId="62EDA675">
            <wp:extent cx="5638800" cy="2603500"/>
            <wp:effectExtent l="0" t="0" r="0" b="0"/>
            <wp:docPr id="1834299664" name="Picture 1" descr="2021–22&#9;$603 million&#10;2020–21&#9;$718 million&#10;2019–20&#9;$626 million&#10;2018–19&#9;$667 million&#10;2017–18&#9;$661 million&#10;2016–17&#9;$402 million&#10;2015–16&#9;$370 million&#10;2014–15&#9;$393 mill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299664" name="Picture 1" descr="2021–22&#9;$603 million&#10;2020–21&#9;$718 million&#10;2019–20&#9;$626 million&#10;2018–19&#9;$667 million&#10;2017–18&#9;$661 million&#10;2016–17&#9;$402 million&#10;2015–16&#9;$370 million&#10;2014–15&#9;$393 million&#10;"/>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638800" cy="2603500"/>
                    </a:xfrm>
                    <a:prstGeom prst="rect">
                      <a:avLst/>
                    </a:prstGeom>
                  </pic:spPr>
                </pic:pic>
              </a:graphicData>
            </a:graphic>
          </wp:inline>
        </w:drawing>
      </w:r>
    </w:p>
    <w:p w14:paraId="11DEFAF8" w14:textId="77777777" w:rsidR="009C65C9" w:rsidRDefault="009C65C9" w:rsidP="0043303B">
      <w:pPr>
        <w:pStyle w:val="IVFigureSource"/>
        <w:spacing w:line="240" w:lineRule="auto"/>
        <w:rPr>
          <w:rFonts w:ascii="Calibri" w:hAnsi="Calibri" w:cs="Calibri"/>
          <w:color w:val="000000" w:themeColor="text1"/>
        </w:rPr>
      </w:pPr>
    </w:p>
    <w:p w14:paraId="3D3C4D12" w14:textId="1C44AE4A" w:rsidR="00373ED9" w:rsidRPr="00CB1551" w:rsidRDefault="00373ED9" w:rsidP="0043303B">
      <w:pPr>
        <w:pStyle w:val="IVFigureSource"/>
        <w:spacing w:line="240" w:lineRule="auto"/>
        <w:rPr>
          <w:rFonts w:ascii="Calibri" w:hAnsi="Calibri" w:cs="Calibri"/>
          <w:color w:val="000000" w:themeColor="text1"/>
        </w:rPr>
      </w:pPr>
      <w:r w:rsidRPr="00CB1551">
        <w:rPr>
          <w:rFonts w:ascii="Calibri" w:hAnsi="Calibri" w:cs="Calibri"/>
          <w:color w:val="000000" w:themeColor="text1"/>
        </w:rPr>
        <w:t>Source: Australian Government Department of Infrastructure, Transport, Regional Development and the Arts</w:t>
      </w:r>
    </w:p>
    <w:p w14:paraId="4D6584B4"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i/>
          <w:iCs/>
        </w:rPr>
        <w:t>Victoria’s infrastructure strategy 2021–51</w:t>
      </w:r>
      <w:r w:rsidRPr="00CA2CC1">
        <w:rPr>
          <w:rFonts w:ascii="Calibri" w:hAnsi="Calibri" w:cs="Calibri"/>
        </w:rPr>
        <w:t xml:space="preserve"> recommended delivering long-term funding certainty for regional road maintenance and upgrades.</w:t>
      </w:r>
      <w:r w:rsidRPr="00CA2CC1">
        <w:rPr>
          <w:rStyle w:val="EndnoteReference"/>
          <w:rFonts w:ascii="Calibri" w:hAnsi="Calibri" w:cs="Calibri"/>
          <w:color w:val="000000"/>
        </w:rPr>
        <w:endnoteReference w:id="69"/>
      </w:r>
      <w:r w:rsidRPr="00CA2CC1">
        <w:rPr>
          <w:rFonts w:ascii="Calibri" w:hAnsi="Calibri" w:cs="Calibri"/>
        </w:rPr>
        <w:t xml:space="preserve"> The 2023–24 Budget provided significant funding over 10 years to maintain and renew roads. The total funding committed was $1.250 billion capital funding and $1.065 billion output funding.</w:t>
      </w:r>
      <w:r w:rsidRPr="00CA2CC1">
        <w:rPr>
          <w:rStyle w:val="EndnoteReference"/>
          <w:rFonts w:ascii="Calibri" w:hAnsi="Calibri" w:cs="Calibri"/>
        </w:rPr>
        <w:endnoteReference w:id="70"/>
      </w:r>
    </w:p>
    <w:p w14:paraId="4AA0CD13"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The Victorian Government also completed many road upgrades in the 2022</w:t>
      </w:r>
      <w:r w:rsidRPr="00CA2CC1">
        <w:rPr>
          <w:rFonts w:ascii="Calibri" w:hAnsi="Calibri" w:cs="Calibri"/>
          <w:i/>
          <w:iCs/>
          <w:color w:val="auto"/>
        </w:rPr>
        <w:t>–</w:t>
      </w:r>
      <w:r w:rsidRPr="00CA2CC1">
        <w:rPr>
          <w:rFonts w:ascii="Calibri" w:hAnsi="Calibri" w:cs="Calibri"/>
        </w:rPr>
        <w:t>23 financial year. For example, in December 2022, it finished adding 30 kilometres of new traffic lanes between Warrigal Road and Cardinia Road on the Monash Freeway.</w:t>
      </w:r>
      <w:r w:rsidRPr="00CA2CC1">
        <w:rPr>
          <w:rStyle w:val="EndnoteReference"/>
          <w:rFonts w:ascii="Calibri" w:hAnsi="Calibri" w:cs="Calibri"/>
        </w:rPr>
        <w:endnoteReference w:id="71"/>
      </w:r>
      <w:r w:rsidRPr="00CA2CC1">
        <w:rPr>
          <w:rFonts w:ascii="Calibri" w:hAnsi="Calibri" w:cs="Calibri"/>
        </w:rPr>
        <w:t xml:space="preserve"> It also finished upgrading the Western Port Highway</w:t>
      </w:r>
      <w:r w:rsidRPr="00CA2CC1">
        <w:rPr>
          <w:rStyle w:val="EndnoteReference"/>
          <w:rFonts w:ascii="Calibri" w:hAnsi="Calibri" w:cs="Calibri"/>
        </w:rPr>
        <w:endnoteReference w:id="72"/>
      </w:r>
      <w:r w:rsidRPr="00CA2CC1">
        <w:rPr>
          <w:rFonts w:ascii="Calibri" w:hAnsi="Calibri" w:cs="Calibri"/>
        </w:rPr>
        <w:t xml:space="preserve"> and the South Gippsland Highway in the same month.</w:t>
      </w:r>
      <w:r w:rsidRPr="00CA2CC1">
        <w:rPr>
          <w:rStyle w:val="EndnoteReference"/>
          <w:rFonts w:ascii="Calibri" w:hAnsi="Calibri" w:cs="Calibri"/>
        </w:rPr>
        <w:endnoteReference w:id="73"/>
      </w:r>
      <w:r w:rsidRPr="00CA2CC1">
        <w:rPr>
          <w:rFonts w:ascii="Calibri" w:hAnsi="Calibri" w:cs="Calibri"/>
        </w:rPr>
        <w:t xml:space="preserve"> Both these projects also improve cycling and walking infrastructure. The</w:t>
      </w:r>
      <w:r w:rsidRPr="00CA2CC1">
        <w:rPr>
          <w:rFonts w:ascii="Calibri" w:hAnsi="Calibri" w:cs="Calibri"/>
          <w:color w:val="000000"/>
        </w:rPr>
        <w:t xml:space="preserve"> 2023–24 Budget</w:t>
      </w:r>
      <w:r w:rsidRPr="00CA2CC1">
        <w:rPr>
          <w:rFonts w:ascii="Calibri" w:hAnsi="Calibri" w:cs="Calibri"/>
        </w:rPr>
        <w:t xml:space="preserve"> provided $504 million in capital funding for major </w:t>
      </w:r>
      <w:r w:rsidRPr="00CA2CC1">
        <w:rPr>
          <w:rFonts w:ascii="Calibri" w:hAnsi="Calibri" w:cs="Calibri"/>
          <w:color w:val="000000"/>
        </w:rPr>
        <w:t>upgrades to roads and intersections in Victoria’s growth areas and regions.</w:t>
      </w:r>
      <w:r w:rsidRPr="00CA2CC1">
        <w:rPr>
          <w:rStyle w:val="EndnoteReference"/>
          <w:rFonts w:ascii="Calibri" w:hAnsi="Calibri" w:cs="Calibri"/>
          <w:color w:val="000000"/>
        </w:rPr>
        <w:endnoteReference w:id="74"/>
      </w:r>
      <w:r w:rsidRPr="00CA2CC1">
        <w:rPr>
          <w:rFonts w:ascii="Calibri" w:hAnsi="Calibri" w:cs="Calibri"/>
          <w:color w:val="000000"/>
        </w:rPr>
        <w:t xml:space="preserve"> These will help </w:t>
      </w:r>
      <w:r w:rsidRPr="00CA2CC1">
        <w:rPr>
          <w:rFonts w:ascii="Calibri" w:hAnsi="Calibri" w:cs="Calibri"/>
        </w:rPr>
        <w:t>reduce travel times and improve road safety.</w:t>
      </w:r>
      <w:r w:rsidRPr="00CA2CC1">
        <w:rPr>
          <w:rStyle w:val="EndnoteReference"/>
          <w:rFonts w:ascii="Calibri" w:hAnsi="Calibri" w:cs="Calibri"/>
          <w:color w:val="000000"/>
        </w:rPr>
        <w:endnoteReference w:id="75"/>
      </w:r>
    </w:p>
    <w:p w14:paraId="15E82A05"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Local road upgrades also help progress this priority. The 2023</w:t>
      </w:r>
      <w:r w:rsidRPr="00CA2CC1">
        <w:rPr>
          <w:rFonts w:ascii="Calibri" w:hAnsi="Calibri" w:cs="Calibri"/>
          <w:i/>
          <w:iCs/>
          <w:color w:val="auto"/>
        </w:rPr>
        <w:t>–</w:t>
      </w:r>
      <w:r w:rsidRPr="00CA2CC1">
        <w:rPr>
          <w:rFonts w:ascii="Calibri" w:hAnsi="Calibri" w:cs="Calibri"/>
        </w:rPr>
        <w:t>24 Budget funded a $50 million package of local road safety upgrades.</w:t>
      </w:r>
      <w:r w:rsidRPr="00CA2CC1">
        <w:rPr>
          <w:rStyle w:val="EndnoteReference"/>
          <w:rFonts w:ascii="Calibri" w:hAnsi="Calibri" w:cs="Calibri"/>
        </w:rPr>
        <w:endnoteReference w:id="76"/>
      </w:r>
      <w:r w:rsidRPr="00CA2CC1">
        <w:rPr>
          <w:rFonts w:ascii="Calibri" w:hAnsi="Calibri" w:cs="Calibri"/>
        </w:rPr>
        <w:t xml:space="preserve"> The government is planning for future upgrades to the Point Cook Road and Central Avenue intersection,</w:t>
      </w:r>
      <w:r w:rsidRPr="00CA2CC1">
        <w:rPr>
          <w:rStyle w:val="EndnoteReference"/>
          <w:rFonts w:ascii="Calibri" w:hAnsi="Calibri" w:cs="Calibri"/>
        </w:rPr>
        <w:endnoteReference w:id="77"/>
      </w:r>
      <w:r w:rsidRPr="00CA2CC1">
        <w:rPr>
          <w:rFonts w:ascii="Calibri" w:hAnsi="Calibri" w:cs="Calibri"/>
        </w:rPr>
        <w:t xml:space="preserve"> and the Thompsons Road and Berwick-Cranbourne Road intersection.</w:t>
      </w:r>
      <w:r w:rsidRPr="00CA2CC1">
        <w:rPr>
          <w:rStyle w:val="EndnoteReference"/>
          <w:rFonts w:ascii="Calibri" w:hAnsi="Calibri" w:cs="Calibri"/>
        </w:rPr>
        <w:endnoteReference w:id="78"/>
      </w:r>
      <w:r w:rsidRPr="00CA2CC1">
        <w:rPr>
          <w:rFonts w:ascii="Calibri" w:hAnsi="Calibri" w:cs="Calibri"/>
        </w:rPr>
        <w:t xml:space="preserve"> These upgrades will reduce travel times and help existing transport infrastructure cater for population growth.</w:t>
      </w:r>
      <w:r w:rsidRPr="00CA2CC1">
        <w:rPr>
          <w:rStyle w:val="EndnoteReference"/>
          <w:rFonts w:ascii="Calibri" w:hAnsi="Calibri" w:cs="Calibri"/>
        </w:rPr>
        <w:endnoteReference w:id="79"/>
      </w:r>
    </w:p>
    <w:p w14:paraId="06A0CCAC" w14:textId="77777777" w:rsidR="00373ED9" w:rsidRPr="00CA2CC1" w:rsidRDefault="00373ED9" w:rsidP="0043303B">
      <w:pPr>
        <w:pStyle w:val="IVBodyText"/>
        <w:spacing w:line="240" w:lineRule="auto"/>
        <w:rPr>
          <w:rFonts w:ascii="Calibri" w:hAnsi="Calibri" w:cs="Calibri"/>
          <w:color w:val="000000"/>
        </w:rPr>
      </w:pPr>
      <w:r w:rsidRPr="00CA2CC1">
        <w:rPr>
          <w:rFonts w:ascii="Calibri" w:hAnsi="Calibri" w:cs="Calibri"/>
          <w:i/>
          <w:iCs/>
        </w:rPr>
        <w:t>Victoria’s infrastructure strategy 2021–2051</w:t>
      </w:r>
      <w:r w:rsidRPr="00CA2CC1">
        <w:rPr>
          <w:rFonts w:ascii="Calibri" w:hAnsi="Calibri" w:cs="Calibri"/>
          <w:color w:val="000000"/>
        </w:rPr>
        <w:t xml:space="preserve"> also recommends </w:t>
      </w:r>
      <w:r w:rsidRPr="00CA2CC1">
        <w:rPr>
          <w:rFonts w:ascii="Calibri" w:hAnsi="Calibri" w:cs="Calibri"/>
        </w:rPr>
        <w:t>the Victorian Government reallocate road space to priority transport modes to make the most of existing road assets.</w:t>
      </w:r>
      <w:r w:rsidRPr="00CA2CC1">
        <w:rPr>
          <w:rStyle w:val="EndnoteReference"/>
          <w:rFonts w:ascii="Calibri" w:hAnsi="Calibri" w:cs="Calibri"/>
          <w:color w:val="000000"/>
        </w:rPr>
        <w:endnoteReference w:id="80"/>
      </w:r>
      <w:r w:rsidRPr="00CA2CC1">
        <w:rPr>
          <w:rFonts w:ascii="Calibri" w:hAnsi="Calibri" w:cs="Calibri"/>
          <w:color w:val="000000"/>
        </w:rPr>
        <w:t xml:space="preserve"> </w:t>
      </w:r>
    </w:p>
    <w:p w14:paraId="61D8A791"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lastRenderedPageBreak/>
        <w:t>Upgrading train lines and train stations can improve the existing public transport network. In 2023, the Victorian Government funded upgrades for Ballarat,</w:t>
      </w:r>
      <w:r w:rsidRPr="00CA2CC1">
        <w:rPr>
          <w:rStyle w:val="EndnoteReference"/>
          <w:rFonts w:ascii="Calibri" w:hAnsi="Calibri" w:cs="Calibri"/>
        </w:rPr>
        <w:endnoteReference w:id="81"/>
      </w:r>
      <w:r w:rsidRPr="00CA2CC1">
        <w:rPr>
          <w:rFonts w:ascii="Calibri" w:hAnsi="Calibri" w:cs="Calibri"/>
        </w:rPr>
        <w:t xml:space="preserve"> Boronia</w:t>
      </w:r>
      <w:r w:rsidRPr="00CA2CC1">
        <w:rPr>
          <w:rStyle w:val="EndnoteReference"/>
          <w:rFonts w:ascii="Calibri" w:hAnsi="Calibri" w:cs="Calibri"/>
        </w:rPr>
        <w:endnoteReference w:id="82"/>
      </w:r>
      <w:r w:rsidRPr="00CA2CC1">
        <w:rPr>
          <w:rFonts w:ascii="Calibri" w:hAnsi="Calibri" w:cs="Calibri"/>
        </w:rPr>
        <w:t xml:space="preserve"> and Albion train stations.</w:t>
      </w:r>
      <w:r w:rsidRPr="00CA2CC1">
        <w:rPr>
          <w:rStyle w:val="EndnoteReference"/>
          <w:rFonts w:ascii="Calibri" w:hAnsi="Calibri" w:cs="Calibri"/>
        </w:rPr>
        <w:endnoteReference w:id="83"/>
      </w:r>
      <w:r w:rsidRPr="00CA2CC1">
        <w:rPr>
          <w:rFonts w:ascii="Calibri" w:hAnsi="Calibri" w:cs="Calibri"/>
        </w:rPr>
        <w:t xml:space="preserve"> Union station opened in May 2023 after the government completed the associated level crossing removal.</w:t>
      </w:r>
      <w:r w:rsidRPr="00CA2CC1">
        <w:rPr>
          <w:rStyle w:val="EndnoteReference"/>
          <w:rFonts w:ascii="Calibri" w:hAnsi="Calibri" w:cs="Calibri"/>
        </w:rPr>
        <w:endnoteReference w:id="84"/>
      </w:r>
      <w:r w:rsidRPr="00CA2CC1">
        <w:rPr>
          <w:rFonts w:ascii="Calibri" w:hAnsi="Calibri" w:cs="Calibri"/>
        </w:rPr>
        <w:t xml:space="preserve"> Construction of a new rail bridge on the Sunbury line allowed Gap Road to reopen in September 2022.</w:t>
      </w:r>
      <w:r w:rsidRPr="00CA2CC1">
        <w:rPr>
          <w:rStyle w:val="EndnoteReference"/>
          <w:rFonts w:ascii="Calibri" w:hAnsi="Calibri" w:cs="Calibri"/>
        </w:rPr>
        <w:endnoteReference w:id="85"/>
      </w:r>
      <w:r w:rsidRPr="00CA2CC1">
        <w:rPr>
          <w:rFonts w:ascii="Calibri" w:hAnsi="Calibri" w:cs="Calibri"/>
        </w:rPr>
        <w:t xml:space="preserve"> The government also upgraded the Diamond Creek station and completed new stations at Greensborough and Montmorency as part of the Hurstbridge line duplication.</w:t>
      </w:r>
      <w:r w:rsidRPr="00CA2CC1">
        <w:rPr>
          <w:rStyle w:val="EndnoteReference"/>
          <w:rFonts w:ascii="Calibri" w:hAnsi="Calibri" w:cs="Calibri"/>
        </w:rPr>
        <w:endnoteReference w:id="86"/>
      </w:r>
      <w:r w:rsidRPr="00CA2CC1">
        <w:rPr>
          <w:rFonts w:ascii="Calibri" w:hAnsi="Calibri" w:cs="Calibri"/>
        </w:rPr>
        <w:t xml:space="preserve"> This project allowed more trains to operate by duplicating sections of the train line between Greensborough and Wattle Glen.</w:t>
      </w:r>
      <w:r w:rsidRPr="00CA2CC1">
        <w:rPr>
          <w:rStyle w:val="EndnoteReference"/>
          <w:rFonts w:ascii="Calibri" w:hAnsi="Calibri" w:cs="Calibri"/>
        </w:rPr>
        <w:endnoteReference w:id="87"/>
      </w:r>
      <w:r w:rsidRPr="00CA2CC1">
        <w:rPr>
          <w:rFonts w:ascii="Calibri" w:hAnsi="Calibri" w:cs="Calibri"/>
        </w:rPr>
        <w:t xml:space="preserve"> Works also commenced on shared walking and cycling paths between Greensborough and Montmorency stations as part of this project.</w:t>
      </w:r>
      <w:r w:rsidRPr="00CA2CC1">
        <w:rPr>
          <w:rStyle w:val="EndnoteReference"/>
          <w:rFonts w:ascii="Calibri" w:hAnsi="Calibri" w:cs="Calibri"/>
        </w:rPr>
        <w:endnoteReference w:id="88"/>
      </w:r>
      <w:r w:rsidRPr="00CA2CC1">
        <w:rPr>
          <w:rFonts w:ascii="Calibri" w:hAnsi="Calibri" w:cs="Calibri"/>
        </w:rPr>
        <w:t xml:space="preserve"> </w:t>
      </w:r>
    </w:p>
    <w:p w14:paraId="4FA151A6"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The 2023</w:t>
      </w:r>
      <w:r w:rsidRPr="00CA2CC1">
        <w:rPr>
          <w:rFonts w:ascii="Calibri" w:hAnsi="Calibri" w:cs="Calibri"/>
          <w:i/>
          <w:iCs/>
          <w:color w:val="auto"/>
        </w:rPr>
        <w:t>–</w:t>
      </w:r>
      <w:r w:rsidRPr="00CA2CC1">
        <w:rPr>
          <w:rFonts w:ascii="Calibri" w:hAnsi="Calibri" w:cs="Calibri"/>
        </w:rPr>
        <w:t>24 Budget included $353 million to expand the Kananook train stabling facility on the Frankston line.</w:t>
      </w:r>
      <w:r w:rsidRPr="00CA2CC1">
        <w:rPr>
          <w:rStyle w:val="EndnoteReference"/>
          <w:rFonts w:ascii="Calibri" w:hAnsi="Calibri" w:cs="Calibri"/>
        </w:rPr>
        <w:endnoteReference w:id="89"/>
      </w:r>
      <w:r w:rsidRPr="00CA2CC1">
        <w:rPr>
          <w:rFonts w:ascii="Calibri" w:hAnsi="Calibri" w:cs="Calibri"/>
        </w:rPr>
        <w:t xml:space="preserve"> This delivers more maintenance capacity for metropolitan train services.</w:t>
      </w:r>
      <w:r w:rsidRPr="00CA2CC1">
        <w:rPr>
          <w:rStyle w:val="EndnoteReference"/>
          <w:rFonts w:ascii="Calibri" w:hAnsi="Calibri" w:cs="Calibri"/>
        </w:rPr>
        <w:endnoteReference w:id="90"/>
      </w:r>
      <w:r w:rsidRPr="00CA2CC1">
        <w:rPr>
          <w:rFonts w:ascii="Calibri" w:hAnsi="Calibri" w:cs="Calibri"/>
        </w:rPr>
        <w:t xml:space="preserve"> It also provided $287 million for more capacity in the South Dynon Train Maintenance Facility to maintain regional trains.</w:t>
      </w:r>
      <w:r w:rsidRPr="00CA2CC1">
        <w:rPr>
          <w:rStyle w:val="EndnoteReference"/>
          <w:rFonts w:ascii="Calibri" w:hAnsi="Calibri" w:cs="Calibri"/>
        </w:rPr>
        <w:endnoteReference w:id="91"/>
      </w:r>
    </w:p>
    <w:p w14:paraId="7AC61D53" w14:textId="77777777" w:rsidR="00373ED9" w:rsidRPr="00CA2CC1" w:rsidRDefault="00373ED9" w:rsidP="0043303B">
      <w:pPr>
        <w:pStyle w:val="IVBodyText"/>
        <w:spacing w:line="240" w:lineRule="auto"/>
        <w:rPr>
          <w:rFonts w:ascii="Calibri" w:hAnsi="Calibri" w:cs="Calibri"/>
          <w:color w:val="auto"/>
        </w:rPr>
      </w:pPr>
      <w:r w:rsidRPr="00CA2CC1">
        <w:rPr>
          <w:rFonts w:ascii="Calibri" w:hAnsi="Calibri" w:cs="Calibri"/>
          <w:i/>
          <w:iCs/>
        </w:rPr>
        <w:t>Victoria’s infrastructure strategy 2021–2051</w:t>
      </w:r>
      <w:r w:rsidRPr="00CA2CC1">
        <w:rPr>
          <w:rFonts w:ascii="Calibri" w:hAnsi="Calibri" w:cs="Calibri"/>
          <w:color w:val="000000"/>
        </w:rPr>
        <w:t xml:space="preserve"> recommended </w:t>
      </w:r>
      <w:r w:rsidRPr="00CA2CC1">
        <w:rPr>
          <w:rFonts w:ascii="Calibri" w:hAnsi="Calibri" w:cs="Calibri"/>
        </w:rPr>
        <w:t>the Victorian Government adopt off-peak discounts for metropolitan public transport fares to encourage greater usage when there is capacity on the public transport network.</w:t>
      </w:r>
      <w:r w:rsidRPr="00CA2CC1">
        <w:rPr>
          <w:rStyle w:val="EndnoteReference"/>
          <w:rFonts w:ascii="Calibri" w:hAnsi="Calibri" w:cs="Calibri"/>
          <w:color w:val="000000"/>
        </w:rPr>
        <w:endnoteReference w:id="92"/>
      </w:r>
      <w:r w:rsidRPr="00CA2CC1">
        <w:rPr>
          <w:rFonts w:ascii="Calibri" w:hAnsi="Calibri" w:cs="Calibri"/>
          <w:color w:val="000000"/>
        </w:rPr>
        <w:t xml:space="preserve"> Fare reform can change people's behaviour. The government’s decision to reduce regional public transport fares in 2023 demonstrated this effect. The new Myki ticketing contract might offer more opportunity and flexibility to progress fare reform.</w:t>
      </w:r>
    </w:p>
    <w:p w14:paraId="5A15BCA1" w14:textId="086211D1" w:rsidR="00373ED9" w:rsidRPr="00CA2CC1" w:rsidRDefault="00373ED9" w:rsidP="002D0C5C">
      <w:pPr>
        <w:pStyle w:val="Heading2"/>
        <w:rPr>
          <w:rFonts w:cs="Calibri"/>
        </w:rPr>
      </w:pPr>
      <w:bookmarkStart w:id="55" w:name="_Toc109662729"/>
      <w:r w:rsidRPr="00CA2CC1">
        <w:rPr>
          <w:rFonts w:cs="Calibri"/>
        </w:rPr>
        <w:t>Building for the future</w:t>
      </w:r>
      <w:bookmarkEnd w:id="55"/>
    </w:p>
    <w:p w14:paraId="0EF25B76" w14:textId="77777777" w:rsidR="00373ED9" w:rsidRPr="00CA2CC1" w:rsidRDefault="00373ED9" w:rsidP="0043303B">
      <w:pPr>
        <w:pStyle w:val="Heading3"/>
        <w:rPr>
          <w:rFonts w:cs="Calibri"/>
        </w:rPr>
      </w:pPr>
      <w:r w:rsidRPr="00CA2CC1">
        <w:rPr>
          <w:rFonts w:cs="Calibri"/>
        </w:rPr>
        <w:t xml:space="preserve">Priority description from the </w:t>
      </w:r>
      <w:r w:rsidRPr="00CA2CC1">
        <w:rPr>
          <w:rFonts w:cs="Calibri"/>
          <w:i/>
          <w:iCs/>
        </w:rPr>
        <w:t>Victorian infrastructure plan 2021</w:t>
      </w:r>
    </w:p>
    <w:p w14:paraId="02AB71B9" w14:textId="77777777" w:rsidR="00373ED9" w:rsidRPr="00CA2CC1" w:rsidRDefault="00373ED9" w:rsidP="0043303B">
      <w:pPr>
        <w:pStyle w:val="IVBodyText"/>
        <w:spacing w:line="240" w:lineRule="auto"/>
        <w:rPr>
          <w:rFonts w:ascii="Calibri" w:hAnsi="Calibri" w:cs="Calibri"/>
          <w:b/>
          <w:bCs/>
          <w:color w:val="auto"/>
        </w:rPr>
      </w:pPr>
      <w:r w:rsidRPr="00CA2CC1">
        <w:rPr>
          <w:rFonts w:ascii="Calibri" w:hAnsi="Calibri" w:cs="Calibri"/>
          <w:b/>
          <w:bCs/>
          <w:color w:val="auto"/>
        </w:rPr>
        <w:t>To meet projected growth across Victoria and keep people and freight moving in the future, the government is planning and delivering state-changing and city-shaping major projects to increase transport capacity and connections.</w:t>
      </w:r>
    </w:p>
    <w:p w14:paraId="06366DFF" w14:textId="77777777" w:rsidR="00373ED9" w:rsidRPr="00CA2CC1" w:rsidRDefault="00373ED9" w:rsidP="0043303B">
      <w:pPr>
        <w:pStyle w:val="Heading3"/>
        <w:rPr>
          <w:rFonts w:cs="Calibri"/>
        </w:rPr>
      </w:pPr>
      <w:r w:rsidRPr="00CA2CC1">
        <w:rPr>
          <w:rFonts w:cs="Calibri"/>
        </w:rPr>
        <w:t>Victorian Government progress in 2022–23</w:t>
      </w:r>
    </w:p>
    <w:p w14:paraId="7126946C"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Victoria has a growing population, and more freight is moving around the state. This priority focuses on new major transport infrastructure to support this growth. It seeks to enable greater capacity to meet more demand and create new options for people and freight to move around. Major transport infrastructure includes</w:t>
      </w:r>
      <w:r w:rsidRPr="00CA2CC1">
        <w:rPr>
          <w:rFonts w:ascii="Calibri" w:hAnsi="Calibri" w:cs="Calibri"/>
          <w:i/>
          <w:iCs/>
        </w:rPr>
        <w:t xml:space="preserve"> ‘</w:t>
      </w:r>
      <w:r w:rsidRPr="00CA2CC1">
        <w:rPr>
          <w:rFonts w:ascii="Calibri" w:hAnsi="Calibri" w:cs="Calibri"/>
        </w:rPr>
        <w:t>state-changing’ and ‘city-shaping’ projects.</w:t>
      </w:r>
      <w:r w:rsidRPr="00CA2CC1">
        <w:rPr>
          <w:rStyle w:val="EndnoteReference"/>
          <w:rFonts w:ascii="Calibri" w:hAnsi="Calibri" w:cs="Calibri"/>
        </w:rPr>
        <w:endnoteReference w:id="93"/>
      </w:r>
      <w:r w:rsidRPr="00CA2CC1">
        <w:rPr>
          <w:rFonts w:ascii="Calibri" w:hAnsi="Calibri" w:cs="Calibri"/>
        </w:rPr>
        <w:t xml:space="preserve"> State-changing projects impact transport infrastructure for both metropolitan Melbourne and regional Victoria, while city-shaping major projects significantly alter the transport infrastructure of Greater Melbourne.</w:t>
      </w:r>
    </w:p>
    <w:p w14:paraId="7018DA54" w14:textId="1462136C" w:rsidR="00373ED9" w:rsidRPr="00CA2CC1" w:rsidRDefault="00373ED9" w:rsidP="0043303B">
      <w:pPr>
        <w:pStyle w:val="IVBodyText"/>
        <w:spacing w:line="240" w:lineRule="auto"/>
        <w:rPr>
          <w:rFonts w:ascii="Calibri" w:hAnsi="Calibri" w:cs="Calibri"/>
        </w:rPr>
      </w:pPr>
      <w:r w:rsidRPr="00CA2CC1">
        <w:rPr>
          <w:rFonts w:ascii="Calibri" w:hAnsi="Calibri" w:cs="Calibri"/>
        </w:rPr>
        <w:t>Kilometres of scheduled services is a basic measure of change in public transport capacity over time. The Budget expected 2022–23 kilometres of scheduled services for regional and metropolitan trains to stay the same as the 2021</w:t>
      </w:r>
      <w:r w:rsidRPr="00CA2CC1">
        <w:rPr>
          <w:rFonts w:ascii="Calibri" w:hAnsi="Calibri" w:cs="Calibri"/>
          <w:i/>
          <w:iCs/>
          <w:color w:val="auto"/>
        </w:rPr>
        <w:t>–</w:t>
      </w:r>
      <w:r w:rsidRPr="00CA2CC1">
        <w:rPr>
          <w:rFonts w:ascii="Calibri" w:hAnsi="Calibri" w:cs="Calibri"/>
        </w:rPr>
        <w:t>22 financial year.</w:t>
      </w:r>
      <w:r w:rsidRPr="00CA2CC1">
        <w:rPr>
          <w:rStyle w:val="EndnoteReference"/>
          <w:rFonts w:ascii="Calibri" w:hAnsi="Calibri" w:cs="Calibri"/>
        </w:rPr>
        <w:endnoteReference w:id="94"/>
      </w:r>
      <w:r w:rsidRPr="00CA2CC1">
        <w:rPr>
          <w:rFonts w:ascii="Calibri" w:hAnsi="Calibri" w:cs="Calibri"/>
        </w:rPr>
        <w:t xml:space="preserve"> It also expected scheduled service kilometres of tram and regional buses to stay the same as the previous year,</w:t>
      </w:r>
      <w:r w:rsidRPr="00CA2CC1">
        <w:rPr>
          <w:rStyle w:val="EndnoteReference"/>
          <w:rFonts w:ascii="Calibri" w:hAnsi="Calibri" w:cs="Calibri"/>
        </w:rPr>
        <w:endnoteReference w:id="95"/>
      </w:r>
      <w:r w:rsidRPr="00CA2CC1">
        <w:rPr>
          <w:rFonts w:ascii="Calibri" w:hAnsi="Calibri" w:cs="Calibri"/>
        </w:rPr>
        <w:t xml:space="preserve"> but projected that the scheduled service kilometres of metropolitan bus services would increase.</w:t>
      </w:r>
      <w:r w:rsidRPr="00CA2CC1">
        <w:rPr>
          <w:rStyle w:val="EndnoteReference"/>
          <w:rFonts w:ascii="Calibri" w:hAnsi="Calibri" w:cs="Calibri"/>
        </w:rPr>
        <w:endnoteReference w:id="96"/>
      </w:r>
      <w:r w:rsidRPr="00CA2CC1">
        <w:rPr>
          <w:rFonts w:ascii="Calibri" w:hAnsi="Calibri" w:cs="Calibri"/>
        </w:rPr>
        <w:t xml:space="preserve"> We used expected outcomes to measure progress because the final 2022</w:t>
      </w:r>
      <w:r w:rsidRPr="00CA2CC1">
        <w:rPr>
          <w:rFonts w:ascii="Calibri" w:hAnsi="Calibri" w:cs="Calibri"/>
          <w:i/>
          <w:iCs/>
          <w:color w:val="auto"/>
        </w:rPr>
        <w:t>–</w:t>
      </w:r>
      <w:r w:rsidRPr="00CA2CC1">
        <w:rPr>
          <w:rFonts w:ascii="Calibri" w:hAnsi="Calibri" w:cs="Calibri"/>
        </w:rPr>
        <w:t>23 data was not available at 30 June.</w:t>
      </w:r>
    </w:p>
    <w:p w14:paraId="047CBEAE"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Major transport projects can take many years to complete. Many of the projects listed in the Victorian infrastructure plan</w:t>
      </w:r>
      <w:r w:rsidRPr="00CA2CC1">
        <w:rPr>
          <w:rStyle w:val="EndnoteReference"/>
          <w:rFonts w:ascii="Calibri" w:hAnsi="Calibri" w:cs="Calibri"/>
          <w:i/>
          <w:iCs/>
        </w:rPr>
        <w:endnoteReference w:id="97"/>
      </w:r>
      <w:r w:rsidRPr="00CA2CC1">
        <w:rPr>
          <w:rFonts w:ascii="Calibri" w:hAnsi="Calibri" w:cs="Calibri"/>
        </w:rPr>
        <w:t xml:space="preserve"> are still in progress. In this assessment, we mainly discuss projects that were completed, announced, or reached a major milestone in the 2022</w:t>
      </w:r>
      <w:r w:rsidRPr="00CA2CC1">
        <w:rPr>
          <w:rFonts w:ascii="Calibri" w:hAnsi="Calibri" w:cs="Calibri"/>
          <w:i/>
          <w:iCs/>
          <w:color w:val="auto"/>
        </w:rPr>
        <w:t>–</w:t>
      </w:r>
      <w:r w:rsidRPr="00CA2CC1">
        <w:rPr>
          <w:rFonts w:ascii="Calibri" w:hAnsi="Calibri" w:cs="Calibri"/>
        </w:rPr>
        <w:t xml:space="preserve">23 financial year. </w:t>
      </w:r>
    </w:p>
    <w:p w14:paraId="40ABDDEC" w14:textId="17F6B875" w:rsidR="00373ED9" w:rsidRPr="00CA2CC1" w:rsidRDefault="00373ED9" w:rsidP="0043303B">
      <w:pPr>
        <w:pStyle w:val="IVBodyText"/>
        <w:spacing w:line="240" w:lineRule="auto"/>
        <w:rPr>
          <w:rFonts w:ascii="Calibri" w:hAnsi="Calibri" w:cs="Calibri"/>
        </w:rPr>
      </w:pPr>
      <w:r w:rsidRPr="00CA2CC1">
        <w:rPr>
          <w:rFonts w:ascii="Calibri" w:hAnsi="Calibri" w:cs="Calibri"/>
        </w:rPr>
        <w:t>Public transport projects increase the capacity of the transport network. In October 2022, the government announced a new train station in Tarneit</w:t>
      </w:r>
      <w:r w:rsidRPr="00CA2CC1">
        <w:rPr>
          <w:rStyle w:val="EndnoteReference"/>
          <w:rFonts w:ascii="Calibri" w:hAnsi="Calibri" w:cs="Calibri"/>
        </w:rPr>
        <w:endnoteReference w:id="98"/>
      </w:r>
      <w:r w:rsidRPr="00CA2CC1">
        <w:rPr>
          <w:rFonts w:ascii="Calibri" w:hAnsi="Calibri" w:cs="Calibri"/>
        </w:rPr>
        <w:t xml:space="preserve"> to help connect growing areas of Melbourne’s west with the central business district.</w:t>
      </w:r>
      <w:r w:rsidRPr="00CA2CC1">
        <w:rPr>
          <w:rStyle w:val="EndnoteReference"/>
          <w:rFonts w:ascii="Calibri" w:hAnsi="Calibri" w:cs="Calibri"/>
        </w:rPr>
        <w:endnoteReference w:id="99"/>
      </w:r>
      <w:r w:rsidRPr="00CA2CC1">
        <w:rPr>
          <w:rFonts w:ascii="Calibri" w:hAnsi="Calibri" w:cs="Calibri"/>
        </w:rPr>
        <w:t xml:space="preserve"> The Victorian Government released the business case for the Melbourne Airport Rail </w:t>
      </w:r>
      <w:r w:rsidRPr="00CA2CC1">
        <w:rPr>
          <w:rStyle w:val="EndnoteReference"/>
          <w:rFonts w:ascii="Calibri" w:hAnsi="Calibri" w:cs="Calibri"/>
        </w:rPr>
        <w:endnoteReference w:id="100"/>
      </w:r>
      <w:r w:rsidRPr="00CA2CC1">
        <w:rPr>
          <w:rFonts w:ascii="Calibri" w:hAnsi="Calibri" w:cs="Calibri"/>
        </w:rPr>
        <w:t xml:space="preserve"> in September 2022.</w:t>
      </w:r>
      <w:r w:rsidRPr="00CA2CC1">
        <w:rPr>
          <w:rStyle w:val="EndnoteReference"/>
          <w:rFonts w:ascii="Calibri" w:hAnsi="Calibri" w:cs="Calibri"/>
        </w:rPr>
        <w:endnoteReference w:id="101"/>
      </w:r>
      <w:r w:rsidRPr="00CA2CC1">
        <w:rPr>
          <w:rFonts w:ascii="Calibri" w:hAnsi="Calibri" w:cs="Calibri"/>
        </w:rPr>
        <w:t xml:space="preserve"> It also announced that Melbourne’s airport rail line will include a new station in Keilor.</w:t>
      </w:r>
      <w:r w:rsidRPr="00CA2CC1">
        <w:rPr>
          <w:rStyle w:val="EndnoteReference"/>
          <w:rFonts w:ascii="Calibri" w:hAnsi="Calibri" w:cs="Calibri"/>
        </w:rPr>
        <w:endnoteReference w:id="102"/>
      </w:r>
      <w:r w:rsidRPr="00CA2CC1">
        <w:rPr>
          <w:rFonts w:ascii="Calibri" w:hAnsi="Calibri" w:cs="Calibri"/>
        </w:rPr>
        <w:t xml:space="preserve"> </w:t>
      </w:r>
      <w:r w:rsidR="006472FB" w:rsidRPr="00CA2CC1">
        <w:rPr>
          <w:rFonts w:ascii="Calibri" w:hAnsi="Calibri" w:cs="Calibri"/>
        </w:rPr>
        <w:t xml:space="preserve">In May 2023, in response to the Australian Government’s infrastructure investment program review, the Victorian Government announced the Melbourne Airport Rail (or SRL Airport) project will not move to the next phase of work during the review period. </w:t>
      </w:r>
      <w:r w:rsidRPr="00CA2CC1">
        <w:rPr>
          <w:rFonts w:ascii="Calibri" w:hAnsi="Calibri" w:cs="Calibri"/>
        </w:rPr>
        <w:t>The 2023</w:t>
      </w:r>
      <w:r w:rsidRPr="00CA2CC1">
        <w:rPr>
          <w:rFonts w:ascii="Calibri" w:hAnsi="Calibri" w:cs="Calibri"/>
          <w:i/>
          <w:iCs/>
          <w:color w:val="auto"/>
        </w:rPr>
        <w:t>–</w:t>
      </w:r>
      <w:r w:rsidRPr="00CA2CC1">
        <w:rPr>
          <w:rFonts w:ascii="Calibri" w:hAnsi="Calibri" w:cs="Calibri"/>
        </w:rPr>
        <w:t>24 Budget provided $238 million in capital funding for enabling works and facilities to support network integration and future operations of the Metro Tunnel.</w:t>
      </w:r>
      <w:r w:rsidRPr="00CA2CC1">
        <w:rPr>
          <w:rStyle w:val="EndnoteReference"/>
          <w:rFonts w:ascii="Calibri" w:hAnsi="Calibri" w:cs="Calibri"/>
        </w:rPr>
        <w:endnoteReference w:id="103"/>
      </w:r>
    </w:p>
    <w:p w14:paraId="1C6D6FDE"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Major road projects also progress this priority. The government completed boring for the West Gate Tunnel in May 2023.</w:t>
      </w:r>
      <w:r w:rsidRPr="00CA2CC1">
        <w:rPr>
          <w:rStyle w:val="EndnoteReference"/>
          <w:rFonts w:ascii="Calibri" w:hAnsi="Calibri" w:cs="Calibri"/>
        </w:rPr>
        <w:endnoteReference w:id="104"/>
      </w:r>
      <w:r w:rsidRPr="00CA2CC1">
        <w:rPr>
          <w:rFonts w:ascii="Calibri" w:hAnsi="Calibri" w:cs="Calibri"/>
        </w:rPr>
        <w:t xml:space="preserve"> The West Gate Tunnel is due to be completed in 2025.</w:t>
      </w:r>
      <w:r w:rsidRPr="00CA2CC1">
        <w:rPr>
          <w:rStyle w:val="EndnoteReference"/>
          <w:rFonts w:ascii="Calibri" w:hAnsi="Calibri" w:cs="Calibri"/>
        </w:rPr>
        <w:endnoteReference w:id="105"/>
      </w:r>
      <w:r w:rsidRPr="00CA2CC1">
        <w:rPr>
          <w:rFonts w:ascii="Calibri" w:hAnsi="Calibri" w:cs="Calibri"/>
        </w:rPr>
        <w:t xml:space="preserve"> It can reduce the number of trucks on residential streets and help ease congestion on the West Gate Freeway and West Gate Bridge.</w:t>
      </w:r>
      <w:r w:rsidRPr="00CA2CC1">
        <w:rPr>
          <w:rStyle w:val="EndnoteReference"/>
          <w:rFonts w:ascii="Calibri" w:hAnsi="Calibri" w:cs="Calibri"/>
        </w:rPr>
        <w:endnoteReference w:id="106"/>
      </w:r>
      <w:r w:rsidRPr="00CA2CC1">
        <w:rPr>
          <w:rFonts w:ascii="Calibri" w:hAnsi="Calibri" w:cs="Calibri"/>
        </w:rPr>
        <w:t xml:space="preserve"> </w:t>
      </w:r>
    </w:p>
    <w:p w14:paraId="2D6955EA"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i/>
          <w:iCs/>
        </w:rPr>
        <w:t xml:space="preserve">Victoria’s infrastructure strategy 2021–2051 </w:t>
      </w:r>
      <w:r w:rsidRPr="00CA2CC1">
        <w:rPr>
          <w:rFonts w:ascii="Calibri" w:hAnsi="Calibri" w:cs="Calibri"/>
        </w:rPr>
        <w:t>makes several recommendations about building for the future including:</w:t>
      </w:r>
    </w:p>
    <w:p w14:paraId="3D11C9AD" w14:textId="77777777" w:rsidR="00373ED9" w:rsidRPr="00CA2CC1" w:rsidRDefault="00373ED9" w:rsidP="0043303B">
      <w:pPr>
        <w:pStyle w:val="IVBulletLevel2"/>
        <w:numPr>
          <w:ilvl w:val="1"/>
          <w:numId w:val="54"/>
        </w:numPr>
        <w:spacing w:line="240" w:lineRule="auto"/>
        <w:rPr>
          <w:rFonts w:ascii="Calibri" w:hAnsi="Calibri" w:cs="Calibri"/>
        </w:rPr>
      </w:pPr>
      <w:r w:rsidRPr="00CA2CC1">
        <w:rPr>
          <w:rFonts w:ascii="Calibri" w:hAnsi="Calibri" w:cs="Calibri"/>
        </w:rPr>
        <w:t>publish Victoria’s transport plan</w:t>
      </w:r>
      <w:r w:rsidRPr="00CA2CC1">
        <w:rPr>
          <w:rStyle w:val="EndnoteReference"/>
          <w:rFonts w:ascii="Calibri" w:hAnsi="Calibri" w:cs="Calibri"/>
        </w:rPr>
        <w:endnoteReference w:id="107"/>
      </w:r>
    </w:p>
    <w:p w14:paraId="6E72B940" w14:textId="77777777" w:rsidR="00373ED9" w:rsidRPr="00CA2CC1" w:rsidRDefault="00373ED9" w:rsidP="0043303B">
      <w:pPr>
        <w:pStyle w:val="IVBulletLevel2"/>
        <w:numPr>
          <w:ilvl w:val="1"/>
          <w:numId w:val="54"/>
        </w:numPr>
        <w:spacing w:line="240" w:lineRule="auto"/>
        <w:rPr>
          <w:rFonts w:ascii="Calibri" w:hAnsi="Calibri" w:cs="Calibri"/>
        </w:rPr>
      </w:pPr>
      <w:r w:rsidRPr="00CA2CC1">
        <w:rPr>
          <w:rFonts w:ascii="Calibri" w:hAnsi="Calibri" w:cs="Calibri"/>
        </w:rPr>
        <w:t>act now to protect the future Bay West Port option</w:t>
      </w:r>
      <w:r w:rsidRPr="00CA2CC1">
        <w:rPr>
          <w:rStyle w:val="EndnoteReference"/>
          <w:rFonts w:ascii="Calibri" w:hAnsi="Calibri" w:cs="Calibri"/>
        </w:rPr>
        <w:endnoteReference w:id="108"/>
      </w:r>
    </w:p>
    <w:p w14:paraId="4239D06C" w14:textId="77777777" w:rsidR="00373ED9" w:rsidRPr="00CA2CC1" w:rsidRDefault="00373ED9" w:rsidP="0043303B">
      <w:pPr>
        <w:pStyle w:val="IVBulletLevel2"/>
        <w:numPr>
          <w:ilvl w:val="1"/>
          <w:numId w:val="54"/>
        </w:numPr>
        <w:spacing w:line="240" w:lineRule="auto"/>
        <w:rPr>
          <w:rFonts w:ascii="Calibri" w:hAnsi="Calibri" w:cs="Calibri"/>
        </w:rPr>
      </w:pPr>
      <w:r w:rsidRPr="00CA2CC1">
        <w:rPr>
          <w:rFonts w:ascii="Calibri" w:hAnsi="Calibri" w:cs="Calibri"/>
        </w:rPr>
        <w:t>deliver a new intermodal freight terminal for Inland Rail</w:t>
      </w:r>
      <w:r w:rsidRPr="00CA2CC1">
        <w:rPr>
          <w:rStyle w:val="EndnoteReference"/>
          <w:rFonts w:ascii="Calibri" w:hAnsi="Calibri" w:cs="Calibri"/>
        </w:rPr>
        <w:endnoteReference w:id="109"/>
      </w:r>
    </w:p>
    <w:p w14:paraId="3EFDA8F5" w14:textId="77777777" w:rsidR="00373ED9" w:rsidRPr="00CA2CC1" w:rsidRDefault="00373ED9" w:rsidP="0043303B">
      <w:pPr>
        <w:pStyle w:val="IVBulletLevel2"/>
        <w:numPr>
          <w:ilvl w:val="1"/>
          <w:numId w:val="54"/>
        </w:numPr>
        <w:spacing w:line="240" w:lineRule="auto"/>
        <w:rPr>
          <w:rFonts w:ascii="Calibri" w:hAnsi="Calibri" w:cs="Calibri"/>
        </w:rPr>
      </w:pPr>
      <w:r w:rsidRPr="00CA2CC1">
        <w:rPr>
          <w:rFonts w:ascii="Calibri" w:hAnsi="Calibri" w:cs="Calibri"/>
        </w:rPr>
        <w:t>extend rail services in Melbourne’s western and northern growth areas</w:t>
      </w:r>
      <w:r w:rsidRPr="00CA2CC1">
        <w:rPr>
          <w:rStyle w:val="EndnoteReference"/>
          <w:rFonts w:ascii="Calibri" w:hAnsi="Calibri" w:cs="Calibri"/>
        </w:rPr>
        <w:endnoteReference w:id="110"/>
      </w:r>
    </w:p>
    <w:p w14:paraId="2447A429" w14:textId="77777777" w:rsidR="00373ED9" w:rsidRPr="00CA2CC1" w:rsidRDefault="00373ED9" w:rsidP="0043303B">
      <w:pPr>
        <w:pStyle w:val="IVBulletLevel2"/>
        <w:numPr>
          <w:ilvl w:val="1"/>
          <w:numId w:val="54"/>
        </w:numPr>
        <w:spacing w:line="240" w:lineRule="auto"/>
        <w:rPr>
          <w:rFonts w:ascii="Calibri" w:hAnsi="Calibri" w:cs="Calibri"/>
        </w:rPr>
      </w:pPr>
      <w:r w:rsidRPr="00CA2CC1">
        <w:rPr>
          <w:rFonts w:ascii="Calibri" w:hAnsi="Calibri" w:cs="Calibri"/>
        </w:rPr>
        <w:t>reshape the metropolitan bus network and introduce ‘next generation’ bus services</w:t>
      </w:r>
      <w:r w:rsidRPr="00CA2CC1">
        <w:rPr>
          <w:rStyle w:val="EndnoteReference"/>
          <w:rFonts w:ascii="Calibri" w:hAnsi="Calibri" w:cs="Calibri"/>
        </w:rPr>
        <w:endnoteReference w:id="111"/>
      </w:r>
    </w:p>
    <w:p w14:paraId="65847C47" w14:textId="77777777" w:rsidR="00B24306" w:rsidRPr="00B24306" w:rsidRDefault="00373ED9" w:rsidP="0043303B">
      <w:pPr>
        <w:pStyle w:val="IVBulletLevel2"/>
        <w:numPr>
          <w:ilvl w:val="1"/>
          <w:numId w:val="54"/>
        </w:numPr>
        <w:spacing w:line="240" w:lineRule="auto"/>
        <w:rPr>
          <w:rFonts w:ascii="Calibri" w:hAnsi="Calibri" w:cs="Calibri"/>
        </w:rPr>
      </w:pPr>
      <w:r w:rsidRPr="00B24306">
        <w:rPr>
          <w:rFonts w:ascii="Calibri" w:hAnsi="Calibri" w:cs="Calibri"/>
        </w:rPr>
        <w:t>increase off-peak service frequencies and suburban rail corridor capacity.</w:t>
      </w:r>
      <w:r w:rsidRPr="00CA2CC1">
        <w:rPr>
          <w:rStyle w:val="EndnoteReference"/>
          <w:rFonts w:ascii="Calibri" w:hAnsi="Calibri" w:cs="Calibri"/>
        </w:rPr>
        <w:endnoteReference w:id="112"/>
      </w:r>
      <w:bookmarkStart w:id="56" w:name="_Toc109662730"/>
    </w:p>
    <w:p w14:paraId="419D311A" w14:textId="77777777" w:rsidR="00B24306" w:rsidRDefault="00B24306" w:rsidP="00B24306">
      <w:pPr>
        <w:pStyle w:val="Heading1"/>
      </w:pPr>
    </w:p>
    <w:p w14:paraId="7A937BF4" w14:textId="3A1B3A6D" w:rsidR="00373ED9" w:rsidRPr="00B24306" w:rsidRDefault="00373ED9" w:rsidP="00B24306">
      <w:pPr>
        <w:pStyle w:val="Heading1"/>
      </w:pPr>
      <w:r w:rsidRPr="00B24306">
        <w:t>Connecting communities</w:t>
      </w:r>
      <w:bookmarkEnd w:id="56"/>
    </w:p>
    <w:p w14:paraId="07074671" w14:textId="77777777" w:rsidR="00373ED9" w:rsidRPr="00CA2CC1" w:rsidRDefault="00373ED9" w:rsidP="0043303B">
      <w:pPr>
        <w:pStyle w:val="Heading3"/>
        <w:rPr>
          <w:rFonts w:cs="Calibri"/>
        </w:rPr>
      </w:pPr>
      <w:r w:rsidRPr="00CA2CC1">
        <w:rPr>
          <w:rFonts w:cs="Calibri"/>
        </w:rPr>
        <w:t xml:space="preserve">Priority description from the </w:t>
      </w:r>
      <w:r w:rsidRPr="00CA2CC1">
        <w:rPr>
          <w:rFonts w:cs="Calibri"/>
          <w:i/>
          <w:iCs/>
        </w:rPr>
        <w:t>Victorian infrastructure plan 2021</w:t>
      </w:r>
    </w:p>
    <w:p w14:paraId="3D2607D6" w14:textId="77777777" w:rsidR="00373ED9" w:rsidRPr="00CA2CC1" w:rsidRDefault="00373ED9" w:rsidP="0043303B">
      <w:pPr>
        <w:pStyle w:val="IVBodyText"/>
        <w:spacing w:line="240" w:lineRule="auto"/>
        <w:rPr>
          <w:rFonts w:ascii="Calibri" w:hAnsi="Calibri" w:cs="Calibri"/>
          <w:b/>
          <w:bCs/>
          <w:color w:val="auto"/>
        </w:rPr>
      </w:pPr>
      <w:r w:rsidRPr="00CA2CC1">
        <w:rPr>
          <w:rFonts w:ascii="Calibri" w:hAnsi="Calibri" w:cs="Calibri"/>
          <w:b/>
          <w:bCs/>
          <w:color w:val="auto"/>
        </w:rPr>
        <w:t>Local and regional economies are important to the prosperity of the entire state. It is vital to support changing work and travel patterns, particularly as Victoria recovers from the effects of the COVID-19 pandemic. We are improving safety, reliability, and journey times for all network users, and driving the efficient movement of freight across Victoria.</w:t>
      </w:r>
    </w:p>
    <w:p w14:paraId="77076BB7" w14:textId="77777777" w:rsidR="00373ED9" w:rsidRPr="00CA2CC1" w:rsidRDefault="00373ED9" w:rsidP="0043303B">
      <w:pPr>
        <w:pStyle w:val="Heading3"/>
        <w:rPr>
          <w:rFonts w:cs="Calibri"/>
        </w:rPr>
      </w:pPr>
      <w:r w:rsidRPr="00CA2CC1">
        <w:rPr>
          <w:rFonts w:cs="Calibri"/>
        </w:rPr>
        <w:t>Victorian Government progress in 2022–23</w:t>
      </w:r>
    </w:p>
    <w:p w14:paraId="72BC368D"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 xml:space="preserve">This priority aims to efficiently connect people and move freight around Victoria. Better infrastructure serving regional and local economies can make moving easier in Victoria’s cities, towns, and regions. It can connect communities to jobs, services, and leisure activities. Changes that lead to faster, safer and more reliable journeys can help progress this priority. </w:t>
      </w:r>
    </w:p>
    <w:p w14:paraId="3985AECB" w14:textId="57A3C736" w:rsidR="00373ED9" w:rsidRPr="00CA2CC1" w:rsidRDefault="00373ED9" w:rsidP="0043303B">
      <w:pPr>
        <w:pStyle w:val="IVBodyText"/>
        <w:spacing w:line="240" w:lineRule="auto"/>
        <w:rPr>
          <w:rFonts w:ascii="Calibri" w:hAnsi="Calibri" w:cs="Calibri"/>
        </w:rPr>
      </w:pPr>
      <w:r w:rsidRPr="00CA2CC1">
        <w:rPr>
          <w:rFonts w:ascii="Calibri" w:hAnsi="Calibri" w:cs="Calibri"/>
        </w:rPr>
        <w:t xml:space="preserve">Public transport reliability increased slightly in 2022–23 compared with 2021–22. One measure of public transport reliability is the ‘percentage of scheduled services delivered’. This means the number </w:t>
      </w:r>
      <w:r w:rsidR="00415226" w:rsidRPr="00CA2CC1">
        <w:rPr>
          <w:rFonts w:ascii="Calibri" w:hAnsi="Calibri" w:cs="Calibri"/>
        </w:rPr>
        <w:t xml:space="preserve">of </w:t>
      </w:r>
      <w:r w:rsidRPr="00CA2CC1">
        <w:rPr>
          <w:rFonts w:ascii="Calibri" w:hAnsi="Calibri" w:cs="Calibri"/>
        </w:rPr>
        <w:t>public transport services that actually run, as a proportion of the number of services scheduled to operate on the timetable. The government expects the percentage of scheduled services delivered in Melbourne for trains, trams and buses to increase slightly.</w:t>
      </w:r>
      <w:r w:rsidRPr="00CA2CC1">
        <w:rPr>
          <w:rStyle w:val="EndnoteReference"/>
          <w:rFonts w:ascii="Calibri" w:hAnsi="Calibri" w:cs="Calibri"/>
          <w:szCs w:val="22"/>
        </w:rPr>
        <w:endnoteReference w:id="113"/>
      </w:r>
      <w:r w:rsidRPr="00CA2CC1">
        <w:rPr>
          <w:rFonts w:ascii="Calibri" w:hAnsi="Calibri" w:cs="Calibri"/>
        </w:rPr>
        <w:t xml:space="preserve"> It also expects the percentage of scheduled services delivered for regional trains </w:t>
      </w:r>
      <w:r w:rsidR="0066632D" w:rsidRPr="00CA2CC1">
        <w:rPr>
          <w:rFonts w:ascii="Calibri" w:hAnsi="Calibri" w:cs="Calibri"/>
        </w:rPr>
        <w:t xml:space="preserve">to </w:t>
      </w:r>
      <w:r w:rsidRPr="00CA2CC1">
        <w:rPr>
          <w:rFonts w:ascii="Calibri" w:hAnsi="Calibri" w:cs="Calibri"/>
        </w:rPr>
        <w:t>increase</w:t>
      </w:r>
      <w:r w:rsidRPr="00CA2CC1">
        <w:rPr>
          <w:rStyle w:val="EndnoteReference"/>
          <w:rFonts w:ascii="Calibri" w:hAnsi="Calibri" w:cs="Calibri"/>
          <w:szCs w:val="22"/>
        </w:rPr>
        <w:endnoteReference w:id="114"/>
      </w:r>
      <w:r w:rsidRPr="00CA2CC1">
        <w:rPr>
          <w:rFonts w:ascii="Calibri" w:hAnsi="Calibri" w:cs="Calibri"/>
        </w:rPr>
        <w:t xml:space="preserve"> and the proportion of scheduled regional bus services delivered to stay the same.</w:t>
      </w:r>
      <w:r w:rsidRPr="00CA2CC1">
        <w:rPr>
          <w:rStyle w:val="EndnoteReference"/>
          <w:rFonts w:ascii="Calibri" w:hAnsi="Calibri" w:cs="Calibri"/>
          <w:szCs w:val="22"/>
        </w:rPr>
        <w:endnoteReference w:id="115"/>
      </w:r>
      <w:r w:rsidRPr="00CA2CC1">
        <w:rPr>
          <w:rFonts w:ascii="Calibri" w:hAnsi="Calibri" w:cs="Calibri"/>
        </w:rPr>
        <w:t xml:space="preserve"> The number of metropolitan and regional public transport passengers increased between 2020–21 and 2021–22,</w:t>
      </w:r>
      <w:r w:rsidRPr="00CA2CC1">
        <w:rPr>
          <w:rStyle w:val="EndnoteReference"/>
          <w:rFonts w:ascii="Calibri" w:hAnsi="Calibri" w:cs="Calibri"/>
        </w:rPr>
        <w:endnoteReference w:id="116"/>
      </w:r>
      <w:r w:rsidRPr="00CA2CC1">
        <w:rPr>
          <w:rFonts w:ascii="Calibri" w:hAnsi="Calibri" w:cs="Calibri"/>
        </w:rPr>
        <w:t xml:space="preserve"> but is still fewer than before the COVID-19 pandemic.</w:t>
      </w:r>
      <w:r w:rsidRPr="00CA2CC1">
        <w:rPr>
          <w:rStyle w:val="EndnoteReference"/>
          <w:rFonts w:ascii="Calibri" w:hAnsi="Calibri" w:cs="Calibri"/>
        </w:rPr>
        <w:endnoteReference w:id="117"/>
      </w:r>
      <w:r w:rsidRPr="00CA2CC1">
        <w:rPr>
          <w:rFonts w:ascii="Calibri" w:hAnsi="Calibri" w:cs="Calibri"/>
        </w:rPr>
        <w:t xml:space="preserve"> </w:t>
      </w:r>
    </w:p>
    <w:p w14:paraId="588F670E"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Metropolitan roads had more reliable travel times in the 2022–23 financial year compared with the year before. We used a travel time measure of the percentage of nominal 30-minute trips that would have been completed within 35 minutes on normal weekdays during school terms. Against this measure, 91.7% of trips had reliable travel times in 2021–22,</w:t>
      </w:r>
      <w:r w:rsidRPr="00CA2CC1">
        <w:rPr>
          <w:rStyle w:val="EndnoteReference"/>
          <w:rFonts w:ascii="Calibri" w:hAnsi="Calibri" w:cs="Calibri"/>
        </w:rPr>
        <w:endnoteReference w:id="118"/>
      </w:r>
      <w:r w:rsidRPr="00CA2CC1">
        <w:rPr>
          <w:rFonts w:ascii="Calibri" w:hAnsi="Calibri" w:cs="Calibri"/>
        </w:rPr>
        <w:t xml:space="preserve"> compared with 87.6% the year before.</w:t>
      </w:r>
      <w:r w:rsidRPr="00CA2CC1">
        <w:rPr>
          <w:rStyle w:val="EndnoteReference"/>
          <w:rFonts w:ascii="Calibri" w:hAnsi="Calibri" w:cs="Calibri"/>
        </w:rPr>
        <w:endnoteReference w:id="119"/>
      </w:r>
      <w:r w:rsidRPr="00CA2CC1">
        <w:rPr>
          <w:rFonts w:ascii="Calibri" w:hAnsi="Calibri" w:cs="Calibri"/>
        </w:rPr>
        <w:t xml:space="preserve">  </w:t>
      </w:r>
    </w:p>
    <w:p w14:paraId="10715E9A" w14:textId="77777777" w:rsidR="00373ED9" w:rsidRPr="00CA2CC1" w:rsidRDefault="00373ED9" w:rsidP="0043303B">
      <w:pPr>
        <w:pStyle w:val="IVBodyText"/>
        <w:spacing w:line="240" w:lineRule="auto"/>
        <w:rPr>
          <w:rFonts w:ascii="Calibri" w:hAnsi="Calibri" w:cs="Calibri"/>
          <w:b/>
          <w:bCs/>
        </w:rPr>
      </w:pPr>
      <w:r w:rsidRPr="00CA2CC1">
        <w:rPr>
          <w:rFonts w:ascii="Calibri" w:hAnsi="Calibri" w:cs="Calibri"/>
          <w:i/>
          <w:iCs/>
        </w:rPr>
        <w:lastRenderedPageBreak/>
        <w:t>The Victorian Road Safety Strategy 2021–2030</w:t>
      </w:r>
      <w:r w:rsidRPr="00CA2CC1">
        <w:rPr>
          <w:rFonts w:ascii="Calibri" w:hAnsi="Calibri" w:cs="Calibri"/>
        </w:rPr>
        <w:t xml:space="preserve"> committed to eliminating deaths on Victoria’s roads by 2050. It aimed to halve road deaths by 2030.</w:t>
      </w:r>
      <w:r w:rsidRPr="00CA2CC1">
        <w:rPr>
          <w:rStyle w:val="EndnoteReference"/>
          <w:rFonts w:ascii="Calibri" w:hAnsi="Calibri" w:cs="Calibri"/>
        </w:rPr>
        <w:endnoteReference w:id="120"/>
      </w:r>
      <w:r w:rsidRPr="00CA2CC1">
        <w:rPr>
          <w:rFonts w:ascii="Calibri" w:hAnsi="Calibri" w:cs="Calibri"/>
        </w:rPr>
        <w:t xml:space="preserve"> Sadly, in 2022, 241 people died in Victorian road crashes, 7 more than in 2021.</w:t>
      </w:r>
      <w:r w:rsidRPr="00CA2CC1">
        <w:rPr>
          <w:rStyle w:val="EndnoteReference"/>
          <w:rFonts w:ascii="Calibri" w:hAnsi="Calibri" w:cs="Calibri"/>
        </w:rPr>
        <w:endnoteReference w:id="121"/>
      </w:r>
      <w:r w:rsidRPr="00CA2CC1">
        <w:rPr>
          <w:rFonts w:ascii="Calibri" w:hAnsi="Calibri" w:cs="Calibri"/>
        </w:rPr>
        <w:t xml:space="preserve"> This is also higher than the previous 5-year average.</w:t>
      </w:r>
      <w:r w:rsidRPr="00CA2CC1">
        <w:rPr>
          <w:rStyle w:val="EndnoteReference"/>
          <w:rFonts w:ascii="Calibri" w:hAnsi="Calibri" w:cs="Calibri"/>
        </w:rPr>
        <w:endnoteReference w:id="122"/>
      </w:r>
      <w:r w:rsidRPr="00CA2CC1">
        <w:rPr>
          <w:rFonts w:ascii="Calibri" w:hAnsi="Calibri" w:cs="Calibri"/>
        </w:rPr>
        <w:t xml:space="preserve"> The number of fatalities on Victorian roads is an indicator of road safety.</w:t>
      </w:r>
    </w:p>
    <w:p w14:paraId="6846FD9A"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Different transport modes can contribute to progress on this priority, including walking and cycling. If cyclists and pedestrians feel safer using roads, they are more likely to travel using active transport. This helps people stay healthy and assists Victoria to achieve its aim for 25% of trips to be by foot or bicycle by 2030.</w:t>
      </w:r>
      <w:r w:rsidRPr="00CA2CC1">
        <w:rPr>
          <w:rStyle w:val="EndnoteReference"/>
          <w:rFonts w:ascii="Calibri" w:hAnsi="Calibri" w:cs="Calibri"/>
        </w:rPr>
        <w:endnoteReference w:id="123"/>
      </w:r>
      <w:r w:rsidRPr="00CA2CC1">
        <w:rPr>
          <w:rFonts w:ascii="Calibri" w:hAnsi="Calibri" w:cs="Calibri"/>
        </w:rPr>
        <w:t xml:space="preserve"> The Victorian Government is upgrading St Kilda Road to make it safer for cyclists.</w:t>
      </w:r>
      <w:r w:rsidRPr="00CA2CC1">
        <w:rPr>
          <w:rStyle w:val="EndnoteReference"/>
          <w:rFonts w:ascii="Calibri" w:hAnsi="Calibri" w:cs="Calibri"/>
        </w:rPr>
        <w:endnoteReference w:id="124"/>
      </w:r>
      <w:r w:rsidRPr="00CA2CC1">
        <w:rPr>
          <w:rFonts w:ascii="Calibri" w:hAnsi="Calibri" w:cs="Calibri"/>
        </w:rPr>
        <w:t xml:space="preserve"> The project started in September 2022 and will build new bike lanes to separate cyclists from motor vehicles.</w:t>
      </w:r>
      <w:r w:rsidRPr="00CA2CC1">
        <w:rPr>
          <w:rStyle w:val="EndnoteReference"/>
          <w:rFonts w:ascii="Calibri" w:hAnsi="Calibri" w:cs="Calibri"/>
        </w:rPr>
        <w:endnoteReference w:id="125"/>
      </w:r>
      <w:r w:rsidRPr="00CA2CC1">
        <w:rPr>
          <w:rFonts w:ascii="Calibri" w:hAnsi="Calibri" w:cs="Calibri"/>
        </w:rPr>
        <w:t xml:space="preserve"> </w:t>
      </w:r>
    </w:p>
    <w:p w14:paraId="067BFDFA"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Removing level crossings reduces congestion and makes travelling in Melbourne easier.</w:t>
      </w:r>
      <w:r w:rsidRPr="00CA2CC1">
        <w:rPr>
          <w:rStyle w:val="EndnoteReference"/>
          <w:rFonts w:ascii="Calibri" w:hAnsi="Calibri" w:cs="Calibri"/>
        </w:rPr>
        <w:endnoteReference w:id="126"/>
      </w:r>
      <w:r w:rsidRPr="00CA2CC1">
        <w:rPr>
          <w:rFonts w:ascii="Calibri" w:hAnsi="Calibri" w:cs="Calibri"/>
        </w:rPr>
        <w:t xml:space="preserve"> The government announced $6.522 billion of new capital funding to remove 25 level crossings on </w:t>
      </w:r>
      <w:r w:rsidRPr="00CA2CC1">
        <w:rPr>
          <w:rFonts w:ascii="Calibri" w:hAnsi="Calibri" w:cs="Calibri"/>
          <w:color w:val="000000"/>
        </w:rPr>
        <w:t>the Melton, Frankston, Hurstbridge, Sunbury, Upfield, and Werribee lines</w:t>
      </w:r>
      <w:r w:rsidRPr="00CA2CC1">
        <w:rPr>
          <w:rFonts w:ascii="Calibri" w:hAnsi="Calibri" w:cs="Calibri"/>
        </w:rPr>
        <w:t xml:space="preserve"> as a part of the Level Crossing Removal Project.</w:t>
      </w:r>
      <w:r w:rsidRPr="00CA2CC1">
        <w:rPr>
          <w:rStyle w:val="EndnoteReference"/>
          <w:rFonts w:ascii="Calibri" w:hAnsi="Calibri" w:cs="Calibri"/>
        </w:rPr>
        <w:endnoteReference w:id="127"/>
      </w:r>
      <w:r w:rsidRPr="00CA2CC1">
        <w:rPr>
          <w:rFonts w:ascii="Calibri" w:hAnsi="Calibri" w:cs="Calibri"/>
        </w:rPr>
        <w:t xml:space="preserve"> This takes the total number of funded level crossing removals to 110, with 70 already completed.</w:t>
      </w:r>
      <w:r w:rsidRPr="00CA2CC1">
        <w:rPr>
          <w:rStyle w:val="EndnoteReference"/>
          <w:rFonts w:ascii="Calibri" w:hAnsi="Calibri" w:cs="Calibri"/>
        </w:rPr>
        <w:endnoteReference w:id="128"/>
      </w:r>
      <w:r w:rsidRPr="00CA2CC1">
        <w:rPr>
          <w:rFonts w:ascii="Calibri" w:hAnsi="Calibri" w:cs="Calibri"/>
        </w:rPr>
        <w:t xml:space="preserve"> Level crossing removals also created 56 kilometres of walking and cycling paths. These help to connect communities by making walking and cycling feel safer and more pleasant.</w:t>
      </w:r>
      <w:r w:rsidRPr="00CA2CC1">
        <w:rPr>
          <w:rStyle w:val="EndnoteReference"/>
          <w:rFonts w:ascii="Calibri" w:hAnsi="Calibri" w:cs="Calibri"/>
        </w:rPr>
        <w:endnoteReference w:id="129"/>
      </w:r>
    </w:p>
    <w:p w14:paraId="5DCB0B0D"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Cheaper regional public transport fares can encourage higher use and help connect regional communities with other places. In March 2023, the government capped the price of a regional daily ticket at the same price as a metropolitan daily fare.</w:t>
      </w:r>
      <w:r w:rsidRPr="00CA2CC1">
        <w:rPr>
          <w:rStyle w:val="EndnoteReference"/>
          <w:rFonts w:ascii="Calibri" w:hAnsi="Calibri" w:cs="Calibri"/>
        </w:rPr>
        <w:endnoteReference w:id="130"/>
      </w:r>
      <w:r w:rsidRPr="00CA2CC1">
        <w:rPr>
          <w:rFonts w:ascii="Calibri" w:hAnsi="Calibri" w:cs="Calibri"/>
        </w:rPr>
        <w:t xml:space="preserve"> This is a saving of more than $40 for some journeys</w:t>
      </w:r>
      <w:r w:rsidRPr="00CA2CC1">
        <w:rPr>
          <w:rStyle w:val="EndnoteReference"/>
          <w:rFonts w:ascii="Calibri" w:hAnsi="Calibri" w:cs="Calibri"/>
        </w:rPr>
        <w:endnoteReference w:id="131"/>
      </w:r>
      <w:r w:rsidRPr="00CA2CC1">
        <w:rPr>
          <w:rFonts w:ascii="Calibri" w:hAnsi="Calibri" w:cs="Calibri"/>
        </w:rPr>
        <w:t xml:space="preserve"> but led to crowding on some services. More affordable public transport makes accessing employment, health, education, and leisure easier if there is sufficient capacity.</w:t>
      </w:r>
    </w:p>
    <w:p w14:paraId="5173EA82"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The government also announced $601 million of capital funding for 23 new regional VLocity trains.</w:t>
      </w:r>
      <w:r w:rsidRPr="00CA2CC1">
        <w:rPr>
          <w:rStyle w:val="EndnoteReference"/>
          <w:rFonts w:ascii="Calibri" w:hAnsi="Calibri" w:cs="Calibri"/>
        </w:rPr>
        <w:endnoteReference w:id="132"/>
      </w:r>
      <w:r w:rsidRPr="00CA2CC1">
        <w:rPr>
          <w:rFonts w:ascii="Calibri" w:hAnsi="Calibri" w:cs="Calibri"/>
        </w:rPr>
        <w:t xml:space="preserve"> These trains are on top of the 18 new VLocity trains described in the Victorian infrastructure plan.</w:t>
      </w:r>
      <w:r w:rsidRPr="00CA2CC1">
        <w:rPr>
          <w:rStyle w:val="EndnoteReference"/>
          <w:rFonts w:ascii="Calibri" w:hAnsi="Calibri" w:cs="Calibri"/>
        </w:rPr>
        <w:endnoteReference w:id="133"/>
      </w:r>
      <w:r w:rsidRPr="00CA2CC1">
        <w:rPr>
          <w:rFonts w:ascii="Calibri" w:hAnsi="Calibri" w:cs="Calibri"/>
        </w:rPr>
        <w:t xml:space="preserve"> The 2023–24 Budget also provided $219 million in output funding for more regional train services, and more services on the Hurstbridge and Mernda lines.</w:t>
      </w:r>
      <w:r w:rsidRPr="00CA2CC1">
        <w:rPr>
          <w:rStyle w:val="EndnoteReference"/>
          <w:rFonts w:ascii="Calibri" w:hAnsi="Calibri" w:cs="Calibri"/>
        </w:rPr>
        <w:endnoteReference w:id="134"/>
      </w:r>
    </w:p>
    <w:p w14:paraId="66F84F92"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The Car Parks for Commuters Program builds new or upgrades existing car parks near train stations.</w:t>
      </w:r>
      <w:r w:rsidRPr="00CA2CC1">
        <w:rPr>
          <w:rStyle w:val="EndnoteReference"/>
          <w:rFonts w:ascii="Calibri" w:hAnsi="Calibri" w:cs="Calibri"/>
        </w:rPr>
        <w:endnoteReference w:id="135"/>
      </w:r>
      <w:r w:rsidRPr="00CA2CC1">
        <w:rPr>
          <w:rFonts w:ascii="Calibri" w:hAnsi="Calibri" w:cs="Calibri"/>
        </w:rPr>
        <w:t xml:space="preserve"> The program also improves parking for people with disabilities, bicycle parking facilities, lighting, and CCTV.</w:t>
      </w:r>
      <w:r w:rsidRPr="00CA2CC1">
        <w:rPr>
          <w:rStyle w:val="EndnoteReference"/>
          <w:rFonts w:ascii="Calibri" w:hAnsi="Calibri" w:cs="Calibri"/>
        </w:rPr>
        <w:endnoteReference w:id="136"/>
      </w:r>
      <w:r w:rsidRPr="00CA2CC1">
        <w:rPr>
          <w:rFonts w:ascii="Calibri" w:hAnsi="Calibri" w:cs="Calibri"/>
        </w:rPr>
        <w:t xml:space="preserve"> This makes it easier and safer to walk or ride to catch the train and makes public transport more accessible. So far, the program has built 16,000 new car spaces.</w:t>
      </w:r>
      <w:r w:rsidRPr="00CA2CC1">
        <w:rPr>
          <w:rStyle w:val="EndnoteReference"/>
          <w:rFonts w:ascii="Calibri" w:hAnsi="Calibri" w:cs="Calibri"/>
        </w:rPr>
        <w:endnoteReference w:id="137"/>
      </w:r>
      <w:r w:rsidRPr="00CA2CC1">
        <w:rPr>
          <w:rFonts w:ascii="Calibri" w:hAnsi="Calibri" w:cs="Calibri"/>
        </w:rPr>
        <w:t xml:space="preserve"> The government completed car parks at Wattle Glen, Yarraman and Nar Nar Goon in October 2022.</w:t>
      </w:r>
      <w:r w:rsidRPr="00CA2CC1">
        <w:rPr>
          <w:rStyle w:val="EndnoteReference"/>
          <w:rFonts w:ascii="Calibri" w:hAnsi="Calibri" w:cs="Calibri"/>
        </w:rPr>
        <w:endnoteReference w:id="138"/>
      </w:r>
      <w:r w:rsidRPr="00CA2CC1">
        <w:rPr>
          <w:rFonts w:ascii="Calibri" w:hAnsi="Calibri" w:cs="Calibri"/>
        </w:rPr>
        <w:t xml:space="preserve"> The Australian Government partially funds the program.</w:t>
      </w:r>
      <w:r w:rsidRPr="00CA2CC1">
        <w:rPr>
          <w:rStyle w:val="EndnoteReference"/>
          <w:rFonts w:ascii="Calibri" w:hAnsi="Calibri" w:cs="Calibri"/>
        </w:rPr>
        <w:endnoteReference w:id="139"/>
      </w:r>
    </w:p>
    <w:p w14:paraId="5F1185C7"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 xml:space="preserve">Investing in better local bus connections and cycling infrastructure can reduce demand for carparking at train stations. Free parking at train stations and park-and-ride facilities encourages some people to drive rather than walk, cycle or catch a local connecting bus. It also encourages overuse of valuable land for carparks. In </w:t>
      </w:r>
      <w:r w:rsidRPr="00CA2CC1">
        <w:rPr>
          <w:rFonts w:ascii="Calibri" w:hAnsi="Calibri" w:cs="Calibri"/>
          <w:i/>
          <w:iCs/>
        </w:rPr>
        <w:t>Victoria’s infrastructure strategy 2021–51</w:t>
      </w:r>
      <w:r w:rsidRPr="00CA2CC1">
        <w:rPr>
          <w:rFonts w:ascii="Calibri" w:hAnsi="Calibri" w:cs="Calibri"/>
        </w:rPr>
        <w:t xml:space="preserve"> we recommended pricing parking at major public transport hubs. This will help encourage people to use public and active transport to travel to them, and leave parking spaces available for public transport users who need them most.</w:t>
      </w:r>
      <w:r w:rsidRPr="00CA2CC1">
        <w:rPr>
          <w:rStyle w:val="EndnoteReference"/>
          <w:rFonts w:ascii="Calibri" w:hAnsi="Calibri" w:cs="Calibri"/>
        </w:rPr>
        <w:endnoteReference w:id="140"/>
      </w:r>
    </w:p>
    <w:p w14:paraId="3E461928"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Improving Victoria’s freight network also helps progress this priority. In August 2022, the government finished building the tracks that connect the Port of Melbourne with Dandenong South, as a part of the Port Rail Shuttle network.</w:t>
      </w:r>
      <w:r w:rsidRPr="00CA2CC1">
        <w:rPr>
          <w:rStyle w:val="EndnoteReference"/>
          <w:rFonts w:ascii="Calibri" w:hAnsi="Calibri" w:cs="Calibri"/>
        </w:rPr>
        <w:endnoteReference w:id="141"/>
      </w:r>
      <w:r w:rsidRPr="00CA2CC1">
        <w:rPr>
          <w:rFonts w:ascii="Calibri" w:hAnsi="Calibri" w:cs="Calibri"/>
        </w:rPr>
        <w:t xml:space="preserve"> It also made progress on the Murray Basin Rail Project, which will enable freight trains to operate with heavier loads.</w:t>
      </w:r>
      <w:r w:rsidRPr="00CA2CC1">
        <w:rPr>
          <w:rStyle w:val="EndnoteReference"/>
          <w:rFonts w:ascii="Calibri" w:hAnsi="Calibri" w:cs="Calibri"/>
        </w:rPr>
        <w:endnoteReference w:id="142"/>
      </w:r>
    </w:p>
    <w:p w14:paraId="223FE2A8" w14:textId="77777777" w:rsidR="00373ED9" w:rsidRPr="00CA2CC1" w:rsidRDefault="00373ED9" w:rsidP="0043303B">
      <w:pPr>
        <w:pStyle w:val="IVBodyText"/>
        <w:spacing w:line="240" w:lineRule="auto"/>
        <w:rPr>
          <w:rFonts w:ascii="Calibri" w:hAnsi="Calibri" w:cs="Calibri"/>
          <w:color w:val="auto"/>
        </w:rPr>
      </w:pPr>
      <w:r w:rsidRPr="00CA2CC1">
        <w:rPr>
          <w:rFonts w:ascii="Calibri" w:hAnsi="Calibri" w:cs="Calibri"/>
          <w:i/>
          <w:iCs/>
        </w:rPr>
        <w:t>Victoria’s infrastructure strategy 2021</w:t>
      </w:r>
      <w:r w:rsidRPr="00CA2CC1">
        <w:rPr>
          <w:rFonts w:ascii="Calibri" w:hAnsi="Calibri" w:cs="Calibri"/>
        </w:rPr>
        <w:t>–</w:t>
      </w:r>
      <w:r w:rsidRPr="00CA2CC1">
        <w:rPr>
          <w:rFonts w:ascii="Calibri" w:hAnsi="Calibri" w:cs="Calibri"/>
          <w:i/>
          <w:iCs/>
        </w:rPr>
        <w:t xml:space="preserve">2051 </w:t>
      </w:r>
      <w:r w:rsidRPr="00CA2CC1">
        <w:rPr>
          <w:rFonts w:ascii="Calibri" w:hAnsi="Calibri" w:cs="Calibri"/>
        </w:rPr>
        <w:t>recommended the Victorian Government reduce bus and tram fares and make off-peak fares cheaper to encourage people to use public transport more often, especially in places and at times with spare capacity.</w:t>
      </w:r>
      <w:r w:rsidRPr="00CA2CC1">
        <w:rPr>
          <w:rStyle w:val="EndnoteReference"/>
          <w:rFonts w:ascii="Calibri" w:hAnsi="Calibri" w:cs="Calibri"/>
        </w:rPr>
        <w:endnoteReference w:id="143"/>
      </w:r>
      <w:r w:rsidRPr="00CA2CC1">
        <w:rPr>
          <w:rFonts w:ascii="Calibri" w:hAnsi="Calibri" w:cs="Calibri"/>
        </w:rPr>
        <w:t xml:space="preserve"> It recommended redesigning regional public transport to meet local needs</w:t>
      </w:r>
      <w:r w:rsidRPr="00CA2CC1">
        <w:rPr>
          <w:rStyle w:val="EndnoteReference"/>
          <w:rFonts w:ascii="Calibri" w:hAnsi="Calibri" w:cs="Calibri"/>
        </w:rPr>
        <w:endnoteReference w:id="144"/>
      </w:r>
      <w:r w:rsidRPr="00CA2CC1">
        <w:rPr>
          <w:rFonts w:ascii="Calibri" w:hAnsi="Calibri" w:cs="Calibri"/>
        </w:rPr>
        <w:t xml:space="preserve"> and funding and planning for ongoing rail freight network development and maintenance.</w:t>
      </w:r>
      <w:r w:rsidRPr="00CA2CC1">
        <w:rPr>
          <w:rStyle w:val="EndnoteReference"/>
          <w:rFonts w:ascii="Calibri" w:hAnsi="Calibri" w:cs="Calibri"/>
        </w:rPr>
        <w:endnoteReference w:id="145"/>
      </w:r>
      <w:r w:rsidRPr="00CA2CC1">
        <w:rPr>
          <w:rFonts w:ascii="Calibri" w:hAnsi="Calibri" w:cs="Calibri"/>
        </w:rPr>
        <w:t xml:space="preserve"> It also recommended prioritising and making progress on creating a network of high-quality, safe cycling corridors.</w:t>
      </w:r>
      <w:r w:rsidRPr="00CA2CC1">
        <w:rPr>
          <w:rStyle w:val="EndnoteReference"/>
          <w:rFonts w:ascii="Calibri" w:hAnsi="Calibri" w:cs="Calibri"/>
        </w:rPr>
        <w:endnoteReference w:id="146"/>
      </w:r>
    </w:p>
    <w:p w14:paraId="47D0E919" w14:textId="1880A0A8" w:rsidR="00373ED9" w:rsidRPr="00CA2CC1" w:rsidRDefault="00373ED9" w:rsidP="002D0C5C">
      <w:pPr>
        <w:pStyle w:val="Heading2"/>
        <w:rPr>
          <w:rFonts w:cs="Calibri"/>
        </w:rPr>
      </w:pPr>
      <w:bookmarkStart w:id="57" w:name="_Toc109662731"/>
      <w:r w:rsidRPr="00CA2CC1">
        <w:rPr>
          <w:rFonts w:cs="Calibri"/>
        </w:rPr>
        <w:lastRenderedPageBreak/>
        <w:t>Smarter transport solutions</w:t>
      </w:r>
      <w:bookmarkEnd w:id="57"/>
    </w:p>
    <w:p w14:paraId="348B4976" w14:textId="77777777" w:rsidR="00373ED9" w:rsidRPr="00CA2CC1" w:rsidRDefault="00373ED9" w:rsidP="0043303B">
      <w:pPr>
        <w:pStyle w:val="Heading3"/>
        <w:rPr>
          <w:rFonts w:cs="Calibri"/>
        </w:rPr>
      </w:pPr>
      <w:r w:rsidRPr="00CA2CC1">
        <w:rPr>
          <w:rFonts w:cs="Calibri"/>
        </w:rPr>
        <w:t xml:space="preserve">Priority description from the </w:t>
      </w:r>
      <w:r w:rsidRPr="00CA2CC1">
        <w:rPr>
          <w:rFonts w:cs="Calibri"/>
          <w:i/>
          <w:iCs/>
        </w:rPr>
        <w:t>Victorian infrastructure plan 2021</w:t>
      </w:r>
    </w:p>
    <w:p w14:paraId="5E8E047D" w14:textId="77777777" w:rsidR="00373ED9" w:rsidRPr="00CA2CC1" w:rsidRDefault="00373ED9" w:rsidP="0043303B">
      <w:pPr>
        <w:pStyle w:val="IVBodyText"/>
        <w:spacing w:line="240" w:lineRule="auto"/>
        <w:rPr>
          <w:rFonts w:ascii="Calibri" w:hAnsi="Calibri" w:cs="Calibri"/>
          <w:b/>
          <w:bCs/>
          <w:color w:val="auto"/>
        </w:rPr>
      </w:pPr>
      <w:r w:rsidRPr="00CA2CC1">
        <w:rPr>
          <w:rFonts w:ascii="Calibri" w:hAnsi="Calibri" w:cs="Calibri"/>
          <w:b/>
          <w:bCs/>
          <w:color w:val="auto"/>
        </w:rPr>
        <w:t>Technology solutions have the potential to drive efficiencies in the way we operate the transport network, and improve safety, capacity, sustainability, and amenity, which complement and enhance infrastructure. Emerging mobility options also have the potential to change the way we move and improve connections to economic and social opportunities.</w:t>
      </w:r>
    </w:p>
    <w:p w14:paraId="094F1A56" w14:textId="77777777" w:rsidR="00373ED9" w:rsidRPr="00CA2CC1" w:rsidRDefault="00373ED9" w:rsidP="0043303B">
      <w:pPr>
        <w:pStyle w:val="Heading3"/>
        <w:rPr>
          <w:rFonts w:cs="Calibri"/>
        </w:rPr>
      </w:pPr>
      <w:r w:rsidRPr="00CA2CC1">
        <w:rPr>
          <w:rFonts w:cs="Calibri"/>
        </w:rPr>
        <w:t>Victorian Government progress in 2022–23</w:t>
      </w:r>
    </w:p>
    <w:p w14:paraId="3AB21070"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 xml:space="preserve">This priority emphasises using technology to improve and make better use of transport infrastructure. Smarter transport solutions can help make Victoria’s network more efficient and safer. New technologies can also change the way Victorians move around our cities and regions. They can create more network capacity and improve its sustainability. </w:t>
      </w:r>
    </w:p>
    <w:p w14:paraId="5C2D5F32"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A zero-emissions bus trial began in October 2022.</w:t>
      </w:r>
      <w:r w:rsidRPr="00CA2CC1">
        <w:rPr>
          <w:rStyle w:val="EndnoteReference"/>
          <w:rFonts w:ascii="Calibri" w:hAnsi="Calibri" w:cs="Calibri"/>
        </w:rPr>
        <w:endnoteReference w:id="147"/>
      </w:r>
      <w:r w:rsidRPr="00CA2CC1">
        <w:rPr>
          <w:rFonts w:ascii="Calibri" w:hAnsi="Calibri" w:cs="Calibri"/>
        </w:rPr>
        <w:t xml:space="preserve"> It will run for 3 years in Melbourne, Traralgon and Seymour</w:t>
      </w:r>
      <w:r w:rsidRPr="00CA2CC1">
        <w:rPr>
          <w:rStyle w:val="EndnoteReference"/>
          <w:rFonts w:ascii="Calibri" w:hAnsi="Calibri" w:cs="Calibri"/>
        </w:rPr>
        <w:endnoteReference w:id="148"/>
      </w:r>
      <w:r w:rsidRPr="00CA2CC1">
        <w:rPr>
          <w:rFonts w:ascii="Calibri" w:hAnsi="Calibri" w:cs="Calibri"/>
        </w:rPr>
        <w:t xml:space="preserve"> and is a step toward the government’s goal for all new buses to produce zero emissions from 2025.</w:t>
      </w:r>
      <w:r w:rsidRPr="00CA2CC1">
        <w:rPr>
          <w:rStyle w:val="EndnoteReference"/>
          <w:rFonts w:ascii="Calibri" w:hAnsi="Calibri" w:cs="Calibri"/>
        </w:rPr>
        <w:endnoteReference w:id="149"/>
      </w:r>
      <w:r w:rsidRPr="00CA2CC1">
        <w:rPr>
          <w:rFonts w:ascii="Calibri" w:hAnsi="Calibri" w:cs="Calibri"/>
        </w:rPr>
        <w:t xml:space="preserve"> The 2023–24 Budget also funded zero-emissions buses during recontracting of metropolitan bus service contracts.</w:t>
      </w:r>
      <w:r w:rsidRPr="00CA2CC1">
        <w:rPr>
          <w:rStyle w:val="EndnoteReference"/>
          <w:rFonts w:ascii="Calibri" w:hAnsi="Calibri" w:cs="Calibri"/>
        </w:rPr>
        <w:endnoteReference w:id="150"/>
      </w:r>
      <w:r w:rsidRPr="00CA2CC1">
        <w:rPr>
          <w:rFonts w:ascii="Calibri" w:hAnsi="Calibri" w:cs="Calibri"/>
        </w:rPr>
        <w:t xml:space="preserve"> Zero-emissions buses need special facilities at bus depots to operate effectively. Melbourne’s first entirely electric bus depot opened in February 2023. It supports 12 buses operating on routes in Melbourne’s north.</w:t>
      </w:r>
      <w:r w:rsidRPr="00CA2CC1">
        <w:rPr>
          <w:rStyle w:val="EndnoteReference"/>
          <w:rFonts w:ascii="Calibri" w:hAnsi="Calibri" w:cs="Calibri"/>
        </w:rPr>
        <w:endnoteReference w:id="151"/>
      </w:r>
      <w:r w:rsidRPr="00CA2CC1">
        <w:rPr>
          <w:rFonts w:ascii="Calibri" w:hAnsi="Calibri" w:cs="Calibri"/>
        </w:rPr>
        <w:t xml:space="preserve"> The government is upgrading the depot to accommodate extra buses, including by installing 14 chargers.</w:t>
      </w:r>
      <w:r w:rsidRPr="00CA2CC1">
        <w:rPr>
          <w:rStyle w:val="EndnoteReference"/>
          <w:rFonts w:ascii="Calibri" w:hAnsi="Calibri" w:cs="Calibri"/>
        </w:rPr>
        <w:endnoteReference w:id="152"/>
      </w:r>
      <w:r w:rsidRPr="00CA2CC1">
        <w:rPr>
          <w:rFonts w:ascii="Calibri" w:hAnsi="Calibri" w:cs="Calibri"/>
        </w:rPr>
        <w:t xml:space="preserve"> In May 2023, it also completed a bus depot upgrade for electric buses in Melbourne’s west.</w:t>
      </w:r>
      <w:r w:rsidRPr="00CA2CC1">
        <w:rPr>
          <w:rStyle w:val="EndnoteReference"/>
          <w:rFonts w:ascii="Calibri" w:hAnsi="Calibri" w:cs="Calibri"/>
        </w:rPr>
        <w:endnoteReference w:id="153"/>
      </w:r>
    </w:p>
    <w:p w14:paraId="53A9D814"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Victorians privately own more than 1,000 e-scooters.</w:t>
      </w:r>
      <w:r w:rsidRPr="00CA2CC1">
        <w:rPr>
          <w:rStyle w:val="EndnoteReference"/>
          <w:rFonts w:ascii="Calibri" w:hAnsi="Calibri" w:cs="Calibri"/>
        </w:rPr>
        <w:endnoteReference w:id="154"/>
      </w:r>
      <w:r w:rsidRPr="00CA2CC1">
        <w:rPr>
          <w:rFonts w:ascii="Calibri" w:hAnsi="Calibri" w:cs="Calibri"/>
        </w:rPr>
        <w:t xml:space="preserve"> In April 2023, the government extended a controlled e-scooter trial,</w:t>
      </w:r>
      <w:r w:rsidRPr="00CA2CC1">
        <w:rPr>
          <w:rStyle w:val="EndnoteReference"/>
          <w:rFonts w:ascii="Calibri" w:hAnsi="Calibri" w:cs="Calibri"/>
        </w:rPr>
        <w:endnoteReference w:id="155"/>
      </w:r>
      <w:r w:rsidRPr="00CA2CC1">
        <w:rPr>
          <w:rFonts w:ascii="Calibri" w:hAnsi="Calibri" w:cs="Calibri"/>
        </w:rPr>
        <w:t xml:space="preserve"> which began in December 2021.</w:t>
      </w:r>
      <w:r w:rsidRPr="00CA2CC1">
        <w:rPr>
          <w:rStyle w:val="EndnoteReference"/>
          <w:rFonts w:ascii="Calibri" w:hAnsi="Calibri" w:cs="Calibri"/>
        </w:rPr>
        <w:endnoteReference w:id="156"/>
      </w:r>
      <w:r w:rsidRPr="00CA2CC1">
        <w:rPr>
          <w:rFonts w:ascii="Calibri" w:hAnsi="Calibri" w:cs="Calibri"/>
        </w:rPr>
        <w:t xml:space="preserve"> The trial provides information to help safely incorporate e-scooters into the transport system.</w:t>
      </w:r>
      <w:r w:rsidRPr="00CA2CC1">
        <w:rPr>
          <w:rStyle w:val="EndnoteReference"/>
          <w:rFonts w:ascii="Calibri" w:hAnsi="Calibri" w:cs="Calibri"/>
        </w:rPr>
        <w:endnoteReference w:id="157"/>
      </w:r>
      <w:r w:rsidRPr="00CA2CC1">
        <w:rPr>
          <w:rFonts w:ascii="Calibri" w:hAnsi="Calibri" w:cs="Calibri"/>
        </w:rPr>
        <w:t xml:space="preserve"> People using e-scooters avoided producing over 400 tonnes of carbon dioxide emissions, demonstrating that new transport technologies can benefit Victoria.</w:t>
      </w:r>
      <w:r w:rsidRPr="00CA2CC1">
        <w:rPr>
          <w:rStyle w:val="EndnoteReference"/>
          <w:rFonts w:ascii="Calibri" w:hAnsi="Calibri" w:cs="Calibri"/>
        </w:rPr>
        <w:endnoteReference w:id="158"/>
      </w:r>
      <w:r w:rsidRPr="00CA2CC1">
        <w:rPr>
          <w:rFonts w:ascii="Calibri" w:hAnsi="Calibri" w:cs="Calibri"/>
        </w:rPr>
        <w:t xml:space="preserve"> But e-scooters can also pose a risk to pedestrians, especially vulnerable pedestrians such as the elderly, children and people with disabilities.</w:t>
      </w:r>
      <w:r w:rsidRPr="00CA2CC1">
        <w:rPr>
          <w:rStyle w:val="EndnoteReference"/>
          <w:rFonts w:ascii="Calibri" w:hAnsi="Calibri" w:cs="Calibri"/>
        </w:rPr>
        <w:endnoteReference w:id="159"/>
      </w:r>
      <w:r w:rsidRPr="00CA2CC1">
        <w:rPr>
          <w:rFonts w:ascii="Calibri" w:hAnsi="Calibri" w:cs="Calibri"/>
        </w:rPr>
        <w:t xml:space="preserve"> In </w:t>
      </w:r>
      <w:r w:rsidRPr="00CA2CC1">
        <w:rPr>
          <w:rFonts w:ascii="Calibri" w:hAnsi="Calibri" w:cs="Calibri"/>
          <w:i/>
          <w:iCs/>
        </w:rPr>
        <w:t>Victoria’s infrastructure strategy 2021–2051</w:t>
      </w:r>
      <w:r w:rsidRPr="00CA2CC1">
        <w:rPr>
          <w:rFonts w:ascii="Calibri" w:hAnsi="Calibri" w:cs="Calibri"/>
        </w:rPr>
        <w:t xml:space="preserve"> we recommended incorporating mobility devices in regulation to safely realise their full potential and reduce the risk of conflicts and collisions.</w:t>
      </w:r>
      <w:r w:rsidRPr="00CA2CC1">
        <w:rPr>
          <w:rStyle w:val="EndnoteReference"/>
          <w:rFonts w:ascii="Calibri" w:hAnsi="Calibri" w:cs="Calibri"/>
          <w:color w:val="000000"/>
        </w:rPr>
        <w:endnoteReference w:id="160"/>
      </w:r>
    </w:p>
    <w:p w14:paraId="35D36C14"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High-capacity signalling can improve the capacity of the train network. It uses technology to allow more trains to operate on each rail line.</w:t>
      </w:r>
      <w:r w:rsidRPr="00CA2CC1">
        <w:rPr>
          <w:rStyle w:val="EndnoteReference"/>
          <w:rFonts w:ascii="Calibri" w:hAnsi="Calibri" w:cs="Calibri"/>
        </w:rPr>
        <w:endnoteReference w:id="161"/>
      </w:r>
      <w:r w:rsidRPr="00CA2CC1">
        <w:rPr>
          <w:rFonts w:ascii="Calibri" w:hAnsi="Calibri" w:cs="Calibri"/>
        </w:rPr>
        <w:t xml:space="preserve"> The government is installing high-capacity signalling in the Metro Tunnel, and on the Pakenham, Cranbourne, and Sunbury lines.</w:t>
      </w:r>
      <w:r w:rsidRPr="00CA2CC1">
        <w:rPr>
          <w:rStyle w:val="EndnoteReference"/>
          <w:rFonts w:ascii="Calibri" w:hAnsi="Calibri" w:cs="Calibri"/>
        </w:rPr>
        <w:endnoteReference w:id="162"/>
      </w:r>
      <w:r w:rsidRPr="00CA2CC1">
        <w:rPr>
          <w:rFonts w:ascii="Calibri" w:hAnsi="Calibri" w:cs="Calibri"/>
        </w:rPr>
        <w:t xml:space="preserve"> Combined with bigger and more modern trains, the government expects this to allow trains to carry 45% more passengers during peak periods.</w:t>
      </w:r>
      <w:r w:rsidRPr="00CA2CC1">
        <w:rPr>
          <w:rStyle w:val="EndnoteReference"/>
          <w:rFonts w:ascii="Calibri" w:hAnsi="Calibri" w:cs="Calibri"/>
        </w:rPr>
        <w:endnoteReference w:id="163"/>
      </w:r>
      <w:r w:rsidRPr="00CA2CC1">
        <w:rPr>
          <w:rFonts w:ascii="Calibri" w:hAnsi="Calibri" w:cs="Calibri"/>
        </w:rPr>
        <w:t xml:space="preserve"> </w:t>
      </w:r>
    </w:p>
    <w:p w14:paraId="0AE61BED"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Better public transport ticketing technology can make public transport more accessible. The Victorian Government signed a new ticketing contract in May 2023.</w:t>
      </w:r>
      <w:r w:rsidRPr="00CA2CC1">
        <w:rPr>
          <w:rStyle w:val="EndnoteReference"/>
          <w:rFonts w:ascii="Calibri" w:hAnsi="Calibri" w:cs="Calibri"/>
        </w:rPr>
        <w:endnoteReference w:id="164"/>
      </w:r>
      <w:r w:rsidRPr="00CA2CC1">
        <w:rPr>
          <w:rFonts w:ascii="Calibri" w:hAnsi="Calibri" w:cs="Calibri"/>
        </w:rPr>
        <w:t xml:space="preserve"> The new operator will improve the Myki system so that people can tap on and tap off with a smartphone, smartwatch, credit, or debit card.</w:t>
      </w:r>
      <w:r w:rsidRPr="00CA2CC1">
        <w:rPr>
          <w:rStyle w:val="EndnoteReference"/>
          <w:rFonts w:ascii="Calibri" w:hAnsi="Calibri" w:cs="Calibri"/>
        </w:rPr>
        <w:endnoteReference w:id="165"/>
      </w:r>
      <w:r w:rsidRPr="00CA2CC1">
        <w:rPr>
          <w:rFonts w:ascii="Calibri" w:hAnsi="Calibri" w:cs="Calibri"/>
        </w:rPr>
        <w:t xml:space="preserve"> </w:t>
      </w:r>
      <w:r w:rsidRPr="00CA2CC1">
        <w:rPr>
          <w:rFonts w:ascii="Calibri" w:hAnsi="Calibri" w:cs="Calibri"/>
          <w:color w:val="000000"/>
        </w:rPr>
        <w:t xml:space="preserve">The new Myki ticketing contract might offer more opportunities and flexibility to progress public transport fare reform. </w:t>
      </w:r>
      <w:r w:rsidRPr="00CA2CC1">
        <w:rPr>
          <w:rFonts w:ascii="Calibri" w:hAnsi="Calibri" w:cs="Calibri"/>
        </w:rPr>
        <w:t xml:space="preserve">In </w:t>
      </w:r>
      <w:r w:rsidRPr="00CA2CC1">
        <w:rPr>
          <w:rFonts w:ascii="Calibri" w:hAnsi="Calibri" w:cs="Calibri"/>
          <w:i/>
          <w:iCs/>
        </w:rPr>
        <w:t>Victoria’s infrastructure strategy 2021–2051</w:t>
      </w:r>
      <w:r w:rsidRPr="00CA2CC1">
        <w:rPr>
          <w:rFonts w:ascii="Calibri" w:hAnsi="Calibri" w:cs="Calibri"/>
          <w:color w:val="000000"/>
        </w:rPr>
        <w:t xml:space="preserve"> we recommended </w:t>
      </w:r>
      <w:r w:rsidRPr="00CA2CC1">
        <w:rPr>
          <w:rFonts w:ascii="Calibri" w:hAnsi="Calibri" w:cs="Calibri"/>
        </w:rPr>
        <w:t>the Victorian Government reduce bus and tram fares</w:t>
      </w:r>
      <w:r w:rsidRPr="00CA2CC1">
        <w:rPr>
          <w:rStyle w:val="EndnoteReference"/>
          <w:rFonts w:ascii="Calibri" w:hAnsi="Calibri" w:cs="Calibri"/>
          <w:color w:val="000000"/>
        </w:rPr>
        <w:endnoteReference w:id="166"/>
      </w:r>
      <w:r w:rsidRPr="00CA2CC1">
        <w:rPr>
          <w:rFonts w:ascii="Calibri" w:hAnsi="Calibri" w:cs="Calibri"/>
        </w:rPr>
        <w:t xml:space="preserve"> and adopt off-peak discounts for metropolitan public transport fares.</w:t>
      </w:r>
      <w:r w:rsidRPr="00CA2CC1">
        <w:rPr>
          <w:rStyle w:val="EndnoteReference"/>
          <w:rFonts w:ascii="Calibri" w:hAnsi="Calibri" w:cs="Calibri"/>
          <w:color w:val="000000"/>
        </w:rPr>
        <w:endnoteReference w:id="167"/>
      </w:r>
      <w:r w:rsidRPr="00CA2CC1">
        <w:rPr>
          <w:rFonts w:ascii="Calibri" w:hAnsi="Calibri" w:cs="Calibri"/>
        </w:rPr>
        <w:t xml:space="preserve"> These can encourage more people to catch public transport when it has spare capacity.</w:t>
      </w:r>
    </w:p>
    <w:p w14:paraId="38CA12B6" w14:textId="21BDFED5" w:rsidR="00373ED9" w:rsidRPr="00CA2CC1" w:rsidRDefault="00373ED9" w:rsidP="0043303B">
      <w:pPr>
        <w:pStyle w:val="IVBodyText"/>
        <w:spacing w:line="240" w:lineRule="auto"/>
        <w:rPr>
          <w:rFonts w:ascii="Calibri" w:hAnsi="Calibri" w:cs="Calibri"/>
        </w:rPr>
      </w:pPr>
      <w:r w:rsidRPr="00CA2CC1">
        <w:rPr>
          <w:rFonts w:ascii="Calibri" w:hAnsi="Calibri" w:cs="Calibri"/>
          <w:i/>
          <w:iCs/>
        </w:rPr>
        <w:t>Victoria’s infrastructure strategy 2021</w:t>
      </w:r>
      <w:r w:rsidRPr="00CA2CC1">
        <w:rPr>
          <w:rFonts w:ascii="Calibri" w:hAnsi="Calibri" w:cs="Calibri"/>
        </w:rPr>
        <w:t>–</w:t>
      </w:r>
      <w:r w:rsidRPr="00CA2CC1">
        <w:rPr>
          <w:rFonts w:ascii="Calibri" w:hAnsi="Calibri" w:cs="Calibri"/>
          <w:i/>
          <w:iCs/>
        </w:rPr>
        <w:t>2051</w:t>
      </w:r>
      <w:r w:rsidRPr="00CA2CC1">
        <w:rPr>
          <w:rFonts w:ascii="Calibri" w:hAnsi="Calibri" w:cs="Calibri"/>
        </w:rPr>
        <w:t xml:space="preserve"> recommended introducing new road network demand management technology to manage traffic demand.</w:t>
      </w:r>
      <w:r w:rsidRPr="00CA2CC1">
        <w:rPr>
          <w:rStyle w:val="EndnoteReference"/>
          <w:rFonts w:ascii="Calibri" w:hAnsi="Calibri" w:cs="Calibri"/>
        </w:rPr>
        <w:endnoteReference w:id="168"/>
      </w:r>
      <w:r w:rsidRPr="00CA2CC1">
        <w:rPr>
          <w:rFonts w:ascii="Calibri" w:hAnsi="Calibri" w:cs="Calibri"/>
        </w:rPr>
        <w:t xml:space="preserve"> The Smarter Roads Program deploys transport technology such as live traffic monitoring cameras, live travel signs, vehicle detectors and pedestrian crossing sensors to adjust and manage traffic flows.</w:t>
      </w:r>
      <w:r w:rsidRPr="00CA2CC1">
        <w:rPr>
          <w:rStyle w:val="EndnoteReference"/>
          <w:rFonts w:ascii="Calibri" w:hAnsi="Calibri" w:cs="Calibri"/>
        </w:rPr>
        <w:endnoteReference w:id="169"/>
      </w:r>
      <w:r w:rsidRPr="00CA2CC1">
        <w:rPr>
          <w:rFonts w:ascii="Calibri" w:hAnsi="Calibri" w:cs="Calibri"/>
        </w:rPr>
        <w:t xml:space="preserve"> It aims to reduce delays, respond to changing traffic patterns, and better manage congestion on Melbourne’s arterial roads.</w:t>
      </w:r>
      <w:r w:rsidRPr="00CA2CC1">
        <w:rPr>
          <w:rStyle w:val="EndnoteReference"/>
          <w:rFonts w:ascii="Calibri" w:hAnsi="Calibri" w:cs="Calibri"/>
        </w:rPr>
        <w:endnoteReference w:id="170"/>
      </w:r>
      <w:r w:rsidRPr="00CA2CC1">
        <w:rPr>
          <w:rFonts w:ascii="Calibri" w:hAnsi="Calibri" w:cs="Calibri"/>
        </w:rPr>
        <w:t xml:space="preserve"> In 2022–23 the program optimised traffic lights to help traffic flow more smoothly, such as on parts of Warrigal Road and South </w:t>
      </w:r>
      <w:r w:rsidRPr="00CA2CC1">
        <w:rPr>
          <w:rFonts w:ascii="Calibri" w:hAnsi="Calibri" w:cs="Calibri"/>
        </w:rPr>
        <w:lastRenderedPageBreak/>
        <w:t>Road.</w:t>
      </w:r>
      <w:r w:rsidRPr="00CA2CC1">
        <w:rPr>
          <w:rStyle w:val="EndnoteReference"/>
          <w:rFonts w:ascii="Calibri" w:hAnsi="Calibri" w:cs="Calibri"/>
        </w:rPr>
        <w:endnoteReference w:id="171"/>
      </w:r>
      <w:r w:rsidRPr="00CA2CC1">
        <w:rPr>
          <w:rFonts w:ascii="Calibri" w:hAnsi="Calibri" w:cs="Calibri"/>
        </w:rPr>
        <w:t xml:space="preserve"> It also reviewed other traffic lights, like those at Boundary and Wells Road.</w:t>
      </w:r>
      <w:r w:rsidRPr="00CA2CC1">
        <w:rPr>
          <w:rStyle w:val="EndnoteReference"/>
          <w:rFonts w:ascii="Calibri" w:hAnsi="Calibri" w:cs="Calibri"/>
        </w:rPr>
        <w:endnoteReference w:id="172"/>
      </w:r>
      <w:r w:rsidRPr="00CA2CC1">
        <w:rPr>
          <w:rFonts w:ascii="Calibri" w:hAnsi="Calibri" w:cs="Calibri"/>
        </w:rPr>
        <w:t xml:space="preserve"> These improvements reduced queueing and congestion during peak times and also shortened wait times at pedestrian crossings.</w:t>
      </w:r>
      <w:r w:rsidRPr="00CA2CC1">
        <w:rPr>
          <w:rStyle w:val="EndnoteReference"/>
          <w:rFonts w:ascii="Calibri" w:hAnsi="Calibri" w:cs="Calibri"/>
        </w:rPr>
        <w:endnoteReference w:id="173"/>
      </w:r>
      <w:r w:rsidRPr="00CA2CC1">
        <w:rPr>
          <w:rFonts w:ascii="Calibri" w:hAnsi="Calibri" w:cs="Calibri"/>
        </w:rPr>
        <w:t xml:space="preserve"> </w:t>
      </w:r>
    </w:p>
    <w:p w14:paraId="3B3CB220"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The transport sector produced 25% of Victoria’s greenhouse gas emissions in 2020, and this figure is increasing.</w:t>
      </w:r>
      <w:r w:rsidRPr="00CA2CC1">
        <w:rPr>
          <w:rStyle w:val="EndnoteReference"/>
          <w:rFonts w:ascii="Calibri" w:hAnsi="Calibri" w:cs="Calibri"/>
        </w:rPr>
        <w:endnoteReference w:id="174"/>
      </w:r>
      <w:r w:rsidRPr="00CA2CC1">
        <w:rPr>
          <w:rFonts w:ascii="Calibri" w:hAnsi="Calibri" w:cs="Calibri"/>
        </w:rPr>
        <w:t xml:space="preserve"> Road transport, such as cars, contribute nearly 90% of Victoria’s transport emissions.</w:t>
      </w:r>
      <w:r w:rsidRPr="00CA2CC1">
        <w:rPr>
          <w:rStyle w:val="EndnoteReference"/>
          <w:rFonts w:ascii="Calibri" w:hAnsi="Calibri" w:cs="Calibri"/>
        </w:rPr>
        <w:endnoteReference w:id="175"/>
      </w:r>
    </w:p>
    <w:p w14:paraId="228A3F95"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 xml:space="preserve">To achieve net zero transport emissions, Victoria must adopt zero emission transport technologies. In </w:t>
      </w:r>
      <w:r w:rsidRPr="00CA2CC1">
        <w:rPr>
          <w:rFonts w:ascii="Calibri" w:hAnsi="Calibri" w:cs="Calibri"/>
          <w:i/>
          <w:iCs/>
        </w:rPr>
        <w:t>Victoria’s infrastructure strategy 2021</w:t>
      </w:r>
      <w:r w:rsidRPr="00CA2CC1">
        <w:rPr>
          <w:rFonts w:ascii="Calibri" w:hAnsi="Calibri" w:cs="Calibri"/>
        </w:rPr>
        <w:t>–</w:t>
      </w:r>
      <w:r w:rsidRPr="00CA2CC1">
        <w:rPr>
          <w:rFonts w:ascii="Calibri" w:hAnsi="Calibri" w:cs="Calibri"/>
          <w:i/>
          <w:iCs/>
        </w:rPr>
        <w:t>2051</w:t>
      </w:r>
      <w:r w:rsidRPr="00CA2CC1">
        <w:rPr>
          <w:rFonts w:ascii="Calibri" w:hAnsi="Calibri" w:cs="Calibri"/>
        </w:rPr>
        <w:t xml:space="preserve"> we recommended the Victorian Government accelerate consumer purchases of zero-emissions vehicles, including committing to no longer registering new petrol and diesel vehicles by 2035</w:t>
      </w:r>
      <w:r w:rsidRPr="00CA2CC1">
        <w:rPr>
          <w:rFonts w:ascii="Calibri" w:hAnsi="Calibri" w:cs="Calibri"/>
          <w:i/>
          <w:iCs/>
        </w:rPr>
        <w:t>.</w:t>
      </w:r>
      <w:r w:rsidRPr="00CA2CC1">
        <w:rPr>
          <w:rStyle w:val="EndnoteReference"/>
          <w:rFonts w:ascii="Calibri" w:hAnsi="Calibri" w:cs="Calibri"/>
        </w:rPr>
        <w:endnoteReference w:id="176"/>
      </w:r>
      <w:r w:rsidRPr="00CA2CC1">
        <w:rPr>
          <w:rFonts w:ascii="Calibri" w:hAnsi="Calibri" w:cs="Calibri"/>
        </w:rPr>
        <w:t xml:space="preserve"> </w:t>
      </w:r>
    </w:p>
    <w:p w14:paraId="2CB5F552" w14:textId="5A8225E7" w:rsidR="00373ED9" w:rsidRPr="00CA2CC1" w:rsidRDefault="00373ED9" w:rsidP="0043303B">
      <w:pPr>
        <w:pStyle w:val="Heading1"/>
        <w:rPr>
          <w:rFonts w:cs="Calibri"/>
        </w:rPr>
      </w:pPr>
      <w:bookmarkStart w:id="58" w:name="_Toc109662732"/>
      <w:r w:rsidRPr="00CA2CC1">
        <w:rPr>
          <w:rFonts w:cs="Calibri"/>
        </w:rPr>
        <w:t>Culture, sport, and community</w:t>
      </w:r>
      <w:bookmarkEnd w:id="58"/>
    </w:p>
    <w:p w14:paraId="5B911B7C" w14:textId="77777777" w:rsidR="00373ED9" w:rsidRPr="00CA2CC1" w:rsidRDefault="00373ED9" w:rsidP="0043303B">
      <w:pPr>
        <w:pStyle w:val="IVIntrotext"/>
        <w:spacing w:line="240" w:lineRule="auto"/>
        <w:rPr>
          <w:rFonts w:cs="Calibri"/>
          <w:color w:val="auto"/>
        </w:rPr>
      </w:pPr>
      <w:r w:rsidRPr="00CA2CC1">
        <w:rPr>
          <w:rFonts w:cs="Calibri"/>
          <w:color w:val="auto"/>
        </w:rPr>
        <w:t>Cultural, sport and community infrastructure are venues and places that bring people together to enrich their lives, contribute to health and wellbeing, and foster social cohesion.</w:t>
      </w:r>
    </w:p>
    <w:p w14:paraId="68D855F0" w14:textId="77777777" w:rsidR="00373ED9" w:rsidRPr="00CA2CC1" w:rsidRDefault="00373ED9" w:rsidP="0043303B">
      <w:pPr>
        <w:pStyle w:val="IVBodyText"/>
        <w:spacing w:line="240" w:lineRule="auto"/>
        <w:rPr>
          <w:rFonts w:ascii="Calibri" w:hAnsi="Calibri" w:cs="Calibri"/>
          <w:color w:val="auto"/>
        </w:rPr>
      </w:pPr>
      <w:r w:rsidRPr="00CA2CC1">
        <w:rPr>
          <w:rFonts w:ascii="Calibri" w:hAnsi="Calibri" w:cs="Calibri"/>
          <w:color w:val="auto"/>
        </w:rPr>
        <w:t xml:space="preserve">The </w:t>
      </w:r>
      <w:r w:rsidRPr="00CA2CC1">
        <w:rPr>
          <w:rFonts w:ascii="Calibri" w:hAnsi="Calibri" w:cs="Calibri"/>
          <w:i/>
          <w:iCs/>
          <w:color w:val="auto"/>
        </w:rPr>
        <w:t>Victorian infrastructure plan 2021</w:t>
      </w:r>
      <w:r w:rsidRPr="00CA2CC1">
        <w:rPr>
          <w:rFonts w:ascii="Calibri" w:hAnsi="Calibri" w:cs="Calibri"/>
          <w:color w:val="auto"/>
        </w:rPr>
        <w:t xml:space="preserve"> contains 4 priorities for the culture, sport, and community sector:</w:t>
      </w:r>
    </w:p>
    <w:p w14:paraId="4E65B59F" w14:textId="77777777" w:rsidR="00373ED9" w:rsidRPr="00CA2CC1" w:rsidRDefault="00373ED9" w:rsidP="0043303B">
      <w:pPr>
        <w:pStyle w:val="IVBodyText"/>
        <w:numPr>
          <w:ilvl w:val="0"/>
          <w:numId w:val="49"/>
        </w:numPr>
        <w:spacing w:line="240" w:lineRule="auto"/>
        <w:rPr>
          <w:rFonts w:ascii="Calibri" w:hAnsi="Calibri" w:cs="Calibri"/>
          <w:color w:val="auto"/>
        </w:rPr>
      </w:pPr>
      <w:r w:rsidRPr="00CA2CC1">
        <w:rPr>
          <w:rFonts w:ascii="Calibri" w:hAnsi="Calibri" w:cs="Calibri"/>
          <w:color w:val="auto"/>
        </w:rPr>
        <w:t>maintaining Victoria’s competitive edge</w:t>
      </w:r>
    </w:p>
    <w:p w14:paraId="2EF58202" w14:textId="77777777" w:rsidR="00373ED9" w:rsidRPr="00CA2CC1" w:rsidRDefault="00373ED9" w:rsidP="0043303B">
      <w:pPr>
        <w:pStyle w:val="IVBodyText"/>
        <w:numPr>
          <w:ilvl w:val="0"/>
          <w:numId w:val="49"/>
        </w:numPr>
        <w:spacing w:line="240" w:lineRule="auto"/>
        <w:rPr>
          <w:rFonts w:ascii="Calibri" w:hAnsi="Calibri" w:cs="Calibri"/>
          <w:color w:val="auto"/>
        </w:rPr>
      </w:pPr>
      <w:r w:rsidRPr="00CA2CC1">
        <w:rPr>
          <w:rFonts w:ascii="Calibri" w:hAnsi="Calibri" w:cs="Calibri"/>
          <w:color w:val="auto"/>
        </w:rPr>
        <w:t>planning for a growing population</w:t>
      </w:r>
    </w:p>
    <w:p w14:paraId="1B895A20" w14:textId="77777777" w:rsidR="00373ED9" w:rsidRPr="00CA2CC1" w:rsidRDefault="00373ED9" w:rsidP="0043303B">
      <w:pPr>
        <w:pStyle w:val="IVBodyText"/>
        <w:numPr>
          <w:ilvl w:val="0"/>
          <w:numId w:val="49"/>
        </w:numPr>
        <w:spacing w:line="240" w:lineRule="auto"/>
        <w:rPr>
          <w:rFonts w:ascii="Calibri" w:hAnsi="Calibri" w:cs="Calibri"/>
          <w:color w:val="auto"/>
        </w:rPr>
      </w:pPr>
      <w:r w:rsidRPr="00CA2CC1">
        <w:rPr>
          <w:rFonts w:ascii="Calibri" w:hAnsi="Calibri" w:cs="Calibri"/>
          <w:color w:val="auto"/>
        </w:rPr>
        <w:t>growing participation</w:t>
      </w:r>
    </w:p>
    <w:p w14:paraId="7F533777" w14:textId="77777777" w:rsidR="00373ED9" w:rsidRPr="00CA2CC1" w:rsidRDefault="00373ED9" w:rsidP="0043303B">
      <w:pPr>
        <w:pStyle w:val="IVBodyText"/>
        <w:numPr>
          <w:ilvl w:val="0"/>
          <w:numId w:val="49"/>
        </w:numPr>
        <w:spacing w:line="240" w:lineRule="auto"/>
        <w:rPr>
          <w:rFonts w:ascii="Calibri" w:hAnsi="Calibri" w:cs="Calibri"/>
          <w:color w:val="auto"/>
        </w:rPr>
      </w:pPr>
      <w:r w:rsidRPr="00CA2CC1">
        <w:rPr>
          <w:rFonts w:ascii="Calibri" w:hAnsi="Calibri" w:cs="Calibri"/>
          <w:color w:val="auto"/>
        </w:rPr>
        <w:t>maintaining and improving our current facilities.</w:t>
      </w:r>
    </w:p>
    <w:p w14:paraId="7B2D7511" w14:textId="33033C62" w:rsidR="00373ED9" w:rsidRPr="00CA2CC1" w:rsidRDefault="00373ED9" w:rsidP="00912D79">
      <w:pPr>
        <w:pStyle w:val="Heading2"/>
        <w:rPr>
          <w:rFonts w:cs="Calibri"/>
        </w:rPr>
      </w:pPr>
      <w:bookmarkStart w:id="59" w:name="_Toc109662733"/>
      <w:r w:rsidRPr="00CA2CC1">
        <w:rPr>
          <w:rFonts w:cs="Calibri"/>
        </w:rPr>
        <w:t>Maintaining Victoria’s competitive edge</w:t>
      </w:r>
      <w:bookmarkEnd w:id="59"/>
    </w:p>
    <w:p w14:paraId="19F10237" w14:textId="77777777" w:rsidR="00373ED9" w:rsidRPr="00CA2CC1" w:rsidRDefault="00373ED9" w:rsidP="0043303B">
      <w:pPr>
        <w:pStyle w:val="Heading3"/>
        <w:rPr>
          <w:rFonts w:cs="Calibri"/>
        </w:rPr>
      </w:pPr>
      <w:r w:rsidRPr="00CA2CC1">
        <w:rPr>
          <w:rFonts w:cs="Calibri"/>
        </w:rPr>
        <w:t xml:space="preserve">Priority description from the </w:t>
      </w:r>
      <w:r w:rsidRPr="00CA2CC1">
        <w:rPr>
          <w:rFonts w:cs="Calibri"/>
          <w:i/>
          <w:iCs/>
        </w:rPr>
        <w:t>Victorian infrastructure plan 2021</w:t>
      </w:r>
    </w:p>
    <w:p w14:paraId="4DEEC72E" w14:textId="77777777" w:rsidR="00373ED9" w:rsidRPr="00CA2CC1" w:rsidRDefault="00373ED9" w:rsidP="0043303B">
      <w:pPr>
        <w:pStyle w:val="IVBodyText"/>
        <w:spacing w:line="240" w:lineRule="auto"/>
        <w:rPr>
          <w:rFonts w:ascii="Calibri" w:hAnsi="Calibri" w:cs="Calibri"/>
          <w:b/>
          <w:bCs/>
          <w:color w:val="auto"/>
        </w:rPr>
      </w:pPr>
      <w:r w:rsidRPr="00CA2CC1">
        <w:rPr>
          <w:rFonts w:ascii="Calibri" w:hAnsi="Calibri" w:cs="Calibri"/>
          <w:b/>
          <w:bCs/>
          <w:color w:val="auto"/>
        </w:rPr>
        <w:t>Victoria is the cultural and sporting heart of Australia. Driving recovery from the COVID-19 pandemic and growing our reputation nationally and internationally will require continuous improvement to the infrastructure that makes our world-class events possible and provides high-quality and demand driving tourism products.</w:t>
      </w:r>
    </w:p>
    <w:p w14:paraId="5C5C0953" w14:textId="77777777" w:rsidR="00373ED9" w:rsidRPr="00CA2CC1" w:rsidRDefault="00373ED9" w:rsidP="0043303B">
      <w:pPr>
        <w:pStyle w:val="Heading3"/>
        <w:rPr>
          <w:rFonts w:cs="Calibri"/>
        </w:rPr>
      </w:pPr>
      <w:r w:rsidRPr="00CA2CC1">
        <w:rPr>
          <w:rFonts w:cs="Calibri"/>
        </w:rPr>
        <w:t>Victorian Government progress in 2022–23</w:t>
      </w:r>
    </w:p>
    <w:p w14:paraId="51DE9848"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This priority aims to build Victoria’s reputation for hosting world-class cultural and sporting events and drive more tourism. By March 2023, the number of visitors to Melbourne had nearly returned to pre-COVID-19 levels, and regional numbers were marginally higher than before the pandemic.</w:t>
      </w:r>
      <w:r w:rsidRPr="00CA2CC1">
        <w:rPr>
          <w:rStyle w:val="EndnoteReference"/>
          <w:rFonts w:ascii="Calibri" w:hAnsi="Calibri" w:cs="Calibri"/>
        </w:rPr>
        <w:endnoteReference w:id="177"/>
      </w:r>
      <w:r w:rsidRPr="00CA2CC1">
        <w:rPr>
          <w:rFonts w:ascii="Calibri" w:hAnsi="Calibri" w:cs="Calibri"/>
        </w:rPr>
        <w:t xml:space="preserve"> </w:t>
      </w:r>
    </w:p>
    <w:p w14:paraId="6384E7E8"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In the 2022–23 financial year, the Victorian Government progressed several major cultural infrastructure investments. In April 2023, it appointed contractors to deliver the first 2 major construction packages of the $1.7 billion Melbourne Arts Centre Precinct upgrades.</w:t>
      </w:r>
      <w:r w:rsidRPr="00CA2CC1">
        <w:rPr>
          <w:rStyle w:val="EndnoteReference"/>
          <w:rFonts w:ascii="Calibri" w:hAnsi="Calibri" w:cs="Calibri"/>
        </w:rPr>
        <w:endnoteReference w:id="178"/>
      </w:r>
      <w:r w:rsidRPr="00CA2CC1">
        <w:rPr>
          <w:rFonts w:ascii="Calibri" w:hAnsi="Calibri" w:cs="Calibri"/>
        </w:rPr>
        <w:t xml:space="preserve"> The 2023–24 Budget also provided $21 million to support Bendigo Art Gallery’s redevelopment.</w:t>
      </w:r>
      <w:r w:rsidRPr="00CA2CC1">
        <w:rPr>
          <w:rStyle w:val="EndnoteReference"/>
          <w:rFonts w:ascii="Calibri" w:hAnsi="Calibri" w:cs="Calibri"/>
        </w:rPr>
        <w:endnoteReference w:id="179"/>
      </w:r>
    </w:p>
    <w:p w14:paraId="7CC1A2BE" w14:textId="56D72779" w:rsidR="00373ED9" w:rsidRPr="00CA2CC1" w:rsidRDefault="00373ED9" w:rsidP="0043303B">
      <w:pPr>
        <w:pStyle w:val="IVBodyText"/>
        <w:spacing w:line="240" w:lineRule="auto"/>
        <w:rPr>
          <w:rFonts w:ascii="Calibri" w:hAnsi="Calibri" w:cs="Calibri"/>
        </w:rPr>
      </w:pPr>
      <w:r w:rsidRPr="00CA2CC1">
        <w:rPr>
          <w:rFonts w:ascii="Calibri" w:hAnsi="Calibri" w:cs="Calibri"/>
        </w:rPr>
        <w:t>In July 2023, the Victorian Government announced that due to new high forecast costs it will not proceed with hosting the 2026 Commonwealth Games.</w:t>
      </w:r>
      <w:r w:rsidRPr="00CA2CC1">
        <w:rPr>
          <w:rStyle w:val="EndnoteReference"/>
          <w:rFonts w:ascii="Calibri" w:hAnsi="Calibri" w:cs="Calibri"/>
        </w:rPr>
        <w:endnoteReference w:id="180"/>
      </w:r>
      <w:r w:rsidRPr="00CA2CC1">
        <w:rPr>
          <w:rFonts w:ascii="Calibri" w:hAnsi="Calibri" w:cs="Calibri"/>
        </w:rPr>
        <w:t xml:space="preserve"> The government instead announced a $2 billion package for sports infrastructure and social/affordable housing in regional Victoria. We will consider this package in the 2024 annual assessment.</w:t>
      </w:r>
    </w:p>
    <w:p w14:paraId="2B8D4FB5"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lastRenderedPageBreak/>
        <w:t>Prior to the cancellation announcement, the Victorian Government started planning and early works to prepare upgraded and new sports infrastructure and athlete villages to support delivery of the games across regional Victoria. For example, it released an expression of interest in May 2023 for a head contractor to complete the upgrade to Ballarat’s Eureka Stadium</w:t>
      </w:r>
      <w:r w:rsidRPr="00CA2CC1">
        <w:rPr>
          <w:rStyle w:val="EndnoteReference"/>
          <w:rFonts w:ascii="Calibri" w:hAnsi="Calibri" w:cs="Calibri"/>
        </w:rPr>
        <w:endnoteReference w:id="181"/>
      </w:r>
      <w:r w:rsidRPr="00CA2CC1">
        <w:rPr>
          <w:rFonts w:ascii="Calibri" w:hAnsi="Calibri" w:cs="Calibri"/>
        </w:rPr>
        <w:t> and in March 2023, an architect was appointed to lead the design of the gymnastics, weightlifting and para powerlifting venue on Baanip Boulevard in Waurn Ponds.</w:t>
      </w:r>
      <w:r w:rsidRPr="00CA2CC1">
        <w:rPr>
          <w:rStyle w:val="EndnoteReference"/>
          <w:rFonts w:ascii="Calibri" w:hAnsi="Calibri" w:cs="Calibri"/>
        </w:rPr>
        <w:endnoteReference w:id="182"/>
      </w:r>
    </w:p>
    <w:p w14:paraId="67378FD2"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Through the Geelong City Deal, the Australian, Victorian and Geelong governments combined to invest $500 million in a 10-year plan to revitalise Geelong and boost the Great Ocean Road visitor economy.</w:t>
      </w:r>
      <w:r w:rsidRPr="00CA2CC1">
        <w:rPr>
          <w:rStyle w:val="EndnoteReference"/>
          <w:rFonts w:ascii="Calibri" w:hAnsi="Calibri" w:cs="Calibri"/>
        </w:rPr>
        <w:endnoteReference w:id="183"/>
      </w:r>
      <w:r w:rsidRPr="00CA2CC1">
        <w:rPr>
          <w:rFonts w:ascii="Calibri" w:hAnsi="Calibri" w:cs="Calibri"/>
        </w:rPr>
        <w:t xml:space="preserve"> Several city deal projects progressed during the 2022–23 financial year. The government completed major construction works to improve the Geelong city public realm (Denys Place to Malop Street).</w:t>
      </w:r>
      <w:r w:rsidRPr="00CA2CC1">
        <w:rPr>
          <w:rStyle w:val="EndnoteReference"/>
          <w:rFonts w:ascii="Calibri" w:hAnsi="Calibri" w:cs="Calibri"/>
        </w:rPr>
        <w:endnoteReference w:id="184"/>
      </w:r>
      <w:r w:rsidRPr="00CA2CC1">
        <w:rPr>
          <w:rFonts w:ascii="Calibri" w:hAnsi="Calibri" w:cs="Calibri"/>
        </w:rPr>
        <w:t xml:space="preserve"> It finalised a request for a proposal to construct a Geelong Convention and Exhibition Centre,</w:t>
      </w:r>
      <w:r w:rsidRPr="00CA2CC1">
        <w:rPr>
          <w:rStyle w:val="EndnoteReference"/>
          <w:rFonts w:ascii="Calibri" w:hAnsi="Calibri" w:cs="Calibri"/>
        </w:rPr>
        <w:endnoteReference w:id="185"/>
      </w:r>
      <w:r w:rsidRPr="00CA2CC1">
        <w:rPr>
          <w:rFonts w:ascii="Calibri" w:hAnsi="Calibri" w:cs="Calibri"/>
        </w:rPr>
        <w:t xml:space="preserve"> completed its community engagement phase for the Twelve Apostles precinct redevelopment,</w:t>
      </w:r>
      <w:r w:rsidRPr="00CA2CC1">
        <w:rPr>
          <w:rStyle w:val="EndnoteReference"/>
          <w:rFonts w:ascii="Calibri" w:hAnsi="Calibri" w:cs="Calibri"/>
        </w:rPr>
        <w:endnoteReference w:id="186"/>
      </w:r>
      <w:r w:rsidRPr="00CA2CC1">
        <w:rPr>
          <w:rFonts w:ascii="Calibri" w:hAnsi="Calibri" w:cs="Calibri"/>
        </w:rPr>
        <w:t xml:space="preserve"> opened the Queenscliff Ferry Terminal redevelopment</w:t>
      </w:r>
      <w:r w:rsidRPr="00CA2CC1">
        <w:rPr>
          <w:rStyle w:val="EndnoteReference"/>
          <w:rFonts w:ascii="Calibri" w:hAnsi="Calibri" w:cs="Calibri"/>
        </w:rPr>
        <w:endnoteReference w:id="187"/>
      </w:r>
      <w:r w:rsidRPr="00CA2CC1">
        <w:rPr>
          <w:rFonts w:ascii="Calibri" w:hAnsi="Calibri" w:cs="Calibri"/>
        </w:rPr>
        <w:t xml:space="preserve"> and continued construction works to expand the Geelong Arts </w:t>
      </w:r>
      <w:r w:rsidRPr="00CA2CC1">
        <w:rPr>
          <w:rFonts w:ascii="Calibri" w:hAnsi="Calibri" w:cs="Calibri"/>
          <w:color w:val="auto"/>
        </w:rPr>
        <w:t>Centre.</w:t>
      </w:r>
      <w:r w:rsidRPr="00CA2CC1">
        <w:rPr>
          <w:rStyle w:val="EndnoteReference"/>
          <w:rFonts w:ascii="Calibri" w:hAnsi="Calibri" w:cs="Calibri"/>
          <w:color w:val="auto"/>
        </w:rPr>
        <w:endnoteReference w:id="188"/>
      </w:r>
    </w:p>
    <w:p w14:paraId="5995468D"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color w:val="auto"/>
        </w:rPr>
        <w:t>The government launched</w:t>
      </w:r>
      <w:r w:rsidRPr="00CA2CC1">
        <w:rPr>
          <w:rFonts w:ascii="Calibri" w:hAnsi="Calibri" w:cs="Calibri"/>
          <w:i/>
          <w:iCs/>
          <w:color w:val="auto"/>
        </w:rPr>
        <w:t xml:space="preserve"> Experience Victoria 2033</w:t>
      </w:r>
      <w:r w:rsidRPr="00CA2CC1">
        <w:rPr>
          <w:rFonts w:ascii="Calibri" w:hAnsi="Calibri" w:cs="Calibri"/>
          <w:color w:val="auto"/>
        </w:rPr>
        <w:t xml:space="preserve"> in May 2023.</w:t>
      </w:r>
      <w:r w:rsidRPr="00CA2CC1">
        <w:rPr>
          <w:rStyle w:val="EndnoteReference"/>
          <w:rFonts w:ascii="Calibri" w:hAnsi="Calibri" w:cs="Calibri"/>
          <w:color w:val="auto"/>
        </w:rPr>
        <w:endnoteReference w:id="189"/>
      </w:r>
      <w:r w:rsidRPr="00CA2CC1">
        <w:rPr>
          <w:rFonts w:ascii="Calibri" w:hAnsi="Calibri" w:cs="Calibri"/>
          <w:color w:val="auto"/>
        </w:rPr>
        <w:t xml:space="preserve"> </w:t>
      </w:r>
      <w:r w:rsidRPr="00CA2CC1">
        <w:rPr>
          <w:rFonts w:ascii="Calibri" w:hAnsi="Calibri" w:cs="Calibri"/>
          <w:i/>
          <w:iCs/>
          <w:color w:val="auto"/>
        </w:rPr>
        <w:t>Experience Victoria 2033</w:t>
      </w:r>
      <w:r w:rsidRPr="00CA2CC1">
        <w:rPr>
          <w:rFonts w:ascii="Calibri" w:hAnsi="Calibri" w:cs="Calibri"/>
          <w:color w:val="auto"/>
        </w:rPr>
        <w:t xml:space="preserve"> is a 10-year strategic plan to grow Victoria’s </w:t>
      </w:r>
      <w:r w:rsidRPr="00CA2CC1">
        <w:rPr>
          <w:rFonts w:ascii="Calibri" w:hAnsi="Calibri" w:cs="Calibri"/>
        </w:rPr>
        <w:t xml:space="preserve">tourism industry and create jobs. It aims to increase tourism using 5 main strategies: First Peoples-led experiences, wellness, arts and culture, nature, and food and drink. The plan is intended to guide future investment and builds on the </w:t>
      </w:r>
      <w:r w:rsidRPr="00CA2CC1">
        <w:rPr>
          <w:rFonts w:ascii="Calibri" w:hAnsi="Calibri" w:cs="Calibri"/>
          <w:i/>
        </w:rPr>
        <w:t>Visitor</w:t>
      </w:r>
      <w:r w:rsidRPr="00CA2CC1">
        <w:rPr>
          <w:rFonts w:ascii="Calibri" w:hAnsi="Calibri" w:cs="Calibri"/>
          <w:i/>
          <w:iCs/>
        </w:rPr>
        <w:t xml:space="preserve"> economy recovery and reform plan</w:t>
      </w:r>
      <w:r w:rsidRPr="00CA2CC1">
        <w:rPr>
          <w:rFonts w:ascii="Calibri" w:hAnsi="Calibri" w:cs="Calibri"/>
        </w:rPr>
        <w:t>.</w:t>
      </w:r>
      <w:r w:rsidRPr="00CA2CC1">
        <w:rPr>
          <w:rFonts w:ascii="Calibri" w:hAnsi="Calibri" w:cs="Calibri"/>
          <w:vertAlign w:val="superscript"/>
        </w:rPr>
        <w:endnoteReference w:id="190"/>
      </w:r>
      <w:r w:rsidRPr="00CA2CC1">
        <w:rPr>
          <w:rFonts w:ascii="Calibri" w:hAnsi="Calibri" w:cs="Calibri"/>
        </w:rPr>
        <w:t xml:space="preserve"> </w:t>
      </w:r>
    </w:p>
    <w:p w14:paraId="47EA0CB5" w14:textId="2408E139" w:rsidR="00373ED9" w:rsidRPr="00CA2CC1" w:rsidRDefault="00373ED9" w:rsidP="00672EC7">
      <w:pPr>
        <w:pStyle w:val="IVBodyText"/>
        <w:spacing w:line="240" w:lineRule="auto"/>
        <w:rPr>
          <w:rFonts w:ascii="Calibri" w:hAnsi="Calibri" w:cs="Calibri"/>
        </w:rPr>
      </w:pPr>
      <w:r w:rsidRPr="00CA2CC1">
        <w:rPr>
          <w:rFonts w:ascii="Calibri" w:hAnsi="Calibri" w:cs="Calibri"/>
        </w:rPr>
        <w:t>The Regional Tourism Investment Fund also supported tourism infrastructure projects to encourage more visitors and stimulate private sector investment.</w:t>
      </w:r>
      <w:r w:rsidRPr="00CA2CC1">
        <w:rPr>
          <w:rFonts w:ascii="Calibri" w:hAnsi="Calibri" w:cs="Calibri"/>
          <w:vertAlign w:val="superscript"/>
        </w:rPr>
        <w:endnoteReference w:id="191"/>
      </w:r>
      <w:r w:rsidRPr="00CA2CC1">
        <w:rPr>
          <w:rFonts w:ascii="Calibri" w:hAnsi="Calibri" w:cs="Calibri"/>
        </w:rPr>
        <w:t xml:space="preserve"> The government announced several new tourism projects in 2022–23, including the Mount Hotham Snow Play and Activity Hub</w:t>
      </w:r>
      <w:r w:rsidRPr="00CA2CC1">
        <w:rPr>
          <w:rStyle w:val="EndnoteReference"/>
          <w:rFonts w:ascii="Calibri" w:hAnsi="Calibri" w:cs="Calibri"/>
        </w:rPr>
        <w:endnoteReference w:id="192"/>
      </w:r>
      <w:r w:rsidRPr="00CA2CC1">
        <w:rPr>
          <w:rFonts w:ascii="Calibri" w:hAnsi="Calibri" w:cs="Calibri"/>
        </w:rPr>
        <w:t xml:space="preserve"> and the Peninsula Hot Springs Masterplan – Stage One.</w:t>
      </w:r>
      <w:r w:rsidRPr="00CA2CC1">
        <w:rPr>
          <w:rStyle w:val="EndnoteReference"/>
          <w:rFonts w:ascii="Calibri" w:hAnsi="Calibri" w:cs="Calibri"/>
        </w:rPr>
        <w:endnoteReference w:id="193"/>
      </w:r>
      <w:r w:rsidRPr="00CA2CC1">
        <w:rPr>
          <w:rFonts w:ascii="Calibri" w:hAnsi="Calibri" w:cs="Calibri"/>
        </w:rPr>
        <w:t xml:space="preserve"> The government can do more to facilitate regional nature-based tourism investments by allowing more longer term site-specific leases for projects that meet strict criteria and completement environmental and cultural values. This was a recommendation in </w:t>
      </w:r>
      <w:r w:rsidRPr="00CA2CC1">
        <w:rPr>
          <w:rFonts w:ascii="Calibri" w:hAnsi="Calibri" w:cs="Calibri"/>
          <w:i/>
          <w:iCs/>
        </w:rPr>
        <w:t>Victoria’s infrastructure strategy 2021</w:t>
      </w:r>
      <w:r w:rsidRPr="00CA2CC1">
        <w:rPr>
          <w:rFonts w:ascii="Calibri" w:hAnsi="Calibri" w:cs="Calibri"/>
        </w:rPr>
        <w:t>–</w:t>
      </w:r>
      <w:r w:rsidRPr="00CA2CC1">
        <w:rPr>
          <w:rFonts w:ascii="Calibri" w:hAnsi="Calibri" w:cs="Calibri"/>
          <w:i/>
          <w:iCs/>
        </w:rPr>
        <w:t>2051.</w:t>
      </w:r>
    </w:p>
    <w:p w14:paraId="78F65118" w14:textId="77777777" w:rsidR="00373ED9" w:rsidRPr="00CA2CC1" w:rsidRDefault="00373ED9" w:rsidP="0043303B">
      <w:pPr>
        <w:pStyle w:val="Heading2"/>
        <w:rPr>
          <w:rFonts w:cs="Calibri"/>
        </w:rPr>
      </w:pPr>
      <w:bookmarkStart w:id="60" w:name="_Toc109662734"/>
      <w:r w:rsidRPr="00CA2CC1">
        <w:rPr>
          <w:rFonts w:cs="Calibri"/>
        </w:rPr>
        <w:t>Planning for a growing population</w:t>
      </w:r>
      <w:bookmarkEnd w:id="60"/>
    </w:p>
    <w:p w14:paraId="1C9201A7" w14:textId="77777777" w:rsidR="00373ED9" w:rsidRPr="00CA2CC1" w:rsidRDefault="00373ED9" w:rsidP="0043303B">
      <w:pPr>
        <w:pStyle w:val="Heading3"/>
        <w:rPr>
          <w:rFonts w:cs="Calibri"/>
        </w:rPr>
      </w:pPr>
      <w:r w:rsidRPr="00CA2CC1">
        <w:rPr>
          <w:rFonts w:cs="Calibri"/>
        </w:rPr>
        <w:t xml:space="preserve">Priority description from the </w:t>
      </w:r>
      <w:r w:rsidRPr="00CA2CC1">
        <w:rPr>
          <w:rFonts w:cs="Calibri"/>
          <w:i/>
          <w:iCs/>
        </w:rPr>
        <w:t>Victorian infrastructure plan 2021</w:t>
      </w:r>
    </w:p>
    <w:p w14:paraId="285627C8" w14:textId="77777777" w:rsidR="00373ED9" w:rsidRPr="00CA2CC1" w:rsidRDefault="00373ED9" w:rsidP="0043303B">
      <w:pPr>
        <w:pStyle w:val="IVBodyText"/>
        <w:spacing w:line="240" w:lineRule="auto"/>
        <w:rPr>
          <w:rFonts w:ascii="Calibri" w:hAnsi="Calibri" w:cs="Calibri"/>
          <w:b/>
          <w:bCs/>
          <w:color w:val="auto"/>
        </w:rPr>
      </w:pPr>
      <w:r w:rsidRPr="00CA2CC1">
        <w:rPr>
          <w:rFonts w:ascii="Calibri" w:hAnsi="Calibri" w:cs="Calibri"/>
          <w:b/>
          <w:bCs/>
          <w:color w:val="auto"/>
        </w:rPr>
        <w:t>Victorian communities need land and space for new sporting and cultural facilities and upgrades to existing facilities. Modernising existing facilities and coordinating approaches to better meet demand is key to equitable access.</w:t>
      </w:r>
    </w:p>
    <w:p w14:paraId="0C40DB68" w14:textId="77777777" w:rsidR="00373ED9" w:rsidRPr="00CA2CC1" w:rsidRDefault="00373ED9" w:rsidP="0043303B">
      <w:pPr>
        <w:pStyle w:val="Heading3"/>
        <w:rPr>
          <w:rFonts w:cs="Calibri"/>
        </w:rPr>
      </w:pPr>
      <w:r w:rsidRPr="00CA2CC1">
        <w:rPr>
          <w:rFonts w:cs="Calibri"/>
        </w:rPr>
        <w:t>Victorian Government progress in 2022–23</w:t>
      </w:r>
    </w:p>
    <w:p w14:paraId="2F2DDDA7"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This priority plans for cultural, community and recreational land and facilities to meet growing demand and provide equitable access. Investing in and updating existing sporting and cultural facilities can help achieve this. Delivering these facilities will involve partnerships and co-investment with other governments and the private and community sectors.</w:t>
      </w:r>
    </w:p>
    <w:p w14:paraId="0D9D2457"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 xml:space="preserve">Victoria’s population is growing strongly. Population growth temporarily slowed during the COVID-19 pandemic, but </w:t>
      </w:r>
      <w:r w:rsidRPr="00CA2CC1">
        <w:rPr>
          <w:rFonts w:ascii="Calibri" w:hAnsi="Calibri" w:cs="Calibri"/>
          <w:color w:val="212529"/>
          <w:shd w:val="clear" w:color="auto" w:fill="FFFFFF"/>
        </w:rPr>
        <w:t>Melbourne is projected to become Australia’s fastest growing capital city from 2023–24 onwards, with just over 6 million residents forecast for 2031–32.</w:t>
      </w:r>
      <w:r w:rsidRPr="00CA2CC1">
        <w:rPr>
          <w:rStyle w:val="EndnoteReference"/>
          <w:rFonts w:ascii="Calibri" w:hAnsi="Calibri" w:cs="Calibri"/>
          <w:color w:val="212529"/>
          <w:shd w:val="clear" w:color="auto" w:fill="FFFFFF"/>
        </w:rPr>
        <w:endnoteReference w:id="194"/>
      </w:r>
      <w:r w:rsidRPr="00CA2CC1">
        <w:rPr>
          <w:rFonts w:ascii="Calibri" w:hAnsi="Calibri" w:cs="Calibri"/>
          <w:color w:val="212529"/>
          <w:shd w:val="clear" w:color="auto" w:fill="FFFFFF"/>
        </w:rPr>
        <w:t xml:space="preserve"> </w:t>
      </w:r>
    </w:p>
    <w:p w14:paraId="6087DAD2"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 xml:space="preserve">Meeting the sport and active recreation needs of this growing population will be a challenge and is reflected in the Victorian Government’s </w:t>
      </w:r>
      <w:r w:rsidRPr="00CA2CC1">
        <w:rPr>
          <w:rFonts w:ascii="Calibri" w:hAnsi="Calibri" w:cs="Calibri"/>
          <w:i/>
          <w:iCs/>
        </w:rPr>
        <w:t>Active Victoria 2022</w:t>
      </w:r>
      <w:r w:rsidRPr="00CA2CC1">
        <w:rPr>
          <w:rFonts w:ascii="Calibri" w:hAnsi="Calibri" w:cs="Calibri"/>
        </w:rPr>
        <w:t>–</w:t>
      </w:r>
      <w:r w:rsidRPr="00CA2CC1">
        <w:rPr>
          <w:rFonts w:ascii="Calibri" w:hAnsi="Calibri" w:cs="Calibri"/>
          <w:i/>
          <w:iCs/>
        </w:rPr>
        <w:t xml:space="preserve">2026 </w:t>
      </w:r>
      <w:r w:rsidRPr="00CA2CC1">
        <w:rPr>
          <w:rFonts w:ascii="Calibri" w:hAnsi="Calibri" w:cs="Calibri"/>
        </w:rPr>
        <w:t>–</w:t>
      </w:r>
      <w:r w:rsidRPr="00CA2CC1">
        <w:rPr>
          <w:rFonts w:ascii="Calibri" w:hAnsi="Calibri" w:cs="Calibri"/>
          <w:i/>
          <w:iCs/>
        </w:rPr>
        <w:t xml:space="preserve"> a strategic framework plan for sport and recreation. </w:t>
      </w:r>
      <w:r w:rsidRPr="00CA2CC1">
        <w:rPr>
          <w:rFonts w:ascii="Calibri" w:hAnsi="Calibri" w:cs="Calibri"/>
        </w:rPr>
        <w:t>One of the key directions of the plan is to improve community sport and active recreation infrastructure, especially in fast growing areas.</w:t>
      </w:r>
      <w:r w:rsidRPr="00CA2CC1">
        <w:rPr>
          <w:rStyle w:val="EndnoteReference"/>
          <w:rFonts w:ascii="Calibri" w:hAnsi="Calibri" w:cs="Calibri"/>
        </w:rPr>
        <w:endnoteReference w:id="195"/>
      </w:r>
      <w:r w:rsidRPr="00CA2CC1">
        <w:rPr>
          <w:rFonts w:ascii="Calibri" w:hAnsi="Calibri" w:cs="Calibri"/>
        </w:rPr>
        <w:t xml:space="preserve"> Infrastructure Victoria identified that Melbourne’s outer growth areas have fewer libraries and aquatic centres than the rest of Melbourne. This will likely worsen </w:t>
      </w:r>
      <w:r w:rsidRPr="00CA2CC1">
        <w:rPr>
          <w:rFonts w:ascii="Calibri" w:hAnsi="Calibri" w:cs="Calibri"/>
        </w:rPr>
        <w:lastRenderedPageBreak/>
        <w:t>over time as these growth area communities offer more affordable housing for many families with young children.</w:t>
      </w:r>
      <w:r w:rsidRPr="00CA2CC1">
        <w:rPr>
          <w:rFonts w:ascii="Calibri" w:hAnsi="Calibri" w:cs="Calibri"/>
          <w:vertAlign w:val="superscript"/>
        </w:rPr>
        <w:endnoteReference w:id="196"/>
      </w:r>
      <w:r w:rsidRPr="00CA2CC1">
        <w:rPr>
          <w:rFonts w:ascii="Calibri" w:hAnsi="Calibri" w:cs="Calibri"/>
        </w:rPr>
        <w:t xml:space="preserve"> </w:t>
      </w:r>
    </w:p>
    <w:p w14:paraId="56E2937D"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 xml:space="preserve">The </w:t>
      </w:r>
      <w:r w:rsidRPr="00CA2CC1">
        <w:rPr>
          <w:rFonts w:ascii="Calibri" w:hAnsi="Calibri" w:cs="Calibri"/>
          <w:i/>
          <w:iCs/>
        </w:rPr>
        <w:t>Victorian infrastructure plan 2021</w:t>
      </w:r>
      <w:r w:rsidRPr="00CA2CC1">
        <w:rPr>
          <w:rFonts w:ascii="Calibri" w:hAnsi="Calibri" w:cs="Calibri"/>
        </w:rPr>
        <w:t xml:space="preserve"> lists 2 actions likely to contribute to this priority: developing a training base for national women’s football squads and the Community Sports Infrastructure Stimulus Program. The Growing Suburbs Fund also contributes to this priority.</w:t>
      </w:r>
      <w:r w:rsidRPr="00CA2CC1">
        <w:rPr>
          <w:rStyle w:val="EndnoteReference"/>
          <w:rFonts w:ascii="Calibri" w:hAnsi="Calibri" w:cs="Calibri"/>
        </w:rPr>
        <w:endnoteReference w:id="197"/>
      </w:r>
      <w:r w:rsidRPr="00CA2CC1">
        <w:rPr>
          <w:rFonts w:ascii="Calibri" w:hAnsi="Calibri" w:cs="Calibri"/>
        </w:rPr>
        <w:t xml:space="preserve"> </w:t>
      </w:r>
    </w:p>
    <w:p w14:paraId="4D40FD26"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The new Home of the Matildas and State Football Centre in Bundoora, a training and administrative base for the national women’s football squads and Rugby Victoria, opened in the last year.</w:t>
      </w:r>
      <w:r w:rsidRPr="00CA2CC1">
        <w:rPr>
          <w:rStyle w:val="EndnoteReference"/>
          <w:rFonts w:ascii="Calibri" w:hAnsi="Calibri" w:cs="Calibri"/>
        </w:rPr>
        <w:endnoteReference w:id="198"/>
      </w:r>
      <w:r w:rsidRPr="00CA2CC1">
        <w:rPr>
          <w:rFonts w:ascii="Calibri" w:hAnsi="Calibri" w:cs="Calibri"/>
        </w:rPr>
        <w:t xml:space="preserve"> The facility is part of the Victorian Government’s investment in the La Trobe University sports park.</w:t>
      </w:r>
    </w:p>
    <w:p w14:paraId="513C735F"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The Community Sports Infrastructure Stimulus Program (rounds 1 and 2) funded local councils, sporting clubs and alpine resorts to develop sporting infrastructure.</w:t>
      </w:r>
      <w:r w:rsidRPr="00CA2CC1">
        <w:rPr>
          <w:rFonts w:ascii="Calibri" w:hAnsi="Calibri" w:cs="Calibri"/>
          <w:vertAlign w:val="superscript"/>
        </w:rPr>
        <w:endnoteReference w:id="199"/>
      </w:r>
      <w:r w:rsidRPr="00CA2CC1">
        <w:rPr>
          <w:rFonts w:ascii="Calibri" w:hAnsi="Calibri" w:cs="Calibri"/>
        </w:rPr>
        <w:t xml:space="preserve"> Sixty-nine community sport infrastructure projects funded by the program are at various stages of completion. In 2022–23, for example, the Wyndham City Council’s Truganina South East AOS Master Plan implementation project</w:t>
      </w:r>
      <w:r w:rsidRPr="00CA2CC1">
        <w:rPr>
          <w:rStyle w:val="EndnoteReference"/>
          <w:rFonts w:ascii="Calibri" w:hAnsi="Calibri" w:cs="Calibri"/>
        </w:rPr>
        <w:endnoteReference w:id="200"/>
      </w:r>
      <w:r w:rsidRPr="00CA2CC1">
        <w:rPr>
          <w:rFonts w:ascii="Calibri" w:hAnsi="Calibri" w:cs="Calibri"/>
        </w:rPr>
        <w:t xml:space="preserve"> was completed as well as the Whitehorse City Council’s sports fields and sports court lighting project</w:t>
      </w:r>
      <w:r w:rsidRPr="00CA2CC1">
        <w:rPr>
          <w:rFonts w:ascii="Calibri" w:hAnsi="Calibri" w:cs="Calibri"/>
          <w:i/>
          <w:iCs/>
        </w:rPr>
        <w:t>.</w:t>
      </w:r>
      <w:r w:rsidRPr="00CA2CC1">
        <w:rPr>
          <w:rStyle w:val="EndnoteReference"/>
          <w:rFonts w:ascii="Calibri" w:hAnsi="Calibri" w:cs="Calibri"/>
        </w:rPr>
        <w:endnoteReference w:id="201"/>
      </w:r>
    </w:p>
    <w:p w14:paraId="1722D1D1"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The Growing Suburbs Fund will partly contribute to this priority. In 2022–23 the fund provided $148 million to 47 projects to help meet infrastructure requirements in interface and peri-urban councils. The grants were distributed amongst 15 local governments including Moorabool Shire Council Bacchus Marsh Racecourse Recreation Reserve community pavilion ($3.2 million), Mornington Peninsula Shire Council Hillview Community Reserve ($2.6 million) and Wyndham Council Galvin Park community pavilion redevelopment ($2 million).</w:t>
      </w:r>
      <w:r w:rsidRPr="00CA2CC1">
        <w:rPr>
          <w:rFonts w:ascii="Calibri" w:hAnsi="Calibri" w:cs="Calibri"/>
          <w:vertAlign w:val="superscript"/>
        </w:rPr>
        <w:endnoteReference w:id="202"/>
      </w:r>
      <w:r w:rsidRPr="00CA2CC1">
        <w:rPr>
          <w:rFonts w:ascii="Calibri" w:hAnsi="Calibri" w:cs="Calibri"/>
          <w:vertAlign w:val="superscript"/>
        </w:rPr>
        <w:t xml:space="preserve"> </w:t>
      </w:r>
      <w:r w:rsidRPr="00CA2CC1">
        <w:rPr>
          <w:rFonts w:ascii="Calibri" w:hAnsi="Calibri" w:cs="Calibri"/>
        </w:rPr>
        <w:t>The government provided another $10 million to the Growing Suburbs Fund in the 2023–24 Budget.</w:t>
      </w:r>
      <w:r w:rsidRPr="00CA2CC1">
        <w:rPr>
          <w:rFonts w:ascii="Calibri" w:hAnsi="Calibri" w:cs="Calibri"/>
          <w:vertAlign w:val="superscript"/>
        </w:rPr>
        <w:endnoteReference w:id="203"/>
      </w:r>
    </w:p>
    <w:p w14:paraId="17F443D5" w14:textId="77777777" w:rsidR="007F3CC4" w:rsidRPr="00CA2CC1" w:rsidRDefault="00373ED9" w:rsidP="007F3CC4">
      <w:pPr>
        <w:pStyle w:val="IVBodyText"/>
        <w:spacing w:line="240" w:lineRule="auto"/>
        <w:rPr>
          <w:rFonts w:ascii="Calibri" w:hAnsi="Calibri" w:cs="Calibri"/>
          <w:color w:val="auto"/>
        </w:rPr>
      </w:pPr>
      <w:r w:rsidRPr="00CA2CC1">
        <w:rPr>
          <w:rFonts w:ascii="Calibri" w:hAnsi="Calibri" w:cs="Calibri"/>
        </w:rPr>
        <w:t>The 7 Melbourne local government growth areas accounted for 50% of Victoria’s total population growth over the last 10 years.</w:t>
      </w:r>
      <w:r w:rsidRPr="00CA2CC1">
        <w:rPr>
          <w:rStyle w:val="EndnoteReference"/>
          <w:rFonts w:ascii="Calibri" w:hAnsi="Calibri" w:cs="Calibri"/>
        </w:rPr>
        <w:endnoteReference w:id="204"/>
      </w:r>
      <w:r w:rsidRPr="00CA2CC1">
        <w:rPr>
          <w:rFonts w:ascii="Calibri" w:hAnsi="Calibri" w:cs="Calibri"/>
        </w:rPr>
        <w:t xml:space="preserve"> Aquatic recreation centre and libraries operate every day, providing many different health and education services for people of all ages. Libraries in Victoria provide an estimated $4.30 in economic and social benefits for every dollar invested</w:t>
      </w:r>
      <w:r w:rsidRPr="00CA2CC1">
        <w:rPr>
          <w:rStyle w:val="EndnoteReference"/>
          <w:rFonts w:ascii="Calibri" w:hAnsi="Calibri" w:cs="Calibri"/>
        </w:rPr>
        <w:endnoteReference w:id="205"/>
      </w:r>
      <w:r w:rsidRPr="00CA2CC1">
        <w:rPr>
          <w:rFonts w:ascii="Calibri" w:hAnsi="Calibri" w:cs="Calibri"/>
        </w:rPr>
        <w:t xml:space="preserve"> and each swimming pool visit generates $26.00 in health benefits to the community.</w:t>
      </w:r>
      <w:r w:rsidRPr="00CA2CC1">
        <w:rPr>
          <w:rStyle w:val="EndnoteReference"/>
          <w:rFonts w:ascii="Calibri" w:hAnsi="Calibri" w:cs="Calibri"/>
        </w:rPr>
        <w:endnoteReference w:id="206"/>
      </w:r>
      <w:r w:rsidRPr="00CA2CC1">
        <w:rPr>
          <w:rFonts w:ascii="Calibri" w:hAnsi="Calibri" w:cs="Calibri"/>
        </w:rPr>
        <w:t xml:space="preserve"> These facilities are highly valued by people of all ages and can be slow to arrive in new growth area communities.</w:t>
      </w:r>
      <w:r w:rsidRPr="00CA2CC1">
        <w:rPr>
          <w:rStyle w:val="EndnoteReference"/>
          <w:rFonts w:ascii="Calibri" w:hAnsi="Calibri" w:cs="Calibri"/>
        </w:rPr>
        <w:endnoteReference w:id="207"/>
      </w:r>
      <w:r w:rsidRPr="00CA2CC1">
        <w:rPr>
          <w:rFonts w:ascii="Calibri" w:hAnsi="Calibri" w:cs="Calibri"/>
        </w:rPr>
        <w:t xml:space="preserve"> </w:t>
      </w:r>
      <w:r w:rsidRPr="00CA2CC1">
        <w:rPr>
          <w:rFonts w:ascii="Calibri" w:hAnsi="Calibri" w:cs="Calibri"/>
          <w:i/>
          <w:iCs/>
        </w:rPr>
        <w:t xml:space="preserve"> Victoria’s infrastructure strategy 2021</w:t>
      </w:r>
      <w:r w:rsidRPr="00CA2CC1">
        <w:rPr>
          <w:rFonts w:ascii="Calibri" w:hAnsi="Calibri" w:cs="Calibri"/>
        </w:rPr>
        <w:t>–</w:t>
      </w:r>
      <w:r w:rsidRPr="00CA2CC1">
        <w:rPr>
          <w:rFonts w:ascii="Calibri" w:hAnsi="Calibri" w:cs="Calibri"/>
          <w:i/>
          <w:iCs/>
        </w:rPr>
        <w:t>2051</w:t>
      </w:r>
      <w:r w:rsidRPr="00CA2CC1">
        <w:rPr>
          <w:rFonts w:ascii="Calibri" w:hAnsi="Calibri" w:cs="Calibri"/>
        </w:rPr>
        <w:t xml:space="preserve"> recommended the Victorian Government fund libraries and aquatic centres to better support infrastructure provision in growth areas and address the needs growing communities in these suburbs. </w:t>
      </w:r>
      <w:bookmarkStart w:id="61" w:name="_Toc109662735"/>
    </w:p>
    <w:p w14:paraId="4F6A1760" w14:textId="45BDA874" w:rsidR="00373ED9" w:rsidRPr="00CA2CC1" w:rsidRDefault="00373ED9" w:rsidP="007F3CC4">
      <w:pPr>
        <w:pStyle w:val="Heading2"/>
        <w:rPr>
          <w:rFonts w:cs="Calibri"/>
        </w:rPr>
      </w:pPr>
      <w:r w:rsidRPr="00CA2CC1">
        <w:rPr>
          <w:rFonts w:cs="Calibri"/>
        </w:rPr>
        <w:t>Growing participation</w:t>
      </w:r>
      <w:bookmarkEnd w:id="61"/>
    </w:p>
    <w:p w14:paraId="340F9F22" w14:textId="77777777" w:rsidR="00373ED9" w:rsidRPr="00CA2CC1" w:rsidRDefault="00373ED9" w:rsidP="0043303B">
      <w:pPr>
        <w:pStyle w:val="Heading3"/>
        <w:rPr>
          <w:rFonts w:cs="Calibri"/>
        </w:rPr>
      </w:pPr>
      <w:r w:rsidRPr="00CA2CC1">
        <w:rPr>
          <w:rFonts w:cs="Calibri"/>
        </w:rPr>
        <w:t xml:space="preserve">Priority description from the </w:t>
      </w:r>
      <w:r w:rsidRPr="00CA2CC1">
        <w:rPr>
          <w:rFonts w:cs="Calibri"/>
          <w:i/>
          <w:iCs/>
        </w:rPr>
        <w:t>Victorian infrastructure plan 2021</w:t>
      </w:r>
    </w:p>
    <w:p w14:paraId="5658AC59" w14:textId="77777777" w:rsidR="00373ED9" w:rsidRPr="00CA2CC1" w:rsidRDefault="00373ED9" w:rsidP="0043303B">
      <w:pPr>
        <w:pStyle w:val="IVBodyText"/>
        <w:spacing w:line="240" w:lineRule="auto"/>
        <w:rPr>
          <w:rFonts w:ascii="Calibri" w:hAnsi="Calibri" w:cs="Calibri"/>
          <w:b/>
          <w:bCs/>
          <w:color w:val="auto"/>
        </w:rPr>
      </w:pPr>
      <w:r w:rsidRPr="00CA2CC1">
        <w:rPr>
          <w:rFonts w:ascii="Calibri" w:hAnsi="Calibri" w:cs="Calibri"/>
          <w:b/>
          <w:bCs/>
          <w:color w:val="auto"/>
        </w:rPr>
        <w:t>Targeted investments in new and existing natural and built assets give people the opportunity to actively participate, creating healthier and more inclusive communities.</w:t>
      </w:r>
    </w:p>
    <w:p w14:paraId="22D8B9BC" w14:textId="77777777" w:rsidR="00373ED9" w:rsidRPr="00CA2CC1" w:rsidRDefault="00373ED9" w:rsidP="0043303B">
      <w:pPr>
        <w:pStyle w:val="Heading3"/>
        <w:rPr>
          <w:rFonts w:cs="Calibri"/>
        </w:rPr>
      </w:pPr>
      <w:r w:rsidRPr="00CA2CC1">
        <w:rPr>
          <w:rFonts w:cs="Calibri"/>
        </w:rPr>
        <w:t>Victorian Government progress in 2022–23</w:t>
      </w:r>
    </w:p>
    <w:p w14:paraId="6F5A2E3F"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This priority aims to allow more people to participate more often, in more diverse sporting and community activities, to produce healthier and more inclusive communities.</w:t>
      </w:r>
    </w:p>
    <w:p w14:paraId="71AD15A1"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For the calendar year of 2022, the participation rate of Victorian adults playing sport or exercising at least 3 times each week was 63.7%, above the national average of 61.1%.</w:t>
      </w:r>
      <w:r w:rsidRPr="00CA2CC1">
        <w:rPr>
          <w:rFonts w:ascii="Calibri" w:hAnsi="Calibri" w:cs="Calibri"/>
          <w:vertAlign w:val="superscript"/>
        </w:rPr>
        <w:endnoteReference w:id="208"/>
      </w:r>
      <w:r w:rsidRPr="00CA2CC1">
        <w:rPr>
          <w:rFonts w:ascii="Calibri" w:hAnsi="Calibri" w:cs="Calibri"/>
        </w:rPr>
        <w:t xml:space="preserve"> Victoria’s rate is slightly lower than the previous 2 years</w:t>
      </w:r>
      <w:r w:rsidRPr="00CA2CC1" w:rsidDel="00C213CF">
        <w:rPr>
          <w:rFonts w:ascii="Calibri" w:hAnsi="Calibri" w:cs="Calibri"/>
        </w:rPr>
        <w:t xml:space="preserve"> </w:t>
      </w:r>
      <w:r w:rsidRPr="00CA2CC1">
        <w:rPr>
          <w:rFonts w:ascii="Calibri" w:hAnsi="Calibri" w:cs="Calibri"/>
        </w:rPr>
        <w:t>when the state recorded participation rates above 65%. Almost 10% of Victoria’s adults do not participate in sport or physical activity.</w:t>
      </w:r>
      <w:r w:rsidRPr="00CA2CC1">
        <w:rPr>
          <w:rFonts w:ascii="Calibri" w:hAnsi="Calibri" w:cs="Calibri"/>
          <w:vertAlign w:val="superscript"/>
        </w:rPr>
        <w:endnoteReference w:id="209"/>
      </w:r>
      <w:r w:rsidRPr="00CA2CC1">
        <w:rPr>
          <w:rFonts w:ascii="Calibri" w:hAnsi="Calibri" w:cs="Calibri"/>
        </w:rPr>
        <w:t xml:space="preserve"> The Victorian Government is delivering several initiatives to grow participation in sport and recreation.</w:t>
      </w:r>
    </w:p>
    <w:p w14:paraId="1823AD2A"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In August 2022, the Victorian Government released a Fair Access Policy Roadmap to help women and girls fully participate in community sport.</w:t>
      </w:r>
      <w:r w:rsidRPr="00CA2CC1">
        <w:rPr>
          <w:rFonts w:ascii="Calibri" w:hAnsi="Calibri" w:cs="Calibri"/>
          <w:vertAlign w:val="superscript"/>
        </w:rPr>
        <w:endnoteReference w:id="210"/>
      </w:r>
      <w:r w:rsidRPr="00CA2CC1">
        <w:rPr>
          <w:rFonts w:ascii="Calibri" w:hAnsi="Calibri" w:cs="Calibri"/>
        </w:rPr>
        <w:t xml:space="preserve"> The roadmap is a statewide approach to improve access and use </w:t>
      </w:r>
      <w:r w:rsidRPr="00CA2CC1">
        <w:rPr>
          <w:rFonts w:ascii="Calibri" w:hAnsi="Calibri" w:cs="Calibri"/>
        </w:rPr>
        <w:lastRenderedPageBreak/>
        <w:t>of community sports infrastructure for women and girls. It requires all Victorian councils to have gender equitable access and use policies in place by 1 July 2024, to be eligible for government infrastructure funding.</w:t>
      </w:r>
      <w:r w:rsidRPr="00CA2CC1">
        <w:rPr>
          <w:rFonts w:ascii="Calibri" w:hAnsi="Calibri" w:cs="Calibri"/>
          <w:vertAlign w:val="superscript"/>
        </w:rPr>
        <w:endnoteReference w:id="211"/>
      </w:r>
    </w:p>
    <w:p w14:paraId="2BB6D87C"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The Victorian Government is delivering several initiatives to grow participation in sport and recreation. The Local Sports Infrastructure Fund invests in opportunities to encourage participation and advance inclusive and accessible sports development.</w:t>
      </w:r>
      <w:r w:rsidRPr="00CA2CC1">
        <w:rPr>
          <w:rFonts w:ascii="Calibri" w:hAnsi="Calibri" w:cs="Calibri"/>
          <w:vertAlign w:val="superscript"/>
        </w:rPr>
        <w:endnoteReference w:id="212"/>
      </w:r>
      <w:r w:rsidRPr="00CA2CC1">
        <w:rPr>
          <w:rFonts w:ascii="Calibri" w:hAnsi="Calibri" w:cs="Calibri"/>
          <w:vertAlign w:val="superscript"/>
        </w:rPr>
        <w:t xml:space="preserve"> </w:t>
      </w:r>
      <w:r w:rsidRPr="00CA2CC1">
        <w:rPr>
          <w:rFonts w:ascii="Calibri" w:hAnsi="Calibri" w:cs="Calibri"/>
        </w:rPr>
        <w:t>The fund has 5 funding streams: indoor stadiums/aquatic centres, female friendly facilities, community sports lighting, community facilities and planning. The government announced funding for 91 projects in October 2022 as part of the 2022–23 fund, including funding to upgrade the Warragul United Soccer club pavilion and upgrades to the Altona City Soccer Club.</w:t>
      </w:r>
      <w:r w:rsidRPr="00CA2CC1">
        <w:rPr>
          <w:rFonts w:ascii="Calibri" w:hAnsi="Calibri" w:cs="Calibri"/>
          <w:vertAlign w:val="superscript"/>
        </w:rPr>
        <w:endnoteReference w:id="213"/>
      </w:r>
      <w:r w:rsidRPr="00CA2CC1">
        <w:rPr>
          <w:rFonts w:ascii="Calibri" w:hAnsi="Calibri" w:cs="Calibri"/>
        </w:rPr>
        <w:t xml:space="preserve"> It funded 13 sports facilities to provide female friendly facilities to support the participation of women and girls in sport.</w:t>
      </w:r>
      <w:r w:rsidRPr="00CA2CC1">
        <w:rPr>
          <w:rFonts w:ascii="Calibri" w:hAnsi="Calibri" w:cs="Calibri"/>
          <w:vertAlign w:val="superscript"/>
        </w:rPr>
        <w:endnoteReference w:id="214"/>
      </w:r>
    </w:p>
    <w:p w14:paraId="209BD7AD"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The 2023–24 Victorian Budget provides $201 million for investment in community sport and active recreation infrastructure including the Local Sports Infrastructure Fund and the Country Football and Netball program.</w:t>
      </w:r>
      <w:r w:rsidRPr="00CA2CC1">
        <w:rPr>
          <w:rFonts w:ascii="Calibri" w:hAnsi="Calibri" w:cs="Calibri"/>
          <w:vertAlign w:val="superscript"/>
        </w:rPr>
        <w:endnoteReference w:id="215"/>
      </w:r>
      <w:r w:rsidRPr="00CA2CC1">
        <w:rPr>
          <w:rFonts w:ascii="Calibri" w:hAnsi="Calibri" w:cs="Calibri"/>
        </w:rPr>
        <w:t xml:space="preserve"> In June 2023, 11 projects were announced as part of the Country Football and Netball program. This included an upgraded netball court and competition-standard lighting at Stribling Reserve in Lorne.</w:t>
      </w:r>
      <w:r w:rsidRPr="00CA2CC1">
        <w:rPr>
          <w:rStyle w:val="EndnoteReference"/>
          <w:rFonts w:ascii="Calibri" w:hAnsi="Calibri" w:cs="Calibri"/>
        </w:rPr>
        <w:endnoteReference w:id="216"/>
      </w:r>
      <w:r w:rsidRPr="00CA2CC1">
        <w:rPr>
          <w:rFonts w:ascii="Calibri" w:hAnsi="Calibri" w:cs="Calibri"/>
        </w:rPr>
        <w:t xml:space="preserve"> </w:t>
      </w:r>
    </w:p>
    <w:p w14:paraId="15ADDE65"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In July 2022, government announced 7 projects will receive $2.6 million in the final round of funding from the World Games Facilities Fund. The fund assists local soccer clubs to upgrade or develop new facilities across the state.</w:t>
      </w:r>
      <w:r w:rsidRPr="00CA2CC1">
        <w:rPr>
          <w:rStyle w:val="EndnoteReference"/>
          <w:rFonts w:ascii="Calibri" w:hAnsi="Calibri" w:cs="Calibri"/>
        </w:rPr>
        <w:endnoteReference w:id="217"/>
      </w:r>
    </w:p>
    <w:p w14:paraId="4A39744D"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Several other previously funded projects that support this priority progressed over the last year. For example, the redeveloped IKON Park is the new home of AFLW.</w:t>
      </w:r>
      <w:r w:rsidRPr="00CA2CC1">
        <w:rPr>
          <w:rFonts w:ascii="Calibri" w:hAnsi="Calibri" w:cs="Calibri"/>
          <w:vertAlign w:val="superscript"/>
        </w:rPr>
        <w:endnoteReference w:id="218"/>
      </w:r>
      <w:r w:rsidRPr="00CA2CC1">
        <w:rPr>
          <w:rFonts w:ascii="Calibri" w:hAnsi="Calibri" w:cs="Calibri"/>
        </w:rPr>
        <w:t xml:space="preserve"> Construction of Whitten Oval upgrade stage 2, additional funding was also announced in July 2022 to deliver male and female facilities to support club training and community programs.</w:t>
      </w:r>
      <w:r w:rsidRPr="00CA2CC1">
        <w:rPr>
          <w:rFonts w:ascii="Calibri" w:hAnsi="Calibri" w:cs="Calibri"/>
          <w:vertAlign w:val="superscript"/>
        </w:rPr>
        <w:endnoteReference w:id="219"/>
      </w:r>
      <w:r w:rsidRPr="00CA2CC1">
        <w:rPr>
          <w:rFonts w:ascii="Calibri" w:hAnsi="Calibri" w:cs="Calibri"/>
        </w:rPr>
        <w:t xml:space="preserve"> Eight new netball courts and a shared-use Pavilion at Yarra Bend Park were completed in September 2022.</w:t>
      </w:r>
      <w:r w:rsidRPr="00CA2CC1">
        <w:rPr>
          <w:rStyle w:val="EndnoteReference"/>
          <w:rFonts w:ascii="Calibri" w:hAnsi="Calibri" w:cs="Calibri"/>
        </w:rPr>
        <w:endnoteReference w:id="220"/>
      </w:r>
      <w:r w:rsidRPr="00CA2CC1">
        <w:rPr>
          <w:rFonts w:ascii="Calibri" w:hAnsi="Calibri" w:cs="Calibri"/>
        </w:rPr>
        <w:t xml:space="preserve"> By increasing awareness and visibility, elite sports might contribute to more local participation.</w:t>
      </w:r>
    </w:p>
    <w:p w14:paraId="4DD65B1E" w14:textId="441C5896" w:rsidR="00373ED9" w:rsidRPr="00CA2CC1" w:rsidRDefault="00373ED9" w:rsidP="00A77228">
      <w:pPr>
        <w:pStyle w:val="Heading1"/>
        <w:rPr>
          <w:rFonts w:cs="Calibri"/>
        </w:rPr>
      </w:pPr>
      <w:bookmarkStart w:id="62" w:name="_Toc109662736"/>
      <w:r w:rsidRPr="00CA2CC1">
        <w:rPr>
          <w:rFonts w:cs="Calibri"/>
        </w:rPr>
        <w:t>Maintaining and improving our current facilities</w:t>
      </w:r>
      <w:bookmarkEnd w:id="62"/>
    </w:p>
    <w:p w14:paraId="33725B27" w14:textId="77777777" w:rsidR="00373ED9" w:rsidRPr="00CA2CC1" w:rsidRDefault="00373ED9" w:rsidP="0043303B">
      <w:pPr>
        <w:pStyle w:val="Heading3"/>
        <w:rPr>
          <w:rFonts w:cs="Calibri"/>
        </w:rPr>
      </w:pPr>
      <w:r w:rsidRPr="00CA2CC1">
        <w:rPr>
          <w:rFonts w:cs="Calibri"/>
        </w:rPr>
        <w:t xml:space="preserve">Priority description from the </w:t>
      </w:r>
      <w:r w:rsidRPr="00CA2CC1">
        <w:rPr>
          <w:rFonts w:cs="Calibri"/>
          <w:i/>
          <w:iCs/>
        </w:rPr>
        <w:t>Victorian infrastructure plan 2021</w:t>
      </w:r>
    </w:p>
    <w:p w14:paraId="451FA50F" w14:textId="77777777" w:rsidR="00373ED9" w:rsidRPr="00CA2CC1" w:rsidRDefault="00373ED9" w:rsidP="0043303B">
      <w:pPr>
        <w:pStyle w:val="IVBodyText"/>
        <w:spacing w:line="240" w:lineRule="auto"/>
        <w:rPr>
          <w:rFonts w:ascii="Calibri" w:hAnsi="Calibri" w:cs="Calibri"/>
          <w:b/>
          <w:bCs/>
          <w:color w:val="auto"/>
        </w:rPr>
      </w:pPr>
      <w:r w:rsidRPr="00CA2CC1">
        <w:rPr>
          <w:rFonts w:ascii="Calibri" w:hAnsi="Calibri" w:cs="Calibri"/>
          <w:b/>
          <w:bCs/>
          <w:color w:val="auto"/>
        </w:rPr>
        <w:t>Victoria has significant cultural, sporting, recreation, and community assets. Maintaining and improving these assets will ensure they are safe, suitable, and appropriate, maximising positive benefits for both current and future generations in the community.</w:t>
      </w:r>
    </w:p>
    <w:p w14:paraId="6A0C0BA2" w14:textId="77777777" w:rsidR="00373ED9" w:rsidRPr="00CA2CC1" w:rsidRDefault="00373ED9" w:rsidP="0043303B">
      <w:pPr>
        <w:pStyle w:val="Heading3"/>
        <w:rPr>
          <w:rFonts w:cs="Calibri"/>
        </w:rPr>
      </w:pPr>
      <w:r w:rsidRPr="00CA2CC1">
        <w:rPr>
          <w:rFonts w:cs="Calibri"/>
        </w:rPr>
        <w:t>Victorian Government progress in 2022–23</w:t>
      </w:r>
    </w:p>
    <w:p w14:paraId="6B274839"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This priority is about maintaining and improving Victoria’s existing cultural, sporting, recreation and community infrastructure. It seeks to make infrastructure fit-for-purpose and meet the needs of current and future communities.</w:t>
      </w:r>
    </w:p>
    <w:p w14:paraId="5D0AB502"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The quantity and diversity of Victoria’s cultural, sporting, recreation and community assets make them difficult to assess. The Victorian Government owns much state-significant infrastructure, but local governments and not-for-profit organisations own or manage many facilities. Victorian councils spend about $2 billion each year on infrastructure,</w:t>
      </w:r>
      <w:r w:rsidRPr="00CA2CC1">
        <w:rPr>
          <w:rFonts w:ascii="Calibri" w:hAnsi="Calibri" w:cs="Calibri"/>
          <w:vertAlign w:val="superscript"/>
        </w:rPr>
        <w:endnoteReference w:id="221"/>
      </w:r>
      <w:r w:rsidRPr="00CA2CC1">
        <w:rPr>
          <w:rFonts w:ascii="Calibri" w:hAnsi="Calibri" w:cs="Calibri"/>
        </w:rPr>
        <w:t xml:space="preserve"> while managing assets worth over $115 billion.</w:t>
      </w:r>
      <w:r w:rsidRPr="00CA2CC1">
        <w:rPr>
          <w:rFonts w:ascii="Calibri" w:hAnsi="Calibri" w:cs="Calibri"/>
          <w:vertAlign w:val="superscript"/>
        </w:rPr>
        <w:endnoteReference w:id="222"/>
      </w:r>
      <w:r w:rsidRPr="00CA2CC1">
        <w:rPr>
          <w:rFonts w:ascii="Calibri" w:hAnsi="Calibri" w:cs="Calibri"/>
        </w:rPr>
        <w:t xml:space="preserve"> </w:t>
      </w:r>
    </w:p>
    <w:p w14:paraId="7ECEE2C4"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lastRenderedPageBreak/>
        <w:t>Maintaining and upgrading cultural, sporting, recreation and community infrastructure requires continual investment. Community facilities grants by the Victorian Government over the past 6 years varies considerably. Government approved 170 in 2016–17, reaching 320 in 2018–19 and falling back to 239 in 2020–21. In 2022–23 the target (and expected outcome) was 170.</w:t>
      </w:r>
      <w:r w:rsidRPr="00CA2CC1">
        <w:rPr>
          <w:rFonts w:ascii="Calibri" w:hAnsi="Calibri" w:cs="Calibri"/>
          <w:vertAlign w:val="superscript"/>
        </w:rPr>
        <w:endnoteReference w:id="223"/>
      </w:r>
    </w:p>
    <w:p w14:paraId="61DE7F9F"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The Victorian Government has several funding programs that support this priority. Most of them support local governments and not-for profit organisations to maintain and improve their assets. For example, the Community Sports Infrastructure Loans scheme helps build and upgrade local community infrastructure. In April 2023, City of Merri-bek received an $8 million government guaranteed loan to upgrade Fawkner Leisure Centre.</w:t>
      </w:r>
      <w:r w:rsidRPr="00CA2CC1">
        <w:rPr>
          <w:rFonts w:ascii="Calibri" w:hAnsi="Calibri" w:cs="Calibri"/>
          <w:vertAlign w:val="superscript"/>
        </w:rPr>
        <w:endnoteReference w:id="224"/>
      </w:r>
    </w:p>
    <w:p w14:paraId="2FD2F1B8"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The Living Libraries Infrastructure Program gives councils and regional library corporations between $10,000 and $1 million to deliver new or upgraded library facilities.</w:t>
      </w:r>
      <w:r w:rsidRPr="00CA2CC1">
        <w:rPr>
          <w:rFonts w:ascii="Calibri" w:hAnsi="Calibri" w:cs="Calibri"/>
          <w:vertAlign w:val="superscript"/>
        </w:rPr>
        <w:endnoteReference w:id="225"/>
      </w:r>
      <w:r w:rsidRPr="00CA2CC1">
        <w:rPr>
          <w:rFonts w:ascii="Calibri" w:hAnsi="Calibri" w:cs="Calibri"/>
        </w:rPr>
        <w:t xml:space="preserve"> The 2022–23 program funded 11 projects including, $1 million each towards the Munro Library and Community Hub at Queen Victoria Market, the Baw Baw Civic Precinct Library in Warragul, as well as expansion of Heathcote Library.</w:t>
      </w:r>
      <w:r w:rsidRPr="00CA2CC1">
        <w:rPr>
          <w:rFonts w:ascii="Calibri" w:hAnsi="Calibri" w:cs="Calibri"/>
          <w:vertAlign w:val="superscript"/>
        </w:rPr>
        <w:endnoteReference w:id="226"/>
      </w:r>
    </w:p>
    <w:p w14:paraId="4A8FFC74"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Government announced the Living Local Fund in the 2022–23 Budget. This includes grants for local community building projects, such as revitalising suburban shopping strips and public spaces and regional community infrastructure projects.</w:t>
      </w:r>
      <w:r w:rsidRPr="00CA2CC1">
        <w:rPr>
          <w:rFonts w:ascii="Calibri" w:hAnsi="Calibri" w:cs="Calibri"/>
          <w:vertAlign w:val="superscript"/>
        </w:rPr>
        <w:endnoteReference w:id="227"/>
      </w:r>
      <w:r w:rsidRPr="00CA2CC1">
        <w:rPr>
          <w:rFonts w:ascii="Calibri" w:hAnsi="Calibri" w:cs="Calibri"/>
        </w:rPr>
        <w:t xml:space="preserve"> There were 124 successful grant applications to the Suburban Living Local fund last year. Examples of successful projects included: refurbishment and re-opening of the Ceres Community Centre in Brunswick East, upgrades to a scout hall in Nunawading, a community hub upgrade in Yarra Junction and refurbishment of a children’s playground in Frankston North.</w:t>
      </w:r>
      <w:r w:rsidRPr="00CA2CC1">
        <w:rPr>
          <w:rFonts w:ascii="Calibri" w:hAnsi="Calibri" w:cs="Calibri"/>
          <w:vertAlign w:val="superscript"/>
        </w:rPr>
        <w:endnoteReference w:id="228"/>
      </w:r>
      <w:r w:rsidRPr="00CA2CC1">
        <w:rPr>
          <w:rFonts w:ascii="Calibri" w:hAnsi="Calibri" w:cs="Calibri"/>
        </w:rPr>
        <w:t xml:space="preserve"> </w:t>
      </w:r>
    </w:p>
    <w:p w14:paraId="10D4DB77"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The Regional Living Local fund had 87 successful grant applications. Funded projects included: an energy efficiency upgrade for community building in Indigo Shire, development of community facilities in Portland to support participation in visual and creative arts and upgrades to the Watchem Mechanics Institute Hall including buying technological equipment to increase community use.</w:t>
      </w:r>
      <w:r w:rsidRPr="00CA2CC1">
        <w:rPr>
          <w:rFonts w:ascii="Calibri" w:hAnsi="Calibri" w:cs="Calibri"/>
          <w:vertAlign w:val="superscript"/>
        </w:rPr>
        <w:endnoteReference w:id="229"/>
      </w:r>
    </w:p>
    <w:p w14:paraId="50F4183B"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The Regional Infrastructure Fund gives grants for infrastructure projects that can stimulate economic and community development in rural Victoria. Grant recipients announced in October 2022 include $3 million for Surf Coast Aquatic and Health Centre and funding to build the Wangun outdoor all</w:t>
      </w:r>
      <w:r w:rsidRPr="00CA2CC1">
        <w:rPr>
          <w:rFonts w:ascii="Calibri" w:hAnsi="Calibri" w:cs="Calibri"/>
        </w:rPr>
        <w:noBreakHyphen/>
        <w:t>weather amphitheatre and yarning circle for community and Gunaikurnai people to perform cultural education programs and ceremonies.</w:t>
      </w:r>
      <w:r w:rsidRPr="00CA2CC1">
        <w:rPr>
          <w:rFonts w:ascii="Calibri" w:hAnsi="Calibri" w:cs="Calibri"/>
          <w:vertAlign w:val="superscript"/>
        </w:rPr>
        <w:endnoteReference w:id="230"/>
      </w:r>
    </w:p>
    <w:p w14:paraId="3F526B85"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The Aboriginal Community Infrastructure fund received another $10 million in the 2023–24 Victorian Budget to advance social, economic development, employment and service provision for Aboriginal Victorians.</w:t>
      </w:r>
      <w:r w:rsidRPr="00CA2CC1">
        <w:rPr>
          <w:rFonts w:ascii="Calibri" w:hAnsi="Calibri" w:cs="Calibri"/>
          <w:vertAlign w:val="superscript"/>
        </w:rPr>
        <w:endnoteReference w:id="231"/>
      </w:r>
    </w:p>
    <w:p w14:paraId="57F3B038" w14:textId="77777777" w:rsidR="00373ED9" w:rsidRPr="00CA2CC1" w:rsidRDefault="00373ED9" w:rsidP="0043303B">
      <w:pPr>
        <w:pStyle w:val="IVBodyText"/>
        <w:spacing w:line="240" w:lineRule="auto"/>
        <w:rPr>
          <w:rFonts w:ascii="Calibri" w:hAnsi="Calibri" w:cs="Calibri"/>
          <w:color w:val="auto"/>
        </w:rPr>
      </w:pPr>
      <w:r w:rsidRPr="00CA2CC1">
        <w:rPr>
          <w:rFonts w:ascii="Calibri" w:hAnsi="Calibri" w:cs="Calibri"/>
        </w:rPr>
        <w:t xml:space="preserve">The government can make better use of existing assets by funding regional councils to update, repurpose or retire outdated community infrastructure for better service delivery. This is a recommendation in </w:t>
      </w:r>
      <w:r w:rsidRPr="00CA2CC1">
        <w:rPr>
          <w:rFonts w:ascii="Calibri" w:hAnsi="Calibri" w:cs="Calibri"/>
          <w:i/>
          <w:iCs/>
        </w:rPr>
        <w:t>Victoria’s infrastructure strategy 2021–2051</w:t>
      </w:r>
      <w:r w:rsidRPr="00CA2CC1">
        <w:rPr>
          <w:rFonts w:ascii="Calibri" w:hAnsi="Calibri" w:cs="Calibri"/>
        </w:rPr>
        <w:t>.</w:t>
      </w:r>
      <w:r w:rsidRPr="00CA2CC1">
        <w:rPr>
          <w:rFonts w:ascii="Calibri" w:hAnsi="Calibri" w:cs="Calibri"/>
          <w:vertAlign w:val="superscript"/>
        </w:rPr>
        <w:endnoteReference w:id="232"/>
      </w:r>
    </w:p>
    <w:p w14:paraId="64AB600C" w14:textId="77777777" w:rsidR="00373ED9" w:rsidRPr="00CA2CC1" w:rsidRDefault="00373ED9" w:rsidP="0043303B">
      <w:pPr>
        <w:pStyle w:val="Heading1"/>
        <w:rPr>
          <w:rFonts w:cs="Calibri"/>
        </w:rPr>
      </w:pPr>
      <w:bookmarkStart w:id="64" w:name="_Toc109662737"/>
      <w:r w:rsidRPr="00CA2CC1">
        <w:rPr>
          <w:rFonts w:cs="Calibri"/>
        </w:rPr>
        <w:t>Education and training</w:t>
      </w:r>
      <w:bookmarkEnd w:id="64"/>
    </w:p>
    <w:p w14:paraId="1D90A7EB" w14:textId="65CC6571" w:rsidR="00373ED9" w:rsidRPr="00CA2CC1" w:rsidRDefault="00373ED9" w:rsidP="0043303B">
      <w:pPr>
        <w:pStyle w:val="IVIntrotext"/>
        <w:spacing w:line="240" w:lineRule="auto"/>
        <w:rPr>
          <w:rFonts w:cs="Calibri"/>
          <w:color w:val="auto"/>
        </w:rPr>
      </w:pPr>
      <w:r w:rsidRPr="00CA2CC1">
        <w:rPr>
          <w:rFonts w:cs="Calibri"/>
          <w:color w:val="auto"/>
        </w:rPr>
        <w:t>Victoria</w:t>
      </w:r>
      <w:r w:rsidR="002D53A3" w:rsidRPr="00CA2CC1">
        <w:rPr>
          <w:rFonts w:cs="Calibri"/>
          <w:color w:val="auto"/>
        </w:rPr>
        <w:t>n</w:t>
      </w:r>
      <w:r w:rsidRPr="00CA2CC1">
        <w:rPr>
          <w:rFonts w:cs="Calibri"/>
          <w:color w:val="auto"/>
        </w:rPr>
        <w:t xml:space="preserve"> education infrastructure supports lifelong learning including kindergarten, primary school, secondary school, and Technical and Further Education institutes. The education sector helps meet child development milestones and develops skills for future learning and jobs. </w:t>
      </w:r>
    </w:p>
    <w:p w14:paraId="5186AA00" w14:textId="77777777" w:rsidR="00373ED9" w:rsidRPr="00CA2CC1" w:rsidRDefault="00373ED9" w:rsidP="0043303B">
      <w:pPr>
        <w:pStyle w:val="IVBodyText"/>
        <w:spacing w:line="240" w:lineRule="auto"/>
        <w:rPr>
          <w:rFonts w:ascii="Calibri" w:hAnsi="Calibri" w:cs="Calibri"/>
          <w:color w:val="auto"/>
        </w:rPr>
      </w:pPr>
      <w:r w:rsidRPr="00CA2CC1">
        <w:rPr>
          <w:rFonts w:ascii="Calibri" w:hAnsi="Calibri" w:cs="Calibri"/>
          <w:color w:val="auto"/>
        </w:rPr>
        <w:t xml:space="preserve">The </w:t>
      </w:r>
      <w:r w:rsidRPr="00CA2CC1">
        <w:rPr>
          <w:rFonts w:ascii="Calibri" w:hAnsi="Calibri" w:cs="Calibri"/>
          <w:i/>
          <w:iCs/>
          <w:color w:val="auto"/>
        </w:rPr>
        <w:t>Victorian infrastructure plan 2021</w:t>
      </w:r>
      <w:r w:rsidRPr="00CA2CC1">
        <w:rPr>
          <w:rFonts w:ascii="Calibri" w:hAnsi="Calibri" w:cs="Calibri"/>
          <w:color w:val="auto"/>
        </w:rPr>
        <w:t xml:space="preserve"> outlines 6 education and training priorities:</w:t>
      </w:r>
    </w:p>
    <w:p w14:paraId="3634B4B7" w14:textId="77777777" w:rsidR="00373ED9" w:rsidRPr="00CA2CC1" w:rsidRDefault="00373ED9" w:rsidP="0043303B">
      <w:pPr>
        <w:pStyle w:val="IVBodyText"/>
        <w:numPr>
          <w:ilvl w:val="0"/>
          <w:numId w:val="50"/>
        </w:numPr>
        <w:spacing w:line="240" w:lineRule="auto"/>
        <w:rPr>
          <w:rFonts w:ascii="Calibri" w:hAnsi="Calibri" w:cs="Calibri"/>
          <w:color w:val="auto"/>
        </w:rPr>
      </w:pPr>
      <w:r w:rsidRPr="00CA2CC1">
        <w:rPr>
          <w:rFonts w:ascii="Calibri" w:hAnsi="Calibri" w:cs="Calibri"/>
          <w:color w:val="auto"/>
        </w:rPr>
        <w:t>catering for a growing population</w:t>
      </w:r>
    </w:p>
    <w:p w14:paraId="1F05ADD8" w14:textId="77777777" w:rsidR="00373ED9" w:rsidRPr="00CA2CC1" w:rsidRDefault="00373ED9" w:rsidP="0043303B">
      <w:pPr>
        <w:pStyle w:val="IVBodyText"/>
        <w:numPr>
          <w:ilvl w:val="0"/>
          <w:numId w:val="50"/>
        </w:numPr>
        <w:spacing w:line="240" w:lineRule="auto"/>
        <w:rPr>
          <w:rFonts w:ascii="Calibri" w:hAnsi="Calibri" w:cs="Calibri"/>
          <w:color w:val="auto"/>
        </w:rPr>
      </w:pPr>
      <w:r w:rsidRPr="00CA2CC1">
        <w:rPr>
          <w:rFonts w:ascii="Calibri" w:hAnsi="Calibri" w:cs="Calibri"/>
          <w:color w:val="auto"/>
        </w:rPr>
        <w:lastRenderedPageBreak/>
        <w:t>creating inclusive shared spaces</w:t>
      </w:r>
    </w:p>
    <w:p w14:paraId="37EAF762" w14:textId="77777777" w:rsidR="00373ED9" w:rsidRPr="00CA2CC1" w:rsidRDefault="00373ED9" w:rsidP="0043303B">
      <w:pPr>
        <w:pStyle w:val="IVBodyText"/>
        <w:numPr>
          <w:ilvl w:val="0"/>
          <w:numId w:val="50"/>
        </w:numPr>
        <w:spacing w:line="240" w:lineRule="auto"/>
        <w:rPr>
          <w:rFonts w:ascii="Calibri" w:hAnsi="Calibri" w:cs="Calibri"/>
          <w:color w:val="auto"/>
        </w:rPr>
      </w:pPr>
      <w:r w:rsidRPr="00CA2CC1">
        <w:rPr>
          <w:rFonts w:ascii="Calibri" w:hAnsi="Calibri" w:cs="Calibri"/>
          <w:color w:val="auto"/>
        </w:rPr>
        <w:t>maximising use of technology</w:t>
      </w:r>
    </w:p>
    <w:p w14:paraId="4C21421E" w14:textId="77777777" w:rsidR="00373ED9" w:rsidRPr="00CA2CC1" w:rsidRDefault="00373ED9" w:rsidP="0043303B">
      <w:pPr>
        <w:pStyle w:val="IVBodyText"/>
        <w:numPr>
          <w:ilvl w:val="0"/>
          <w:numId w:val="50"/>
        </w:numPr>
        <w:spacing w:line="240" w:lineRule="auto"/>
        <w:rPr>
          <w:rFonts w:ascii="Calibri" w:hAnsi="Calibri" w:cs="Calibri"/>
          <w:color w:val="auto"/>
        </w:rPr>
      </w:pPr>
      <w:r w:rsidRPr="00CA2CC1">
        <w:rPr>
          <w:rFonts w:ascii="Calibri" w:hAnsi="Calibri" w:cs="Calibri"/>
          <w:color w:val="auto"/>
        </w:rPr>
        <w:t>developing skills for tomorrow</w:t>
      </w:r>
    </w:p>
    <w:p w14:paraId="32F258BC" w14:textId="77777777" w:rsidR="00373ED9" w:rsidRPr="00CA2CC1" w:rsidRDefault="00373ED9" w:rsidP="0043303B">
      <w:pPr>
        <w:pStyle w:val="IVBodyText"/>
        <w:numPr>
          <w:ilvl w:val="0"/>
          <w:numId w:val="50"/>
        </w:numPr>
        <w:spacing w:line="240" w:lineRule="auto"/>
        <w:rPr>
          <w:rFonts w:ascii="Calibri" w:hAnsi="Calibri" w:cs="Calibri"/>
          <w:color w:val="auto"/>
        </w:rPr>
      </w:pPr>
      <w:r w:rsidRPr="00CA2CC1">
        <w:rPr>
          <w:rFonts w:ascii="Calibri" w:hAnsi="Calibri" w:cs="Calibri"/>
          <w:color w:val="auto"/>
        </w:rPr>
        <w:t>improving education infrastructure</w:t>
      </w:r>
    </w:p>
    <w:p w14:paraId="1642E3FD" w14:textId="77777777" w:rsidR="00373ED9" w:rsidRPr="00CA2CC1" w:rsidRDefault="00373ED9" w:rsidP="0043303B">
      <w:pPr>
        <w:pStyle w:val="IVBodyText"/>
        <w:numPr>
          <w:ilvl w:val="0"/>
          <w:numId w:val="50"/>
        </w:numPr>
        <w:spacing w:line="240" w:lineRule="auto"/>
        <w:rPr>
          <w:rFonts w:ascii="Calibri" w:hAnsi="Calibri" w:cs="Calibri"/>
          <w:color w:val="auto"/>
        </w:rPr>
      </w:pPr>
      <w:r w:rsidRPr="00CA2CC1">
        <w:rPr>
          <w:rFonts w:ascii="Calibri" w:hAnsi="Calibri" w:cs="Calibri"/>
          <w:color w:val="auto"/>
        </w:rPr>
        <w:t>kindergarten for all 3-year-olds.</w:t>
      </w:r>
    </w:p>
    <w:p w14:paraId="3B2C9183" w14:textId="6E48D933" w:rsidR="00373ED9" w:rsidRPr="00CA2CC1" w:rsidRDefault="00373ED9" w:rsidP="00827841">
      <w:pPr>
        <w:pStyle w:val="Heading2"/>
        <w:rPr>
          <w:rFonts w:cs="Calibri"/>
        </w:rPr>
      </w:pPr>
      <w:bookmarkStart w:id="65" w:name="_Toc109662738"/>
      <w:r w:rsidRPr="00CA2CC1">
        <w:rPr>
          <w:rFonts w:cs="Calibri"/>
        </w:rPr>
        <w:t>Catering for a growing population</w:t>
      </w:r>
      <w:bookmarkEnd w:id="65"/>
    </w:p>
    <w:p w14:paraId="37D73385" w14:textId="77777777" w:rsidR="00373ED9" w:rsidRPr="00CA2CC1" w:rsidRDefault="00373ED9" w:rsidP="0043303B">
      <w:pPr>
        <w:pStyle w:val="Heading3"/>
        <w:rPr>
          <w:rFonts w:cs="Calibri"/>
        </w:rPr>
      </w:pPr>
      <w:r w:rsidRPr="00CA2CC1">
        <w:rPr>
          <w:rFonts w:cs="Calibri"/>
        </w:rPr>
        <w:t xml:space="preserve">Priority description from the </w:t>
      </w:r>
      <w:r w:rsidRPr="00CA2CC1">
        <w:rPr>
          <w:rFonts w:cs="Calibri"/>
          <w:i/>
          <w:iCs/>
        </w:rPr>
        <w:t>Victorian infrastructure plan 2021</w:t>
      </w:r>
    </w:p>
    <w:p w14:paraId="55E0427E" w14:textId="77777777" w:rsidR="00373ED9" w:rsidRPr="00CA2CC1" w:rsidRDefault="00373ED9" w:rsidP="0043303B">
      <w:pPr>
        <w:pStyle w:val="IVBodyText"/>
        <w:spacing w:line="240" w:lineRule="auto"/>
        <w:rPr>
          <w:rFonts w:ascii="Calibri" w:hAnsi="Calibri" w:cs="Calibri"/>
          <w:b/>
          <w:bCs/>
          <w:color w:val="auto"/>
        </w:rPr>
      </w:pPr>
      <w:r w:rsidRPr="00CA2CC1">
        <w:rPr>
          <w:rFonts w:ascii="Calibri" w:hAnsi="Calibri" w:cs="Calibri"/>
          <w:b/>
          <w:bCs/>
          <w:color w:val="auto"/>
        </w:rPr>
        <w:t>Future population growth means more Victorians engaged in education. Maintaining educational excellence and equity requires more infrastructure and better asset use.</w:t>
      </w:r>
    </w:p>
    <w:p w14:paraId="1763B910" w14:textId="77777777" w:rsidR="00373ED9" w:rsidRPr="00CA2CC1" w:rsidRDefault="00373ED9" w:rsidP="0043303B">
      <w:pPr>
        <w:pStyle w:val="Heading3"/>
        <w:rPr>
          <w:rFonts w:cs="Calibri"/>
        </w:rPr>
      </w:pPr>
      <w:r w:rsidRPr="00CA2CC1">
        <w:rPr>
          <w:rFonts w:cs="Calibri"/>
        </w:rPr>
        <w:t>Victorian Government progress in 2022–23</w:t>
      </w:r>
    </w:p>
    <w:p w14:paraId="67BF53C2" w14:textId="77777777" w:rsidR="00373ED9" w:rsidRPr="00CA2CC1" w:rsidRDefault="00373ED9" w:rsidP="0043303B">
      <w:pPr>
        <w:pStyle w:val="IVBodyText"/>
        <w:spacing w:line="240" w:lineRule="auto"/>
        <w:rPr>
          <w:rFonts w:ascii="Calibri" w:hAnsi="Calibri" w:cs="Calibri"/>
          <w:b/>
          <w:bCs/>
        </w:rPr>
      </w:pPr>
      <w:r w:rsidRPr="00CA2CC1">
        <w:rPr>
          <w:rFonts w:ascii="Calibri" w:hAnsi="Calibri" w:cs="Calibri"/>
        </w:rPr>
        <w:t>This priority aims for Victoria to have enough education infrastructure for a growing population. While the priority encompasses all levels of education, we focused our assessment on primary and secondary school capacity. We discuss early childhood education capacity in the priority related to kindergartens, and higher education, skills and training when assessing the developing skills for tomorrow priority.</w:t>
      </w:r>
    </w:p>
    <w:p w14:paraId="31FD151D"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In February 2022, 555,184 students were enrolled in primary school and 441,726 students were enrolled in secondary school in Victoria.</w:t>
      </w:r>
      <w:r w:rsidRPr="00CA2CC1">
        <w:rPr>
          <w:rStyle w:val="EndnoteReference"/>
          <w:rFonts w:ascii="Calibri" w:hAnsi="Calibri" w:cs="Calibri"/>
          <w:color w:val="auto"/>
        </w:rPr>
        <w:endnoteReference w:id="233"/>
      </w:r>
      <w:r w:rsidRPr="00CA2CC1">
        <w:rPr>
          <w:rFonts w:ascii="Calibri" w:hAnsi="Calibri" w:cs="Calibri"/>
        </w:rPr>
        <w:t xml:space="preserve"> By 2052, the Department of Education expects Victoria to have 790,000 primary school aged children and 670,000 secondary school aged children and young people.</w:t>
      </w:r>
      <w:r w:rsidRPr="00CA2CC1">
        <w:rPr>
          <w:rStyle w:val="EndnoteReference"/>
          <w:rFonts w:ascii="Calibri" w:eastAsiaTheme="majorEastAsia" w:hAnsi="Calibri" w:cs="Calibri"/>
          <w:color w:val="auto"/>
        </w:rPr>
        <w:endnoteReference w:id="234"/>
      </w:r>
      <w:r w:rsidRPr="00CA2CC1">
        <w:rPr>
          <w:rFonts w:ascii="Calibri" w:hAnsi="Calibri" w:cs="Calibri"/>
        </w:rPr>
        <w:t xml:space="preserve"> To cater for these potential students, the Victorian Government will need to expand many existing schools and build new schools.</w:t>
      </w:r>
    </w:p>
    <w:p w14:paraId="551FD8FE" w14:textId="4EF2077B" w:rsidR="00373ED9" w:rsidRPr="00CA2CC1" w:rsidRDefault="00373ED9" w:rsidP="0043303B">
      <w:pPr>
        <w:pStyle w:val="IVBodyText"/>
        <w:spacing w:line="240" w:lineRule="auto"/>
        <w:rPr>
          <w:rFonts w:ascii="Calibri" w:hAnsi="Calibri" w:cs="Calibri"/>
        </w:rPr>
      </w:pPr>
      <w:r w:rsidRPr="00CA2CC1">
        <w:rPr>
          <w:rFonts w:ascii="Calibri" w:hAnsi="Calibri" w:cs="Calibri"/>
        </w:rPr>
        <w:t>The Victorian Government committed to building 100 new schools by 2026.</w:t>
      </w:r>
      <w:r w:rsidRPr="00CA2CC1">
        <w:rPr>
          <w:rStyle w:val="EndnoteReference"/>
          <w:rFonts w:ascii="Calibri" w:eastAsiaTheme="majorEastAsia" w:hAnsi="Calibri" w:cs="Calibri"/>
          <w:color w:val="auto"/>
        </w:rPr>
        <w:endnoteReference w:id="235"/>
      </w:r>
      <w:r w:rsidRPr="00CA2CC1">
        <w:rPr>
          <w:rFonts w:ascii="Calibri" w:hAnsi="Calibri" w:cs="Calibri"/>
        </w:rPr>
        <w:t xml:space="preserve"> </w:t>
      </w:r>
      <w:r w:rsidR="00660E9C" w:rsidRPr="00CA2CC1">
        <w:rPr>
          <w:rFonts w:ascii="Calibri" w:eastAsiaTheme="minorHAnsi" w:hAnsi="Calibri" w:cs="Calibri"/>
          <w:color w:val="000000"/>
          <w:szCs w:val="22"/>
          <w:lang w:val="en-GB"/>
        </w:rPr>
        <w:t>Between 2019 and 2023, the government opened 61 new schools. It has 14 more schools under construction, which will open in 2024</w:t>
      </w:r>
      <w:r w:rsidRPr="00CA2CC1">
        <w:rPr>
          <w:rFonts w:ascii="Calibri" w:hAnsi="Calibri" w:cs="Calibri"/>
        </w:rPr>
        <w:t xml:space="preserve">. </w:t>
      </w:r>
    </w:p>
    <w:p w14:paraId="41D471D9"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In the 2023–24 Budget, the government committed another $573 million in asset funding to construct 9 new schools. For example, Clyde North Primary School, Clyde North Secondary College, and Pakenham North West Primary School are new schools opening in 2025. The Budget also funds commencement of early works for 3 schools due to open in 2026, including Casey Central Primary School, Lockerbie Specialist School, and Point Cook South Specialist School.</w:t>
      </w:r>
      <w:r w:rsidRPr="00CA2CC1">
        <w:rPr>
          <w:rStyle w:val="EndnoteReference"/>
          <w:rFonts w:ascii="Calibri" w:hAnsi="Calibri" w:cs="Calibri"/>
        </w:rPr>
        <w:endnoteReference w:id="236"/>
      </w:r>
    </w:p>
    <w:p w14:paraId="0E20690D"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The 2023–24 Budget also included $21 million to acquire land for new schools.</w:t>
      </w:r>
      <w:r w:rsidRPr="00CA2CC1">
        <w:rPr>
          <w:rStyle w:val="EndnoteReference"/>
          <w:rFonts w:ascii="Calibri" w:eastAsiaTheme="majorEastAsia" w:hAnsi="Calibri" w:cs="Calibri"/>
          <w:color w:val="auto"/>
        </w:rPr>
        <w:endnoteReference w:id="237"/>
      </w:r>
      <w:r w:rsidRPr="00CA2CC1">
        <w:rPr>
          <w:rFonts w:ascii="Calibri" w:hAnsi="Calibri" w:cs="Calibri"/>
        </w:rPr>
        <w:t xml:space="preserve"> Buying land for future schools allows the Victorian Government to confirm sites and start planning for them. It also means local governments and other service and infrastructure providers can start planning for shared facilities in those locations. In 2022–23, the government acquired land for future schools including in Brookfield</w:t>
      </w:r>
      <w:r w:rsidRPr="00CA2CC1">
        <w:rPr>
          <w:rStyle w:val="EndnoteReference"/>
          <w:rFonts w:ascii="Calibri" w:hAnsi="Calibri" w:cs="Calibri"/>
        </w:rPr>
        <w:endnoteReference w:id="238"/>
      </w:r>
      <w:r w:rsidRPr="00CA2CC1">
        <w:rPr>
          <w:rFonts w:ascii="Calibri" w:hAnsi="Calibri" w:cs="Calibri"/>
        </w:rPr>
        <w:t xml:space="preserve"> and Truganina.</w:t>
      </w:r>
      <w:r w:rsidRPr="00CA2CC1">
        <w:rPr>
          <w:rStyle w:val="EndnoteReference"/>
          <w:rFonts w:ascii="Calibri" w:hAnsi="Calibri" w:cs="Calibri"/>
        </w:rPr>
        <w:endnoteReference w:id="239"/>
      </w:r>
    </w:p>
    <w:p w14:paraId="0C6ADBB0"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The Victorian Government uses relocatable buildings and school zones to manage short-term demand changes for school places. The relocatable buildings program relieves pressure on government schools that reach their student capacity. It can flexibly add capacity to schools in areas with high enrolments. The program received an extra $147 million of asset funding in the 2023–24 Budget.</w:t>
      </w:r>
      <w:r w:rsidRPr="00CA2CC1">
        <w:rPr>
          <w:rStyle w:val="EndnoteReference"/>
          <w:rFonts w:ascii="Calibri" w:eastAsiaTheme="majorEastAsia" w:hAnsi="Calibri" w:cs="Calibri"/>
          <w:color w:val="auto"/>
        </w:rPr>
        <w:endnoteReference w:id="240"/>
      </w:r>
    </w:p>
    <w:p w14:paraId="7A7A98BF"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The Victorian Government applies school zones to manage demand for school places and the department reviews school zones each year. In April 2023, the department announced changes to the zones of some existing schools.</w:t>
      </w:r>
      <w:r w:rsidRPr="00CA2CC1">
        <w:rPr>
          <w:rStyle w:val="EndnoteReference"/>
          <w:rFonts w:ascii="Calibri" w:hAnsi="Calibri" w:cs="Calibri"/>
        </w:rPr>
        <w:endnoteReference w:id="241"/>
      </w:r>
      <w:r w:rsidRPr="00CA2CC1">
        <w:rPr>
          <w:rFonts w:ascii="Calibri" w:hAnsi="Calibri" w:cs="Calibri"/>
        </w:rPr>
        <w:t xml:space="preserve"> Sometimes schools become popular, and this strong demand can place pressure on </w:t>
      </w:r>
      <w:r w:rsidRPr="00CA2CC1">
        <w:rPr>
          <w:rFonts w:ascii="Calibri" w:hAnsi="Calibri" w:cs="Calibri"/>
        </w:rPr>
        <w:lastRenderedPageBreak/>
        <w:t>their infrastructure, despite nearby schools having spare capacity for more students. Reviewing and modifying school zones in growing areas is a useful demand management tool, when combined with building more capacity in existing schools.</w:t>
      </w:r>
    </w:p>
    <w:p w14:paraId="4C42BEDD"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The 2023–24 Budget also includes $90 million in asset funding for school upgrades to established area schools experiencing growth.</w:t>
      </w:r>
      <w:r w:rsidRPr="00CA2CC1">
        <w:rPr>
          <w:rStyle w:val="EndnoteReference"/>
          <w:rFonts w:ascii="Calibri" w:hAnsi="Calibri" w:cs="Calibri"/>
          <w:color w:val="auto"/>
        </w:rPr>
        <w:endnoteReference w:id="242"/>
      </w:r>
      <w:r w:rsidRPr="00CA2CC1">
        <w:rPr>
          <w:rFonts w:ascii="Calibri" w:hAnsi="Calibri" w:cs="Calibri"/>
        </w:rPr>
        <w:t xml:space="preserve"> </w:t>
      </w:r>
      <w:r w:rsidRPr="00CA2CC1">
        <w:rPr>
          <w:rFonts w:ascii="Calibri" w:hAnsi="Calibri" w:cs="Calibri"/>
          <w:i/>
          <w:iCs/>
        </w:rPr>
        <w:t>Plan Melbourne 2017</w:t>
      </w:r>
      <w:r w:rsidRPr="00CA2CC1">
        <w:rPr>
          <w:rFonts w:ascii="Calibri" w:hAnsi="Calibri" w:cs="Calibri"/>
        </w:rPr>
        <w:t>–</w:t>
      </w:r>
      <w:r w:rsidRPr="00CA2CC1">
        <w:rPr>
          <w:rFonts w:ascii="Calibri" w:hAnsi="Calibri" w:cs="Calibri"/>
          <w:i/>
          <w:iCs/>
        </w:rPr>
        <w:t xml:space="preserve">2050 </w:t>
      </w:r>
      <w:r w:rsidRPr="00CA2CC1">
        <w:rPr>
          <w:rFonts w:ascii="Calibri" w:hAnsi="Calibri" w:cs="Calibri"/>
        </w:rPr>
        <w:t>includes an</w:t>
      </w:r>
      <w:r w:rsidRPr="00CA2CC1">
        <w:rPr>
          <w:rFonts w:ascii="Calibri" w:hAnsi="Calibri" w:cs="Calibri"/>
          <w:i/>
          <w:iCs/>
        </w:rPr>
        <w:t xml:space="preserve"> </w:t>
      </w:r>
      <w:r w:rsidRPr="00CA2CC1">
        <w:rPr>
          <w:rFonts w:ascii="Calibri" w:hAnsi="Calibri" w:cs="Calibri"/>
        </w:rPr>
        <w:t>aspiration for 70% of new homes to be built in established areas and 30% in growth areas. This will mean the government will need to build and upgrade more schools in the established areas that experience high population growth.</w:t>
      </w:r>
      <w:r w:rsidRPr="00CA2CC1">
        <w:rPr>
          <w:rStyle w:val="EndnoteReference"/>
          <w:rFonts w:ascii="Calibri" w:hAnsi="Calibri" w:cs="Calibri"/>
        </w:rPr>
        <w:endnoteReference w:id="243"/>
      </w:r>
    </w:p>
    <w:p w14:paraId="72ACBA0A" w14:textId="77777777" w:rsidR="008B47CF" w:rsidRPr="00CA2CC1" w:rsidRDefault="00373ED9" w:rsidP="008B47CF">
      <w:pPr>
        <w:pStyle w:val="IVBodyText"/>
        <w:spacing w:line="240" w:lineRule="auto"/>
        <w:rPr>
          <w:rFonts w:ascii="Calibri" w:hAnsi="Calibri" w:cs="Calibri"/>
        </w:rPr>
      </w:pPr>
      <w:r w:rsidRPr="00CA2CC1">
        <w:rPr>
          <w:rFonts w:ascii="Calibri" w:hAnsi="Calibri" w:cs="Calibri"/>
        </w:rPr>
        <w:t xml:space="preserve">The government released the </w:t>
      </w:r>
      <w:r w:rsidRPr="00CA2CC1">
        <w:rPr>
          <w:rFonts w:ascii="Calibri" w:hAnsi="Calibri" w:cs="Calibri"/>
          <w:i/>
          <w:iCs/>
        </w:rPr>
        <w:t xml:space="preserve">Victorian Government school site selection criteria guidance </w:t>
      </w:r>
      <w:r w:rsidRPr="00CA2CC1">
        <w:rPr>
          <w:rFonts w:ascii="Calibri" w:hAnsi="Calibri" w:cs="Calibri"/>
        </w:rPr>
        <w:t>in November 2022</w:t>
      </w:r>
      <w:r w:rsidRPr="00CA2CC1">
        <w:rPr>
          <w:rFonts w:ascii="Calibri" w:hAnsi="Calibri" w:cs="Calibri"/>
          <w:i/>
          <w:iCs/>
        </w:rPr>
        <w:t>.</w:t>
      </w:r>
      <w:r w:rsidRPr="00CA2CC1">
        <w:rPr>
          <w:rStyle w:val="EndnoteReference"/>
          <w:rFonts w:ascii="Calibri" w:hAnsi="Calibri" w:cs="Calibri"/>
        </w:rPr>
        <w:endnoteReference w:id="244"/>
      </w:r>
      <w:r w:rsidRPr="00CA2CC1">
        <w:rPr>
          <w:rFonts w:ascii="Calibri" w:hAnsi="Calibri" w:cs="Calibri"/>
        </w:rPr>
        <w:t xml:space="preserve"> The guidance outlines the key factors the department considers when assessing proposed options for new school sites. It aims to give school and other communities with transparent information about how the department selects school sites. Transparent planning and site selection can support government, the private sector and not-for-profits to work together to align their infrastructure decisions – and potentially co-invest to manage growth.</w:t>
      </w:r>
      <w:bookmarkStart w:id="66" w:name="_Toc109662739"/>
    </w:p>
    <w:p w14:paraId="7F457086" w14:textId="11D9FC32" w:rsidR="00373ED9" w:rsidRPr="00CA2CC1" w:rsidRDefault="00373ED9" w:rsidP="008B47CF">
      <w:pPr>
        <w:pStyle w:val="Heading2"/>
        <w:rPr>
          <w:rFonts w:cs="Calibri"/>
        </w:rPr>
      </w:pPr>
      <w:r w:rsidRPr="00CA2CC1">
        <w:rPr>
          <w:rFonts w:cs="Calibri"/>
        </w:rPr>
        <w:t>Creating inclusive shared spaces</w:t>
      </w:r>
      <w:bookmarkEnd w:id="66"/>
    </w:p>
    <w:p w14:paraId="25FAC269" w14:textId="77777777" w:rsidR="00373ED9" w:rsidRPr="00CA2CC1" w:rsidRDefault="00373ED9" w:rsidP="0043303B">
      <w:pPr>
        <w:pStyle w:val="Heading3"/>
        <w:rPr>
          <w:rFonts w:cs="Calibri"/>
        </w:rPr>
      </w:pPr>
      <w:r w:rsidRPr="00CA2CC1">
        <w:rPr>
          <w:rFonts w:cs="Calibri"/>
        </w:rPr>
        <w:t xml:space="preserve">Priority description from the </w:t>
      </w:r>
      <w:r w:rsidRPr="00CA2CC1">
        <w:rPr>
          <w:rFonts w:cs="Calibri"/>
          <w:i/>
          <w:iCs/>
        </w:rPr>
        <w:t>Victorian infrastructure plan 2021</w:t>
      </w:r>
    </w:p>
    <w:p w14:paraId="2001080B" w14:textId="77777777" w:rsidR="00373ED9" w:rsidRPr="00CA2CC1" w:rsidRDefault="00373ED9" w:rsidP="0043303B">
      <w:pPr>
        <w:pStyle w:val="IVBodyText"/>
        <w:spacing w:line="240" w:lineRule="auto"/>
        <w:rPr>
          <w:rFonts w:ascii="Calibri" w:hAnsi="Calibri" w:cs="Calibri"/>
          <w:b/>
          <w:bCs/>
          <w:color w:val="auto"/>
        </w:rPr>
      </w:pPr>
      <w:r w:rsidRPr="00CA2CC1">
        <w:rPr>
          <w:rFonts w:ascii="Calibri" w:hAnsi="Calibri" w:cs="Calibri"/>
          <w:b/>
          <w:bCs/>
          <w:color w:val="auto"/>
        </w:rPr>
        <w:t>Schools are at the heart of local communities. With smart design, land use and facility sharing, schools will be places the whole community can benefit from.</w:t>
      </w:r>
    </w:p>
    <w:p w14:paraId="629E55ED" w14:textId="77777777" w:rsidR="00373ED9" w:rsidRPr="00CA2CC1" w:rsidRDefault="00373ED9" w:rsidP="0043303B">
      <w:pPr>
        <w:pStyle w:val="Heading3"/>
        <w:rPr>
          <w:rFonts w:cs="Calibri"/>
        </w:rPr>
      </w:pPr>
      <w:r w:rsidRPr="00CA2CC1">
        <w:rPr>
          <w:rFonts w:cs="Calibri"/>
        </w:rPr>
        <w:t>Victorian Government progress in 2022–23</w:t>
      </w:r>
    </w:p>
    <w:p w14:paraId="6F534D52"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This priority is about sharing the use of schools with the community. Sharing school facilities, particularly in areas that are growing, helps meet social infrastructure demand and maximise wider community use of school facilities outside school hours.</w:t>
      </w:r>
      <w:r w:rsidRPr="00CA2CC1">
        <w:rPr>
          <w:rFonts w:ascii="Calibri" w:eastAsiaTheme="majorEastAsia" w:hAnsi="Calibri" w:cs="Calibri"/>
          <w:vertAlign w:val="superscript"/>
        </w:rPr>
        <w:endnoteReference w:id="245"/>
      </w:r>
      <w:r w:rsidRPr="00CA2CC1">
        <w:rPr>
          <w:rFonts w:ascii="Calibri" w:hAnsi="Calibri" w:cs="Calibri"/>
        </w:rPr>
        <w:t xml:space="preserve"> </w:t>
      </w:r>
    </w:p>
    <w:p w14:paraId="69CA3607"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Schools can enter into hiring and licencing agreements with third parties, such as local governments and community organisations, to use existing school facilities.</w:t>
      </w:r>
      <w:r w:rsidRPr="00CA2CC1">
        <w:rPr>
          <w:rFonts w:ascii="Calibri" w:eastAsiaTheme="majorEastAsia" w:hAnsi="Calibri" w:cs="Calibri"/>
          <w:vertAlign w:val="superscript"/>
        </w:rPr>
        <w:endnoteReference w:id="246"/>
      </w:r>
      <w:r w:rsidRPr="00CA2CC1">
        <w:rPr>
          <w:rFonts w:ascii="Calibri" w:hAnsi="Calibri" w:cs="Calibri"/>
        </w:rPr>
        <w:t xml:space="preserve"> The Victorian Government also supports schools with a standard process, known as a community joint use agreement, for constructing or extending jointly-used community facilities such as stadiums, sporting grounds and theatres.</w:t>
      </w:r>
      <w:r w:rsidRPr="00CA2CC1">
        <w:rPr>
          <w:rFonts w:ascii="Calibri" w:eastAsiaTheme="majorEastAsia" w:hAnsi="Calibri" w:cs="Calibri"/>
          <w:vertAlign w:val="superscript"/>
        </w:rPr>
        <w:endnoteReference w:id="247"/>
      </w:r>
      <w:r w:rsidRPr="00CA2CC1">
        <w:rPr>
          <w:rFonts w:ascii="Calibri" w:hAnsi="Calibri" w:cs="Calibri"/>
        </w:rPr>
        <w:t xml:space="preserve"> </w:t>
      </w:r>
    </w:p>
    <w:p w14:paraId="0D879252"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Each school can make its own arrangements and schools need not report their joint use agreements, meaning no consolidated data is available. For example, the Miners Rest Primary School makes its gymnasium and synthetic grass oval available to the community outside school hours.</w:t>
      </w:r>
      <w:r w:rsidRPr="00CA2CC1">
        <w:rPr>
          <w:rStyle w:val="EndnoteReference"/>
          <w:rFonts w:ascii="Calibri" w:hAnsi="Calibri" w:cs="Calibri"/>
        </w:rPr>
        <w:endnoteReference w:id="248"/>
      </w:r>
    </w:p>
    <w:p w14:paraId="25051D39"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Universal design principles aim to build accessible environments that enable participation for people with different physical, perceptual, and cognitive abilities. The government’s building quality standards handbook incorporates these principles in all education infrastructure projects. When applied, they can remove barriers that prevent some people from using school facilities.</w:t>
      </w:r>
      <w:r w:rsidRPr="00CA2CC1">
        <w:rPr>
          <w:rFonts w:ascii="Calibri" w:hAnsi="Calibri" w:cs="Calibri"/>
          <w:vertAlign w:val="superscript"/>
        </w:rPr>
        <w:endnoteReference w:id="249"/>
      </w:r>
    </w:p>
    <w:p w14:paraId="503EC77B"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As a general principle, the Victorian Government’s school site selection guidance says new school sites should be co-located with existing or proposed community facilities and public open spaces.</w:t>
      </w:r>
      <w:r w:rsidRPr="00CA2CC1">
        <w:rPr>
          <w:rFonts w:ascii="Calibri" w:hAnsi="Calibri" w:cs="Calibri"/>
          <w:vertAlign w:val="superscript"/>
        </w:rPr>
        <w:endnoteReference w:id="250"/>
      </w:r>
      <w:r w:rsidRPr="00CA2CC1">
        <w:rPr>
          <w:rFonts w:ascii="Calibri" w:hAnsi="Calibri" w:cs="Calibri"/>
        </w:rPr>
        <w:t xml:space="preserve"> </w:t>
      </w:r>
    </w:p>
    <w:p w14:paraId="1377A73B"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The government is also creating inclusive shared spaces, such as kindergartens onsite or next door to every new Victorian primary school. This makes kindergarten programs easier to access, drop-off times simpler and more convenient for parents and carers and supports a smooth school transition for children.</w:t>
      </w:r>
      <w:r w:rsidRPr="00CA2CC1">
        <w:rPr>
          <w:rFonts w:ascii="Calibri" w:eastAsiaTheme="majorEastAsia" w:hAnsi="Calibri" w:cs="Calibri"/>
          <w:vertAlign w:val="superscript"/>
        </w:rPr>
        <w:endnoteReference w:id="251"/>
      </w:r>
      <w:r w:rsidRPr="00CA2CC1">
        <w:rPr>
          <w:rFonts w:ascii="Calibri" w:hAnsi="Calibri" w:cs="Calibri"/>
        </w:rPr>
        <w:t xml:space="preserve"> The government is currently constructing 9 kindergartens on or next door to existing schools. It is planning to complete 6 of them in 2024. Another 4 are under construction on new growth area school sites.</w:t>
      </w:r>
      <w:r w:rsidRPr="00CA2CC1">
        <w:rPr>
          <w:rFonts w:ascii="Calibri" w:hAnsi="Calibri" w:cs="Calibri"/>
          <w:vertAlign w:val="superscript"/>
        </w:rPr>
        <w:endnoteReference w:id="252"/>
      </w:r>
    </w:p>
    <w:p w14:paraId="70574B56"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lastRenderedPageBreak/>
        <w:t>From 2016–2017, the government funded community infrastructure at schools through the Shared Facilities Fund.</w:t>
      </w:r>
      <w:r w:rsidRPr="00CA2CC1">
        <w:rPr>
          <w:rStyle w:val="EndnoteReference"/>
          <w:rFonts w:ascii="Calibri" w:hAnsi="Calibri" w:cs="Calibri"/>
        </w:rPr>
        <w:endnoteReference w:id="253"/>
      </w:r>
      <w:r w:rsidRPr="00CA2CC1">
        <w:rPr>
          <w:rFonts w:ascii="Calibri" w:hAnsi="Calibri" w:cs="Calibri"/>
        </w:rPr>
        <w:t xml:space="preserve"> Funds like this encourage school communities to provide access to facilities which benefit the wider community. However, the fund is now closed. </w:t>
      </w:r>
    </w:p>
    <w:p w14:paraId="5FF21854"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The last shared facilities projects funded include a school oval and sports pavilion under construction at Melton Secondary College. These facilities will be available for Australian rules football training and matches outside school hours.</w:t>
      </w:r>
      <w:r w:rsidRPr="00CA2CC1">
        <w:rPr>
          <w:rFonts w:ascii="Calibri" w:hAnsi="Calibri" w:cs="Calibri"/>
          <w:vertAlign w:val="superscript"/>
        </w:rPr>
        <w:endnoteReference w:id="254"/>
      </w:r>
      <w:r w:rsidRPr="00CA2CC1">
        <w:rPr>
          <w:rFonts w:ascii="Calibri" w:hAnsi="Calibri" w:cs="Calibri"/>
        </w:rPr>
        <w:t xml:space="preserve"> Werribee Secondary College also upgraded its performing arts centre for shared community use through a grant from the fund. The centre opened in 2023.</w:t>
      </w:r>
      <w:r w:rsidRPr="00CA2CC1">
        <w:rPr>
          <w:rStyle w:val="EndnoteReference"/>
          <w:rFonts w:ascii="Calibri" w:hAnsi="Calibri" w:cs="Calibri"/>
        </w:rPr>
        <w:endnoteReference w:id="255"/>
      </w:r>
    </w:p>
    <w:p w14:paraId="659C328B"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School and community shared use agreements often focus on sports and performing arts facilities. However, community use can extend to other types of school infrastructure, such as reliable internet and computer access. Shared use of digital school infrastructure can also open education, health and other services to more people living in regional Victoria.</w:t>
      </w:r>
    </w:p>
    <w:p w14:paraId="62841EC0" w14:textId="77777777" w:rsidR="00B85BF5" w:rsidRPr="00CA2CC1" w:rsidRDefault="00373ED9" w:rsidP="00B85BF5">
      <w:pPr>
        <w:pStyle w:val="IVBodyText"/>
        <w:spacing w:line="240" w:lineRule="auto"/>
        <w:rPr>
          <w:rFonts w:ascii="Calibri" w:hAnsi="Calibri" w:cs="Calibri"/>
          <w:color w:val="auto"/>
        </w:rPr>
      </w:pPr>
      <w:r w:rsidRPr="00CA2CC1">
        <w:rPr>
          <w:rFonts w:ascii="Calibri" w:hAnsi="Calibri" w:cs="Calibri"/>
        </w:rPr>
        <w:t>Rural children’s health and development milestones are consistently behind those in urban areas.</w:t>
      </w:r>
      <w:r w:rsidRPr="00CA2CC1">
        <w:rPr>
          <w:rFonts w:ascii="Calibri" w:hAnsi="Calibri" w:cs="Calibri"/>
          <w:vertAlign w:val="superscript"/>
        </w:rPr>
        <w:endnoteReference w:id="256"/>
      </w:r>
      <w:r w:rsidRPr="00CA2CC1">
        <w:rPr>
          <w:rFonts w:ascii="Calibri" w:hAnsi="Calibri" w:cs="Calibri"/>
        </w:rPr>
        <w:t xml:space="preserve"> While not appropriate for all health needs, using more telehealth services can help improve the wellbeing of children in regional areas. </w:t>
      </w:r>
      <w:r w:rsidRPr="00CA2CC1">
        <w:rPr>
          <w:rFonts w:ascii="Calibri" w:hAnsi="Calibri" w:cs="Calibri"/>
          <w:i/>
          <w:iCs/>
        </w:rPr>
        <w:t>Victoria’s infrastructure strategy 2021</w:t>
      </w:r>
      <w:r w:rsidRPr="00CA2CC1">
        <w:rPr>
          <w:rFonts w:ascii="Calibri" w:hAnsi="Calibri" w:cs="Calibri"/>
          <w:i/>
        </w:rPr>
        <w:t>–</w:t>
      </w:r>
      <w:r w:rsidRPr="00CA2CC1">
        <w:rPr>
          <w:rFonts w:ascii="Calibri" w:hAnsi="Calibri" w:cs="Calibri"/>
          <w:i/>
          <w:iCs/>
        </w:rPr>
        <w:t>2051</w:t>
      </w:r>
      <w:r w:rsidRPr="00CA2CC1">
        <w:rPr>
          <w:rFonts w:ascii="Calibri" w:hAnsi="Calibri" w:cs="Calibri"/>
        </w:rPr>
        <w:t xml:space="preserve"> recommended using rural schools for children’s specialist and allied telehealth services,</w:t>
      </w:r>
      <w:r w:rsidRPr="00CA2CC1">
        <w:rPr>
          <w:rFonts w:ascii="Calibri" w:eastAsiaTheme="majorEastAsia" w:hAnsi="Calibri" w:cs="Calibri"/>
          <w:vertAlign w:val="superscript"/>
        </w:rPr>
        <w:endnoteReference w:id="257"/>
      </w:r>
      <w:r w:rsidRPr="00CA2CC1">
        <w:rPr>
          <w:rFonts w:ascii="Calibri" w:hAnsi="Calibri" w:cs="Calibri"/>
        </w:rPr>
        <w:t xml:space="preserve"> and the Victorian Government supported this in principle.</w:t>
      </w:r>
      <w:r w:rsidRPr="00CA2CC1">
        <w:rPr>
          <w:rFonts w:ascii="Calibri" w:hAnsi="Calibri" w:cs="Calibri"/>
          <w:vertAlign w:val="superscript"/>
        </w:rPr>
        <w:endnoteReference w:id="258"/>
      </w:r>
      <w:bookmarkStart w:id="67" w:name="_Toc109662740"/>
    </w:p>
    <w:p w14:paraId="5F88AC74" w14:textId="2B07BA55" w:rsidR="00373ED9" w:rsidRPr="00CA2CC1" w:rsidRDefault="00373ED9" w:rsidP="00B85BF5">
      <w:pPr>
        <w:pStyle w:val="Heading2"/>
        <w:rPr>
          <w:rFonts w:cs="Calibri"/>
        </w:rPr>
      </w:pPr>
      <w:r w:rsidRPr="00CA2CC1">
        <w:rPr>
          <w:rFonts w:cs="Calibri"/>
        </w:rPr>
        <w:t>Maximising use of technology</w:t>
      </w:r>
      <w:bookmarkEnd w:id="67"/>
    </w:p>
    <w:p w14:paraId="194CB8F5" w14:textId="77777777" w:rsidR="00373ED9" w:rsidRPr="00CA2CC1" w:rsidRDefault="00373ED9" w:rsidP="0043303B">
      <w:pPr>
        <w:pStyle w:val="Heading3"/>
        <w:rPr>
          <w:rFonts w:cs="Calibri"/>
        </w:rPr>
      </w:pPr>
      <w:r w:rsidRPr="00CA2CC1">
        <w:rPr>
          <w:rFonts w:cs="Calibri"/>
        </w:rPr>
        <w:t xml:space="preserve">Priority description from the </w:t>
      </w:r>
      <w:r w:rsidRPr="00CA2CC1">
        <w:rPr>
          <w:rFonts w:cs="Calibri"/>
          <w:i/>
          <w:iCs/>
        </w:rPr>
        <w:t>Victorian infrastructure plan 2021</w:t>
      </w:r>
    </w:p>
    <w:p w14:paraId="2F60482D" w14:textId="77777777" w:rsidR="00373ED9" w:rsidRPr="00CA2CC1" w:rsidRDefault="00373ED9" w:rsidP="0043303B">
      <w:pPr>
        <w:pStyle w:val="IVBodyText"/>
        <w:spacing w:line="240" w:lineRule="auto"/>
        <w:rPr>
          <w:rFonts w:ascii="Calibri" w:hAnsi="Calibri" w:cs="Calibri"/>
          <w:b/>
          <w:bCs/>
          <w:color w:val="auto"/>
        </w:rPr>
      </w:pPr>
      <w:r w:rsidRPr="00CA2CC1">
        <w:rPr>
          <w:rFonts w:ascii="Calibri" w:hAnsi="Calibri" w:cs="Calibri"/>
          <w:b/>
          <w:bCs/>
          <w:color w:val="auto"/>
        </w:rPr>
        <w:t>Students need access to the latest technology to equip them with the adaptive skills and knowledge to succeed now, and in future.</w:t>
      </w:r>
    </w:p>
    <w:p w14:paraId="1BBDB087" w14:textId="77777777" w:rsidR="00373ED9" w:rsidRPr="00CA2CC1" w:rsidRDefault="00373ED9" w:rsidP="0043303B">
      <w:pPr>
        <w:pStyle w:val="Heading3"/>
        <w:rPr>
          <w:rFonts w:cs="Calibri"/>
        </w:rPr>
      </w:pPr>
      <w:r w:rsidRPr="00CA2CC1">
        <w:rPr>
          <w:rFonts w:cs="Calibri"/>
        </w:rPr>
        <w:t>Victorian Government progress in 2022–23</w:t>
      </w:r>
    </w:p>
    <w:p w14:paraId="5729FE23"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Good access to technology allows students to effectively participate in learning. It can offer them opportunities to develop knowledge and skills for their future success. Using technology will always be an integral part of how students learn. If schools invest in software and other forms of technology, it can prepare their students for the future and offer them emerging career opportunities.</w:t>
      </w:r>
    </w:p>
    <w:p w14:paraId="01076F6B"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Students and teachers used technology for remote learning during the COVID-19 pandemic. The Victorian Government is applying these lessons to support student learning, including adopting the best elements of remote teaching technologies.</w:t>
      </w:r>
      <w:r w:rsidRPr="00CA2CC1">
        <w:rPr>
          <w:rFonts w:ascii="Calibri" w:hAnsi="Calibri" w:cs="Calibri"/>
          <w:vertAlign w:val="superscript"/>
        </w:rPr>
        <w:endnoteReference w:id="259"/>
      </w:r>
    </w:p>
    <w:p w14:paraId="154A022A"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The government has a digital learning policy to support schools to embed the digital technologies the curriculum requires. This includes ensuring the technology is safe, balanced, and appropriate for student learning. The policy notes schools will use digital platforms provided centrally by the Department of Education from 2023. This includes digital collaboration platforms, high speed internet access with content filtering and enterprise grade Wi-Fi.</w:t>
      </w:r>
      <w:r w:rsidRPr="00CA2CC1">
        <w:rPr>
          <w:rFonts w:ascii="Calibri" w:hAnsi="Calibri" w:cs="Calibri"/>
          <w:vertAlign w:val="superscript"/>
        </w:rPr>
        <w:endnoteReference w:id="260"/>
      </w:r>
      <w:r w:rsidRPr="00CA2CC1" w:rsidDel="00234EE3">
        <w:rPr>
          <w:rFonts w:ascii="Calibri" w:hAnsi="Calibri" w:cs="Calibri"/>
        </w:rPr>
        <w:t xml:space="preserve"> </w:t>
      </w:r>
    </w:p>
    <w:p w14:paraId="5341B1C4"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In the 2023–24 Budget, the Victorian Government announced $6 million over 2 years for government schools to operate in a cybersafe digital environment.</w:t>
      </w:r>
      <w:r w:rsidRPr="00CA2CC1">
        <w:rPr>
          <w:rFonts w:ascii="Calibri" w:hAnsi="Calibri" w:cs="Calibri"/>
          <w:vertAlign w:val="superscript"/>
        </w:rPr>
        <w:endnoteReference w:id="261"/>
      </w:r>
    </w:p>
    <w:p w14:paraId="1A4D8D80"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 xml:space="preserve">In </w:t>
      </w:r>
      <w:r w:rsidRPr="00CA2CC1">
        <w:rPr>
          <w:rFonts w:ascii="Calibri" w:hAnsi="Calibri" w:cs="Calibri"/>
          <w:i/>
          <w:iCs/>
        </w:rPr>
        <w:t xml:space="preserve">Victoria’s infrastructure strategy 2021–2051, </w:t>
      </w:r>
      <w:r w:rsidRPr="00CA2CC1">
        <w:rPr>
          <w:rFonts w:ascii="Calibri" w:hAnsi="Calibri" w:cs="Calibri"/>
        </w:rPr>
        <w:t>we recommended funding regional libraries to provide better internet access. This gives regional students better internet access for their studies, especially students without reliable internet access at home.</w:t>
      </w:r>
      <w:r w:rsidRPr="00CA2CC1">
        <w:rPr>
          <w:rFonts w:ascii="Calibri" w:hAnsi="Calibri" w:cs="Calibri"/>
          <w:vertAlign w:val="superscript"/>
        </w:rPr>
        <w:endnoteReference w:id="262"/>
      </w:r>
      <w:r w:rsidRPr="00CA2CC1">
        <w:rPr>
          <w:rFonts w:ascii="Calibri" w:hAnsi="Calibri" w:cs="Calibri"/>
        </w:rPr>
        <w:t xml:space="preserve"> Library digital infrastructure can also make education, health and other services open to more community members.</w:t>
      </w:r>
    </w:p>
    <w:p w14:paraId="4E3D8291" w14:textId="49EFD4AF" w:rsidR="00373ED9" w:rsidRPr="00CA2CC1" w:rsidRDefault="00373ED9" w:rsidP="00CC127D">
      <w:pPr>
        <w:pStyle w:val="Heading2"/>
        <w:rPr>
          <w:rFonts w:cs="Calibri"/>
        </w:rPr>
      </w:pPr>
      <w:bookmarkStart w:id="68" w:name="_Toc109662741"/>
      <w:r w:rsidRPr="00CA2CC1">
        <w:rPr>
          <w:rFonts w:cs="Calibri"/>
        </w:rPr>
        <w:t>Developing skills for tomorrow</w:t>
      </w:r>
      <w:bookmarkEnd w:id="68"/>
    </w:p>
    <w:p w14:paraId="28C6D2F0" w14:textId="77777777" w:rsidR="00373ED9" w:rsidRPr="00CA2CC1" w:rsidRDefault="00373ED9" w:rsidP="0043303B">
      <w:pPr>
        <w:pStyle w:val="Heading3"/>
        <w:rPr>
          <w:rFonts w:cs="Calibri"/>
        </w:rPr>
      </w:pPr>
      <w:r w:rsidRPr="00CA2CC1">
        <w:rPr>
          <w:rFonts w:cs="Calibri"/>
        </w:rPr>
        <w:lastRenderedPageBreak/>
        <w:t xml:space="preserve">Priority description from the </w:t>
      </w:r>
      <w:r w:rsidRPr="00CA2CC1">
        <w:rPr>
          <w:rFonts w:cs="Calibri"/>
          <w:i/>
          <w:iCs/>
        </w:rPr>
        <w:t>Victorian infrastructure plan 2021</w:t>
      </w:r>
    </w:p>
    <w:p w14:paraId="6E9707FE" w14:textId="77777777" w:rsidR="00373ED9" w:rsidRPr="00CA2CC1" w:rsidRDefault="00373ED9" w:rsidP="0043303B">
      <w:pPr>
        <w:pStyle w:val="IVBodyText"/>
        <w:spacing w:line="240" w:lineRule="auto"/>
        <w:rPr>
          <w:rFonts w:ascii="Calibri" w:hAnsi="Calibri" w:cs="Calibri"/>
          <w:b/>
          <w:bCs/>
          <w:color w:val="auto"/>
        </w:rPr>
      </w:pPr>
      <w:r w:rsidRPr="00CA2CC1">
        <w:rPr>
          <w:rFonts w:ascii="Calibri" w:hAnsi="Calibri" w:cs="Calibri"/>
          <w:b/>
          <w:bCs/>
          <w:color w:val="auto"/>
        </w:rPr>
        <w:t>The Education State develops the skills students need to thrive in future industries. Job-focused training and growing young Victorians’ Asia engagement capability are two examples.</w:t>
      </w:r>
    </w:p>
    <w:p w14:paraId="331A8E11" w14:textId="77777777" w:rsidR="00373ED9" w:rsidRPr="00CA2CC1" w:rsidRDefault="00373ED9" w:rsidP="0043303B">
      <w:pPr>
        <w:pStyle w:val="Heading3"/>
        <w:rPr>
          <w:rFonts w:cs="Calibri"/>
        </w:rPr>
      </w:pPr>
      <w:r w:rsidRPr="00CA2CC1">
        <w:rPr>
          <w:rFonts w:cs="Calibri"/>
        </w:rPr>
        <w:t>Victorian Government progress in 2022–23</w:t>
      </w:r>
    </w:p>
    <w:p w14:paraId="1CC8E025"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This priority aims for education infrastructure to support students developing skills in future industries. It specifically mentions growing jobs-focused training. This section examines the training and skills system. The Victorian Government’s Office of TAFE Coordination and Delivery leads the TAFE network. It ensures Victorians can access appropriate skills training.</w:t>
      </w:r>
      <w:r w:rsidRPr="00CA2CC1">
        <w:rPr>
          <w:rStyle w:val="EndnoteReference"/>
          <w:rFonts w:ascii="Calibri" w:hAnsi="Calibri" w:cs="Calibri"/>
        </w:rPr>
        <w:endnoteReference w:id="263"/>
      </w:r>
    </w:p>
    <w:p w14:paraId="614BA73C" w14:textId="6219A5B7" w:rsidR="00373ED9" w:rsidRPr="00CA2CC1" w:rsidRDefault="00373ED9" w:rsidP="0043303B">
      <w:pPr>
        <w:pStyle w:val="IVBodyText"/>
        <w:spacing w:line="240" w:lineRule="auto"/>
        <w:rPr>
          <w:rFonts w:ascii="Calibri" w:hAnsi="Calibri" w:cs="Calibri"/>
        </w:rPr>
      </w:pPr>
      <w:r w:rsidRPr="00CA2CC1">
        <w:rPr>
          <w:rFonts w:ascii="Calibri" w:hAnsi="Calibri" w:cs="Calibri"/>
        </w:rPr>
        <w:t>The Victorian Auditor General’s Office (VAGO) valued Victoria’s TAFE assets at $3.12 billion.</w:t>
      </w:r>
      <w:r w:rsidRPr="00CA2CC1">
        <w:rPr>
          <w:rFonts w:ascii="Calibri" w:hAnsi="Calibri" w:cs="Calibri"/>
          <w:vertAlign w:val="superscript"/>
        </w:rPr>
        <w:endnoteReference w:id="264"/>
      </w:r>
      <w:r w:rsidRPr="00CA2CC1">
        <w:rPr>
          <w:rFonts w:ascii="Calibri" w:hAnsi="Calibri" w:cs="Calibri"/>
        </w:rPr>
        <w:t xml:space="preserve"> Victoria has 12 TAFE institutes established under the </w:t>
      </w:r>
      <w:r w:rsidRPr="00CA2CC1">
        <w:rPr>
          <w:rFonts w:ascii="Calibri" w:hAnsi="Calibri" w:cs="Calibri"/>
          <w:i/>
          <w:iCs/>
        </w:rPr>
        <w:t>Education and Training Reform Act 2006</w:t>
      </w:r>
      <w:r w:rsidRPr="00CA2CC1">
        <w:rPr>
          <w:rFonts w:ascii="Calibri" w:hAnsi="Calibri" w:cs="Calibri"/>
        </w:rPr>
        <w:t>. It also has 4 universities with TAFE divisions.</w:t>
      </w:r>
      <w:r w:rsidRPr="00CA2CC1">
        <w:rPr>
          <w:rStyle w:val="EndnoteReference"/>
          <w:rFonts w:ascii="Calibri" w:eastAsiaTheme="majorEastAsia" w:hAnsi="Calibri" w:cs="Calibri"/>
        </w:rPr>
        <w:endnoteReference w:id="265"/>
      </w:r>
      <w:r w:rsidRPr="00CA2CC1">
        <w:rPr>
          <w:rFonts w:ascii="Calibri" w:hAnsi="Calibri" w:cs="Calibri"/>
        </w:rPr>
        <w:t xml:space="preserve"> In 2022, Victoria’s TAFE network had 141</w:t>
      </w:r>
      <w:r w:rsidR="00E30AD2" w:rsidRPr="00CA2CC1">
        <w:rPr>
          <w:rFonts w:ascii="Calibri" w:hAnsi="Calibri" w:cs="Calibri"/>
        </w:rPr>
        <w:t>,</w:t>
      </w:r>
      <w:r w:rsidRPr="00CA2CC1">
        <w:rPr>
          <w:rFonts w:ascii="Calibri" w:hAnsi="Calibri" w:cs="Calibri"/>
        </w:rPr>
        <w:t>215 government subsidised course enrolments.  This was slightly below the target of 145</w:t>
      </w:r>
      <w:r w:rsidR="00E30AD2" w:rsidRPr="00CA2CC1">
        <w:rPr>
          <w:rFonts w:ascii="Calibri" w:hAnsi="Calibri" w:cs="Calibri"/>
        </w:rPr>
        <w:t>,</w:t>
      </w:r>
      <w:r w:rsidRPr="00CA2CC1">
        <w:rPr>
          <w:rFonts w:ascii="Calibri" w:hAnsi="Calibri" w:cs="Calibri"/>
        </w:rPr>
        <w:t>000.</w:t>
      </w:r>
      <w:r w:rsidRPr="00CA2CC1">
        <w:rPr>
          <w:rStyle w:val="EndnoteReference"/>
          <w:rFonts w:ascii="Calibri" w:hAnsi="Calibri" w:cs="Calibri"/>
        </w:rPr>
        <w:endnoteReference w:id="266"/>
      </w:r>
      <w:r w:rsidRPr="00CA2CC1">
        <w:rPr>
          <w:rFonts w:ascii="Calibri" w:hAnsi="Calibri" w:cs="Calibri"/>
        </w:rPr>
        <w:t xml:space="preserve"> It was also 16</w:t>
      </w:r>
      <w:r w:rsidR="00693C38" w:rsidRPr="00CA2CC1">
        <w:rPr>
          <w:rFonts w:ascii="Calibri" w:hAnsi="Calibri" w:cs="Calibri"/>
        </w:rPr>
        <w:t>,</w:t>
      </w:r>
      <w:r w:rsidRPr="00CA2CC1">
        <w:rPr>
          <w:rFonts w:ascii="Calibri" w:hAnsi="Calibri" w:cs="Calibri"/>
        </w:rPr>
        <w:t>411 lower than in 2021 because many students who enrolled in 2020 could not complete their courses due to the COVID-19 pandemic. These students kept studying in 2021 to finish their education.</w:t>
      </w:r>
      <w:r w:rsidRPr="00CA2CC1">
        <w:rPr>
          <w:rFonts w:ascii="Calibri" w:hAnsi="Calibri" w:cs="Calibri"/>
          <w:vertAlign w:val="superscript"/>
        </w:rPr>
        <w:endnoteReference w:id="267"/>
      </w:r>
    </w:p>
    <w:p w14:paraId="2E5B80B0"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 xml:space="preserve">The Victorian Government launched the </w:t>
      </w:r>
      <w:r w:rsidRPr="00CA2CC1">
        <w:rPr>
          <w:rFonts w:ascii="Calibri" w:hAnsi="Calibri" w:cs="Calibri"/>
          <w:i/>
          <w:iCs/>
        </w:rPr>
        <w:t xml:space="preserve">Victorian </w:t>
      </w:r>
      <w:r w:rsidRPr="00CA2CC1">
        <w:rPr>
          <w:rFonts w:ascii="Calibri" w:hAnsi="Calibri" w:cs="Calibri"/>
          <w:i/>
        </w:rPr>
        <w:t>Skills Plan 2022</w:t>
      </w:r>
      <w:r w:rsidRPr="00CA2CC1">
        <w:rPr>
          <w:rFonts w:ascii="Calibri" w:hAnsi="Calibri" w:cs="Calibri"/>
        </w:rPr>
        <w:t xml:space="preserve"> in August that year.</w:t>
      </w:r>
      <w:r w:rsidRPr="00CA2CC1">
        <w:rPr>
          <w:rFonts w:ascii="Calibri" w:hAnsi="Calibri" w:cs="Calibri"/>
          <w:vertAlign w:val="superscript"/>
        </w:rPr>
        <w:endnoteReference w:id="268"/>
      </w:r>
      <w:r w:rsidRPr="00CA2CC1">
        <w:rPr>
          <w:rFonts w:ascii="Calibri" w:hAnsi="Calibri" w:cs="Calibri"/>
        </w:rPr>
        <w:t xml:space="preserve"> The plan shows Victoria will need another 373,000 workers in 13 different industries by 2025. It directs TAFES, universities and training and education providers to plan courses and have training facilities that match industry and local needs. </w:t>
      </w:r>
    </w:p>
    <w:p w14:paraId="0764BC41" w14:textId="77777777" w:rsidR="00373ED9" w:rsidRPr="00CA2CC1" w:rsidRDefault="00373ED9" w:rsidP="0043303B">
      <w:pPr>
        <w:pStyle w:val="IVBodyText"/>
        <w:spacing w:line="240" w:lineRule="auto"/>
        <w:rPr>
          <w:rFonts w:ascii="Calibri" w:hAnsi="Calibri" w:cs="Calibri"/>
          <w:color w:val="000000"/>
        </w:rPr>
      </w:pPr>
      <w:r w:rsidRPr="00CA2CC1">
        <w:rPr>
          <w:rFonts w:ascii="Calibri" w:hAnsi="Calibri" w:cs="Calibri"/>
        </w:rPr>
        <w:t>The 2023–24 Budget allocated another $170 million for</w:t>
      </w:r>
      <w:r w:rsidRPr="00CA2CC1">
        <w:rPr>
          <w:rFonts w:ascii="Calibri" w:hAnsi="Calibri" w:cs="Calibri"/>
          <w:color w:val="000000"/>
        </w:rPr>
        <w:t xml:space="preserve"> the Building Better TAFE Fund. This includes for: </w:t>
      </w:r>
    </w:p>
    <w:p w14:paraId="3E96B4B3" w14:textId="77777777" w:rsidR="00373ED9" w:rsidRPr="00CA2CC1" w:rsidRDefault="00373ED9" w:rsidP="0043303B">
      <w:pPr>
        <w:pStyle w:val="IVBodyText"/>
        <w:numPr>
          <w:ilvl w:val="0"/>
          <w:numId w:val="55"/>
        </w:numPr>
        <w:spacing w:line="240" w:lineRule="auto"/>
        <w:rPr>
          <w:rFonts w:ascii="Calibri" w:hAnsi="Calibri" w:cs="Calibri"/>
          <w:color w:val="000000"/>
        </w:rPr>
      </w:pPr>
      <w:r w:rsidRPr="00CA2CC1">
        <w:rPr>
          <w:rFonts w:ascii="Calibri" w:hAnsi="Calibri" w:cs="Calibri"/>
          <w:color w:val="000000"/>
        </w:rPr>
        <w:t>2 new TAFE campuses at Melton and Sunbury</w:t>
      </w:r>
    </w:p>
    <w:p w14:paraId="369EFB83" w14:textId="77777777" w:rsidR="00373ED9" w:rsidRPr="00CA2CC1" w:rsidRDefault="00373ED9" w:rsidP="0043303B">
      <w:pPr>
        <w:pStyle w:val="IVBodyText"/>
        <w:numPr>
          <w:ilvl w:val="0"/>
          <w:numId w:val="55"/>
        </w:numPr>
        <w:spacing w:line="240" w:lineRule="auto"/>
        <w:rPr>
          <w:rFonts w:ascii="Calibri" w:hAnsi="Calibri" w:cs="Calibri"/>
          <w:color w:val="000000"/>
        </w:rPr>
      </w:pPr>
      <w:r w:rsidRPr="00CA2CC1">
        <w:rPr>
          <w:rFonts w:ascii="Calibri" w:hAnsi="Calibri" w:cs="Calibri"/>
          <w:color w:val="000000"/>
        </w:rPr>
        <w:t>a disability services hub and student hub at the Gordon TAFE Geelong</w:t>
      </w:r>
    </w:p>
    <w:p w14:paraId="0C23AB2E" w14:textId="77777777" w:rsidR="00373ED9" w:rsidRPr="00CA2CC1" w:rsidRDefault="00373ED9" w:rsidP="0043303B">
      <w:pPr>
        <w:pStyle w:val="IVBodyText"/>
        <w:numPr>
          <w:ilvl w:val="0"/>
          <w:numId w:val="55"/>
        </w:numPr>
        <w:spacing w:line="240" w:lineRule="auto"/>
        <w:rPr>
          <w:rFonts w:ascii="Calibri" w:hAnsi="Calibri" w:cs="Calibri"/>
          <w:color w:val="000000"/>
        </w:rPr>
      </w:pPr>
      <w:r w:rsidRPr="00CA2CC1">
        <w:rPr>
          <w:rFonts w:ascii="Calibri" w:hAnsi="Calibri" w:cs="Calibri"/>
          <w:color w:val="000000"/>
        </w:rPr>
        <w:t xml:space="preserve">a community health and learning hub at Bendigo TAFE Castlemaine campus. </w:t>
      </w:r>
    </w:p>
    <w:p w14:paraId="4F6ACE57"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color w:val="000000"/>
        </w:rPr>
        <w:t>It also establishes a $50 million TAFE Clean Energy Fund. This fund will support new facilities and upgrades to improve workforce skills and capacity at Federation, Gippsland Morwell, and South West TAFEs.</w:t>
      </w:r>
      <w:r w:rsidRPr="00CA2CC1">
        <w:rPr>
          <w:rFonts w:ascii="Calibri" w:hAnsi="Calibri" w:cs="Calibri"/>
          <w:color w:val="000000"/>
          <w:vertAlign w:val="superscript"/>
        </w:rPr>
        <w:endnoteReference w:id="269"/>
      </w:r>
      <w:r w:rsidRPr="00CA2CC1">
        <w:rPr>
          <w:rFonts w:ascii="Calibri" w:hAnsi="Calibri" w:cs="Calibri"/>
          <w:color w:val="000000"/>
        </w:rPr>
        <w:t xml:space="preserve"> This will also assist with delivering the</w:t>
      </w:r>
      <w:r w:rsidRPr="00CA2CC1">
        <w:rPr>
          <w:rFonts w:ascii="Calibri" w:hAnsi="Calibri" w:cs="Calibri"/>
        </w:rPr>
        <w:t xml:space="preserve"> </w:t>
      </w:r>
      <w:r w:rsidRPr="00CA2CC1">
        <w:rPr>
          <w:rFonts w:ascii="Calibri" w:hAnsi="Calibri" w:cs="Calibri"/>
          <w:i/>
          <w:iCs/>
        </w:rPr>
        <w:t xml:space="preserve">Education and training climate change adaptation action plan 2022–2026. </w:t>
      </w:r>
      <w:r w:rsidRPr="00CA2CC1">
        <w:rPr>
          <w:rFonts w:ascii="Calibri" w:hAnsi="Calibri" w:cs="Calibri"/>
        </w:rPr>
        <w:t>This action plan contains initiatives to</w:t>
      </w:r>
      <w:r w:rsidRPr="00CA2CC1">
        <w:rPr>
          <w:rFonts w:ascii="Calibri" w:hAnsi="Calibri" w:cs="Calibri"/>
          <w:i/>
          <w:iCs/>
        </w:rPr>
        <w:t xml:space="preserve"> </w:t>
      </w:r>
      <w:r w:rsidRPr="00CA2CC1">
        <w:rPr>
          <w:rFonts w:ascii="Calibri" w:hAnsi="Calibri" w:cs="Calibri"/>
        </w:rPr>
        <w:t>train students to develop climate change adaptation skills and capabilities.</w:t>
      </w:r>
      <w:r w:rsidRPr="00CA2CC1">
        <w:rPr>
          <w:rFonts w:ascii="Calibri" w:hAnsi="Calibri" w:cs="Calibri"/>
          <w:vertAlign w:val="superscript"/>
        </w:rPr>
        <w:endnoteReference w:id="270"/>
      </w:r>
      <w:r w:rsidRPr="00CA2CC1">
        <w:rPr>
          <w:rFonts w:ascii="Calibri" w:hAnsi="Calibri" w:cs="Calibri"/>
        </w:rPr>
        <w:t xml:space="preserve"> </w:t>
      </w:r>
    </w:p>
    <w:p w14:paraId="4F7AB626" w14:textId="77777777" w:rsidR="00373ED9" w:rsidRPr="00CA2CC1" w:rsidRDefault="00373ED9" w:rsidP="0043303B">
      <w:pPr>
        <w:pStyle w:val="IVBodyText"/>
        <w:spacing w:line="240" w:lineRule="auto"/>
        <w:rPr>
          <w:rFonts w:ascii="Calibri" w:hAnsi="Calibri" w:cs="Calibri"/>
          <w:shd w:val="clear" w:color="auto" w:fill="FFFFFF"/>
        </w:rPr>
      </w:pPr>
      <w:r w:rsidRPr="00CA2CC1">
        <w:rPr>
          <w:rFonts w:ascii="Calibri" w:hAnsi="Calibri" w:cs="Calibri"/>
          <w:shd w:val="clear" w:color="auto" w:fill="FFFFFF"/>
        </w:rPr>
        <w:t xml:space="preserve">During the 2022–23 financial year, the government progressed several previously-funded TAFE facility upgrades and expansions. This included: </w:t>
      </w:r>
    </w:p>
    <w:p w14:paraId="31AAA1C7" w14:textId="77777777" w:rsidR="00373ED9" w:rsidRPr="00CA2CC1" w:rsidRDefault="00373ED9" w:rsidP="0043303B">
      <w:pPr>
        <w:pStyle w:val="IVBodyText"/>
        <w:numPr>
          <w:ilvl w:val="0"/>
          <w:numId w:val="56"/>
        </w:numPr>
        <w:spacing w:line="240" w:lineRule="auto"/>
        <w:rPr>
          <w:rFonts w:ascii="Calibri" w:hAnsi="Calibri" w:cs="Calibri"/>
          <w:shd w:val="clear" w:color="auto" w:fill="FFFFFF"/>
        </w:rPr>
      </w:pPr>
      <w:r w:rsidRPr="00CA2CC1">
        <w:rPr>
          <w:rFonts w:ascii="Calibri" w:hAnsi="Calibri" w:cs="Calibri"/>
          <w:shd w:val="clear" w:color="auto" w:fill="FFFFFF"/>
        </w:rPr>
        <w:t>Chisholm TAFE Frankston campus Stage 2 redevelopment</w:t>
      </w:r>
      <w:r w:rsidRPr="00CA2CC1">
        <w:rPr>
          <w:rFonts w:ascii="Calibri" w:hAnsi="Calibri" w:cs="Calibri"/>
          <w:shd w:val="clear" w:color="auto" w:fill="FFFFFF"/>
          <w:vertAlign w:val="superscript"/>
        </w:rPr>
        <w:endnoteReference w:id="271"/>
      </w:r>
    </w:p>
    <w:p w14:paraId="7A0D1E30" w14:textId="77777777" w:rsidR="00373ED9" w:rsidRPr="00CA2CC1" w:rsidRDefault="00373ED9" w:rsidP="0043303B">
      <w:pPr>
        <w:pStyle w:val="IVBodyText"/>
        <w:numPr>
          <w:ilvl w:val="0"/>
          <w:numId w:val="56"/>
        </w:numPr>
        <w:spacing w:line="240" w:lineRule="auto"/>
        <w:rPr>
          <w:rFonts w:ascii="Calibri" w:hAnsi="Calibri" w:cs="Calibri"/>
          <w:shd w:val="clear" w:color="auto" w:fill="FFFFFF"/>
        </w:rPr>
      </w:pPr>
      <w:r w:rsidRPr="00CA2CC1">
        <w:rPr>
          <w:rFonts w:ascii="Calibri" w:hAnsi="Calibri" w:cs="Calibri"/>
          <w:shd w:val="clear" w:color="auto" w:fill="FFFFFF"/>
        </w:rPr>
        <w:t>Collingwood TAFE campus</w:t>
      </w:r>
      <w:r w:rsidRPr="00CA2CC1">
        <w:rPr>
          <w:rFonts w:ascii="Calibri" w:hAnsi="Calibri" w:cs="Calibri"/>
          <w:shd w:val="clear" w:color="auto" w:fill="FFFFFF"/>
          <w:vertAlign w:val="superscript"/>
        </w:rPr>
        <w:endnoteReference w:id="272"/>
      </w:r>
      <w:r w:rsidRPr="00CA2CC1">
        <w:rPr>
          <w:rFonts w:ascii="Calibri" w:hAnsi="Calibri" w:cs="Calibri"/>
          <w:shd w:val="clear" w:color="auto" w:fill="FFFFFF"/>
        </w:rPr>
        <w:t xml:space="preserve"> </w:t>
      </w:r>
    </w:p>
    <w:p w14:paraId="644C21E7" w14:textId="77777777" w:rsidR="00373ED9" w:rsidRPr="00CA2CC1" w:rsidRDefault="00373ED9" w:rsidP="0043303B">
      <w:pPr>
        <w:pStyle w:val="IVBodyText"/>
        <w:numPr>
          <w:ilvl w:val="0"/>
          <w:numId w:val="56"/>
        </w:numPr>
        <w:spacing w:line="240" w:lineRule="auto"/>
        <w:rPr>
          <w:rFonts w:ascii="Calibri" w:hAnsi="Calibri" w:cs="Calibri"/>
          <w:shd w:val="clear" w:color="auto" w:fill="FFFFFF"/>
        </w:rPr>
      </w:pPr>
      <w:r w:rsidRPr="00CA2CC1">
        <w:rPr>
          <w:rFonts w:ascii="Calibri" w:hAnsi="Calibri" w:cs="Calibri"/>
          <w:shd w:val="clear" w:color="auto" w:fill="FFFFFF"/>
        </w:rPr>
        <w:t>Kangan TAFE Broadmeadows</w:t>
      </w:r>
      <w:r w:rsidRPr="00CA2CC1">
        <w:rPr>
          <w:rFonts w:ascii="Calibri" w:hAnsi="Calibri" w:cs="Calibri"/>
          <w:shd w:val="clear" w:color="auto" w:fill="FFFFFF"/>
          <w:vertAlign w:val="superscript"/>
        </w:rPr>
        <w:endnoteReference w:id="273"/>
      </w:r>
      <w:r w:rsidRPr="00CA2CC1">
        <w:rPr>
          <w:rFonts w:ascii="Calibri" w:hAnsi="Calibri" w:cs="Calibri"/>
          <w:shd w:val="clear" w:color="auto" w:fill="FFFFFF"/>
        </w:rPr>
        <w:t xml:space="preserve"> </w:t>
      </w:r>
    </w:p>
    <w:p w14:paraId="57BD8E88" w14:textId="77777777" w:rsidR="00373ED9" w:rsidRPr="00CA2CC1" w:rsidRDefault="00373ED9" w:rsidP="0043303B">
      <w:pPr>
        <w:pStyle w:val="IVBodyText"/>
        <w:numPr>
          <w:ilvl w:val="0"/>
          <w:numId w:val="56"/>
        </w:numPr>
        <w:spacing w:line="240" w:lineRule="auto"/>
        <w:rPr>
          <w:rFonts w:ascii="Calibri" w:hAnsi="Calibri" w:cs="Calibri"/>
          <w:shd w:val="clear" w:color="auto" w:fill="FFFFFF"/>
        </w:rPr>
      </w:pPr>
      <w:r w:rsidRPr="00CA2CC1">
        <w:rPr>
          <w:rFonts w:ascii="Calibri" w:hAnsi="Calibri" w:cs="Calibri"/>
          <w:shd w:val="clear" w:color="auto" w:fill="FFFFFF"/>
        </w:rPr>
        <w:t>South West TAFE’s campus new Warrnambool Library and Learning centre</w:t>
      </w:r>
      <w:r w:rsidRPr="00CA2CC1">
        <w:rPr>
          <w:rFonts w:ascii="Calibri" w:hAnsi="Calibri" w:cs="Calibri"/>
          <w:shd w:val="clear" w:color="auto" w:fill="FFFFFF"/>
          <w:vertAlign w:val="superscript"/>
        </w:rPr>
        <w:endnoteReference w:id="274"/>
      </w:r>
      <w:r w:rsidRPr="00CA2CC1">
        <w:rPr>
          <w:rFonts w:ascii="Calibri" w:hAnsi="Calibri" w:cs="Calibri"/>
          <w:shd w:val="clear" w:color="auto" w:fill="FFFFFF"/>
        </w:rPr>
        <w:t xml:space="preserve"> </w:t>
      </w:r>
    </w:p>
    <w:p w14:paraId="1E11DBAA" w14:textId="77777777" w:rsidR="00373ED9" w:rsidRPr="00CA2CC1" w:rsidRDefault="00373ED9" w:rsidP="0043303B">
      <w:pPr>
        <w:pStyle w:val="IVBodyText"/>
        <w:numPr>
          <w:ilvl w:val="0"/>
          <w:numId w:val="56"/>
        </w:numPr>
        <w:spacing w:line="240" w:lineRule="auto"/>
        <w:rPr>
          <w:rFonts w:ascii="Calibri" w:hAnsi="Calibri" w:cs="Calibri"/>
          <w:shd w:val="clear" w:color="auto" w:fill="FFFFFF"/>
        </w:rPr>
      </w:pPr>
      <w:r w:rsidRPr="00CA2CC1">
        <w:rPr>
          <w:rFonts w:ascii="Calibri" w:hAnsi="Calibri" w:cs="Calibri"/>
          <w:shd w:val="clear" w:color="auto" w:fill="FFFFFF"/>
        </w:rPr>
        <w:t>Gordon TAFE Geelong city campus.</w:t>
      </w:r>
      <w:r w:rsidRPr="00CA2CC1">
        <w:rPr>
          <w:rFonts w:ascii="Calibri" w:hAnsi="Calibri" w:cs="Calibri"/>
          <w:shd w:val="clear" w:color="auto" w:fill="FFFFFF"/>
          <w:vertAlign w:val="superscript"/>
        </w:rPr>
        <w:endnoteReference w:id="275"/>
      </w:r>
    </w:p>
    <w:p w14:paraId="2E24BD95" w14:textId="77777777" w:rsidR="00373ED9" w:rsidRPr="00CA2CC1" w:rsidRDefault="00373ED9" w:rsidP="0043303B">
      <w:pPr>
        <w:pStyle w:val="IVBodyText"/>
        <w:spacing w:line="240" w:lineRule="auto"/>
        <w:rPr>
          <w:rFonts w:ascii="Calibri" w:hAnsi="Calibri" w:cs="Calibri"/>
          <w:color w:val="000000"/>
          <w:sz w:val="24"/>
          <w:szCs w:val="24"/>
          <w:lang w:val="en-US"/>
        </w:rPr>
      </w:pPr>
      <w:r w:rsidRPr="00CA2CC1">
        <w:rPr>
          <w:rFonts w:ascii="Calibri" w:hAnsi="Calibri" w:cs="Calibri"/>
          <w:shd w:val="clear" w:color="auto" w:fill="FFFFFF"/>
        </w:rPr>
        <w:t>Since 2020, the Victorian Government has also invested $350 million in the Victorian Higher Education State Investment Fund.</w:t>
      </w:r>
      <w:r w:rsidRPr="00CA2CC1">
        <w:rPr>
          <w:rStyle w:val="EndnoteReference"/>
          <w:rFonts w:ascii="Calibri" w:hAnsi="Calibri" w:cs="Calibri"/>
          <w:shd w:val="clear" w:color="auto" w:fill="FFFFFF"/>
        </w:rPr>
        <w:endnoteReference w:id="276"/>
      </w:r>
      <w:r w:rsidRPr="00CA2CC1">
        <w:rPr>
          <w:rFonts w:ascii="Calibri" w:hAnsi="Calibri" w:cs="Calibri"/>
          <w:shd w:val="clear" w:color="auto" w:fill="FFFFFF"/>
        </w:rPr>
        <w:t xml:space="preserve"> This funds universities for capital works and applied research partnerships. In August 2022, the government also announced $13 million for a new medical device prototype facility at RMIT.</w:t>
      </w:r>
      <w:r w:rsidRPr="00CA2CC1">
        <w:rPr>
          <w:rStyle w:val="EndnoteReference"/>
          <w:rFonts w:ascii="Calibri" w:hAnsi="Calibri" w:cs="Calibri"/>
          <w:shd w:val="clear" w:color="auto" w:fill="FFFFFF"/>
        </w:rPr>
        <w:endnoteReference w:id="277"/>
      </w:r>
      <w:r w:rsidRPr="00CA2CC1">
        <w:rPr>
          <w:rFonts w:ascii="Calibri" w:hAnsi="Calibri" w:cs="Calibri"/>
          <w:shd w:val="clear" w:color="auto" w:fill="FFFFFF"/>
        </w:rPr>
        <w:t xml:space="preserve"> </w:t>
      </w:r>
    </w:p>
    <w:p w14:paraId="0D5C1605" w14:textId="7EDE41EC" w:rsidR="00373ED9" w:rsidRPr="00CA2CC1" w:rsidRDefault="00373ED9" w:rsidP="00915CA6">
      <w:pPr>
        <w:pStyle w:val="Heading2"/>
        <w:rPr>
          <w:rFonts w:cs="Calibri"/>
        </w:rPr>
      </w:pPr>
      <w:bookmarkStart w:id="69" w:name="_Toc109662742"/>
      <w:r w:rsidRPr="00CA2CC1">
        <w:rPr>
          <w:rFonts w:cs="Calibri"/>
        </w:rPr>
        <w:lastRenderedPageBreak/>
        <w:t>Improving education infrastructure</w:t>
      </w:r>
      <w:bookmarkEnd w:id="69"/>
    </w:p>
    <w:p w14:paraId="20C56C6D" w14:textId="77777777" w:rsidR="00373ED9" w:rsidRPr="00CA2CC1" w:rsidRDefault="00373ED9" w:rsidP="0043303B">
      <w:pPr>
        <w:pStyle w:val="Heading3"/>
        <w:rPr>
          <w:rFonts w:cs="Calibri"/>
        </w:rPr>
      </w:pPr>
      <w:r w:rsidRPr="00CA2CC1">
        <w:rPr>
          <w:rFonts w:cs="Calibri"/>
        </w:rPr>
        <w:t xml:space="preserve">Priority description from the </w:t>
      </w:r>
      <w:r w:rsidRPr="00CA2CC1">
        <w:rPr>
          <w:rFonts w:cs="Calibri"/>
          <w:i/>
          <w:iCs/>
        </w:rPr>
        <w:t>Victorian infrastructure plan 2021</w:t>
      </w:r>
    </w:p>
    <w:p w14:paraId="50DD4453" w14:textId="77777777" w:rsidR="00373ED9" w:rsidRPr="00CA2CC1" w:rsidRDefault="00373ED9" w:rsidP="0043303B">
      <w:pPr>
        <w:pStyle w:val="IVBodyText"/>
        <w:spacing w:line="240" w:lineRule="auto"/>
        <w:rPr>
          <w:rFonts w:ascii="Calibri" w:hAnsi="Calibri" w:cs="Calibri"/>
          <w:b/>
          <w:bCs/>
          <w:color w:val="auto"/>
        </w:rPr>
      </w:pPr>
      <w:r w:rsidRPr="00CA2CC1">
        <w:rPr>
          <w:rFonts w:ascii="Calibri" w:hAnsi="Calibri" w:cs="Calibri"/>
          <w:b/>
          <w:bCs/>
          <w:color w:val="auto"/>
        </w:rPr>
        <w:t>The quality of school facilities is linked to education outcomes for students and teachers.</w:t>
      </w:r>
    </w:p>
    <w:p w14:paraId="5392FCDE" w14:textId="77777777" w:rsidR="00373ED9" w:rsidRPr="00CA2CC1" w:rsidRDefault="00373ED9" w:rsidP="0043303B">
      <w:pPr>
        <w:pStyle w:val="Heading3"/>
        <w:rPr>
          <w:rFonts w:cs="Calibri"/>
        </w:rPr>
      </w:pPr>
      <w:r w:rsidRPr="00CA2CC1">
        <w:rPr>
          <w:rFonts w:cs="Calibri"/>
        </w:rPr>
        <w:t>Victorian Government progress in 2022–23</w:t>
      </w:r>
    </w:p>
    <w:p w14:paraId="48FBACE3"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This priority is about delivering quality primary and secondary school facilities that enhance teaching and learning. Good teaching is one of the most influential factors for student learning.</w:t>
      </w:r>
      <w:r w:rsidRPr="00CA2CC1">
        <w:rPr>
          <w:rStyle w:val="EndnoteReference"/>
          <w:rFonts w:ascii="Calibri" w:hAnsi="Calibri" w:cs="Calibri"/>
        </w:rPr>
        <w:endnoteReference w:id="278"/>
      </w:r>
      <w:r w:rsidRPr="00CA2CC1">
        <w:rPr>
          <w:rFonts w:ascii="Calibri" w:hAnsi="Calibri" w:cs="Calibri"/>
        </w:rPr>
        <w:t xml:space="preserve"> </w:t>
      </w:r>
    </w:p>
    <w:p w14:paraId="7A244AF1"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Good quality school infrastructure can also help children learn better. Good education infrastructure design optimises factors that can help students learn, such as plenty of natural light, good air quality, appropriate colour choices, and creating flexible learning spaces that can cater for different activities.</w:t>
      </w:r>
      <w:r w:rsidRPr="00CA2CC1">
        <w:rPr>
          <w:rFonts w:ascii="Calibri" w:hAnsi="Calibri" w:cs="Calibri"/>
          <w:vertAlign w:val="superscript"/>
        </w:rPr>
        <w:endnoteReference w:id="279"/>
      </w:r>
      <w:r w:rsidRPr="00CA2CC1">
        <w:rPr>
          <w:rFonts w:ascii="Calibri" w:hAnsi="Calibri" w:cs="Calibri"/>
        </w:rPr>
        <w:t xml:space="preserve"> Research also shows that children need basic health and safety conditions to learn effectively. Better school facilities can also increase student satisfaction and help retain staff.</w:t>
      </w:r>
      <w:r w:rsidRPr="00CA2CC1">
        <w:rPr>
          <w:rFonts w:ascii="Calibri" w:hAnsi="Calibri" w:cs="Calibri"/>
          <w:vertAlign w:val="superscript"/>
        </w:rPr>
        <w:endnoteReference w:id="280"/>
      </w:r>
    </w:p>
    <w:p w14:paraId="5D5BEE85"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The Victorian Government requires public schools to write 5-year asset management plans to support long term education goals. These plans inform budget requests for school upgrades and maintenance.</w:t>
      </w:r>
      <w:r w:rsidRPr="00CA2CC1">
        <w:rPr>
          <w:rFonts w:ascii="Calibri" w:hAnsi="Calibri" w:cs="Calibri"/>
          <w:vertAlign w:val="superscript"/>
        </w:rPr>
        <w:endnoteReference w:id="281"/>
      </w:r>
      <w:r w:rsidRPr="00CA2CC1">
        <w:rPr>
          <w:rFonts w:ascii="Calibri" w:hAnsi="Calibri" w:cs="Calibri"/>
        </w:rPr>
        <w:t xml:space="preserve"> In the 2023–24 Budget, the government announced $266 million to upgrade 43 schools.</w:t>
      </w:r>
      <w:r w:rsidRPr="00CA2CC1">
        <w:rPr>
          <w:rFonts w:ascii="Calibri" w:hAnsi="Calibri" w:cs="Calibri"/>
          <w:vertAlign w:val="superscript"/>
        </w:rPr>
        <w:endnoteReference w:id="282"/>
      </w:r>
      <w:r w:rsidRPr="00CA2CC1">
        <w:rPr>
          <w:rFonts w:ascii="Calibri" w:hAnsi="Calibri" w:cs="Calibri"/>
        </w:rPr>
        <w:t xml:space="preserve"> </w:t>
      </w:r>
    </w:p>
    <w:p w14:paraId="2ADA3E9B"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The Budget also included $20 million for the School Upgrade Delivery Fund. The fund aims to provide high-quality classrooms and facilities for learning and community use.</w:t>
      </w:r>
      <w:r w:rsidRPr="00CA2CC1">
        <w:rPr>
          <w:rFonts w:ascii="Calibri" w:hAnsi="Calibri" w:cs="Calibri"/>
          <w:sz w:val="16"/>
          <w:szCs w:val="16"/>
          <w:vertAlign w:val="superscript"/>
        </w:rPr>
        <w:endnoteReference w:id="283"/>
      </w:r>
      <w:r w:rsidRPr="00CA2CC1">
        <w:rPr>
          <w:rFonts w:ascii="Calibri" w:hAnsi="Calibri" w:cs="Calibri"/>
        </w:rPr>
        <w:t xml:space="preserve"> A total of 54 Victorian schools will use this to plan for infrastructure upgrades.</w:t>
      </w:r>
      <w:r w:rsidRPr="00CA2CC1">
        <w:rPr>
          <w:rFonts w:ascii="Calibri" w:hAnsi="Calibri" w:cs="Calibri"/>
          <w:vertAlign w:val="superscript"/>
        </w:rPr>
        <w:endnoteReference w:id="284"/>
      </w:r>
      <w:r w:rsidRPr="00CA2CC1">
        <w:rPr>
          <w:rFonts w:ascii="Calibri" w:hAnsi="Calibri" w:cs="Calibri"/>
        </w:rPr>
        <w:t xml:space="preserve"> The Minor Capital Works Fund also received an extra $10 million for the 2023–24 financial year. Schools can apply to this fund for minor capital projects that are school priorities.</w:t>
      </w:r>
      <w:r w:rsidRPr="00CA2CC1">
        <w:rPr>
          <w:rFonts w:ascii="Calibri" w:hAnsi="Calibri" w:cs="Calibri"/>
          <w:vertAlign w:val="superscript"/>
        </w:rPr>
        <w:endnoteReference w:id="285"/>
      </w:r>
    </w:p>
    <w:p w14:paraId="11A0956E"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Also, the Rolling Facilities Evaluation Program requires all Victorian schools to assess the condition of their buildings and other infrastructure, like car parks and fencing. The Victorian Government uses the evaluation data to help prioritise school maintenance</w:t>
      </w:r>
      <w:r w:rsidRPr="00CA2CC1" w:rsidDel="00D85814">
        <w:rPr>
          <w:rFonts w:ascii="Calibri" w:hAnsi="Calibri" w:cs="Calibri"/>
        </w:rPr>
        <w:t xml:space="preserve"> </w:t>
      </w:r>
      <w:r w:rsidRPr="00CA2CC1">
        <w:rPr>
          <w:rFonts w:ascii="Calibri" w:hAnsi="Calibri" w:cs="Calibri"/>
        </w:rPr>
        <w:t>funding.</w:t>
      </w:r>
      <w:r w:rsidRPr="00CA2CC1">
        <w:rPr>
          <w:rFonts w:ascii="Calibri" w:hAnsi="Calibri" w:cs="Calibri"/>
          <w:vertAlign w:val="superscript"/>
        </w:rPr>
        <w:endnoteReference w:id="286"/>
      </w:r>
      <w:r w:rsidRPr="00CA2CC1">
        <w:rPr>
          <w:rFonts w:ascii="Calibri" w:hAnsi="Calibri" w:cs="Calibri"/>
        </w:rPr>
        <w:t xml:space="preserve"> The Victorian Government funds government schools for essential maintenance and compliance programs. This covers regular and routine maintenance, outdoor facilities, grounds maintenance, and fixing defects.</w:t>
      </w:r>
      <w:r w:rsidRPr="00CA2CC1">
        <w:rPr>
          <w:rFonts w:ascii="Calibri" w:hAnsi="Calibri" w:cs="Calibri"/>
          <w:vertAlign w:val="superscript"/>
        </w:rPr>
        <w:endnoteReference w:id="287"/>
      </w:r>
      <w:r w:rsidRPr="00CA2CC1">
        <w:rPr>
          <w:rFonts w:ascii="Calibri" w:hAnsi="Calibri" w:cs="Calibri"/>
        </w:rPr>
        <w:t xml:space="preserve"> </w:t>
      </w:r>
    </w:p>
    <w:p w14:paraId="58915D9F"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The Department of Education and Training released its strategic plan in August 2022. The plan outlines a new approach to support students with disability in Victorian government schools. The new approach:</w:t>
      </w:r>
    </w:p>
    <w:p w14:paraId="5BC19399" w14:textId="77777777" w:rsidR="00373ED9" w:rsidRPr="00CA2CC1" w:rsidRDefault="00373ED9" w:rsidP="0043303B">
      <w:pPr>
        <w:pStyle w:val="IVBodyText"/>
        <w:numPr>
          <w:ilvl w:val="0"/>
          <w:numId w:val="57"/>
        </w:numPr>
        <w:spacing w:line="240" w:lineRule="auto"/>
        <w:rPr>
          <w:rFonts w:ascii="Calibri" w:hAnsi="Calibri" w:cs="Calibri"/>
        </w:rPr>
      </w:pPr>
      <w:r w:rsidRPr="00CA2CC1">
        <w:rPr>
          <w:rFonts w:ascii="Calibri" w:hAnsi="Calibri" w:cs="Calibri"/>
        </w:rPr>
        <w:t xml:space="preserve">provides more investment and support for students with disability </w:t>
      </w:r>
    </w:p>
    <w:p w14:paraId="2C483192" w14:textId="77777777" w:rsidR="00373ED9" w:rsidRPr="00CA2CC1" w:rsidRDefault="00373ED9" w:rsidP="0043303B">
      <w:pPr>
        <w:pStyle w:val="IVBodyText"/>
        <w:numPr>
          <w:ilvl w:val="0"/>
          <w:numId w:val="57"/>
        </w:numPr>
        <w:spacing w:line="240" w:lineRule="auto"/>
        <w:rPr>
          <w:rFonts w:ascii="Calibri" w:hAnsi="Calibri" w:cs="Calibri"/>
        </w:rPr>
      </w:pPr>
      <w:r w:rsidRPr="00CA2CC1">
        <w:rPr>
          <w:rFonts w:ascii="Calibri" w:hAnsi="Calibri" w:cs="Calibri"/>
        </w:rPr>
        <w:t xml:space="preserve">develops workforce capacity to improve inclusive education </w:t>
      </w:r>
    </w:p>
    <w:p w14:paraId="68A27179" w14:textId="77777777" w:rsidR="00373ED9" w:rsidRPr="00CA2CC1" w:rsidRDefault="00373ED9" w:rsidP="0043303B">
      <w:pPr>
        <w:pStyle w:val="IVBodyText"/>
        <w:numPr>
          <w:ilvl w:val="0"/>
          <w:numId w:val="57"/>
        </w:numPr>
        <w:spacing w:line="240" w:lineRule="auto"/>
        <w:rPr>
          <w:rFonts w:ascii="Calibri" w:hAnsi="Calibri" w:cs="Calibri"/>
        </w:rPr>
      </w:pPr>
      <w:r w:rsidRPr="00CA2CC1">
        <w:rPr>
          <w:rFonts w:ascii="Calibri" w:hAnsi="Calibri" w:cs="Calibri"/>
        </w:rPr>
        <w:t>builds and upgrades school infrastructure to support children with learning or physical disabilities.</w:t>
      </w:r>
      <w:r w:rsidRPr="00CA2CC1">
        <w:rPr>
          <w:rFonts w:ascii="Calibri" w:hAnsi="Calibri" w:cs="Calibri"/>
          <w:vertAlign w:val="superscript"/>
        </w:rPr>
        <w:endnoteReference w:id="288"/>
      </w:r>
      <w:r w:rsidRPr="00CA2CC1">
        <w:rPr>
          <w:rFonts w:ascii="Calibri" w:hAnsi="Calibri" w:cs="Calibri"/>
        </w:rPr>
        <w:t xml:space="preserve"> </w:t>
      </w:r>
    </w:p>
    <w:p w14:paraId="3AE81B14"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The 2023–24 Budget allocated $10 million to the Inclusive Schools Fund. This funds small, but innovative, school building projects that support students with a disability. The Budget allocated an extra $10 million to the Accessible Buildings Program. This will improve access to school facilities for students with disabilities and additional needs.</w:t>
      </w:r>
      <w:r w:rsidRPr="00CA2CC1">
        <w:rPr>
          <w:rFonts w:ascii="Calibri" w:hAnsi="Calibri" w:cs="Calibri"/>
          <w:vertAlign w:val="superscript"/>
        </w:rPr>
        <w:endnoteReference w:id="289"/>
      </w:r>
    </w:p>
    <w:p w14:paraId="7563AC39"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The Budget also contained $169 million to increase access to technical schools at Frankston, Hume, Warrnambool, Dandenong, Brimbank and Wangaratta and established a Clean Energy Equipment Fund for new and existing technical schools.</w:t>
      </w:r>
      <w:r w:rsidRPr="00CA2CC1">
        <w:rPr>
          <w:rFonts w:ascii="Calibri" w:hAnsi="Calibri" w:cs="Calibri"/>
          <w:vertAlign w:val="superscript"/>
        </w:rPr>
        <w:endnoteReference w:id="290"/>
      </w:r>
    </w:p>
    <w:p w14:paraId="13F64456" w14:textId="77777777" w:rsidR="0030185B" w:rsidRPr="00CA2CC1" w:rsidRDefault="00373ED9" w:rsidP="0030185B">
      <w:pPr>
        <w:pStyle w:val="IVBodyText"/>
        <w:spacing w:line="240" w:lineRule="auto"/>
        <w:rPr>
          <w:rFonts w:ascii="Calibri" w:hAnsi="Calibri" w:cs="Calibri"/>
          <w:color w:val="auto"/>
        </w:rPr>
      </w:pPr>
      <w:r w:rsidRPr="00CA2CC1">
        <w:rPr>
          <w:rFonts w:ascii="Calibri" w:hAnsi="Calibri" w:cs="Calibri"/>
        </w:rPr>
        <w:t>Thirty-six percent of Victorian school students attend Catholic and independent schools.</w:t>
      </w:r>
      <w:r w:rsidRPr="00CA2CC1">
        <w:rPr>
          <w:rFonts w:ascii="Calibri" w:hAnsi="Calibri" w:cs="Calibri"/>
          <w:vertAlign w:val="superscript"/>
        </w:rPr>
        <w:endnoteReference w:id="291"/>
      </w:r>
      <w:r w:rsidRPr="00CA2CC1">
        <w:rPr>
          <w:rFonts w:ascii="Calibri" w:hAnsi="Calibri" w:cs="Calibri"/>
        </w:rPr>
        <w:t xml:space="preserve"> The 2023–24 Budget included $450 million over 4 years for grants for construction, expansion and renovation of low-fee Catholic and independent schools.</w:t>
      </w:r>
      <w:r w:rsidRPr="00CA2CC1">
        <w:rPr>
          <w:rFonts w:ascii="Calibri" w:hAnsi="Calibri" w:cs="Calibri"/>
          <w:vertAlign w:val="superscript"/>
        </w:rPr>
        <w:endnoteReference w:id="292"/>
      </w:r>
      <w:bookmarkStart w:id="72" w:name="_Toc109662743"/>
    </w:p>
    <w:p w14:paraId="38753923" w14:textId="5C0DAEC3" w:rsidR="00373ED9" w:rsidRPr="00CA2CC1" w:rsidRDefault="00373ED9" w:rsidP="0030185B">
      <w:pPr>
        <w:pStyle w:val="Heading2"/>
        <w:rPr>
          <w:rFonts w:cs="Calibri"/>
        </w:rPr>
      </w:pPr>
      <w:r w:rsidRPr="00CA2CC1">
        <w:rPr>
          <w:rFonts w:cs="Calibri"/>
        </w:rPr>
        <w:lastRenderedPageBreak/>
        <w:t>Kindergarten for all 3-year-olds</w:t>
      </w:r>
      <w:bookmarkEnd w:id="72"/>
    </w:p>
    <w:p w14:paraId="041DB727" w14:textId="77777777" w:rsidR="00373ED9" w:rsidRPr="00CA2CC1" w:rsidRDefault="00373ED9" w:rsidP="0043303B">
      <w:pPr>
        <w:pStyle w:val="Heading3"/>
        <w:rPr>
          <w:rFonts w:cs="Calibri"/>
        </w:rPr>
      </w:pPr>
      <w:r w:rsidRPr="00CA2CC1">
        <w:rPr>
          <w:rFonts w:cs="Calibri"/>
        </w:rPr>
        <w:t xml:space="preserve">Priority description from the </w:t>
      </w:r>
      <w:r w:rsidRPr="00CA2CC1">
        <w:rPr>
          <w:rFonts w:cs="Calibri"/>
          <w:i/>
          <w:iCs/>
        </w:rPr>
        <w:t>Victorian infrastructure plan 2021</w:t>
      </w:r>
    </w:p>
    <w:p w14:paraId="030818EE" w14:textId="77777777" w:rsidR="00373ED9" w:rsidRPr="00CA2CC1" w:rsidRDefault="00373ED9" w:rsidP="0043303B">
      <w:pPr>
        <w:pStyle w:val="IVBodyText"/>
        <w:spacing w:line="240" w:lineRule="auto"/>
        <w:rPr>
          <w:rFonts w:ascii="Calibri" w:hAnsi="Calibri" w:cs="Calibri"/>
          <w:b/>
          <w:bCs/>
          <w:color w:val="auto"/>
        </w:rPr>
      </w:pPr>
      <w:r w:rsidRPr="00CA2CC1">
        <w:rPr>
          <w:rFonts w:ascii="Calibri" w:hAnsi="Calibri" w:cs="Calibri"/>
          <w:b/>
          <w:bCs/>
          <w:color w:val="auto"/>
        </w:rPr>
        <w:t>Victoria will be the first state or territory in Australia to introduce a universal funded kindergarten program for three-year-olds. From 2022, three-year-olds across the state will have access to at least five hours of a kindergarten program per week. The hours will then increase into the full 15-hour program by 2029.</w:t>
      </w:r>
    </w:p>
    <w:p w14:paraId="68B11A0E" w14:textId="77777777" w:rsidR="00373ED9" w:rsidRPr="00CA2CC1" w:rsidRDefault="00373ED9" w:rsidP="0043303B">
      <w:pPr>
        <w:pStyle w:val="Heading3"/>
        <w:rPr>
          <w:rFonts w:cs="Calibri"/>
        </w:rPr>
      </w:pPr>
      <w:r w:rsidRPr="00CA2CC1">
        <w:rPr>
          <w:rFonts w:cs="Calibri"/>
        </w:rPr>
        <w:t xml:space="preserve">Victorian Government progress in 2022–23 </w:t>
      </w:r>
    </w:p>
    <w:p w14:paraId="6D4182BF"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 xml:space="preserve">This priority is about providing high-quality early learning for all Victorian children. The </w:t>
      </w:r>
      <w:r w:rsidRPr="00CA2CC1">
        <w:rPr>
          <w:rFonts w:ascii="Calibri" w:hAnsi="Calibri" w:cs="Calibri"/>
          <w:i/>
          <w:iCs/>
        </w:rPr>
        <w:t>Victorian infrastructure plan 2021</w:t>
      </w:r>
      <w:r w:rsidRPr="00CA2CC1">
        <w:rPr>
          <w:rFonts w:ascii="Calibri" w:hAnsi="Calibri" w:cs="Calibri"/>
        </w:rPr>
        <w:t xml:space="preserve"> priority is kindergarten for all 3-year-olds.</w:t>
      </w:r>
      <w:r w:rsidRPr="00CA2CC1">
        <w:rPr>
          <w:rFonts w:ascii="Calibri" w:hAnsi="Calibri" w:cs="Calibri"/>
          <w:i/>
          <w:iCs/>
        </w:rPr>
        <w:t xml:space="preserve"> </w:t>
      </w:r>
      <w:r w:rsidRPr="00CA2CC1">
        <w:rPr>
          <w:rFonts w:ascii="Calibri" w:hAnsi="Calibri" w:cs="Calibri"/>
        </w:rPr>
        <w:t>This assessment considers all early learning initiatives, not only those for 3-year-olds.</w:t>
      </w:r>
    </w:p>
    <w:p w14:paraId="0541CD4E"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Since publishing the Victorian infrastructure plan, the Victorian Government has committed to provide up to 30 hours of kindergarten (pre-prep) for every 4-year-old. Kindergartens and long day care centres will deliver pre-prep. This will create a high-quality, universal program to give 4-year-old children the opportunity to socialise and learn through play.</w:t>
      </w:r>
      <w:r w:rsidRPr="00CA2CC1">
        <w:rPr>
          <w:rStyle w:val="EndnoteReference"/>
          <w:rFonts w:ascii="Calibri" w:hAnsi="Calibri" w:cs="Calibri"/>
        </w:rPr>
        <w:endnoteReference w:id="293"/>
      </w:r>
      <w:r w:rsidRPr="00CA2CC1">
        <w:rPr>
          <w:rFonts w:ascii="Calibri" w:hAnsi="Calibri" w:cs="Calibri"/>
        </w:rPr>
        <w:t xml:space="preserve"> Children’s development between birth and 5 years of age affects their future education and life outcomes.</w:t>
      </w:r>
      <w:r w:rsidRPr="00CA2CC1">
        <w:rPr>
          <w:rFonts w:ascii="Calibri" w:hAnsi="Calibri" w:cs="Calibri"/>
          <w:vertAlign w:val="superscript"/>
        </w:rPr>
        <w:endnoteReference w:id="294"/>
      </w:r>
      <w:r w:rsidRPr="00CA2CC1">
        <w:rPr>
          <w:rFonts w:ascii="Calibri" w:hAnsi="Calibri" w:cs="Calibri"/>
        </w:rPr>
        <w:t xml:space="preserve"> The Victorian Government estimates that by 2029, the sector will build about 785 new kindergartens and expand 170 existing ones.</w:t>
      </w:r>
      <w:r w:rsidRPr="00CA2CC1">
        <w:rPr>
          <w:rStyle w:val="EndnoteReference"/>
          <w:rFonts w:ascii="Calibri" w:hAnsi="Calibri" w:cs="Calibri"/>
        </w:rPr>
        <w:endnoteReference w:id="295"/>
      </w:r>
    </w:p>
    <w:p w14:paraId="486DDCD0"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The Victorian Government has a target for all 3-year-old children to have access to 15 hours of kinder each week by 2029, and all 4-year-old children to have access to 30 hours of pre-prep each week by 2032.</w:t>
      </w:r>
      <w:r w:rsidRPr="00CA2CC1">
        <w:rPr>
          <w:rStyle w:val="EndnoteReference"/>
          <w:rFonts w:ascii="Calibri" w:hAnsi="Calibri" w:cs="Calibri"/>
        </w:rPr>
        <w:endnoteReference w:id="296"/>
      </w:r>
      <w:r w:rsidRPr="00CA2CC1">
        <w:rPr>
          <w:rFonts w:ascii="Calibri" w:hAnsi="Calibri" w:cs="Calibri"/>
        </w:rPr>
        <w:t xml:space="preserve"> In 2022–23, the government announced $2.429 billion in new capital funding for kindergarten infrastructure to help achieve the target.</w:t>
      </w:r>
      <w:r w:rsidRPr="00CA2CC1">
        <w:rPr>
          <w:rFonts w:ascii="Calibri" w:hAnsi="Calibri" w:cs="Calibri"/>
          <w:vertAlign w:val="superscript"/>
        </w:rPr>
        <w:endnoteReference w:id="297"/>
      </w:r>
      <w:r w:rsidRPr="00CA2CC1">
        <w:rPr>
          <w:rFonts w:ascii="Calibri" w:hAnsi="Calibri" w:cs="Calibri"/>
        </w:rPr>
        <w:t xml:space="preserve"> This includes funds to build the first 35 of 50 Victorian government-owned early learning centres in areas of greatest unmet demand.</w:t>
      </w:r>
      <w:r w:rsidRPr="00CA2CC1">
        <w:rPr>
          <w:rFonts w:ascii="Calibri" w:hAnsi="Calibri" w:cs="Calibri"/>
          <w:vertAlign w:val="superscript"/>
        </w:rPr>
        <w:endnoteReference w:id="298"/>
      </w:r>
      <w:r w:rsidRPr="00CA2CC1">
        <w:rPr>
          <w:rFonts w:ascii="Calibri" w:hAnsi="Calibri" w:cs="Calibri"/>
        </w:rPr>
        <w:t xml:space="preserve"> It will also build 145 kindergartens on or near government and low fee non-government school sites.</w:t>
      </w:r>
      <w:r w:rsidRPr="00CA2CC1">
        <w:rPr>
          <w:rFonts w:ascii="Calibri" w:hAnsi="Calibri" w:cs="Calibri"/>
          <w:vertAlign w:val="superscript"/>
        </w:rPr>
        <w:endnoteReference w:id="299"/>
      </w:r>
      <w:r w:rsidRPr="00CA2CC1">
        <w:rPr>
          <w:rFonts w:ascii="Calibri" w:hAnsi="Calibri" w:cs="Calibri"/>
        </w:rPr>
        <w:t xml:space="preserve"> </w:t>
      </w:r>
    </w:p>
    <w:p w14:paraId="39BCE93C"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The Victorian Government administers the Building Blocks Grants – Improvement program. It funds upgrades, refurbishments and renovations to early learning facilities, or investments in IT equipment.</w:t>
      </w:r>
      <w:r w:rsidRPr="00CA2CC1">
        <w:rPr>
          <w:rStyle w:val="EndnoteReference"/>
          <w:rFonts w:ascii="Calibri" w:hAnsi="Calibri" w:cs="Calibri"/>
        </w:rPr>
        <w:endnoteReference w:id="300"/>
      </w:r>
      <w:r w:rsidRPr="00CA2CC1">
        <w:rPr>
          <w:rFonts w:ascii="Calibri" w:hAnsi="Calibri" w:cs="Calibri"/>
        </w:rPr>
        <w:t xml:space="preserve"> The program gave out 48 grants in 2022–23 and received another $10 million in the 2023–24 Budget.</w:t>
      </w:r>
      <w:r w:rsidRPr="00CA2CC1">
        <w:rPr>
          <w:rStyle w:val="EndnoteReference"/>
          <w:rFonts w:ascii="Calibri" w:hAnsi="Calibri" w:cs="Calibri"/>
        </w:rPr>
        <w:t xml:space="preserve"> </w:t>
      </w:r>
      <w:r w:rsidRPr="00CA2CC1">
        <w:rPr>
          <w:rStyle w:val="EndnoteReference"/>
          <w:rFonts w:ascii="Calibri" w:hAnsi="Calibri" w:cs="Calibri"/>
        </w:rPr>
        <w:endnoteReference w:id="301"/>
      </w:r>
      <w:r w:rsidRPr="00CA2CC1">
        <w:rPr>
          <w:rFonts w:ascii="Calibri" w:hAnsi="Calibri" w:cs="Calibri"/>
        </w:rPr>
        <w:t xml:space="preserve"> Also, the Building Blocks Grants – Capacity Building program funds infrastructure for more kindergarten places for 3-year-olds and 4-year-olds. In 2022–23, 19 recipients successfully received grants in 3 funding rounds. This included 8 kindergartens in regional Victoria and 11 in metropolitan Melbourne.</w:t>
      </w:r>
      <w:r w:rsidRPr="00CA2CC1">
        <w:rPr>
          <w:rStyle w:val="EndnoteReference"/>
          <w:rFonts w:ascii="Calibri" w:hAnsi="Calibri" w:cs="Calibri"/>
        </w:rPr>
        <w:endnoteReference w:id="302"/>
      </w:r>
    </w:p>
    <w:p w14:paraId="77DD4482" w14:textId="77777777" w:rsidR="00373ED9" w:rsidRPr="00CA2CC1" w:rsidRDefault="00373ED9" w:rsidP="0043303B">
      <w:pPr>
        <w:pStyle w:val="Heading1"/>
        <w:rPr>
          <w:rFonts w:cs="Calibri"/>
        </w:rPr>
      </w:pPr>
      <w:bookmarkStart w:id="73" w:name="_Toc109662744"/>
      <w:r w:rsidRPr="00CA2CC1">
        <w:rPr>
          <w:rFonts w:cs="Calibri"/>
        </w:rPr>
        <w:t>Energy</w:t>
      </w:r>
      <w:bookmarkEnd w:id="73"/>
    </w:p>
    <w:p w14:paraId="7E9A2190" w14:textId="77777777" w:rsidR="00373ED9" w:rsidRPr="00CA2CC1" w:rsidRDefault="00373ED9" w:rsidP="0043303B">
      <w:pPr>
        <w:pStyle w:val="IVIntrotext"/>
        <w:spacing w:line="240" w:lineRule="auto"/>
        <w:rPr>
          <w:rFonts w:cs="Calibri"/>
          <w:color w:val="auto"/>
        </w:rPr>
      </w:pPr>
      <w:r w:rsidRPr="00CA2CC1">
        <w:rPr>
          <w:rFonts w:cs="Calibri"/>
          <w:color w:val="auto"/>
        </w:rPr>
        <w:t>Energy infrastructure delivers energy, such as electricity and gas, from various sources to homes, businesses, and industry. It includes large-scale production and generation assets, transmission, and distribution networks, as well as infrastructure used directly by consumers such as rooftop solar, battery storage and electric vehicle chargers.</w:t>
      </w:r>
    </w:p>
    <w:p w14:paraId="7A06988E" w14:textId="77777777" w:rsidR="00373ED9" w:rsidRPr="00CA2CC1" w:rsidRDefault="00373ED9" w:rsidP="0043303B">
      <w:pPr>
        <w:pStyle w:val="IVBodyText"/>
        <w:spacing w:line="240" w:lineRule="auto"/>
        <w:rPr>
          <w:rFonts w:ascii="Calibri" w:hAnsi="Calibri" w:cs="Calibri"/>
          <w:color w:val="auto"/>
        </w:rPr>
      </w:pPr>
      <w:r w:rsidRPr="00CA2CC1">
        <w:rPr>
          <w:rFonts w:ascii="Calibri" w:hAnsi="Calibri" w:cs="Calibri"/>
          <w:color w:val="auto"/>
        </w:rPr>
        <w:t>The energy sector is almost entirely under private ownership. Several Australian and Victorian government agencies regulate different components of the system. VicGrid is part of the Department of Energy, Environment and Climate Action. It coordinates planning and development of generation and transmission infrastructure projects in Victoria’s renewable energy zones. The 2022–23 Budget funded the State Electricity Commission. It will actively participate in the energy market by investing in renewable energy projects.</w:t>
      </w:r>
    </w:p>
    <w:p w14:paraId="6A177A8B" w14:textId="77777777" w:rsidR="00373ED9" w:rsidRPr="00CA2CC1" w:rsidRDefault="00373ED9" w:rsidP="0043303B">
      <w:pPr>
        <w:pStyle w:val="IVBodyText"/>
        <w:spacing w:line="240" w:lineRule="auto"/>
        <w:rPr>
          <w:rFonts w:ascii="Calibri" w:hAnsi="Calibri" w:cs="Calibri"/>
          <w:color w:val="auto"/>
        </w:rPr>
      </w:pPr>
      <w:r w:rsidRPr="00CA2CC1">
        <w:rPr>
          <w:rFonts w:ascii="Calibri" w:hAnsi="Calibri" w:cs="Calibri"/>
          <w:color w:val="auto"/>
        </w:rPr>
        <w:lastRenderedPageBreak/>
        <w:t xml:space="preserve">The energy priorities in the </w:t>
      </w:r>
      <w:r w:rsidRPr="00CA2CC1">
        <w:rPr>
          <w:rFonts w:ascii="Calibri" w:hAnsi="Calibri" w:cs="Calibri"/>
          <w:i/>
          <w:iCs/>
          <w:color w:val="auto"/>
        </w:rPr>
        <w:t>Victorian infrastructure plan 2021</w:t>
      </w:r>
      <w:r w:rsidRPr="00CA2CC1">
        <w:rPr>
          <w:rFonts w:ascii="Calibri" w:hAnsi="Calibri" w:cs="Calibri"/>
          <w:color w:val="auto"/>
        </w:rPr>
        <w:t xml:space="preserve"> are interrelated and cover affordability, security, sustainability and maintaining a sound investment environment as the sector decarbonises. The energy priorities are:</w:t>
      </w:r>
    </w:p>
    <w:p w14:paraId="21C5032F" w14:textId="77777777" w:rsidR="00373ED9" w:rsidRPr="00CA2CC1" w:rsidRDefault="00373ED9" w:rsidP="0043303B">
      <w:pPr>
        <w:pStyle w:val="IVBodyText"/>
        <w:numPr>
          <w:ilvl w:val="0"/>
          <w:numId w:val="51"/>
        </w:numPr>
        <w:spacing w:line="240" w:lineRule="auto"/>
        <w:rPr>
          <w:rFonts w:ascii="Calibri" w:hAnsi="Calibri" w:cs="Calibri"/>
          <w:color w:val="auto"/>
        </w:rPr>
      </w:pPr>
      <w:r w:rsidRPr="00CA2CC1">
        <w:rPr>
          <w:rFonts w:ascii="Calibri" w:hAnsi="Calibri" w:cs="Calibri"/>
          <w:color w:val="auto"/>
        </w:rPr>
        <w:t>ensuring efficient and affordable energy services</w:t>
      </w:r>
    </w:p>
    <w:p w14:paraId="1E17F001" w14:textId="77777777" w:rsidR="00373ED9" w:rsidRPr="00CA2CC1" w:rsidRDefault="00373ED9" w:rsidP="0043303B">
      <w:pPr>
        <w:pStyle w:val="IVBodyText"/>
        <w:numPr>
          <w:ilvl w:val="0"/>
          <w:numId w:val="51"/>
        </w:numPr>
        <w:spacing w:line="240" w:lineRule="auto"/>
        <w:rPr>
          <w:rFonts w:ascii="Calibri" w:hAnsi="Calibri" w:cs="Calibri"/>
          <w:color w:val="auto"/>
        </w:rPr>
      </w:pPr>
      <w:r w:rsidRPr="00CA2CC1">
        <w:rPr>
          <w:rFonts w:ascii="Calibri" w:hAnsi="Calibri" w:cs="Calibri"/>
          <w:color w:val="auto"/>
        </w:rPr>
        <w:t>protecting our energy security</w:t>
      </w:r>
    </w:p>
    <w:p w14:paraId="175F063F" w14:textId="77777777" w:rsidR="00373ED9" w:rsidRPr="00CA2CC1" w:rsidRDefault="00373ED9" w:rsidP="0043303B">
      <w:pPr>
        <w:pStyle w:val="IVBodyText"/>
        <w:numPr>
          <w:ilvl w:val="0"/>
          <w:numId w:val="51"/>
        </w:numPr>
        <w:spacing w:line="240" w:lineRule="auto"/>
        <w:rPr>
          <w:rFonts w:ascii="Calibri" w:hAnsi="Calibri" w:cs="Calibri"/>
          <w:color w:val="auto"/>
        </w:rPr>
      </w:pPr>
      <w:r w:rsidRPr="00CA2CC1">
        <w:rPr>
          <w:rFonts w:ascii="Calibri" w:hAnsi="Calibri" w:cs="Calibri"/>
          <w:color w:val="auto"/>
        </w:rPr>
        <w:t>leading our transition to a clean energy economy.</w:t>
      </w:r>
    </w:p>
    <w:p w14:paraId="1C9E5B12" w14:textId="77777777" w:rsidR="00373ED9" w:rsidRPr="00CA2CC1" w:rsidRDefault="00373ED9" w:rsidP="0043303B">
      <w:pPr>
        <w:pStyle w:val="Heading2"/>
        <w:rPr>
          <w:rFonts w:cs="Calibri"/>
        </w:rPr>
      </w:pPr>
      <w:bookmarkStart w:id="74" w:name="_Toc109662745"/>
      <w:r w:rsidRPr="00CA2CC1">
        <w:rPr>
          <w:rFonts w:cs="Calibri"/>
        </w:rPr>
        <w:t>Ensuring efficient and affordable energy services</w:t>
      </w:r>
      <w:bookmarkEnd w:id="74"/>
    </w:p>
    <w:p w14:paraId="02187684" w14:textId="77777777" w:rsidR="00373ED9" w:rsidRPr="00CA2CC1" w:rsidRDefault="00373ED9" w:rsidP="0043303B">
      <w:pPr>
        <w:pStyle w:val="Heading3"/>
        <w:rPr>
          <w:rFonts w:cs="Calibri"/>
        </w:rPr>
      </w:pPr>
      <w:r w:rsidRPr="00CA2CC1">
        <w:rPr>
          <w:rFonts w:cs="Calibri"/>
        </w:rPr>
        <w:t xml:space="preserve">Priority description from the </w:t>
      </w:r>
      <w:r w:rsidRPr="00CA2CC1">
        <w:rPr>
          <w:rFonts w:cs="Calibri"/>
          <w:i/>
          <w:iCs/>
        </w:rPr>
        <w:t>Victorian infrastructure plan 2021</w:t>
      </w:r>
    </w:p>
    <w:p w14:paraId="7F876989" w14:textId="77777777" w:rsidR="00373ED9" w:rsidRPr="00CA2CC1" w:rsidRDefault="00373ED9" w:rsidP="0043303B">
      <w:pPr>
        <w:pStyle w:val="IVBodyText"/>
        <w:spacing w:line="240" w:lineRule="auto"/>
        <w:rPr>
          <w:rFonts w:ascii="Calibri" w:hAnsi="Calibri" w:cs="Calibri"/>
          <w:b/>
          <w:bCs/>
          <w:color w:val="auto"/>
        </w:rPr>
      </w:pPr>
      <w:r w:rsidRPr="00CA2CC1">
        <w:rPr>
          <w:rFonts w:ascii="Calibri" w:hAnsi="Calibri" w:cs="Calibri"/>
          <w:b/>
          <w:bCs/>
          <w:color w:val="auto"/>
        </w:rPr>
        <w:t>Victoria is making sure we improve energy efficiency standards to slash emissions, while helping Victorians reap the benefits of the energy transition. This includes helping Victorian households and businesses make the most of the energy generated, allowing for increased consumer control over new energy technologies, and supporting energy affordability.</w:t>
      </w:r>
    </w:p>
    <w:p w14:paraId="08E8A6D5" w14:textId="77777777" w:rsidR="00373ED9" w:rsidRPr="00CA2CC1" w:rsidRDefault="00373ED9" w:rsidP="0043303B">
      <w:pPr>
        <w:pStyle w:val="Heading3"/>
        <w:rPr>
          <w:rFonts w:cs="Calibri"/>
        </w:rPr>
      </w:pPr>
      <w:r w:rsidRPr="00CA2CC1">
        <w:rPr>
          <w:rFonts w:cs="Calibri"/>
        </w:rPr>
        <w:t>Victorian Government progress in 2022–23</w:t>
      </w:r>
    </w:p>
    <w:p w14:paraId="6054FFBC" w14:textId="656F5546" w:rsidR="00373ED9" w:rsidRPr="00CA2CC1" w:rsidRDefault="00373ED9" w:rsidP="0043303B">
      <w:pPr>
        <w:pStyle w:val="IVBodyText"/>
        <w:spacing w:line="240" w:lineRule="auto"/>
        <w:rPr>
          <w:rFonts w:ascii="Calibri" w:hAnsi="Calibri" w:cs="Calibri"/>
        </w:rPr>
      </w:pPr>
      <w:r w:rsidRPr="00CA2CC1">
        <w:rPr>
          <w:rFonts w:ascii="Calibri" w:hAnsi="Calibri" w:cs="Calibri"/>
        </w:rPr>
        <w:t>This priority focuses on increasing energy efficiency and reducing household and business energy costs. Efficient energy services can reduce Victoria’s energy-related greenhouse gas emissions and help Victoria meet its target of net zero emissions by 2045. Energy efficient homes and appliances can also reduce household</w:t>
      </w:r>
      <w:r w:rsidR="002442CE" w:rsidRPr="00CA2CC1">
        <w:rPr>
          <w:rFonts w:ascii="Calibri" w:hAnsi="Calibri" w:cs="Calibri"/>
        </w:rPr>
        <w:t>s</w:t>
      </w:r>
      <w:r w:rsidRPr="00CA2CC1">
        <w:rPr>
          <w:rFonts w:ascii="Calibri" w:hAnsi="Calibri" w:cs="Calibri"/>
        </w:rPr>
        <w:t xml:space="preserve"> energy bills. Keeping energy affordable assists household</w:t>
      </w:r>
      <w:r w:rsidR="00791795" w:rsidRPr="00CA2CC1">
        <w:rPr>
          <w:rFonts w:ascii="Calibri" w:hAnsi="Calibri" w:cs="Calibri"/>
        </w:rPr>
        <w:t>s</w:t>
      </w:r>
      <w:r w:rsidRPr="00CA2CC1">
        <w:rPr>
          <w:rFonts w:ascii="Calibri" w:hAnsi="Calibri" w:cs="Calibri"/>
        </w:rPr>
        <w:t xml:space="preserve"> struggling with cost-of-living pressures. It can also help reduce community concern and opposition to energy network infrastructure changes that support renewable energy and reduce emissions.</w:t>
      </w:r>
    </w:p>
    <w:p w14:paraId="37E3BEA4"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Electricity and gas customers that have difficulty paying their bills can get tailored assistance. The average number of customers accessing tailored assistance each month has increased since 2018–19 (</w:t>
      </w:r>
      <w:r w:rsidRPr="00CA2CC1">
        <w:rPr>
          <w:rFonts w:ascii="Calibri" w:hAnsi="Calibri" w:cs="Calibri"/>
        </w:rPr>
        <w:fldChar w:fldCharType="begin"/>
      </w:r>
      <w:r w:rsidRPr="00CA2CC1">
        <w:rPr>
          <w:rFonts w:ascii="Calibri" w:hAnsi="Calibri" w:cs="Calibri"/>
        </w:rPr>
        <w:instrText xml:space="preserve"> REF _Ref143507796 \h </w:instrText>
      </w:r>
      <w:r w:rsidRPr="00CA2CC1">
        <w:rPr>
          <w:rFonts w:ascii="Calibri" w:hAnsi="Calibri" w:cs="Calibri"/>
        </w:rPr>
      </w:r>
      <w:r w:rsidRPr="00CA2CC1">
        <w:rPr>
          <w:rFonts w:ascii="Calibri" w:hAnsi="Calibri" w:cs="Calibri"/>
        </w:rPr>
        <w:fldChar w:fldCharType="separate"/>
      </w:r>
      <w:r w:rsidRPr="00CA2CC1">
        <w:rPr>
          <w:rFonts w:ascii="Calibri" w:hAnsi="Calibri" w:cs="Calibri"/>
        </w:rPr>
        <w:t xml:space="preserve">Figure </w:t>
      </w:r>
      <w:r w:rsidRPr="00CA2CC1">
        <w:rPr>
          <w:rFonts w:ascii="Calibri" w:hAnsi="Calibri" w:cs="Calibri"/>
          <w:noProof/>
        </w:rPr>
        <w:t>2</w:t>
      </w:r>
      <w:r w:rsidRPr="00CA2CC1">
        <w:rPr>
          <w:rFonts w:ascii="Calibri" w:hAnsi="Calibri" w:cs="Calibri"/>
        </w:rPr>
        <w:fldChar w:fldCharType="end"/>
      </w:r>
      <w:r w:rsidRPr="00CA2CC1">
        <w:rPr>
          <w:rFonts w:ascii="Calibri" w:hAnsi="Calibri" w:cs="Calibri"/>
        </w:rPr>
        <w:t>).</w:t>
      </w:r>
      <w:r w:rsidRPr="00CA2CC1">
        <w:rPr>
          <w:rStyle w:val="EndnoteReference"/>
          <w:rFonts w:ascii="Calibri" w:hAnsi="Calibri" w:cs="Calibri"/>
        </w:rPr>
        <w:endnoteReference w:id="303"/>
      </w:r>
      <w:r w:rsidRPr="00CA2CC1">
        <w:rPr>
          <w:rFonts w:ascii="Calibri" w:hAnsi="Calibri" w:cs="Calibri"/>
        </w:rPr>
        <w:t xml:space="preserve"> This might indicate that more Victorian households are experiencing payment difficulty for energy services, although it might also be due to more assistance being requested, offered, and accepted under the new payment difficulty framework introduced in 2019.</w:t>
      </w:r>
      <w:r w:rsidRPr="00CA2CC1">
        <w:rPr>
          <w:rStyle w:val="EndnoteReference"/>
          <w:rFonts w:ascii="Calibri" w:hAnsi="Calibri" w:cs="Calibri"/>
        </w:rPr>
        <w:endnoteReference w:id="304"/>
      </w:r>
      <w:r w:rsidRPr="00CA2CC1">
        <w:rPr>
          <w:rFonts w:ascii="Calibri" w:hAnsi="Calibri" w:cs="Calibri"/>
        </w:rPr>
        <w:t xml:space="preserve"> Both gas and electricity disconnections for non-payment in 2022 were lower than in 2018 and 2019.</w:t>
      </w:r>
      <w:r w:rsidRPr="00CA2CC1">
        <w:rPr>
          <w:rStyle w:val="EndnoteReference"/>
          <w:rFonts w:ascii="Calibri" w:hAnsi="Calibri" w:cs="Calibri"/>
        </w:rPr>
        <w:endnoteReference w:id="305"/>
      </w:r>
      <w:r w:rsidRPr="00CA2CC1">
        <w:rPr>
          <w:rFonts w:ascii="Calibri" w:hAnsi="Calibri" w:cs="Calibri"/>
        </w:rPr>
        <w:t xml:space="preserve"> The COVID-19 pandemic affected the 2020 and 2021 figures. Months with restrictions in place had no disconnections.</w:t>
      </w:r>
      <w:r w:rsidRPr="00CA2CC1">
        <w:rPr>
          <w:rStyle w:val="EndnoteReference"/>
          <w:rFonts w:ascii="Calibri" w:hAnsi="Calibri" w:cs="Calibri"/>
        </w:rPr>
        <w:endnoteReference w:id="306"/>
      </w:r>
    </w:p>
    <w:p w14:paraId="37157045" w14:textId="77777777" w:rsidR="00373ED9" w:rsidRDefault="00373ED9" w:rsidP="0043303B">
      <w:pPr>
        <w:pStyle w:val="Caption"/>
        <w:spacing w:line="240" w:lineRule="auto"/>
        <w:rPr>
          <w:rFonts w:ascii="Calibri" w:hAnsi="Calibri" w:cs="Calibri"/>
        </w:rPr>
      </w:pPr>
      <w:bookmarkStart w:id="75" w:name="_Ref143507796"/>
      <w:r w:rsidRPr="00CA2CC1">
        <w:rPr>
          <w:rFonts w:ascii="Calibri" w:hAnsi="Calibri" w:cs="Calibri"/>
        </w:rPr>
        <w:t xml:space="preserve">Figure </w:t>
      </w:r>
      <w:r w:rsidRPr="00CA2CC1">
        <w:rPr>
          <w:rFonts w:ascii="Calibri" w:hAnsi="Calibri" w:cs="Calibri"/>
        </w:rPr>
        <w:fldChar w:fldCharType="begin"/>
      </w:r>
      <w:r w:rsidRPr="00CA2CC1">
        <w:rPr>
          <w:rFonts w:ascii="Calibri" w:hAnsi="Calibri" w:cs="Calibri"/>
        </w:rPr>
        <w:instrText xml:space="preserve"> SEQ Figure \* ARABIC </w:instrText>
      </w:r>
      <w:r w:rsidRPr="00CA2CC1">
        <w:rPr>
          <w:rFonts w:ascii="Calibri" w:hAnsi="Calibri" w:cs="Calibri"/>
        </w:rPr>
        <w:fldChar w:fldCharType="separate"/>
      </w:r>
      <w:r w:rsidRPr="00CA2CC1">
        <w:rPr>
          <w:rFonts w:ascii="Calibri" w:hAnsi="Calibri" w:cs="Calibri"/>
          <w:noProof/>
        </w:rPr>
        <w:t>2</w:t>
      </w:r>
      <w:r w:rsidRPr="00CA2CC1">
        <w:rPr>
          <w:rFonts w:ascii="Calibri" w:hAnsi="Calibri" w:cs="Calibri"/>
          <w:noProof/>
        </w:rPr>
        <w:fldChar w:fldCharType="end"/>
      </w:r>
      <w:bookmarkEnd w:id="75"/>
      <w:r w:rsidRPr="00CA2CC1">
        <w:rPr>
          <w:rFonts w:ascii="Calibri" w:hAnsi="Calibri" w:cs="Calibri"/>
        </w:rPr>
        <w:t>: Average number of customers accessing tailored assistance each month</w:t>
      </w:r>
    </w:p>
    <w:p w14:paraId="13F9AAEB" w14:textId="72AB520A" w:rsidR="006F2916" w:rsidRPr="006F2916" w:rsidRDefault="006F2916" w:rsidP="006F2916">
      <w:pPr>
        <w:rPr>
          <w:lang w:val="en-AU" w:eastAsia="en-AU"/>
        </w:rPr>
      </w:pPr>
      <w:r>
        <w:rPr>
          <w:noProof/>
          <w:lang w:val="en-AU" w:eastAsia="en-AU"/>
        </w:rPr>
        <w:drawing>
          <wp:inline distT="0" distB="0" distL="0" distR="0" wp14:anchorId="31774AE3" wp14:editId="58D79EA3">
            <wp:extent cx="5892800" cy="2603500"/>
            <wp:effectExtent l="0" t="0" r="0" b="0"/>
            <wp:docPr id="155931034" name="Picture 2" descr="Electricity&#9;&#10;2018–19: 49,878&#10;2019–20: 56,168&#10;2020–21: 64,931&#10;2021–22: 62,179&#10;2022–23: 64,810&#10;&#10;Gas&#10;2018–19: 35,667&#10;2019–20: 44,694&#10;2020–21: 50,294&#10;2021–22: 48,123&#10;2022–23: 53,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31034" name="Picture 2" descr="Electricity&#9;&#10;2018–19: 49,878&#10;2019–20: 56,168&#10;2020–21: 64,931&#10;2021–22: 62,179&#10;2022–23: 64,810&#10;&#10;Gas&#10;2018–19: 35,667&#10;2019–20: 44,694&#10;2020–21: 50,294&#10;2021–22: 48,123&#10;2022–23: 53,89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892800" cy="2603500"/>
                    </a:xfrm>
                    <a:prstGeom prst="rect">
                      <a:avLst/>
                    </a:prstGeom>
                  </pic:spPr>
                </pic:pic>
              </a:graphicData>
            </a:graphic>
          </wp:inline>
        </w:drawing>
      </w:r>
    </w:p>
    <w:p w14:paraId="03F06439" w14:textId="77777777" w:rsidR="006F2916" w:rsidRDefault="006F2916" w:rsidP="0043303B">
      <w:pPr>
        <w:pStyle w:val="IVFigureSource"/>
        <w:spacing w:after="0" w:line="240" w:lineRule="auto"/>
        <w:rPr>
          <w:rFonts w:ascii="Calibri" w:hAnsi="Calibri" w:cs="Calibri"/>
          <w:color w:val="000000" w:themeColor="text1"/>
        </w:rPr>
      </w:pPr>
    </w:p>
    <w:p w14:paraId="44179998" w14:textId="06D06647" w:rsidR="00373ED9" w:rsidRPr="006F2916" w:rsidRDefault="00373ED9" w:rsidP="0043303B">
      <w:pPr>
        <w:pStyle w:val="IVFigureSource"/>
        <w:spacing w:after="0" w:line="240" w:lineRule="auto"/>
        <w:rPr>
          <w:rFonts w:ascii="Calibri" w:hAnsi="Calibri" w:cs="Calibri"/>
          <w:color w:val="000000" w:themeColor="text1"/>
        </w:rPr>
      </w:pPr>
      <w:r w:rsidRPr="006F2916">
        <w:rPr>
          <w:rFonts w:ascii="Calibri" w:hAnsi="Calibri" w:cs="Calibri"/>
          <w:color w:val="000000" w:themeColor="text1"/>
        </w:rPr>
        <w:lastRenderedPageBreak/>
        <w:t>Note: 2022–23 only includes data from July 2022 to March 2023</w:t>
      </w:r>
    </w:p>
    <w:p w14:paraId="586C3A41" w14:textId="77777777" w:rsidR="00373ED9" w:rsidRPr="006F2916" w:rsidRDefault="00373ED9" w:rsidP="0043303B">
      <w:pPr>
        <w:pStyle w:val="IVFigureSource"/>
        <w:spacing w:before="0" w:line="240" w:lineRule="auto"/>
        <w:rPr>
          <w:rFonts w:ascii="Calibri" w:hAnsi="Calibri" w:cs="Calibri"/>
          <w:color w:val="000000" w:themeColor="text1"/>
        </w:rPr>
      </w:pPr>
      <w:r w:rsidRPr="006F2916">
        <w:rPr>
          <w:rFonts w:ascii="Calibri" w:hAnsi="Calibri" w:cs="Calibri"/>
          <w:color w:val="000000" w:themeColor="text1"/>
        </w:rPr>
        <w:t>Source: Essential Services Commission</w:t>
      </w:r>
    </w:p>
    <w:p w14:paraId="4B03A7E1"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The Victorian Government uses several subsidies, rebates, and loan schemes to improve access to efficient and affordable energy services. The Home Heating and Cooling Upgrades Program gives rebates to households to replace their old heaters with energy efficient reverse-cycle systems,</w:t>
      </w:r>
      <w:r w:rsidRPr="00CA2CC1">
        <w:rPr>
          <w:rStyle w:val="EndnoteReference"/>
          <w:rFonts w:ascii="Calibri" w:hAnsi="Calibri" w:cs="Calibri"/>
        </w:rPr>
        <w:endnoteReference w:id="307"/>
      </w:r>
      <w:r w:rsidRPr="00CA2CC1">
        <w:rPr>
          <w:rFonts w:ascii="Calibri" w:hAnsi="Calibri" w:cs="Calibri"/>
        </w:rPr>
        <w:t xml:space="preserve"> upgrade their electrical switchboard and cap old gas heaters.</w:t>
      </w:r>
      <w:r w:rsidRPr="00CA2CC1">
        <w:rPr>
          <w:rStyle w:val="EndnoteReference"/>
          <w:rFonts w:ascii="Calibri" w:hAnsi="Calibri" w:cs="Calibri"/>
        </w:rPr>
        <w:endnoteReference w:id="308"/>
      </w:r>
      <w:r w:rsidRPr="00CA2CC1">
        <w:rPr>
          <w:rFonts w:ascii="Calibri" w:hAnsi="Calibri" w:cs="Calibri"/>
        </w:rPr>
        <w:t xml:space="preserve"> Households could also get discounts and rebates from the Victorian Energy Upgrades program when they upgraded to energy efficient products.</w:t>
      </w:r>
      <w:r w:rsidRPr="00CA2CC1">
        <w:rPr>
          <w:rStyle w:val="EndnoteReference"/>
          <w:rFonts w:ascii="Calibri" w:hAnsi="Calibri" w:cs="Calibri"/>
        </w:rPr>
        <w:endnoteReference w:id="309"/>
      </w:r>
      <w:r w:rsidRPr="00CA2CC1">
        <w:rPr>
          <w:rFonts w:ascii="Calibri" w:hAnsi="Calibri" w:cs="Calibri"/>
        </w:rPr>
        <w:t xml:space="preserve"> This includes for hot water systems, fridges and clothes dryers.</w:t>
      </w:r>
      <w:r w:rsidRPr="00CA2CC1">
        <w:rPr>
          <w:rStyle w:val="EndnoteReference"/>
          <w:rFonts w:ascii="Calibri" w:hAnsi="Calibri" w:cs="Calibri"/>
        </w:rPr>
        <w:endnoteReference w:id="310"/>
      </w:r>
      <w:r w:rsidRPr="00CA2CC1">
        <w:rPr>
          <w:rFonts w:ascii="Calibri" w:hAnsi="Calibri" w:cs="Calibri"/>
        </w:rPr>
        <w:t xml:space="preserve"> The Victorian Government is also delivering a program to improve energy efficiency in social housing.</w:t>
      </w:r>
      <w:r w:rsidRPr="00CA2CC1">
        <w:rPr>
          <w:rStyle w:val="EndnoteReference"/>
          <w:rFonts w:ascii="Calibri" w:hAnsi="Calibri" w:cs="Calibri"/>
        </w:rPr>
        <w:endnoteReference w:id="311"/>
      </w:r>
      <w:r w:rsidRPr="00CA2CC1">
        <w:rPr>
          <w:rFonts w:ascii="Calibri" w:hAnsi="Calibri" w:cs="Calibri"/>
        </w:rPr>
        <w:t xml:space="preserve"> </w:t>
      </w:r>
    </w:p>
    <w:p w14:paraId="664C3B87"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The 2023–24 Budget provided more funding to encourage Victorian households to compare energy offers using the Victorian Energy Compare website or an energy affordability scheme.</w:t>
      </w:r>
      <w:r w:rsidRPr="00CA2CC1">
        <w:rPr>
          <w:rStyle w:val="EndnoteReference"/>
          <w:rFonts w:ascii="Calibri" w:hAnsi="Calibri" w:cs="Calibri"/>
        </w:rPr>
        <w:endnoteReference w:id="312"/>
      </w:r>
      <w:r w:rsidRPr="00CA2CC1">
        <w:rPr>
          <w:rFonts w:ascii="Calibri" w:hAnsi="Calibri" w:cs="Calibri"/>
        </w:rPr>
        <w:t xml:space="preserve"> Households that are having trouble paying their energy bills can also access the Energy Assistance Program. The program is designed to help these households navigate the energy market and better connect with their energy retailer.</w:t>
      </w:r>
      <w:r w:rsidRPr="00CA2CC1">
        <w:rPr>
          <w:rStyle w:val="EndnoteReference"/>
          <w:rFonts w:ascii="Calibri" w:hAnsi="Calibri" w:cs="Calibri"/>
        </w:rPr>
        <w:endnoteReference w:id="313"/>
      </w:r>
    </w:p>
    <w:p w14:paraId="15948D40"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In 2022–23, the government offered rebates to households for installing a solar battery</w:t>
      </w:r>
      <w:r w:rsidRPr="00CA2CC1">
        <w:rPr>
          <w:rStyle w:val="EndnoteReference"/>
          <w:rFonts w:ascii="Calibri" w:hAnsi="Calibri" w:cs="Calibri"/>
        </w:rPr>
        <w:endnoteReference w:id="314"/>
      </w:r>
      <w:r w:rsidRPr="00CA2CC1">
        <w:rPr>
          <w:rFonts w:ascii="Calibri" w:hAnsi="Calibri" w:cs="Calibri"/>
        </w:rPr>
        <w:t xml:space="preserve"> and to businesses for installing a solar panel system.</w:t>
      </w:r>
      <w:r w:rsidRPr="00CA2CC1">
        <w:rPr>
          <w:rStyle w:val="EndnoteReference"/>
          <w:rFonts w:ascii="Calibri" w:hAnsi="Calibri" w:cs="Calibri"/>
        </w:rPr>
        <w:endnoteReference w:id="315"/>
      </w:r>
      <w:r w:rsidRPr="00CA2CC1">
        <w:rPr>
          <w:rFonts w:ascii="Calibri" w:hAnsi="Calibri" w:cs="Calibri"/>
        </w:rPr>
        <w:t xml:space="preserve"> The 2023–24 Budget provided $16 million for loans to eligible households to install solar battery storage systems.</w:t>
      </w:r>
      <w:r w:rsidRPr="00CA2CC1">
        <w:rPr>
          <w:rStyle w:val="EndnoteReference"/>
          <w:rFonts w:ascii="Calibri" w:hAnsi="Calibri" w:cs="Calibri"/>
        </w:rPr>
        <w:endnoteReference w:id="316"/>
      </w:r>
      <w:r w:rsidRPr="00CA2CC1">
        <w:rPr>
          <w:rFonts w:ascii="Calibri" w:hAnsi="Calibri" w:cs="Calibri"/>
        </w:rPr>
        <w:t xml:space="preserve"> Households can also get rebates for solar panels</w:t>
      </w:r>
      <w:r w:rsidRPr="00CA2CC1">
        <w:rPr>
          <w:rStyle w:val="EndnoteReference"/>
          <w:rFonts w:ascii="Calibri" w:hAnsi="Calibri" w:cs="Calibri"/>
        </w:rPr>
        <w:endnoteReference w:id="317"/>
      </w:r>
      <w:r w:rsidRPr="00CA2CC1">
        <w:rPr>
          <w:rFonts w:ascii="Calibri" w:hAnsi="Calibri" w:cs="Calibri"/>
        </w:rPr>
        <w:t xml:space="preserve"> and solar hot water systems.</w:t>
      </w:r>
      <w:r w:rsidRPr="00CA2CC1">
        <w:rPr>
          <w:rStyle w:val="EndnoteReference"/>
          <w:rFonts w:ascii="Calibri" w:hAnsi="Calibri" w:cs="Calibri"/>
        </w:rPr>
        <w:endnoteReference w:id="318"/>
      </w:r>
      <w:r w:rsidRPr="00CA2CC1">
        <w:rPr>
          <w:rFonts w:ascii="Calibri" w:hAnsi="Calibri" w:cs="Calibri"/>
        </w:rPr>
        <w:t xml:space="preserve"> These programs are designed to reduce the upfront cost of installing new technologies, helping to make them more affordable.</w:t>
      </w:r>
    </w:p>
    <w:p w14:paraId="7EFB969B"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Eligible vehicles bought before 30 June 2023 could receive the Zero Emissions Vehicle Subsidy.</w:t>
      </w:r>
      <w:r w:rsidRPr="00CA2CC1">
        <w:rPr>
          <w:rStyle w:val="EndnoteReference"/>
          <w:rFonts w:ascii="Calibri" w:hAnsi="Calibri" w:cs="Calibri"/>
        </w:rPr>
        <w:endnoteReference w:id="319"/>
      </w:r>
      <w:r w:rsidRPr="00CA2CC1">
        <w:rPr>
          <w:rFonts w:ascii="Calibri" w:hAnsi="Calibri" w:cs="Calibri"/>
        </w:rPr>
        <w:t xml:space="preserve"> This initiative supported the </w:t>
      </w:r>
      <w:r w:rsidRPr="00CA2CC1">
        <w:rPr>
          <w:rFonts w:ascii="Calibri" w:hAnsi="Calibri" w:cs="Calibri"/>
          <w:i/>
        </w:rPr>
        <w:t xml:space="preserve">Zero </w:t>
      </w:r>
      <w:r w:rsidRPr="00CA2CC1">
        <w:rPr>
          <w:rFonts w:ascii="Calibri" w:hAnsi="Calibri" w:cs="Calibri"/>
          <w:i/>
          <w:iCs/>
        </w:rPr>
        <w:t>emissions vehicle r</w:t>
      </w:r>
      <w:r w:rsidRPr="00CA2CC1">
        <w:rPr>
          <w:rFonts w:ascii="Calibri" w:hAnsi="Calibri" w:cs="Calibri"/>
          <w:i/>
        </w:rPr>
        <w:t>oadmap</w:t>
      </w:r>
      <w:r w:rsidRPr="00CA2CC1">
        <w:rPr>
          <w:rFonts w:ascii="Calibri" w:hAnsi="Calibri" w:cs="Calibri"/>
        </w:rPr>
        <w:t>, which aims for half of light vehicle sales to be zero emission vehicles by 2030.</w:t>
      </w:r>
      <w:r w:rsidRPr="00CA2CC1">
        <w:rPr>
          <w:rStyle w:val="EndnoteReference"/>
          <w:rFonts w:ascii="Calibri" w:hAnsi="Calibri" w:cs="Calibri"/>
        </w:rPr>
        <w:endnoteReference w:id="320"/>
      </w:r>
    </w:p>
    <w:p w14:paraId="14CDA7A8"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On 1 January 2023, the government banned embedded networks in new residential apartments.</w:t>
      </w:r>
      <w:r w:rsidRPr="00CA2CC1">
        <w:rPr>
          <w:rStyle w:val="EndnoteReference"/>
          <w:rFonts w:ascii="Calibri" w:hAnsi="Calibri" w:cs="Calibri"/>
        </w:rPr>
        <w:endnoteReference w:id="321"/>
      </w:r>
      <w:r w:rsidRPr="00CA2CC1">
        <w:rPr>
          <w:rFonts w:ascii="Calibri" w:hAnsi="Calibri" w:cs="Calibri"/>
        </w:rPr>
        <w:t xml:space="preserve"> Embedded networks are private electricity networks that serve multiple customers in a building or development. They prevent households from switching to a better electricity deal.</w:t>
      </w:r>
      <w:r w:rsidRPr="00CA2CC1">
        <w:rPr>
          <w:rStyle w:val="EndnoteReference"/>
          <w:rFonts w:ascii="Calibri" w:hAnsi="Calibri" w:cs="Calibri"/>
        </w:rPr>
        <w:endnoteReference w:id="322"/>
      </w:r>
      <w:r w:rsidRPr="00CA2CC1">
        <w:rPr>
          <w:rFonts w:ascii="Calibri" w:hAnsi="Calibri" w:cs="Calibri"/>
        </w:rPr>
        <w:t xml:space="preserve"> Buildings that run on 100% renewable energy can secure a limited exemption to this ban.</w:t>
      </w:r>
      <w:r w:rsidRPr="00CA2CC1">
        <w:rPr>
          <w:rStyle w:val="EndnoteReference"/>
          <w:rFonts w:ascii="Calibri" w:hAnsi="Calibri" w:cs="Calibri"/>
        </w:rPr>
        <w:endnoteReference w:id="323"/>
      </w:r>
      <w:r w:rsidRPr="00CA2CC1">
        <w:rPr>
          <w:rFonts w:ascii="Calibri" w:hAnsi="Calibri" w:cs="Calibri"/>
        </w:rPr>
        <w:t xml:space="preserve"> Banning embedded networks in new apartments contributes to this priority because it allows people to choose the cheapest energy deal.</w:t>
      </w:r>
    </w:p>
    <w:p w14:paraId="00A3610A" w14:textId="77777777" w:rsidR="00A61BC7" w:rsidRPr="00CA2CC1" w:rsidRDefault="00373ED9" w:rsidP="00A61BC7">
      <w:pPr>
        <w:pStyle w:val="IVBodyText"/>
        <w:spacing w:line="240" w:lineRule="auto"/>
        <w:rPr>
          <w:rFonts w:ascii="Calibri" w:hAnsi="Calibri" w:cs="Calibri"/>
          <w:color w:val="auto"/>
        </w:rPr>
      </w:pPr>
      <w:r w:rsidRPr="00CA2CC1">
        <w:rPr>
          <w:rFonts w:ascii="Calibri" w:hAnsi="Calibri" w:cs="Calibri"/>
          <w:i/>
          <w:iCs/>
        </w:rPr>
        <w:t>Victoria’s infrastructure strategy 2021–2051</w:t>
      </w:r>
      <w:r w:rsidRPr="00CA2CC1">
        <w:rPr>
          <w:rFonts w:ascii="Calibri" w:hAnsi="Calibri" w:cs="Calibri"/>
        </w:rPr>
        <w:t xml:space="preserve"> recommends the Victorian Government strengthen minimum energy efficiency standards for rented homes</w:t>
      </w:r>
      <w:r w:rsidRPr="00CA2CC1">
        <w:rPr>
          <w:rStyle w:val="EndnoteReference"/>
          <w:rFonts w:ascii="Calibri" w:hAnsi="Calibri" w:cs="Calibri"/>
        </w:rPr>
        <w:endnoteReference w:id="324"/>
      </w:r>
      <w:r w:rsidRPr="00CA2CC1">
        <w:rPr>
          <w:rFonts w:ascii="Calibri" w:hAnsi="Calibri" w:cs="Calibri"/>
        </w:rPr>
        <w:t xml:space="preserve"> and make social housing suitable for changing local climates.</w:t>
      </w:r>
      <w:r w:rsidRPr="00CA2CC1">
        <w:rPr>
          <w:rStyle w:val="EndnoteReference"/>
          <w:rFonts w:ascii="Calibri" w:hAnsi="Calibri" w:cs="Calibri"/>
        </w:rPr>
        <w:endnoteReference w:id="325"/>
      </w:r>
      <w:r w:rsidRPr="00CA2CC1">
        <w:rPr>
          <w:rFonts w:ascii="Calibri" w:hAnsi="Calibri" w:cs="Calibri"/>
        </w:rPr>
        <w:t xml:space="preserve"> Our gas infrastructure advice recommended the Victorian Government drive sustained expansion and uptake of energy efficiency and targeted electrification programs</w:t>
      </w:r>
      <w:r w:rsidRPr="00CA2CC1">
        <w:rPr>
          <w:rStyle w:val="EndnoteReference"/>
          <w:rFonts w:ascii="Calibri" w:hAnsi="Calibri" w:cs="Calibri"/>
        </w:rPr>
        <w:endnoteReference w:id="326"/>
      </w:r>
      <w:r w:rsidRPr="00CA2CC1">
        <w:rPr>
          <w:rFonts w:ascii="Calibri" w:hAnsi="Calibri" w:cs="Calibri"/>
        </w:rPr>
        <w:t xml:space="preserve"> and manage equity impacts of the transition to net zero emissions.</w:t>
      </w:r>
      <w:r w:rsidRPr="00CA2CC1">
        <w:rPr>
          <w:rStyle w:val="EndnoteReference"/>
          <w:rFonts w:ascii="Calibri" w:hAnsi="Calibri" w:cs="Calibri"/>
        </w:rPr>
        <w:endnoteReference w:id="327"/>
      </w:r>
      <w:bookmarkStart w:id="76" w:name="_Toc109662746"/>
    </w:p>
    <w:p w14:paraId="596D1154" w14:textId="38B130A1" w:rsidR="00373ED9" w:rsidRPr="00CA2CC1" w:rsidRDefault="00373ED9" w:rsidP="00A61BC7">
      <w:pPr>
        <w:pStyle w:val="Heading2"/>
        <w:rPr>
          <w:rFonts w:cs="Calibri"/>
        </w:rPr>
      </w:pPr>
      <w:r w:rsidRPr="00CA2CC1">
        <w:rPr>
          <w:rFonts w:cs="Calibri"/>
        </w:rPr>
        <w:t>Protecting our energy security</w:t>
      </w:r>
      <w:bookmarkEnd w:id="76"/>
    </w:p>
    <w:p w14:paraId="483EB089" w14:textId="77777777" w:rsidR="00373ED9" w:rsidRPr="00CA2CC1" w:rsidRDefault="00373ED9" w:rsidP="0043303B">
      <w:pPr>
        <w:pStyle w:val="Heading3"/>
        <w:rPr>
          <w:rFonts w:cs="Calibri"/>
        </w:rPr>
      </w:pPr>
      <w:r w:rsidRPr="00CA2CC1">
        <w:rPr>
          <w:rFonts w:cs="Calibri"/>
        </w:rPr>
        <w:t xml:space="preserve">Priority description from the </w:t>
      </w:r>
      <w:r w:rsidRPr="00CA2CC1">
        <w:rPr>
          <w:rFonts w:cs="Calibri"/>
          <w:i/>
          <w:iCs/>
        </w:rPr>
        <w:t>Victorian infrastructure plan 2021</w:t>
      </w:r>
    </w:p>
    <w:p w14:paraId="28075CA0" w14:textId="77777777" w:rsidR="00373ED9" w:rsidRPr="00CA2CC1" w:rsidRDefault="00373ED9" w:rsidP="0043303B">
      <w:pPr>
        <w:pStyle w:val="IVBodyText"/>
        <w:spacing w:line="240" w:lineRule="auto"/>
        <w:rPr>
          <w:rFonts w:ascii="Calibri" w:hAnsi="Calibri" w:cs="Calibri"/>
          <w:b/>
          <w:bCs/>
          <w:color w:val="auto"/>
        </w:rPr>
      </w:pPr>
      <w:r w:rsidRPr="00CA2CC1">
        <w:rPr>
          <w:rFonts w:ascii="Calibri" w:hAnsi="Calibri" w:cs="Calibri"/>
          <w:b/>
          <w:bCs/>
          <w:color w:val="auto"/>
        </w:rPr>
        <w:t>Victoria is implementing policies and reforms to encourage new technology, improve energy security and drive improved safety outcomes. This will help the energy system withstand shocks and disruptions and equip Victoria to take corrective action when necessary, during periods of peak energy demand.</w:t>
      </w:r>
    </w:p>
    <w:p w14:paraId="3D792C55" w14:textId="77777777" w:rsidR="00373ED9" w:rsidRPr="00CA2CC1" w:rsidRDefault="00373ED9" w:rsidP="0043303B">
      <w:pPr>
        <w:pStyle w:val="Heading3"/>
        <w:rPr>
          <w:rFonts w:cs="Calibri"/>
        </w:rPr>
      </w:pPr>
      <w:r w:rsidRPr="00CA2CC1">
        <w:rPr>
          <w:rFonts w:cs="Calibri"/>
        </w:rPr>
        <w:t>Victorian Government progress in 2022–23</w:t>
      </w:r>
    </w:p>
    <w:p w14:paraId="6CA69A49"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A changing power supply mix, more frequent extreme weather events and changing consumer demand preferences will place pressure on Victoria’s electricity network. In some areas, ageing infrastructure adds extra pressure. This priority seeks to improve the security and safety of the energy system while encouraging new technologies to help address this challenge.</w:t>
      </w:r>
    </w:p>
    <w:p w14:paraId="4E79C174"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lastRenderedPageBreak/>
        <w:t>Energy security means helping the energy system withstand shocks and disruptions. It also means helping Victorians develop the capability and capacity to take corrective action when disruptions occur. This priority also focuses on ensuring energy security in periods of peak demand.</w:t>
      </w:r>
    </w:p>
    <w:p w14:paraId="2FFF5E60"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The Australian Energy Market Operator manages Victoria’s transmission system security. The Victorian Government minimises the risk to energy security by working with regulators and the Australian Energy Market Operator.</w:t>
      </w:r>
    </w:p>
    <w:p w14:paraId="72D45D8B"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The Victorian Government is undertaking several initiatives that align to this priority. The Tarneit neighbourhood battery started operating in February 2023.</w:t>
      </w:r>
      <w:r w:rsidRPr="00CA2CC1">
        <w:rPr>
          <w:rStyle w:val="EndnoteReference"/>
          <w:rFonts w:ascii="Calibri" w:hAnsi="Calibri" w:cs="Calibri"/>
        </w:rPr>
        <w:endnoteReference w:id="328"/>
      </w:r>
      <w:r w:rsidRPr="00CA2CC1">
        <w:rPr>
          <w:rFonts w:ascii="Calibri" w:hAnsi="Calibri" w:cs="Calibri"/>
        </w:rPr>
        <w:t xml:space="preserve"> It is part of the Neighbourhood Battery Initiative. It can supply 170 homes with 3 hours of power during peak demand periods.</w:t>
      </w:r>
      <w:r w:rsidRPr="00CA2CC1">
        <w:rPr>
          <w:rStyle w:val="EndnoteReference"/>
          <w:rFonts w:ascii="Calibri" w:hAnsi="Calibri" w:cs="Calibri"/>
        </w:rPr>
        <w:endnoteReference w:id="329"/>
      </w:r>
      <w:r w:rsidRPr="00CA2CC1">
        <w:rPr>
          <w:rFonts w:ascii="Calibri" w:hAnsi="Calibri" w:cs="Calibri"/>
        </w:rPr>
        <w:t xml:space="preserve"> The 2023–24 Budget provided $42 million for 100 neighbourhood batteries, managed by local councils, community organisations and others.</w:t>
      </w:r>
      <w:r w:rsidRPr="00CA2CC1">
        <w:rPr>
          <w:rStyle w:val="EndnoteReference"/>
          <w:rFonts w:ascii="Calibri" w:hAnsi="Calibri" w:cs="Calibri"/>
        </w:rPr>
        <w:endnoteReference w:id="330"/>
      </w:r>
      <w:r w:rsidRPr="00CA2CC1">
        <w:rPr>
          <w:rFonts w:ascii="Calibri" w:hAnsi="Calibri" w:cs="Calibri"/>
        </w:rPr>
        <w:t xml:space="preserve"> </w:t>
      </w:r>
    </w:p>
    <w:p w14:paraId="58158113"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Legislative reforms can also support resilience. The Victorian Parliament passed the Energy Legislation Amendment (Electricity Outage Emergency Response and Other Matters) Bill</w:t>
      </w:r>
      <w:r w:rsidRPr="00CA2CC1">
        <w:rPr>
          <w:rFonts w:ascii="Calibri" w:hAnsi="Calibri" w:cs="Calibri"/>
          <w:i/>
          <w:iCs/>
        </w:rPr>
        <w:t xml:space="preserve"> </w:t>
      </w:r>
      <w:r w:rsidRPr="00CA2CC1">
        <w:rPr>
          <w:rFonts w:ascii="Calibri" w:hAnsi="Calibri" w:cs="Calibri"/>
        </w:rPr>
        <w:t>in 2023.</w:t>
      </w:r>
      <w:r w:rsidRPr="00CA2CC1">
        <w:rPr>
          <w:rStyle w:val="EndnoteReference"/>
          <w:rFonts w:ascii="Calibri" w:hAnsi="Calibri" w:cs="Calibri"/>
        </w:rPr>
        <w:endnoteReference w:id="331"/>
      </w:r>
      <w:r w:rsidRPr="00CA2CC1">
        <w:rPr>
          <w:rFonts w:ascii="Calibri" w:hAnsi="Calibri" w:cs="Calibri"/>
        </w:rPr>
        <w:t xml:space="preserve"> This means the Secretary of the Department of Energy, Environment and Climate Action can direct electricity distribution businesses to assist in emergency response and recovery. The secretary can also provide relevant information such as estimated time to restore power.</w:t>
      </w:r>
      <w:r w:rsidRPr="00CA2CC1">
        <w:rPr>
          <w:rStyle w:val="EndnoteReference"/>
          <w:rFonts w:ascii="Calibri" w:hAnsi="Calibri" w:cs="Calibri"/>
        </w:rPr>
        <w:endnoteReference w:id="332"/>
      </w:r>
      <w:r w:rsidRPr="00CA2CC1">
        <w:rPr>
          <w:rFonts w:ascii="Calibri" w:hAnsi="Calibri" w:cs="Calibri"/>
        </w:rPr>
        <w:t xml:space="preserve"> This can help reduce the impacts of prolonged electricity outages.</w:t>
      </w:r>
    </w:p>
    <w:p w14:paraId="4C059F2D" w14:textId="77777777" w:rsidR="00373ED9" w:rsidRPr="00CA2CC1" w:rsidRDefault="00373ED9" w:rsidP="0043303B">
      <w:pPr>
        <w:pStyle w:val="IVBodyText"/>
        <w:spacing w:line="240" w:lineRule="auto"/>
        <w:rPr>
          <w:rFonts w:ascii="Calibri" w:eastAsiaTheme="majorEastAsia" w:hAnsi="Calibri" w:cs="Calibri"/>
          <w:bCs/>
          <w:color w:val="auto"/>
          <w:sz w:val="36"/>
          <w:szCs w:val="26"/>
        </w:rPr>
      </w:pPr>
      <w:r w:rsidRPr="00CA2CC1">
        <w:rPr>
          <w:rFonts w:ascii="Calibri" w:hAnsi="Calibri" w:cs="Calibri"/>
        </w:rPr>
        <w:t>When Victoria is generating a lot of electricity from rooftop solar panels, the electricity grid can exceed safe operating parameters if the demand for energy is low.</w:t>
      </w:r>
      <w:r w:rsidRPr="00CA2CC1">
        <w:rPr>
          <w:rStyle w:val="EndnoteReference"/>
          <w:rFonts w:ascii="Calibri" w:hAnsi="Calibri" w:cs="Calibri"/>
        </w:rPr>
        <w:endnoteReference w:id="333"/>
      </w:r>
      <w:r w:rsidRPr="00CA2CC1">
        <w:rPr>
          <w:rFonts w:ascii="Calibri" w:hAnsi="Calibri" w:cs="Calibri"/>
        </w:rPr>
        <w:t xml:space="preserve"> Although rare, this is known as a minimum system load emergency and can produce blackouts.</w:t>
      </w:r>
      <w:r w:rsidRPr="00CA2CC1">
        <w:rPr>
          <w:rStyle w:val="EndnoteReference"/>
          <w:rFonts w:ascii="Calibri" w:hAnsi="Calibri" w:cs="Calibri"/>
        </w:rPr>
        <w:endnoteReference w:id="334"/>
      </w:r>
      <w:r w:rsidRPr="00CA2CC1">
        <w:rPr>
          <w:rFonts w:ascii="Calibri" w:hAnsi="Calibri" w:cs="Calibri"/>
        </w:rPr>
        <w:t xml:space="preserve"> The Victorian Government has started consultations to develop an emergency backstop mechanism for solar energy to address this risk.</w:t>
      </w:r>
      <w:r w:rsidRPr="00CA2CC1">
        <w:rPr>
          <w:rStyle w:val="EndnoteReference"/>
          <w:rFonts w:ascii="Calibri" w:hAnsi="Calibri" w:cs="Calibri"/>
        </w:rPr>
        <w:endnoteReference w:id="335"/>
      </w:r>
    </w:p>
    <w:p w14:paraId="52BCE488" w14:textId="425A4F04" w:rsidR="00373ED9" w:rsidRPr="00CA2CC1" w:rsidRDefault="00373ED9" w:rsidP="00430676">
      <w:pPr>
        <w:pStyle w:val="Heading2"/>
        <w:rPr>
          <w:rFonts w:cs="Calibri"/>
        </w:rPr>
      </w:pPr>
      <w:bookmarkStart w:id="77" w:name="_Toc109662747"/>
      <w:r w:rsidRPr="00CA2CC1">
        <w:rPr>
          <w:rFonts w:cs="Calibri"/>
        </w:rPr>
        <w:t>Leading our transition to a clean energy economy and supporting jobs in the new energy sector</w:t>
      </w:r>
      <w:bookmarkEnd w:id="77"/>
    </w:p>
    <w:p w14:paraId="33980415" w14:textId="77777777" w:rsidR="00373ED9" w:rsidRPr="00CA2CC1" w:rsidRDefault="00373ED9" w:rsidP="0043303B">
      <w:pPr>
        <w:pStyle w:val="Heading3"/>
        <w:rPr>
          <w:rFonts w:cs="Calibri"/>
        </w:rPr>
      </w:pPr>
      <w:r w:rsidRPr="00CA2CC1">
        <w:rPr>
          <w:rFonts w:cs="Calibri"/>
        </w:rPr>
        <w:t xml:space="preserve">Priority description from the </w:t>
      </w:r>
      <w:r w:rsidRPr="00CA2CC1">
        <w:rPr>
          <w:rFonts w:cs="Calibri"/>
          <w:i/>
          <w:iCs/>
        </w:rPr>
        <w:t>Victorian infrastructure plan 2021</w:t>
      </w:r>
    </w:p>
    <w:p w14:paraId="69E168D3" w14:textId="77777777" w:rsidR="00373ED9" w:rsidRPr="00CA2CC1" w:rsidRDefault="00373ED9" w:rsidP="0043303B">
      <w:pPr>
        <w:pStyle w:val="IVBodyText"/>
        <w:spacing w:line="240" w:lineRule="auto"/>
        <w:rPr>
          <w:rFonts w:ascii="Calibri" w:hAnsi="Calibri" w:cs="Calibri"/>
          <w:b/>
          <w:bCs/>
          <w:color w:val="auto"/>
        </w:rPr>
      </w:pPr>
      <w:r w:rsidRPr="00CA2CC1">
        <w:rPr>
          <w:rFonts w:ascii="Calibri" w:hAnsi="Calibri" w:cs="Calibri"/>
          <w:b/>
          <w:bCs/>
          <w:color w:val="auto"/>
        </w:rPr>
        <w:t>Victoria’s economy will recover and grow through a range of large-scale, sustainable energy and planning projects to ensure Victoria is stronger than ever and thriving in the long term. Victoria is working with the renewable energy industry, electricity networks, and consumer groups to attract and facilitate investment in renewable energy – creating jobs, cutting emissions, and helping regional economies realise the benefits of the energy transition.</w:t>
      </w:r>
    </w:p>
    <w:p w14:paraId="077F66A2" w14:textId="77777777" w:rsidR="00373ED9" w:rsidRPr="00CA2CC1" w:rsidRDefault="00373ED9" w:rsidP="0043303B">
      <w:pPr>
        <w:pStyle w:val="Heading3"/>
        <w:rPr>
          <w:rFonts w:cs="Calibri"/>
        </w:rPr>
      </w:pPr>
      <w:r w:rsidRPr="00CA2CC1">
        <w:rPr>
          <w:rFonts w:cs="Calibri"/>
        </w:rPr>
        <w:t>Victorian Government progress in 2022–23</w:t>
      </w:r>
    </w:p>
    <w:p w14:paraId="3D91119E"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This priority is about the transition to a clean energy economy. It seeks to ensure that the Victorian Government is supporting jobs and reducing emissions during this transition. The transition will require building new infrastructure. The Victorian Government will need to coordinate the actions of multiple organisations by developing new policies, reforming regulations, and funding targeted initiatives.</w:t>
      </w:r>
    </w:p>
    <w:p w14:paraId="015DC028"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The share of renewable energy in Victoria’s electricity generation increased from 29% in 2020–21 to 34% in 2021–22.</w:t>
      </w:r>
      <w:r w:rsidRPr="00CA2CC1">
        <w:rPr>
          <w:rStyle w:val="EndnoteReference"/>
          <w:rFonts w:ascii="Calibri" w:hAnsi="Calibri" w:cs="Calibri"/>
        </w:rPr>
        <w:endnoteReference w:id="336"/>
      </w:r>
      <w:r w:rsidRPr="00CA2CC1">
        <w:rPr>
          <w:rFonts w:ascii="Calibri" w:hAnsi="Calibri" w:cs="Calibri"/>
        </w:rPr>
        <w:t xml:space="preserve"> </w:t>
      </w:r>
    </w:p>
    <w:p w14:paraId="04A16546"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The 2023–24 Budget provided $1 billion of equity funding to establish the State Electricity Commission.</w:t>
      </w:r>
      <w:r w:rsidRPr="00CA2CC1">
        <w:rPr>
          <w:rStyle w:val="EndnoteReference"/>
          <w:rFonts w:ascii="Calibri" w:hAnsi="Calibri" w:cs="Calibri"/>
        </w:rPr>
        <w:endnoteReference w:id="337"/>
      </w:r>
      <w:r w:rsidRPr="00CA2CC1">
        <w:rPr>
          <w:rFonts w:ascii="Calibri" w:hAnsi="Calibri" w:cs="Calibri"/>
        </w:rPr>
        <w:t xml:space="preserve"> The State Electricity Commission will use these funds to accelerate investment in renewable energy, help people lower their energy bills, and assist Victoria achieve its renewable energy targets.</w:t>
      </w:r>
      <w:r w:rsidRPr="00CA2CC1">
        <w:rPr>
          <w:rStyle w:val="EndnoteReference"/>
          <w:rFonts w:ascii="Calibri" w:hAnsi="Calibri" w:cs="Calibri"/>
        </w:rPr>
        <w:endnoteReference w:id="338"/>
      </w:r>
      <w:r w:rsidRPr="00CA2CC1">
        <w:rPr>
          <w:rFonts w:ascii="Calibri" w:hAnsi="Calibri" w:cs="Calibri"/>
        </w:rPr>
        <w:t xml:space="preserve"> The 2023–24 Budget also funded the development of new renewable energy VET qualifications and a business case for </w:t>
      </w:r>
      <w:r w:rsidRPr="00CA2CC1">
        <w:rPr>
          <w:rFonts w:ascii="Calibri" w:hAnsi="Calibri" w:cs="Calibri"/>
        </w:rPr>
        <w:lastRenderedPageBreak/>
        <w:t>the State Electricity Commission Centre of Training Excellence.</w:t>
      </w:r>
      <w:r w:rsidRPr="00CA2CC1">
        <w:rPr>
          <w:rStyle w:val="EndnoteReference"/>
          <w:rFonts w:ascii="Calibri" w:hAnsi="Calibri" w:cs="Calibri"/>
        </w:rPr>
        <w:endnoteReference w:id="339"/>
      </w:r>
      <w:r w:rsidRPr="00CA2CC1">
        <w:rPr>
          <w:rFonts w:ascii="Calibri" w:hAnsi="Calibri" w:cs="Calibri"/>
        </w:rPr>
        <w:t xml:space="preserve"> The government held an energy jobs and skills forum to discuss the workforce required for the clean energy economy in June 2023.</w:t>
      </w:r>
      <w:r w:rsidRPr="00CA2CC1">
        <w:rPr>
          <w:rStyle w:val="EndnoteReference"/>
          <w:rFonts w:ascii="Calibri" w:hAnsi="Calibri" w:cs="Calibri"/>
        </w:rPr>
        <w:endnoteReference w:id="340"/>
      </w:r>
    </w:p>
    <w:p w14:paraId="3EB6DE63"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The Victorian Government announced an updated renewable energy target of 65% by 2030 and 95% by 2035.</w:t>
      </w:r>
      <w:r w:rsidRPr="00CA2CC1">
        <w:rPr>
          <w:rStyle w:val="EndnoteReference"/>
          <w:rFonts w:ascii="Calibri" w:hAnsi="Calibri" w:cs="Calibri"/>
        </w:rPr>
        <w:endnoteReference w:id="341"/>
      </w:r>
      <w:r w:rsidRPr="00CA2CC1">
        <w:rPr>
          <w:rFonts w:ascii="Calibri" w:hAnsi="Calibri" w:cs="Calibri"/>
        </w:rPr>
        <w:t xml:space="preserve"> These new targets are likely to require even more infrastructure. The government intends to update the legislation for these targets.</w:t>
      </w:r>
      <w:r w:rsidRPr="00CA2CC1">
        <w:rPr>
          <w:rStyle w:val="EndnoteReference"/>
          <w:rFonts w:ascii="Calibri" w:hAnsi="Calibri" w:cs="Calibri"/>
        </w:rPr>
        <w:endnoteReference w:id="342"/>
      </w:r>
      <w:r w:rsidRPr="00CA2CC1">
        <w:rPr>
          <w:rFonts w:ascii="Calibri" w:hAnsi="Calibri" w:cs="Calibri"/>
        </w:rPr>
        <w:t xml:space="preserve"> It also committed to reaching 2.6 gigawatts of renewable energy storage by 2030, with this increasing to 6.3 gigawatts by 2035.</w:t>
      </w:r>
      <w:r w:rsidRPr="00CA2CC1">
        <w:rPr>
          <w:rStyle w:val="EndnoteReference"/>
          <w:rFonts w:ascii="Calibri" w:hAnsi="Calibri" w:cs="Calibri"/>
        </w:rPr>
        <w:endnoteReference w:id="343"/>
      </w:r>
      <w:r w:rsidRPr="00CA2CC1">
        <w:rPr>
          <w:rFonts w:ascii="Calibri" w:hAnsi="Calibri" w:cs="Calibri"/>
        </w:rPr>
        <w:t xml:space="preserve"> Government also invested in projects that use new technologies to generate and store clean energy.</w:t>
      </w:r>
      <w:r w:rsidRPr="00CA2CC1">
        <w:rPr>
          <w:rStyle w:val="EndnoteReference"/>
          <w:rFonts w:ascii="Calibri" w:hAnsi="Calibri" w:cs="Calibri"/>
        </w:rPr>
        <w:endnoteReference w:id="344"/>
      </w:r>
      <w:r w:rsidRPr="00CA2CC1">
        <w:rPr>
          <w:rFonts w:ascii="Calibri" w:hAnsi="Calibri" w:cs="Calibri"/>
        </w:rPr>
        <w:t xml:space="preserve"> This includes a battery and grid-forming inverter in the Murray Renewable Energy Zone.</w:t>
      </w:r>
      <w:r w:rsidRPr="00CA2CC1">
        <w:rPr>
          <w:rStyle w:val="EndnoteReference"/>
          <w:rFonts w:ascii="Calibri" w:hAnsi="Calibri" w:cs="Calibri"/>
        </w:rPr>
        <w:endnoteReference w:id="345"/>
      </w:r>
    </w:p>
    <w:p w14:paraId="087E4489"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The energy network will need new transmission infrastructure to get renewable electricity from generation sites to the people and businesses that use it.</w:t>
      </w:r>
      <w:r w:rsidRPr="00CA2CC1">
        <w:rPr>
          <w:rStyle w:val="EndnoteReference"/>
          <w:rFonts w:ascii="Calibri" w:hAnsi="Calibri" w:cs="Calibri"/>
        </w:rPr>
        <w:endnoteReference w:id="346"/>
      </w:r>
      <w:r w:rsidRPr="00CA2CC1">
        <w:rPr>
          <w:rFonts w:ascii="Calibri" w:hAnsi="Calibri" w:cs="Calibri"/>
        </w:rPr>
        <w:t xml:space="preserve"> The Victorian Government consulted on legislation to establish the Victorian Transmission Investment Framework.</w:t>
      </w:r>
      <w:r w:rsidRPr="00CA2CC1">
        <w:rPr>
          <w:rStyle w:val="EndnoteReference"/>
          <w:rFonts w:ascii="Calibri" w:hAnsi="Calibri" w:cs="Calibri"/>
        </w:rPr>
        <w:endnoteReference w:id="347"/>
      </w:r>
      <w:r w:rsidRPr="00CA2CC1">
        <w:rPr>
          <w:rFonts w:ascii="Calibri" w:hAnsi="Calibri" w:cs="Calibri"/>
        </w:rPr>
        <w:t xml:space="preserve"> The 2023–24 Budget provided VicGrid with $21 million in output funding to coordinate transmission infrastructure planning and investment.</w:t>
      </w:r>
      <w:r w:rsidRPr="00CA2CC1">
        <w:rPr>
          <w:rStyle w:val="EndnoteReference"/>
          <w:rFonts w:ascii="Calibri" w:hAnsi="Calibri" w:cs="Calibri"/>
        </w:rPr>
        <w:endnoteReference w:id="348"/>
      </w:r>
      <w:r w:rsidRPr="00CA2CC1">
        <w:rPr>
          <w:rFonts w:ascii="Calibri" w:hAnsi="Calibri" w:cs="Calibri"/>
        </w:rPr>
        <w:t xml:space="preserve"> </w:t>
      </w:r>
    </w:p>
    <w:p w14:paraId="6F17FF5A"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 xml:space="preserve">Offshore wind can help Victoria transition to a clean energy economy. The Victorian Government consulted on the </w:t>
      </w:r>
      <w:r w:rsidRPr="00CA2CC1">
        <w:rPr>
          <w:rFonts w:ascii="Calibri" w:hAnsi="Calibri" w:cs="Calibri"/>
          <w:i/>
        </w:rPr>
        <w:t xml:space="preserve">Offshore </w:t>
      </w:r>
      <w:r w:rsidRPr="00CA2CC1">
        <w:rPr>
          <w:rFonts w:ascii="Calibri" w:hAnsi="Calibri" w:cs="Calibri"/>
          <w:i/>
          <w:iCs/>
        </w:rPr>
        <w:t>wind policy directions p</w:t>
      </w:r>
      <w:r w:rsidRPr="00CA2CC1">
        <w:rPr>
          <w:rFonts w:ascii="Calibri" w:hAnsi="Calibri" w:cs="Calibri"/>
          <w:i/>
        </w:rPr>
        <w:t>aper</w:t>
      </w:r>
      <w:r w:rsidRPr="00CA2CC1">
        <w:rPr>
          <w:rFonts w:ascii="Calibri" w:hAnsi="Calibri" w:cs="Calibri"/>
        </w:rPr>
        <w:t>.</w:t>
      </w:r>
      <w:r w:rsidRPr="00CA2CC1">
        <w:rPr>
          <w:rStyle w:val="EndnoteReference"/>
          <w:rFonts w:ascii="Calibri" w:hAnsi="Calibri" w:cs="Calibri"/>
        </w:rPr>
        <w:endnoteReference w:id="349"/>
      </w:r>
      <w:r w:rsidRPr="00CA2CC1">
        <w:rPr>
          <w:rFonts w:ascii="Calibri" w:hAnsi="Calibri" w:cs="Calibri"/>
        </w:rPr>
        <w:t xml:space="preserve"> The paper proposes a target of 2 gigawatts of offshore wind capacity by 2032, 4 gigawatts by 2035, and 9 gigawatts by 2050.</w:t>
      </w:r>
      <w:r w:rsidRPr="00CA2CC1">
        <w:rPr>
          <w:rStyle w:val="EndnoteReference"/>
          <w:rFonts w:ascii="Calibri" w:hAnsi="Calibri" w:cs="Calibri"/>
        </w:rPr>
        <w:endnoteReference w:id="350"/>
      </w:r>
      <w:r w:rsidRPr="00CA2CC1">
        <w:rPr>
          <w:rFonts w:ascii="Calibri" w:hAnsi="Calibri" w:cs="Calibri"/>
        </w:rPr>
        <w:t xml:space="preserve"> The 2023–24 Budget funded the planning and design of the Victorian Renewable Energy Terminal at the Port of Hastings to support offshore wind development.</w:t>
      </w:r>
      <w:r w:rsidRPr="00CA2CC1">
        <w:rPr>
          <w:rStyle w:val="EndnoteReference"/>
          <w:rFonts w:ascii="Calibri" w:hAnsi="Calibri" w:cs="Calibri"/>
        </w:rPr>
        <w:endnoteReference w:id="351"/>
      </w:r>
      <w:r w:rsidRPr="00CA2CC1">
        <w:rPr>
          <w:rFonts w:ascii="Calibri" w:hAnsi="Calibri" w:cs="Calibri"/>
        </w:rPr>
        <w:t xml:space="preserve"> </w:t>
      </w:r>
    </w:p>
    <w:p w14:paraId="06AC19C2"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In October 2022, the Australian and Victorian governments agreed to jointly fund offshore wind projects, renewable energy zones, and the Victoria-New South Wales Interconnector (VNI West) KerangLink.</w:t>
      </w:r>
      <w:r w:rsidRPr="00CA2CC1">
        <w:rPr>
          <w:rStyle w:val="EndnoteReference"/>
          <w:rFonts w:ascii="Calibri" w:hAnsi="Calibri" w:cs="Calibri"/>
        </w:rPr>
        <w:endnoteReference w:id="352"/>
      </w:r>
      <w:r w:rsidRPr="00CA2CC1">
        <w:rPr>
          <w:rFonts w:ascii="Calibri" w:hAnsi="Calibri" w:cs="Calibri"/>
        </w:rPr>
        <w:t xml:space="preserve"> The Australian Government’s Rewiring the Nation plan contains its commitments to these projects.</w:t>
      </w:r>
      <w:r w:rsidRPr="00CA2CC1">
        <w:rPr>
          <w:rStyle w:val="EndnoteReference"/>
          <w:rFonts w:ascii="Calibri" w:hAnsi="Calibri" w:cs="Calibri"/>
        </w:rPr>
        <w:endnoteReference w:id="353"/>
      </w:r>
    </w:p>
    <w:p w14:paraId="1364D6E9"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The gas sector contributes to around 17% of Victoria’s greenhouse gas emissions.</w:t>
      </w:r>
      <w:r w:rsidRPr="00CA2CC1">
        <w:rPr>
          <w:rStyle w:val="EndnoteReference"/>
          <w:rFonts w:ascii="Calibri" w:hAnsi="Calibri" w:cs="Calibri"/>
        </w:rPr>
        <w:endnoteReference w:id="354"/>
      </w:r>
      <w:r w:rsidRPr="00CA2CC1">
        <w:rPr>
          <w:rFonts w:ascii="Calibri" w:hAnsi="Calibri" w:cs="Calibri"/>
        </w:rPr>
        <w:t xml:space="preserve"> Infrastructure Victoria conducted the first independent, state-wide analysis of the implications of the energy transition for Victoria’s extensive gas infrastructure assets in 2020–2021. To help Victoria transition away from natural gas, the Victorian Government released its </w:t>
      </w:r>
      <w:r w:rsidRPr="00CA2CC1">
        <w:rPr>
          <w:rFonts w:ascii="Calibri" w:hAnsi="Calibri" w:cs="Calibri"/>
          <w:i/>
          <w:iCs/>
        </w:rPr>
        <w:t xml:space="preserve">Gas substitution roadmap </w:t>
      </w:r>
      <w:r w:rsidRPr="00CA2CC1">
        <w:rPr>
          <w:rFonts w:ascii="Calibri" w:hAnsi="Calibri" w:cs="Calibri"/>
        </w:rPr>
        <w:t>and our advice report</w:t>
      </w:r>
      <w:r w:rsidRPr="00CA2CC1">
        <w:rPr>
          <w:rFonts w:ascii="Calibri" w:hAnsi="Calibri" w:cs="Calibri"/>
          <w:i/>
          <w:iCs/>
        </w:rPr>
        <w:t xml:space="preserve"> </w:t>
      </w:r>
      <w:r w:rsidRPr="00CA2CC1">
        <w:rPr>
          <w:rFonts w:ascii="Calibri" w:hAnsi="Calibri" w:cs="Calibri"/>
        </w:rPr>
        <w:t>in July</w:t>
      </w:r>
      <w:r w:rsidRPr="00CA2CC1">
        <w:rPr>
          <w:rFonts w:ascii="Calibri" w:hAnsi="Calibri" w:cs="Calibri"/>
          <w:i/>
          <w:iCs/>
        </w:rPr>
        <w:t>.</w:t>
      </w:r>
      <w:r w:rsidRPr="00CA2CC1">
        <w:rPr>
          <w:rStyle w:val="EndnoteReference"/>
          <w:rFonts w:ascii="Calibri" w:hAnsi="Calibri" w:cs="Calibri"/>
        </w:rPr>
        <w:endnoteReference w:id="355"/>
      </w:r>
      <w:r w:rsidRPr="00CA2CC1">
        <w:rPr>
          <w:rFonts w:ascii="Calibri" w:hAnsi="Calibri" w:cs="Calibri"/>
          <w:i/>
          <w:iCs/>
        </w:rPr>
        <w:t xml:space="preserve"> </w:t>
      </w:r>
      <w:r w:rsidRPr="00CA2CC1">
        <w:rPr>
          <w:rFonts w:ascii="Calibri" w:hAnsi="Calibri" w:cs="Calibri"/>
        </w:rPr>
        <w:t>The roadmap outlines how Victoria will use energy efficiency measures and electrification to reduce carbon emissions and household energy bills.</w:t>
      </w:r>
      <w:r w:rsidRPr="00CA2CC1">
        <w:rPr>
          <w:rStyle w:val="EndnoteReference"/>
          <w:rFonts w:ascii="Calibri" w:hAnsi="Calibri" w:cs="Calibri"/>
        </w:rPr>
        <w:endnoteReference w:id="356"/>
      </w:r>
      <w:r w:rsidRPr="00CA2CC1">
        <w:rPr>
          <w:rFonts w:ascii="Calibri" w:hAnsi="Calibri" w:cs="Calibri"/>
        </w:rPr>
        <w:t xml:space="preserve"> The 2023–24 Budget allocated $5 million to implement the </w:t>
      </w:r>
      <w:r w:rsidRPr="00CA2CC1">
        <w:rPr>
          <w:rFonts w:ascii="Calibri" w:hAnsi="Calibri" w:cs="Calibri"/>
          <w:i/>
          <w:iCs/>
        </w:rPr>
        <w:t>Gas</w:t>
      </w:r>
      <w:r w:rsidRPr="00CA2CC1">
        <w:rPr>
          <w:rFonts w:ascii="Calibri" w:hAnsi="Calibri" w:cs="Calibri"/>
          <w:i/>
        </w:rPr>
        <w:t xml:space="preserve"> substitution roadmap</w:t>
      </w:r>
      <w:r w:rsidRPr="00CA2CC1">
        <w:rPr>
          <w:rFonts w:ascii="Calibri" w:hAnsi="Calibri" w:cs="Calibri"/>
        </w:rPr>
        <w:t>.</w:t>
      </w:r>
      <w:r w:rsidRPr="00CA2CC1">
        <w:rPr>
          <w:rStyle w:val="EndnoteReference"/>
          <w:rFonts w:ascii="Calibri" w:hAnsi="Calibri" w:cs="Calibri"/>
        </w:rPr>
        <w:endnoteReference w:id="357"/>
      </w:r>
      <w:r w:rsidRPr="00CA2CC1">
        <w:rPr>
          <w:rFonts w:ascii="Calibri" w:hAnsi="Calibri" w:cs="Calibri"/>
        </w:rPr>
        <w:t xml:space="preserve"> </w:t>
      </w:r>
    </w:p>
    <w:p w14:paraId="1E955B4C"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Our advice on transitioning Victoria’s gas infrastructure</w:t>
      </w:r>
      <w:r w:rsidRPr="00CA2CC1" w:rsidDel="002575BA">
        <w:rPr>
          <w:rFonts w:ascii="Calibri" w:hAnsi="Calibri" w:cs="Calibri"/>
        </w:rPr>
        <w:t xml:space="preserve"> </w:t>
      </w:r>
      <w:r w:rsidRPr="00CA2CC1">
        <w:rPr>
          <w:rFonts w:ascii="Calibri" w:hAnsi="Calibri" w:cs="Calibri"/>
        </w:rPr>
        <w:t>recommend</w:t>
      </w:r>
      <w:r w:rsidRPr="00CA2CC1" w:rsidDel="00770B42">
        <w:rPr>
          <w:rFonts w:ascii="Calibri" w:hAnsi="Calibri" w:cs="Calibri"/>
        </w:rPr>
        <w:t xml:space="preserve">ed </w:t>
      </w:r>
      <w:r w:rsidRPr="00CA2CC1">
        <w:rPr>
          <w:rFonts w:ascii="Calibri" w:hAnsi="Calibri" w:cs="Calibri"/>
        </w:rPr>
        <w:t xml:space="preserve">the Victorian Government conduct regional strategic planning and trials for a diverse, decentralised low or zero emissions gas supply in Victoria. It also recommended scaling up biogas and biomethane production and fast-tracking the development of Victoria’s green hydrogen industry. These recommendations are detailed in our advice report, </w:t>
      </w:r>
      <w:r w:rsidRPr="00CA2CC1">
        <w:rPr>
          <w:rFonts w:ascii="Calibri" w:hAnsi="Calibri" w:cs="Calibri"/>
          <w:i/>
          <w:iCs/>
        </w:rPr>
        <w:t>Towards 2050: gas infrastructure in a net zero emissions economy – final report</w:t>
      </w:r>
      <w:r w:rsidRPr="00CA2CC1">
        <w:rPr>
          <w:rFonts w:ascii="Calibri" w:hAnsi="Calibri" w:cs="Calibri"/>
        </w:rPr>
        <w:t>.</w:t>
      </w:r>
      <w:r w:rsidRPr="00CA2CC1">
        <w:rPr>
          <w:rStyle w:val="EndnoteReference"/>
          <w:rFonts w:ascii="Calibri" w:hAnsi="Calibri" w:cs="Calibri"/>
        </w:rPr>
        <w:endnoteReference w:id="358"/>
      </w:r>
      <w:r w:rsidRPr="00CA2CC1">
        <w:rPr>
          <w:rFonts w:ascii="Calibri" w:hAnsi="Calibri" w:cs="Calibri"/>
        </w:rPr>
        <w:t xml:space="preserve"> </w:t>
      </w:r>
    </w:p>
    <w:p w14:paraId="5C55CDF9" w14:textId="77777777" w:rsidR="00373ED9" w:rsidRPr="00CA2CC1" w:rsidRDefault="00373ED9" w:rsidP="0043303B">
      <w:pPr>
        <w:pStyle w:val="Heading1"/>
        <w:rPr>
          <w:rFonts w:cs="Calibri"/>
        </w:rPr>
      </w:pPr>
      <w:bookmarkStart w:id="78" w:name="_Toc109662748"/>
      <w:r w:rsidRPr="00CA2CC1">
        <w:rPr>
          <w:rFonts w:cs="Calibri"/>
        </w:rPr>
        <w:t>Environment</w:t>
      </w:r>
      <w:bookmarkEnd w:id="78"/>
    </w:p>
    <w:p w14:paraId="62CBBBF2" w14:textId="77777777" w:rsidR="00373ED9" w:rsidRPr="00CA2CC1" w:rsidRDefault="00373ED9" w:rsidP="0043303B">
      <w:pPr>
        <w:pStyle w:val="IVIntrotext"/>
        <w:spacing w:line="240" w:lineRule="auto"/>
        <w:rPr>
          <w:rFonts w:cs="Calibri"/>
          <w:color w:val="auto"/>
        </w:rPr>
      </w:pPr>
      <w:r w:rsidRPr="00CA2CC1">
        <w:rPr>
          <w:rFonts w:cs="Calibri"/>
          <w:color w:val="auto"/>
        </w:rPr>
        <w:t xml:space="preserve">Victoria has a rich and diverse natural environment that supports a variety of animals, plants, and ecosystems. Victoria’s natural environment is also fundamental to the health and wellbeing of every Victorian. It provides clean air and water, productive soils, natural pest control, pollination, flood mitigation and carbon sequestration – and supports productive activities that underpin Victoria’s liveability and economic advantage. Environmental and waste management infrastructure is an essential component of liveable communities. </w:t>
      </w:r>
    </w:p>
    <w:p w14:paraId="3CF621BC" w14:textId="77777777" w:rsidR="00373ED9" w:rsidRPr="00CA2CC1" w:rsidRDefault="00373ED9" w:rsidP="0043303B">
      <w:pPr>
        <w:pStyle w:val="IVBodyText"/>
        <w:spacing w:line="240" w:lineRule="auto"/>
        <w:rPr>
          <w:rFonts w:ascii="Calibri" w:hAnsi="Calibri" w:cs="Calibri"/>
          <w:color w:val="auto"/>
        </w:rPr>
      </w:pPr>
      <w:r w:rsidRPr="00CA2CC1">
        <w:rPr>
          <w:rFonts w:ascii="Calibri" w:hAnsi="Calibri" w:cs="Calibri"/>
          <w:color w:val="auto"/>
        </w:rPr>
        <w:lastRenderedPageBreak/>
        <w:t xml:space="preserve">The </w:t>
      </w:r>
      <w:r w:rsidRPr="00CA2CC1">
        <w:rPr>
          <w:rFonts w:ascii="Calibri" w:hAnsi="Calibri" w:cs="Calibri"/>
          <w:i/>
          <w:iCs/>
          <w:color w:val="auto"/>
        </w:rPr>
        <w:t xml:space="preserve">Victorian infrastructure plan 2021 </w:t>
      </w:r>
      <w:r w:rsidRPr="00CA2CC1">
        <w:rPr>
          <w:rFonts w:ascii="Calibri" w:hAnsi="Calibri" w:cs="Calibri"/>
          <w:color w:val="auto"/>
        </w:rPr>
        <w:t>includes 4 priorities for the environment sector that aim to preserve and maintain Victoria’s natural environment for future generations. The environment priorities are:</w:t>
      </w:r>
    </w:p>
    <w:p w14:paraId="4978F593" w14:textId="77777777" w:rsidR="00373ED9" w:rsidRPr="00CA2CC1" w:rsidRDefault="00373ED9" w:rsidP="0043303B">
      <w:pPr>
        <w:pStyle w:val="IVBodyText"/>
        <w:numPr>
          <w:ilvl w:val="0"/>
          <w:numId w:val="52"/>
        </w:numPr>
        <w:spacing w:line="240" w:lineRule="auto"/>
        <w:rPr>
          <w:rFonts w:ascii="Calibri" w:hAnsi="Calibri" w:cs="Calibri"/>
          <w:color w:val="auto"/>
        </w:rPr>
      </w:pPr>
      <w:r w:rsidRPr="00CA2CC1">
        <w:rPr>
          <w:rFonts w:ascii="Calibri" w:hAnsi="Calibri" w:cs="Calibri"/>
          <w:color w:val="auto"/>
        </w:rPr>
        <w:t>protecting Victoria’s biodiversity by 2037</w:t>
      </w:r>
    </w:p>
    <w:p w14:paraId="4071DECC" w14:textId="77777777" w:rsidR="00373ED9" w:rsidRPr="00CA2CC1" w:rsidRDefault="00373ED9" w:rsidP="0043303B">
      <w:pPr>
        <w:pStyle w:val="IVBodyText"/>
        <w:numPr>
          <w:ilvl w:val="0"/>
          <w:numId w:val="52"/>
        </w:numPr>
        <w:spacing w:line="240" w:lineRule="auto"/>
        <w:rPr>
          <w:rFonts w:ascii="Calibri" w:hAnsi="Calibri" w:cs="Calibri"/>
          <w:color w:val="auto"/>
        </w:rPr>
      </w:pPr>
      <w:r w:rsidRPr="00CA2CC1">
        <w:rPr>
          <w:rFonts w:ascii="Calibri" w:hAnsi="Calibri" w:cs="Calibri"/>
          <w:color w:val="auto"/>
        </w:rPr>
        <w:t>managing our parks</w:t>
      </w:r>
    </w:p>
    <w:p w14:paraId="6B7CFC24" w14:textId="77777777" w:rsidR="00373ED9" w:rsidRPr="00CA2CC1" w:rsidRDefault="00373ED9" w:rsidP="0043303B">
      <w:pPr>
        <w:pStyle w:val="IVBodyText"/>
        <w:numPr>
          <w:ilvl w:val="0"/>
          <w:numId w:val="52"/>
        </w:numPr>
        <w:spacing w:line="240" w:lineRule="auto"/>
        <w:rPr>
          <w:rFonts w:ascii="Calibri" w:hAnsi="Calibri" w:cs="Calibri"/>
          <w:color w:val="auto"/>
        </w:rPr>
      </w:pPr>
      <w:r w:rsidRPr="00CA2CC1">
        <w:rPr>
          <w:rFonts w:ascii="Calibri" w:hAnsi="Calibri" w:cs="Calibri"/>
          <w:color w:val="auto"/>
        </w:rPr>
        <w:t>taking action on climate change</w:t>
      </w:r>
    </w:p>
    <w:p w14:paraId="34E1EE96" w14:textId="77777777" w:rsidR="00373ED9" w:rsidRPr="00CA2CC1" w:rsidRDefault="00373ED9" w:rsidP="0043303B">
      <w:pPr>
        <w:pStyle w:val="IVBodyText"/>
        <w:numPr>
          <w:ilvl w:val="0"/>
          <w:numId w:val="52"/>
        </w:numPr>
        <w:spacing w:line="240" w:lineRule="auto"/>
        <w:rPr>
          <w:rFonts w:ascii="Calibri" w:hAnsi="Calibri" w:cs="Calibri"/>
          <w:color w:val="auto"/>
        </w:rPr>
      </w:pPr>
      <w:r w:rsidRPr="00CA2CC1">
        <w:rPr>
          <w:rFonts w:ascii="Calibri" w:hAnsi="Calibri" w:cs="Calibri"/>
          <w:color w:val="auto"/>
        </w:rPr>
        <w:t>improving resource recovery and waste management.</w:t>
      </w:r>
    </w:p>
    <w:p w14:paraId="15312237" w14:textId="77777777" w:rsidR="00373ED9" w:rsidRPr="00CA2CC1" w:rsidRDefault="00373ED9" w:rsidP="0043303B">
      <w:pPr>
        <w:pStyle w:val="Heading2"/>
        <w:rPr>
          <w:rFonts w:cs="Calibri"/>
        </w:rPr>
      </w:pPr>
      <w:bookmarkStart w:id="79" w:name="_Toc109662749"/>
      <w:r w:rsidRPr="00CA2CC1">
        <w:rPr>
          <w:rFonts w:cs="Calibri"/>
        </w:rPr>
        <w:t>Protecting Victoria’s biodiversity by 2037</w:t>
      </w:r>
      <w:bookmarkEnd w:id="79"/>
    </w:p>
    <w:p w14:paraId="18FA549A" w14:textId="77777777" w:rsidR="00373ED9" w:rsidRPr="00CA2CC1" w:rsidRDefault="00373ED9" w:rsidP="0043303B">
      <w:pPr>
        <w:pStyle w:val="Heading3"/>
        <w:rPr>
          <w:rFonts w:cs="Calibri"/>
        </w:rPr>
      </w:pPr>
      <w:r w:rsidRPr="00CA2CC1">
        <w:rPr>
          <w:rFonts w:cs="Calibri"/>
        </w:rPr>
        <w:t xml:space="preserve">Priority description from the </w:t>
      </w:r>
      <w:r w:rsidRPr="00CA2CC1">
        <w:rPr>
          <w:rFonts w:cs="Calibri"/>
          <w:i/>
          <w:iCs/>
        </w:rPr>
        <w:t>Victorian infrastructure plan 2021</w:t>
      </w:r>
    </w:p>
    <w:p w14:paraId="568C4966" w14:textId="77777777" w:rsidR="00373ED9" w:rsidRPr="00CA2CC1" w:rsidRDefault="00373ED9" w:rsidP="0043303B">
      <w:pPr>
        <w:pStyle w:val="IVBodyText"/>
        <w:spacing w:line="240" w:lineRule="auto"/>
        <w:rPr>
          <w:rFonts w:ascii="Calibri" w:hAnsi="Calibri" w:cs="Calibri"/>
          <w:b/>
          <w:bCs/>
          <w:color w:val="auto"/>
        </w:rPr>
      </w:pPr>
      <w:r w:rsidRPr="00CA2CC1">
        <w:rPr>
          <w:rFonts w:ascii="Calibri" w:hAnsi="Calibri" w:cs="Calibri"/>
          <w:b/>
          <w:bCs/>
          <w:color w:val="auto"/>
        </w:rPr>
        <w:t>Victoria is taking a modern and effective approach to protecting the state’s rich biodiversity, with conservation efforts that ensure our natural environment is healthy, valued and cared for.</w:t>
      </w:r>
    </w:p>
    <w:p w14:paraId="5EE8A365" w14:textId="77777777" w:rsidR="00373ED9" w:rsidRPr="00CA2CC1" w:rsidRDefault="00373ED9" w:rsidP="0043303B">
      <w:pPr>
        <w:pStyle w:val="Heading3"/>
        <w:rPr>
          <w:rFonts w:cs="Calibri"/>
        </w:rPr>
      </w:pPr>
      <w:r w:rsidRPr="00CA2CC1">
        <w:rPr>
          <w:rFonts w:cs="Calibri"/>
        </w:rPr>
        <w:t>Victorian Government progress in 2022–23</w:t>
      </w:r>
    </w:p>
    <w:p w14:paraId="1DD155A0"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 xml:space="preserve">Preserving biodiversity contributes to maintaining healthy ecosystems. This priority is about protecting and conserving biodiversity. It aims to ensure Victoria cares for and values its natural environment. </w:t>
      </w:r>
    </w:p>
    <w:p w14:paraId="02CE9F3D"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Infrastructure and the built environment can affect biodiversity. When people build or upgrade infrastructure, it can cause changes to natural habitats. For example, developing land for agriculture or other uses contributes to habitat loss and biodiversity decline.</w:t>
      </w:r>
      <w:r w:rsidRPr="00CA2CC1">
        <w:rPr>
          <w:rStyle w:val="EndnoteReference"/>
          <w:rFonts w:ascii="Calibri" w:hAnsi="Calibri" w:cs="Calibri"/>
        </w:rPr>
        <w:endnoteReference w:id="359"/>
      </w:r>
      <w:r w:rsidRPr="00CA2CC1">
        <w:rPr>
          <w:rFonts w:ascii="Calibri" w:hAnsi="Calibri" w:cs="Calibri"/>
        </w:rPr>
        <w:t xml:space="preserve"> Urbanisation and land use changes can also introduce pests, invasive species, and diseases. Disturbances to natural habitat, such as road widening and clearing vegetation for powerlines, often benefits non-native species.</w:t>
      </w:r>
      <w:r w:rsidRPr="00CA2CC1">
        <w:rPr>
          <w:rStyle w:val="EndnoteReference"/>
          <w:rFonts w:ascii="Calibri" w:hAnsi="Calibri" w:cs="Calibri"/>
        </w:rPr>
        <w:endnoteReference w:id="360"/>
      </w:r>
    </w:p>
    <w:p w14:paraId="4BBF9EE8"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Transport projects can also fragment animals’ natural habitats and movement corridors.</w:t>
      </w:r>
      <w:r w:rsidRPr="00CA2CC1">
        <w:rPr>
          <w:rStyle w:val="EndnoteReference"/>
          <w:rFonts w:ascii="Calibri" w:hAnsi="Calibri" w:cs="Calibri"/>
        </w:rPr>
        <w:endnoteReference w:id="361"/>
      </w:r>
      <w:r w:rsidRPr="00CA2CC1">
        <w:rPr>
          <w:rFonts w:ascii="Calibri" w:hAnsi="Calibri" w:cs="Calibri"/>
        </w:rPr>
        <w:t xml:space="preserve"> For example, roads go through the habitats of critically endangered species, such as the mountain pygmy possum.</w:t>
      </w:r>
      <w:r w:rsidRPr="00CA2CC1">
        <w:rPr>
          <w:rStyle w:val="EndnoteReference"/>
          <w:rFonts w:ascii="Calibri" w:hAnsi="Calibri" w:cs="Calibri"/>
        </w:rPr>
        <w:endnoteReference w:id="362"/>
      </w:r>
      <w:r w:rsidRPr="00CA2CC1">
        <w:rPr>
          <w:rFonts w:ascii="Calibri" w:hAnsi="Calibri" w:cs="Calibri"/>
        </w:rPr>
        <w:t xml:space="preserve"> This threatens their ability to move around safely.</w:t>
      </w:r>
      <w:r w:rsidRPr="00CA2CC1">
        <w:rPr>
          <w:rStyle w:val="EndnoteReference"/>
          <w:rFonts w:ascii="Calibri" w:hAnsi="Calibri" w:cs="Calibri"/>
        </w:rPr>
        <w:endnoteReference w:id="363"/>
      </w:r>
      <w:r w:rsidRPr="00CA2CC1">
        <w:rPr>
          <w:rFonts w:ascii="Calibri" w:hAnsi="Calibri" w:cs="Calibri"/>
        </w:rPr>
        <w:t xml:space="preserve"> Building infrastructure can convert natural landscapes to impervious surfaces. This can pollute and affect biodiversity in waterways and catchments.</w:t>
      </w:r>
      <w:r w:rsidRPr="00CA2CC1">
        <w:rPr>
          <w:rStyle w:val="EndnoteReference"/>
          <w:rFonts w:ascii="Calibri" w:hAnsi="Calibri" w:cs="Calibri"/>
        </w:rPr>
        <w:endnoteReference w:id="364"/>
      </w:r>
    </w:p>
    <w:p w14:paraId="11400985"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Although infrastructure can contribute to biodiversity loss by its impact on natural habitats, it can also be used to help maintain or improve biodiversity. Biodiversity infrastructure is designed for flora and fauna populations to survive in environments that humans have modified. For example, biodiversity tunnels allow animals to access their entire habitat by navigating safely across infrastructure. Biodiversity tunnels can include culverts, bridges, canopies, and glider poles.</w:t>
      </w:r>
      <w:r w:rsidRPr="00CA2CC1">
        <w:rPr>
          <w:rStyle w:val="EndnoteReference"/>
          <w:rFonts w:ascii="Calibri" w:hAnsi="Calibri" w:cs="Calibri"/>
        </w:rPr>
        <w:endnoteReference w:id="365"/>
      </w:r>
    </w:p>
    <w:p w14:paraId="60B9F8A0"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The Department of Energy, Environment and Climate Action expects that 2,200 hectares of native vegetation will be newly and permanently protected on private land in 2022–23.</w:t>
      </w:r>
      <w:r w:rsidRPr="00CA2CC1">
        <w:rPr>
          <w:rStyle w:val="EndnoteReference"/>
          <w:rFonts w:ascii="Calibri" w:hAnsi="Calibri" w:cs="Calibri"/>
        </w:rPr>
        <w:endnoteReference w:id="366"/>
      </w:r>
      <w:r w:rsidRPr="00CA2CC1">
        <w:rPr>
          <w:rFonts w:ascii="Calibri" w:hAnsi="Calibri" w:cs="Calibri"/>
        </w:rPr>
        <w:t xml:space="preserve"> This is much more than in past years.</w:t>
      </w:r>
      <w:r w:rsidRPr="00CA2CC1">
        <w:rPr>
          <w:rStyle w:val="EndnoteReference"/>
          <w:rFonts w:ascii="Calibri" w:hAnsi="Calibri" w:cs="Calibri"/>
        </w:rPr>
        <w:endnoteReference w:id="367"/>
      </w:r>
      <w:r w:rsidRPr="00CA2CC1">
        <w:rPr>
          <w:rFonts w:ascii="Calibri" w:hAnsi="Calibri" w:cs="Calibri"/>
        </w:rPr>
        <w:t xml:space="preserve"> However, the department expects to miss the 2022–23 targets for the hectares of weed control and revegetation in priority locations.</w:t>
      </w:r>
      <w:r w:rsidRPr="00CA2CC1">
        <w:rPr>
          <w:rStyle w:val="EndnoteReference"/>
          <w:rFonts w:ascii="Calibri" w:hAnsi="Calibri" w:cs="Calibri"/>
        </w:rPr>
        <w:endnoteReference w:id="368"/>
      </w:r>
      <w:r w:rsidRPr="00CA2CC1">
        <w:rPr>
          <w:rFonts w:ascii="Calibri" w:hAnsi="Calibri" w:cs="Calibri"/>
        </w:rPr>
        <w:t xml:space="preserve"> It attributes this to flooding, which interfered with weeding and revegetation works.</w:t>
      </w:r>
      <w:r w:rsidRPr="00CA2CC1">
        <w:rPr>
          <w:rStyle w:val="EndnoteReference"/>
          <w:rFonts w:ascii="Calibri" w:hAnsi="Calibri" w:cs="Calibri"/>
        </w:rPr>
        <w:endnoteReference w:id="369"/>
      </w:r>
      <w:r w:rsidRPr="00CA2CC1">
        <w:rPr>
          <w:rFonts w:ascii="Calibri" w:hAnsi="Calibri" w:cs="Calibri"/>
        </w:rPr>
        <w:t xml:space="preserve"> The department expects to exceed its 2022–23 targets for pest control although its performance is lower than the year before.</w:t>
      </w:r>
      <w:r w:rsidRPr="00CA2CC1">
        <w:rPr>
          <w:rStyle w:val="EndnoteReference"/>
          <w:rFonts w:ascii="Calibri" w:hAnsi="Calibri" w:cs="Calibri"/>
        </w:rPr>
        <w:endnoteReference w:id="370"/>
      </w:r>
      <w:r w:rsidRPr="00CA2CC1">
        <w:rPr>
          <w:rFonts w:ascii="Calibri" w:hAnsi="Calibri" w:cs="Calibri"/>
        </w:rPr>
        <w:t xml:space="preserve"> Although these metrics do not give a comprehensive summary of Victoria’s progress, they show some progress in elements that contribute to biodiversity protection.</w:t>
      </w:r>
    </w:p>
    <w:p w14:paraId="5983ECA3"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The Victorian Government also implemented initiatives to help maintain and improve biodiversity. The 2023–24 Budget funded a package of wildlife welfare and conservation programs.</w:t>
      </w:r>
      <w:r w:rsidRPr="00CA2CC1">
        <w:rPr>
          <w:rStyle w:val="EndnoteReference"/>
          <w:rFonts w:ascii="Calibri" w:hAnsi="Calibri" w:cs="Calibri"/>
        </w:rPr>
        <w:endnoteReference w:id="371"/>
      </w:r>
      <w:r w:rsidRPr="00CA2CC1">
        <w:rPr>
          <w:rFonts w:ascii="Calibri" w:hAnsi="Calibri" w:cs="Calibri"/>
        </w:rPr>
        <w:t xml:space="preserve"> This includes creating a wildlife hospital in southwest Victoria to treat and care for native animals hurt in natural disasters and </w:t>
      </w:r>
      <w:r w:rsidRPr="00CA2CC1">
        <w:rPr>
          <w:rFonts w:ascii="Calibri" w:hAnsi="Calibri" w:cs="Calibri"/>
        </w:rPr>
        <w:lastRenderedPageBreak/>
        <w:t>other events.</w:t>
      </w:r>
      <w:r w:rsidRPr="00CA2CC1">
        <w:rPr>
          <w:rStyle w:val="EndnoteReference"/>
          <w:rFonts w:ascii="Calibri" w:hAnsi="Calibri" w:cs="Calibri"/>
        </w:rPr>
        <w:endnoteReference w:id="372"/>
      </w:r>
      <w:r w:rsidRPr="00CA2CC1">
        <w:rPr>
          <w:rFonts w:ascii="Calibri" w:hAnsi="Calibri" w:cs="Calibri"/>
        </w:rPr>
        <w:t xml:space="preserve"> The Budget also funded maintenance of Victoria’s strategic fuel break network.</w:t>
      </w:r>
      <w:r w:rsidRPr="00CA2CC1">
        <w:rPr>
          <w:rStyle w:val="EndnoteReference"/>
          <w:rFonts w:ascii="Calibri" w:hAnsi="Calibri" w:cs="Calibri"/>
        </w:rPr>
        <w:endnoteReference w:id="373"/>
      </w:r>
      <w:r w:rsidRPr="00CA2CC1">
        <w:rPr>
          <w:rFonts w:ascii="Calibri" w:hAnsi="Calibri" w:cs="Calibri"/>
        </w:rPr>
        <w:t xml:space="preserve"> This can help protect biodiversity by reducing the risk of bushfires impacting the environment, infrastructure and communities.</w:t>
      </w:r>
    </w:p>
    <w:p w14:paraId="351A133D"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The Victorian Government is also continuing grant programs that combat the risk of extinction for Victoria’s faunal emblems.</w:t>
      </w:r>
      <w:r w:rsidRPr="00CA2CC1">
        <w:rPr>
          <w:rStyle w:val="EndnoteReference"/>
          <w:rFonts w:ascii="Calibri" w:hAnsi="Calibri" w:cs="Calibri"/>
        </w:rPr>
        <w:endnoteReference w:id="374"/>
      </w:r>
      <w:r w:rsidRPr="00CA2CC1">
        <w:rPr>
          <w:rFonts w:ascii="Calibri" w:hAnsi="Calibri" w:cs="Calibri"/>
        </w:rPr>
        <w:t xml:space="preserve"> Victoria’s faunal emblems include the Leadbeater’s possum and the helmeted honeyeater.</w:t>
      </w:r>
      <w:r w:rsidRPr="00CA2CC1">
        <w:rPr>
          <w:rStyle w:val="EndnoteReference"/>
          <w:rFonts w:ascii="Calibri" w:hAnsi="Calibri" w:cs="Calibri"/>
        </w:rPr>
        <w:endnoteReference w:id="375"/>
      </w:r>
      <w:r w:rsidRPr="00CA2CC1">
        <w:rPr>
          <w:rFonts w:ascii="Calibri" w:hAnsi="Calibri" w:cs="Calibri"/>
        </w:rPr>
        <w:t xml:space="preserve"> Both of these species are found only in Victoria and are listed as critically endangered under </w:t>
      </w:r>
      <w:r w:rsidRPr="00CA2CC1">
        <w:rPr>
          <w:rFonts w:ascii="Calibri" w:hAnsi="Calibri" w:cs="Calibri"/>
          <w:i/>
          <w:iCs/>
        </w:rPr>
        <w:t>Victoria’s Flora and Fauna Guarantee Act 1998</w:t>
      </w:r>
      <w:r w:rsidRPr="00CA2CC1">
        <w:rPr>
          <w:rFonts w:ascii="Calibri" w:hAnsi="Calibri" w:cs="Calibri"/>
        </w:rPr>
        <w:t xml:space="preserve"> and the </w:t>
      </w:r>
      <w:r w:rsidRPr="00CA2CC1">
        <w:rPr>
          <w:rFonts w:ascii="Calibri" w:hAnsi="Calibri" w:cs="Calibri"/>
          <w:i/>
          <w:iCs/>
        </w:rPr>
        <w:t>Commonwealth Environment Protection and Biodiversity Conservation Act 1999</w:t>
      </w:r>
      <w:r w:rsidRPr="00CA2CC1">
        <w:rPr>
          <w:rFonts w:ascii="Calibri" w:hAnsi="Calibri" w:cs="Calibri"/>
        </w:rPr>
        <w:t>.</w:t>
      </w:r>
      <w:r w:rsidRPr="00CA2CC1">
        <w:rPr>
          <w:rStyle w:val="EndnoteReference"/>
          <w:rFonts w:ascii="Calibri" w:hAnsi="Calibri" w:cs="Calibri"/>
        </w:rPr>
        <w:endnoteReference w:id="376"/>
      </w:r>
    </w:p>
    <w:p w14:paraId="17135474" w14:textId="5B9BA408" w:rsidR="0045498C" w:rsidRPr="00CA2CC1" w:rsidRDefault="00373ED9" w:rsidP="0043303B">
      <w:pPr>
        <w:pStyle w:val="IVBodyText"/>
        <w:spacing w:line="240" w:lineRule="auto"/>
        <w:rPr>
          <w:rFonts w:ascii="Calibri" w:hAnsi="Calibri" w:cs="Calibri"/>
          <w:color w:val="auto"/>
        </w:rPr>
      </w:pPr>
      <w:r w:rsidRPr="00CA2CC1">
        <w:rPr>
          <w:rFonts w:ascii="Calibri" w:hAnsi="Calibri" w:cs="Calibri"/>
          <w:i/>
          <w:iCs/>
        </w:rPr>
        <w:t>Victoria’s infrastructure strategy 2021–2051</w:t>
      </w:r>
      <w:r w:rsidRPr="00CA2CC1">
        <w:rPr>
          <w:rFonts w:ascii="Calibri" w:hAnsi="Calibri" w:cs="Calibri"/>
        </w:rPr>
        <w:t xml:space="preserve"> recommended the Victorian Government develops an interconnected open space network.</w:t>
      </w:r>
      <w:r w:rsidRPr="00CA2CC1">
        <w:rPr>
          <w:rStyle w:val="EndnoteReference"/>
          <w:rFonts w:ascii="Calibri" w:hAnsi="Calibri" w:cs="Calibri"/>
        </w:rPr>
        <w:endnoteReference w:id="377"/>
      </w:r>
      <w:r w:rsidRPr="00CA2CC1">
        <w:rPr>
          <w:rFonts w:ascii="Calibri" w:hAnsi="Calibri" w:cs="Calibri"/>
        </w:rPr>
        <w:t xml:space="preserve"> Corridors of open space can connect areas of habitat for animals and insects. This helps them to survive by giving them access to a larger area for food, shelter and protection from predators.</w:t>
      </w:r>
      <w:r w:rsidRPr="00CA2CC1">
        <w:rPr>
          <w:rStyle w:val="EndnoteReference"/>
          <w:rFonts w:ascii="Calibri" w:hAnsi="Calibri" w:cs="Calibri"/>
        </w:rPr>
        <w:endnoteReference w:id="378"/>
      </w:r>
      <w:r w:rsidRPr="00CA2CC1">
        <w:rPr>
          <w:rFonts w:ascii="Calibri" w:hAnsi="Calibri" w:cs="Calibri"/>
        </w:rPr>
        <w:t xml:space="preserve"> Interconnected open space networks can also offer greater opportunities for human recreation and active transport.</w:t>
      </w:r>
      <w:r w:rsidRPr="00CA2CC1">
        <w:rPr>
          <w:rStyle w:val="EndnoteReference"/>
          <w:rFonts w:ascii="Calibri" w:hAnsi="Calibri" w:cs="Calibri"/>
        </w:rPr>
        <w:endnoteReference w:id="379"/>
      </w:r>
    </w:p>
    <w:p w14:paraId="545DA140" w14:textId="77777777" w:rsidR="00373ED9" w:rsidRPr="00CA2CC1" w:rsidRDefault="00373ED9" w:rsidP="0043303B">
      <w:pPr>
        <w:pStyle w:val="Heading2"/>
        <w:rPr>
          <w:rFonts w:cs="Calibri"/>
        </w:rPr>
      </w:pPr>
      <w:bookmarkStart w:id="82" w:name="_Toc109662750"/>
      <w:r w:rsidRPr="00CA2CC1">
        <w:rPr>
          <w:rFonts w:cs="Calibri"/>
        </w:rPr>
        <w:t>Managing our parks</w:t>
      </w:r>
      <w:bookmarkEnd w:id="82"/>
    </w:p>
    <w:p w14:paraId="26FFE6AC" w14:textId="77777777" w:rsidR="00373ED9" w:rsidRPr="00CA2CC1" w:rsidRDefault="00373ED9" w:rsidP="0043303B">
      <w:pPr>
        <w:pStyle w:val="Heading3"/>
        <w:rPr>
          <w:rFonts w:cs="Calibri"/>
        </w:rPr>
      </w:pPr>
      <w:r w:rsidRPr="00CA2CC1">
        <w:rPr>
          <w:rFonts w:cs="Calibri"/>
        </w:rPr>
        <w:t xml:space="preserve">Priority description from the </w:t>
      </w:r>
      <w:r w:rsidRPr="00CA2CC1">
        <w:rPr>
          <w:rFonts w:cs="Calibri"/>
          <w:i/>
          <w:iCs/>
        </w:rPr>
        <w:t>Victorian infrastructure plan 2021</w:t>
      </w:r>
    </w:p>
    <w:p w14:paraId="424126D5" w14:textId="77777777" w:rsidR="00373ED9" w:rsidRPr="00CA2CC1" w:rsidRDefault="00373ED9" w:rsidP="0043303B">
      <w:pPr>
        <w:pStyle w:val="IVBodyText"/>
        <w:spacing w:line="240" w:lineRule="auto"/>
        <w:rPr>
          <w:rFonts w:ascii="Calibri" w:hAnsi="Calibri" w:cs="Calibri"/>
          <w:b/>
          <w:bCs/>
          <w:color w:val="auto"/>
        </w:rPr>
      </w:pPr>
      <w:r w:rsidRPr="00CA2CC1">
        <w:rPr>
          <w:rFonts w:ascii="Calibri" w:hAnsi="Calibri" w:cs="Calibri"/>
          <w:b/>
          <w:bCs/>
          <w:color w:val="auto"/>
        </w:rPr>
        <w:t>Sound management of our parklands will ensure all Victorians can continue to enjoy our natural environment, while supporting growth in nature-based tourism. The government continues to invest in enhancing and improving Victoria’s parks estate, including through the Victoria’s Great Outdoors and Suburban Parks programs.</w:t>
      </w:r>
    </w:p>
    <w:p w14:paraId="587B84C1" w14:textId="77777777" w:rsidR="00373ED9" w:rsidRPr="00CA2CC1" w:rsidRDefault="00373ED9" w:rsidP="0043303B">
      <w:pPr>
        <w:pStyle w:val="Heading3"/>
        <w:rPr>
          <w:rFonts w:cs="Calibri"/>
        </w:rPr>
      </w:pPr>
      <w:r w:rsidRPr="00CA2CC1">
        <w:rPr>
          <w:rFonts w:cs="Calibri"/>
        </w:rPr>
        <w:t>Victorian Government progress in 2022–23</w:t>
      </w:r>
    </w:p>
    <w:p w14:paraId="15A0D5FA"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 xml:space="preserve">This priority aims to improve access to parks, open spaces, and other green infrastructure. It seeks to boost nature tourism and ensure that Victorians can keep enjoying the natural environment. Upgrading local parks and green infrastructure, including delivering better parks and playgrounds, can help improve Victorian’s access to open space. </w:t>
      </w:r>
    </w:p>
    <w:p w14:paraId="563DA6F2"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In urban areas, parks allow communities to enjoy the benefits of green open spaces. Parks also produce a cooling effect to help combat heat in summer.</w:t>
      </w:r>
      <w:r w:rsidRPr="00CA2CC1">
        <w:rPr>
          <w:rStyle w:val="EndnoteReference"/>
          <w:rFonts w:ascii="Calibri" w:hAnsi="Calibri" w:cs="Calibri"/>
        </w:rPr>
        <w:endnoteReference w:id="380"/>
      </w:r>
      <w:r w:rsidRPr="00CA2CC1">
        <w:rPr>
          <w:rFonts w:ascii="Calibri" w:hAnsi="Calibri" w:cs="Calibri"/>
        </w:rPr>
        <w:t xml:space="preserve"> Established suburbs have diminishing amounts of private open space and tree canopy cover, making public open space provision a challenge for metropolitan Melbourne.</w:t>
      </w:r>
      <w:r w:rsidRPr="00CA2CC1">
        <w:rPr>
          <w:rStyle w:val="EndnoteReference"/>
          <w:rFonts w:ascii="Calibri" w:hAnsi="Calibri" w:cs="Calibri"/>
        </w:rPr>
        <w:endnoteReference w:id="381"/>
      </w:r>
      <w:r w:rsidRPr="00CA2CC1">
        <w:rPr>
          <w:rFonts w:ascii="Calibri" w:hAnsi="Calibri" w:cs="Calibri"/>
        </w:rPr>
        <w:t xml:space="preserve"> Newer suburbs, particularly in Melbourne’s north and west, can have fewer trees than established areas. </w:t>
      </w:r>
      <w:r w:rsidRPr="00CA2CC1">
        <w:rPr>
          <w:rFonts w:ascii="Calibri" w:hAnsi="Calibri" w:cs="Calibri"/>
          <w:i/>
          <w:iCs/>
        </w:rPr>
        <w:t>Victoria’s infrastructure strategy 2021–2051</w:t>
      </w:r>
      <w:r w:rsidRPr="00CA2CC1">
        <w:rPr>
          <w:rFonts w:ascii="Calibri" w:hAnsi="Calibri" w:cs="Calibri"/>
        </w:rPr>
        <w:t xml:space="preserve"> recommends the government targets 30% tree coverage in new growth areas.</w:t>
      </w:r>
      <w:r w:rsidRPr="00CA2CC1">
        <w:rPr>
          <w:rStyle w:val="EndnoteReference"/>
          <w:rFonts w:ascii="Calibri" w:hAnsi="Calibri" w:cs="Calibri"/>
        </w:rPr>
        <w:endnoteReference w:id="382"/>
      </w:r>
    </w:p>
    <w:p w14:paraId="163A6490"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Victoria has significant natural assets. Parks Victoria, for example, manages over 3,000 land and marine parks.</w:t>
      </w:r>
      <w:r w:rsidRPr="00CA2CC1">
        <w:rPr>
          <w:rStyle w:val="EndnoteReference"/>
          <w:rFonts w:ascii="Calibri" w:hAnsi="Calibri" w:cs="Calibri"/>
        </w:rPr>
        <w:endnoteReference w:id="383"/>
      </w:r>
      <w:r w:rsidRPr="00CA2CC1">
        <w:rPr>
          <w:rFonts w:ascii="Calibri" w:hAnsi="Calibri" w:cs="Calibri"/>
        </w:rPr>
        <w:t xml:space="preserve"> These parks total 4,120 hectares,</w:t>
      </w:r>
      <w:r w:rsidRPr="00CA2CC1">
        <w:rPr>
          <w:rStyle w:val="EndnoteReference"/>
          <w:rFonts w:ascii="Calibri" w:hAnsi="Calibri" w:cs="Calibri"/>
        </w:rPr>
        <w:t xml:space="preserve"> </w:t>
      </w:r>
      <w:r w:rsidRPr="00CA2CC1">
        <w:rPr>
          <w:rStyle w:val="EndnoteReference"/>
          <w:rFonts w:ascii="Calibri" w:hAnsi="Calibri" w:cs="Calibri"/>
        </w:rPr>
        <w:endnoteReference w:id="384"/>
      </w:r>
      <w:r w:rsidRPr="00CA2CC1">
        <w:rPr>
          <w:rFonts w:ascii="Calibri" w:hAnsi="Calibri" w:cs="Calibri"/>
        </w:rPr>
        <w:t xml:space="preserve"> covering 18% of Victoria’s landmass and 70% of Victoria’s coastline.</w:t>
      </w:r>
      <w:r w:rsidRPr="00CA2CC1">
        <w:rPr>
          <w:rStyle w:val="EndnoteReference"/>
          <w:rFonts w:ascii="Calibri" w:hAnsi="Calibri" w:cs="Calibri"/>
        </w:rPr>
        <w:endnoteReference w:id="385"/>
      </w:r>
      <w:r w:rsidRPr="00CA2CC1">
        <w:rPr>
          <w:rFonts w:ascii="Calibri" w:hAnsi="Calibri" w:cs="Calibri"/>
        </w:rPr>
        <w:t xml:space="preserve"> The department expected Victoria’s national, state, urban and other terrestrial parks to have had 82 million visits in 2022–23.</w:t>
      </w:r>
      <w:r w:rsidRPr="00CA2CC1">
        <w:rPr>
          <w:rStyle w:val="EndnoteReference"/>
          <w:rFonts w:ascii="Calibri" w:hAnsi="Calibri" w:cs="Calibri"/>
        </w:rPr>
        <w:endnoteReference w:id="386"/>
      </w:r>
    </w:p>
    <w:p w14:paraId="5930A933"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The 2023–24 Budget allocated $13 million to improve access to parks and open spaces for Victorians and their pets. This funding will contribute to 6 new dog parks and upgrades to 22 existing dog parks.</w:t>
      </w:r>
      <w:r w:rsidRPr="00CA2CC1">
        <w:rPr>
          <w:rStyle w:val="EndnoteReference"/>
          <w:rFonts w:ascii="Calibri" w:hAnsi="Calibri" w:cs="Calibri"/>
        </w:rPr>
        <w:endnoteReference w:id="387"/>
      </w:r>
      <w:r w:rsidRPr="00CA2CC1">
        <w:rPr>
          <w:rFonts w:ascii="Calibri" w:hAnsi="Calibri" w:cs="Calibri"/>
        </w:rPr>
        <w:t xml:space="preserve"> The Budget also provided $7 million to upgrade local parks. This included the Greensborough War Memorial Park, Doreen Playground, Merri Common Pocket Park and the Henderson Creek Wetlands Playground.</w:t>
      </w:r>
      <w:r w:rsidRPr="00CA2CC1">
        <w:rPr>
          <w:rStyle w:val="EndnoteReference"/>
          <w:rFonts w:ascii="Calibri" w:hAnsi="Calibri" w:cs="Calibri"/>
        </w:rPr>
        <w:endnoteReference w:id="388"/>
      </w:r>
      <w:r w:rsidRPr="00CA2CC1">
        <w:rPr>
          <w:rFonts w:ascii="Calibri" w:hAnsi="Calibri" w:cs="Calibri"/>
        </w:rPr>
        <w:t xml:space="preserve"> The government also announced plans for new parks in Melbourne’s outer suburbs.</w:t>
      </w:r>
      <w:r w:rsidRPr="00CA2CC1">
        <w:rPr>
          <w:rStyle w:val="EndnoteReference"/>
          <w:rFonts w:ascii="Calibri" w:hAnsi="Calibri" w:cs="Calibri"/>
        </w:rPr>
        <w:endnoteReference w:id="389"/>
      </w:r>
      <w:r w:rsidRPr="00CA2CC1">
        <w:rPr>
          <w:rFonts w:ascii="Calibri" w:hAnsi="Calibri" w:cs="Calibri"/>
        </w:rPr>
        <w:t xml:space="preserve"> The 3 new parks, located in Clyde, Deanside and Werribee, will provide 720 hectares of green open space.</w:t>
      </w:r>
      <w:r w:rsidRPr="00CA2CC1">
        <w:rPr>
          <w:rStyle w:val="EndnoteReference"/>
          <w:rFonts w:ascii="Calibri" w:hAnsi="Calibri" w:cs="Calibri"/>
        </w:rPr>
        <w:endnoteReference w:id="390"/>
      </w:r>
    </w:p>
    <w:p w14:paraId="3AD7EEE8"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In 2022–23 the Suburban Parks Program completed 20 suburban pocket parks</w:t>
      </w:r>
      <w:r w:rsidRPr="00CA2CC1">
        <w:rPr>
          <w:rStyle w:val="EndnoteReference"/>
          <w:rFonts w:ascii="Calibri" w:eastAsiaTheme="majorEastAsia" w:hAnsi="Calibri" w:cs="Calibri"/>
        </w:rPr>
        <w:endnoteReference w:id="391"/>
      </w:r>
      <w:r w:rsidRPr="00CA2CC1">
        <w:rPr>
          <w:rFonts w:ascii="Calibri" w:hAnsi="Calibri" w:cs="Calibri"/>
        </w:rPr>
        <w:t xml:space="preserve"> and acquired land for the Sandbelt Parklands.</w:t>
      </w:r>
      <w:r w:rsidRPr="00CA2CC1">
        <w:rPr>
          <w:rStyle w:val="EndnoteReference"/>
          <w:rFonts w:ascii="Calibri" w:eastAsiaTheme="majorEastAsia" w:hAnsi="Calibri" w:cs="Calibri"/>
        </w:rPr>
        <w:endnoteReference w:id="392"/>
      </w:r>
      <w:r w:rsidRPr="00CA2CC1">
        <w:rPr>
          <w:rFonts w:ascii="Calibri" w:hAnsi="Calibri" w:cs="Calibri"/>
        </w:rPr>
        <w:t xml:space="preserve"> When completed, the Sandbelt Parklands will connect new and existing parklands between Moorabbin and Dingley Village.</w:t>
      </w:r>
      <w:r w:rsidRPr="00CA2CC1">
        <w:rPr>
          <w:rStyle w:val="EndnoteReference"/>
          <w:rFonts w:ascii="Calibri" w:eastAsiaTheme="majorEastAsia" w:hAnsi="Calibri" w:cs="Calibri"/>
        </w:rPr>
        <w:endnoteReference w:id="393"/>
      </w:r>
    </w:p>
    <w:p w14:paraId="08F50AE8"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lastRenderedPageBreak/>
        <w:t>The Victorian Government also made investments to make it easier for Victorians to access the natural environment and cultural precincts.</w:t>
      </w:r>
      <w:r w:rsidRPr="00CA2CC1">
        <w:rPr>
          <w:rStyle w:val="EndnoteReference"/>
          <w:rFonts w:ascii="Calibri" w:hAnsi="Calibri" w:cs="Calibri"/>
        </w:rPr>
        <w:endnoteReference w:id="394"/>
      </w:r>
      <w:r w:rsidRPr="00CA2CC1">
        <w:rPr>
          <w:rFonts w:ascii="Calibri" w:hAnsi="Calibri" w:cs="Calibri"/>
        </w:rPr>
        <w:t xml:space="preserve"> The 2023–24 Budget provided $11 million to upgrade visitor facilities and infrastructure at the You Yangs (Wurdi Youang) and Serendip Sanctuary.</w:t>
      </w:r>
      <w:r w:rsidRPr="00CA2CC1">
        <w:rPr>
          <w:rStyle w:val="EndnoteReference"/>
          <w:rFonts w:ascii="Calibri" w:hAnsi="Calibri" w:cs="Calibri"/>
        </w:rPr>
        <w:endnoteReference w:id="395"/>
      </w:r>
      <w:r w:rsidRPr="00CA2CC1">
        <w:rPr>
          <w:rFonts w:ascii="Calibri" w:hAnsi="Calibri" w:cs="Calibri"/>
        </w:rPr>
        <w:t xml:space="preserve"> The Camping and Caravan Grants program funds better facilities in caravan parks and campgrounds.</w:t>
      </w:r>
      <w:r w:rsidRPr="00CA2CC1">
        <w:rPr>
          <w:rStyle w:val="EndnoteReference"/>
          <w:rFonts w:ascii="Calibri" w:hAnsi="Calibri" w:cs="Calibri"/>
        </w:rPr>
        <w:endnoteReference w:id="396"/>
      </w:r>
      <w:r w:rsidRPr="00CA2CC1">
        <w:rPr>
          <w:rFonts w:ascii="Calibri" w:hAnsi="Calibri" w:cs="Calibri"/>
        </w:rPr>
        <w:t xml:space="preserve"> Point Leo Foreshore Park and Mallacoota Foreshore Holiday Park completed projects with funds from the program.</w:t>
      </w:r>
      <w:r w:rsidRPr="00CA2CC1">
        <w:rPr>
          <w:rStyle w:val="EndnoteReference"/>
          <w:rFonts w:ascii="Calibri" w:hAnsi="Calibri" w:cs="Calibri"/>
        </w:rPr>
        <w:endnoteReference w:id="397"/>
      </w:r>
      <w:r w:rsidRPr="00CA2CC1">
        <w:rPr>
          <w:rFonts w:ascii="Calibri" w:hAnsi="Calibri" w:cs="Calibri"/>
        </w:rPr>
        <w:t xml:space="preserve"> Improving facilities can help boost nature tourism and the health and wellbeing of Victorians.</w:t>
      </w:r>
    </w:p>
    <w:p w14:paraId="3BB02AD7"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Nature tourism in Victoria will also benefit from an expansion of Werribee Open Range Zoo.</w:t>
      </w:r>
      <w:r w:rsidRPr="00CA2CC1">
        <w:rPr>
          <w:rStyle w:val="EndnoteReference"/>
          <w:rFonts w:ascii="Calibri" w:hAnsi="Calibri" w:cs="Calibri"/>
        </w:rPr>
        <w:endnoteReference w:id="398"/>
      </w:r>
      <w:r w:rsidRPr="00CA2CC1">
        <w:rPr>
          <w:rFonts w:ascii="Calibri" w:hAnsi="Calibri" w:cs="Calibri"/>
        </w:rPr>
        <w:t xml:space="preserve"> The zoo completed stage one of the project in March 2023, allowing work to commence on a 21-hectare Asian elephant habitat.</w:t>
      </w:r>
      <w:r w:rsidRPr="00CA2CC1">
        <w:rPr>
          <w:rStyle w:val="EndnoteReference"/>
          <w:rFonts w:ascii="Calibri" w:hAnsi="Calibri" w:cs="Calibri"/>
        </w:rPr>
        <w:endnoteReference w:id="399"/>
      </w:r>
      <w:r w:rsidRPr="00CA2CC1">
        <w:rPr>
          <w:rFonts w:ascii="Calibri" w:hAnsi="Calibri" w:cs="Calibri"/>
        </w:rPr>
        <w:t xml:space="preserve"> When completed in 2024, the Asian elephant habitat will house the herd that is currently at Melbourne Zoo.</w:t>
      </w:r>
      <w:r w:rsidRPr="00CA2CC1">
        <w:rPr>
          <w:rStyle w:val="EndnoteReference"/>
          <w:rFonts w:ascii="Calibri" w:hAnsi="Calibri" w:cs="Calibri"/>
        </w:rPr>
        <w:endnoteReference w:id="400"/>
      </w:r>
    </w:p>
    <w:p w14:paraId="6E914F43" w14:textId="7CF0A217" w:rsidR="00373ED9" w:rsidRPr="00CA2CC1" w:rsidRDefault="00373ED9" w:rsidP="0045498C">
      <w:pPr>
        <w:pStyle w:val="IVBodyText"/>
        <w:spacing w:line="240" w:lineRule="auto"/>
        <w:rPr>
          <w:rFonts w:ascii="Calibri" w:hAnsi="Calibri" w:cs="Calibri"/>
          <w:color w:val="auto"/>
        </w:rPr>
      </w:pPr>
      <w:r w:rsidRPr="00CA2CC1">
        <w:rPr>
          <w:rFonts w:ascii="Calibri" w:hAnsi="Calibri" w:cs="Calibri"/>
        </w:rPr>
        <w:t>Other nature tourism initiatives include management reforms for parks and outdoor areas. The government began reforms for Victoria’s alpine sector in October 2022.</w:t>
      </w:r>
      <w:r w:rsidRPr="00CA2CC1">
        <w:rPr>
          <w:rStyle w:val="EndnoteReference"/>
          <w:rFonts w:ascii="Calibri" w:hAnsi="Calibri" w:cs="Calibri"/>
        </w:rPr>
        <w:endnoteReference w:id="401"/>
      </w:r>
      <w:r w:rsidRPr="00CA2CC1">
        <w:rPr>
          <w:rFonts w:ascii="Calibri" w:hAnsi="Calibri" w:cs="Calibri"/>
        </w:rPr>
        <w:t xml:space="preserve"> The reforms will establish a single entity, Alpine Resorts Victoria, to manage Victoria’s alpine resorts.</w:t>
      </w:r>
      <w:r w:rsidRPr="00CA2CC1">
        <w:rPr>
          <w:rStyle w:val="EndnoteReference"/>
          <w:rFonts w:ascii="Calibri" w:hAnsi="Calibri" w:cs="Calibri"/>
        </w:rPr>
        <w:endnoteReference w:id="402"/>
      </w:r>
      <w:r w:rsidRPr="00CA2CC1">
        <w:rPr>
          <w:rFonts w:ascii="Calibri" w:hAnsi="Calibri" w:cs="Calibri"/>
        </w:rPr>
        <w:t xml:space="preserve"> In winter, alpine resorts collectively attract one million visitors and contribute nearly $1.1 billion to the Victorian economy.</w:t>
      </w:r>
      <w:r w:rsidRPr="00CA2CC1">
        <w:rPr>
          <w:rStyle w:val="EndnoteReference"/>
          <w:rFonts w:ascii="Calibri" w:hAnsi="Calibri" w:cs="Calibri"/>
        </w:rPr>
        <w:endnoteReference w:id="403"/>
      </w:r>
      <w:r w:rsidRPr="00CA2CC1">
        <w:rPr>
          <w:rFonts w:ascii="Calibri" w:hAnsi="Calibri" w:cs="Calibri"/>
        </w:rPr>
        <w:t xml:space="preserve"> The Budget also funded reforms for better management of coasts and land under the Great Ocean Road Coast and Parks Authority.</w:t>
      </w:r>
      <w:r w:rsidRPr="00CA2CC1">
        <w:rPr>
          <w:rStyle w:val="EndnoteReference"/>
          <w:rFonts w:ascii="Calibri" w:hAnsi="Calibri" w:cs="Calibri"/>
        </w:rPr>
        <w:endnoteReference w:id="404"/>
      </w:r>
    </w:p>
    <w:p w14:paraId="579ABAB2" w14:textId="77777777" w:rsidR="00373ED9" w:rsidRPr="00CA2CC1" w:rsidRDefault="00373ED9" w:rsidP="0043303B">
      <w:pPr>
        <w:pStyle w:val="Heading2"/>
        <w:rPr>
          <w:rFonts w:cs="Calibri"/>
        </w:rPr>
      </w:pPr>
      <w:bookmarkStart w:id="83" w:name="_Toc109662751"/>
      <w:r w:rsidRPr="00CA2CC1">
        <w:rPr>
          <w:rFonts w:cs="Calibri"/>
        </w:rPr>
        <w:t>Taking action on climate change</w:t>
      </w:r>
      <w:bookmarkEnd w:id="83"/>
    </w:p>
    <w:p w14:paraId="65F91428" w14:textId="77777777" w:rsidR="00373ED9" w:rsidRPr="00CA2CC1" w:rsidRDefault="00373ED9" w:rsidP="0043303B">
      <w:pPr>
        <w:pStyle w:val="Heading3"/>
        <w:rPr>
          <w:rFonts w:cs="Calibri"/>
        </w:rPr>
      </w:pPr>
      <w:r w:rsidRPr="00CA2CC1">
        <w:rPr>
          <w:rFonts w:cs="Calibri"/>
        </w:rPr>
        <w:t xml:space="preserve">Priority description from the </w:t>
      </w:r>
      <w:r w:rsidRPr="00CA2CC1">
        <w:rPr>
          <w:rFonts w:cs="Calibri"/>
          <w:i/>
          <w:iCs/>
        </w:rPr>
        <w:t>Victorian infrastructure plan 2021</w:t>
      </w:r>
    </w:p>
    <w:p w14:paraId="1F87260A" w14:textId="77777777" w:rsidR="00373ED9" w:rsidRPr="00CA2CC1" w:rsidRDefault="00373ED9" w:rsidP="0043303B">
      <w:pPr>
        <w:pStyle w:val="IVBodyText"/>
        <w:spacing w:line="240" w:lineRule="auto"/>
        <w:rPr>
          <w:rFonts w:ascii="Calibri" w:hAnsi="Calibri" w:cs="Calibri"/>
          <w:b/>
          <w:bCs/>
          <w:color w:val="auto"/>
        </w:rPr>
      </w:pPr>
      <w:r w:rsidRPr="00CA2CC1">
        <w:rPr>
          <w:rFonts w:ascii="Calibri" w:hAnsi="Calibri" w:cs="Calibri"/>
          <w:b/>
          <w:bCs/>
          <w:color w:val="auto"/>
        </w:rPr>
        <w:t xml:space="preserve">Victoria is committed to reaching net zero emissions by 2050 and becoming climate resilient. </w:t>
      </w:r>
      <w:r w:rsidRPr="00CA2CC1">
        <w:rPr>
          <w:rFonts w:ascii="Calibri" w:hAnsi="Calibri" w:cs="Calibri"/>
          <w:b/>
          <w:i/>
          <w:color w:val="auto"/>
        </w:rPr>
        <w:t xml:space="preserve">Victoria’s </w:t>
      </w:r>
      <w:r w:rsidRPr="00CA2CC1">
        <w:rPr>
          <w:rFonts w:ascii="Calibri" w:hAnsi="Calibri" w:cs="Calibri"/>
          <w:b/>
          <w:bCs/>
          <w:i/>
          <w:iCs/>
          <w:color w:val="auto"/>
        </w:rPr>
        <w:t>climate change s</w:t>
      </w:r>
      <w:r w:rsidRPr="00CA2CC1">
        <w:rPr>
          <w:rFonts w:ascii="Calibri" w:hAnsi="Calibri" w:cs="Calibri"/>
          <w:b/>
          <w:i/>
          <w:color w:val="auto"/>
        </w:rPr>
        <w:t>trategy</w:t>
      </w:r>
      <w:r w:rsidRPr="00CA2CC1">
        <w:rPr>
          <w:rFonts w:ascii="Calibri" w:hAnsi="Calibri" w:cs="Calibri"/>
          <w:b/>
          <w:bCs/>
          <w:color w:val="auto"/>
        </w:rPr>
        <w:t xml:space="preserve"> sets out our priorities for climate action. Victoria has set ambitious, but achievable targets to reduce the state’s greenhouse gas emissions from 2005 levels by 28–33% by 2025 and 45–50% by 2030. To help meet these targets, we have prepared emissions reduction pledges for each emissions sector for 2021–2025 – the first in a progression of five-yearly pledges required under the </w:t>
      </w:r>
      <w:r w:rsidRPr="00CA2CC1">
        <w:rPr>
          <w:rFonts w:ascii="Calibri" w:hAnsi="Calibri" w:cs="Calibri"/>
          <w:b/>
          <w:bCs/>
          <w:i/>
          <w:iCs/>
          <w:color w:val="auto"/>
        </w:rPr>
        <w:t>Climate Change Act 2017</w:t>
      </w:r>
      <w:r w:rsidRPr="00CA2CC1">
        <w:rPr>
          <w:rFonts w:ascii="Calibri" w:hAnsi="Calibri" w:cs="Calibri"/>
          <w:b/>
          <w:bCs/>
          <w:color w:val="auto"/>
        </w:rPr>
        <w:t>. We have also made ambitious commitments to reduce emissions from the Victorian Government’s own operations. By 2025, Victorian Government operations will be powered by 100% renewable electricity.</w:t>
      </w:r>
    </w:p>
    <w:p w14:paraId="1ECB0981" w14:textId="77777777" w:rsidR="00373ED9" w:rsidRPr="00CA2CC1" w:rsidRDefault="00373ED9" w:rsidP="0043303B">
      <w:pPr>
        <w:pStyle w:val="IVBodyText"/>
        <w:spacing w:line="240" w:lineRule="auto"/>
        <w:rPr>
          <w:rFonts w:ascii="Calibri" w:hAnsi="Calibri" w:cs="Calibri"/>
          <w:b/>
          <w:bCs/>
          <w:color w:val="auto"/>
        </w:rPr>
      </w:pPr>
      <w:r w:rsidRPr="00CA2CC1">
        <w:rPr>
          <w:rFonts w:ascii="Calibri" w:hAnsi="Calibri" w:cs="Calibri"/>
          <w:b/>
          <w:i/>
          <w:color w:val="auto"/>
        </w:rPr>
        <w:t xml:space="preserve">Victoria’s </w:t>
      </w:r>
      <w:r w:rsidRPr="00CA2CC1">
        <w:rPr>
          <w:rFonts w:ascii="Calibri" w:hAnsi="Calibri" w:cs="Calibri"/>
          <w:b/>
          <w:bCs/>
          <w:i/>
          <w:iCs/>
          <w:color w:val="auto"/>
        </w:rPr>
        <w:t>climate change s</w:t>
      </w:r>
      <w:r w:rsidRPr="00CA2CC1">
        <w:rPr>
          <w:rFonts w:ascii="Calibri" w:hAnsi="Calibri" w:cs="Calibri"/>
          <w:b/>
          <w:i/>
          <w:color w:val="auto"/>
        </w:rPr>
        <w:t>trategy</w:t>
      </w:r>
      <w:r w:rsidRPr="00CA2CC1">
        <w:rPr>
          <w:rFonts w:ascii="Calibri" w:hAnsi="Calibri" w:cs="Calibri"/>
          <w:b/>
          <w:bCs/>
          <w:color w:val="auto"/>
        </w:rPr>
        <w:t xml:space="preserve"> also sets adaptation priorities for the next five years and adaptation action plans, required by the </w:t>
      </w:r>
      <w:r w:rsidRPr="00CA2CC1">
        <w:rPr>
          <w:rFonts w:ascii="Calibri" w:hAnsi="Calibri" w:cs="Calibri"/>
          <w:b/>
          <w:bCs/>
          <w:i/>
          <w:iCs/>
          <w:color w:val="auto"/>
        </w:rPr>
        <w:t>Climate Change Act 2017</w:t>
      </w:r>
      <w:r w:rsidRPr="00CA2CC1">
        <w:rPr>
          <w:rFonts w:ascii="Calibri" w:hAnsi="Calibri" w:cs="Calibri"/>
          <w:b/>
          <w:bCs/>
          <w:color w:val="auto"/>
        </w:rPr>
        <w:t>, respond to those priorities. The plans are for seven systems vulnerable to the impacts of climate change or essential to prepare for future change and commence in 2022. These system-based plans are complemented by community-led regional adaptation strategies that will guide collective effort to reduce the impacts of climate change and maximise opportunities across Victoria’s regions.</w:t>
      </w:r>
    </w:p>
    <w:p w14:paraId="6E38525B" w14:textId="77777777" w:rsidR="00373ED9" w:rsidRPr="00CA2CC1" w:rsidRDefault="00373ED9" w:rsidP="0043303B">
      <w:pPr>
        <w:pStyle w:val="Heading3"/>
        <w:rPr>
          <w:rFonts w:cs="Calibri"/>
        </w:rPr>
      </w:pPr>
      <w:r w:rsidRPr="00CA2CC1">
        <w:rPr>
          <w:rFonts w:cs="Calibri"/>
        </w:rPr>
        <w:t>Victorian Government progress in 2022–23</w:t>
      </w:r>
    </w:p>
    <w:p w14:paraId="01BC6B9E"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 xml:space="preserve">This priority sets out Victoria’s commitments and actions under the </w:t>
      </w:r>
      <w:r w:rsidRPr="00CA2CC1">
        <w:rPr>
          <w:rFonts w:ascii="Calibri" w:hAnsi="Calibri" w:cs="Calibri"/>
          <w:i/>
          <w:iCs/>
        </w:rPr>
        <w:t>Climate Change Act 2017</w:t>
      </w:r>
      <w:r w:rsidRPr="00CA2CC1">
        <w:rPr>
          <w:rFonts w:ascii="Calibri" w:hAnsi="Calibri" w:cs="Calibri"/>
        </w:rPr>
        <w:t>. It seeks to ensure that Victoria is resilient to climate change and can achieve its ambitious emission reduction targets. Around 70% of Australia’s emissions can be directly or indirectly contributed to infrastructure.</w:t>
      </w:r>
      <w:r w:rsidRPr="00CA2CC1">
        <w:rPr>
          <w:rStyle w:val="EndnoteReference"/>
          <w:rFonts w:ascii="Calibri" w:hAnsi="Calibri" w:cs="Calibri"/>
        </w:rPr>
        <w:endnoteReference w:id="405"/>
      </w:r>
      <w:r w:rsidRPr="00CA2CC1">
        <w:rPr>
          <w:rFonts w:ascii="Calibri" w:hAnsi="Calibri" w:cs="Calibri"/>
        </w:rPr>
        <w:t xml:space="preserve"> </w:t>
      </w:r>
    </w:p>
    <w:p w14:paraId="347937EF"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Infrastructure generates greenhouse gas emissions from the materials used in its construction, its direct operations, and the activities it enables.</w:t>
      </w:r>
      <w:r w:rsidRPr="00CA2CC1">
        <w:rPr>
          <w:rStyle w:val="EndnoteReference"/>
          <w:rFonts w:ascii="Calibri" w:hAnsi="Calibri" w:cs="Calibri"/>
        </w:rPr>
        <w:endnoteReference w:id="406"/>
      </w:r>
      <w:r w:rsidRPr="00CA2CC1">
        <w:rPr>
          <w:rFonts w:ascii="Calibri" w:hAnsi="Calibri" w:cs="Calibri"/>
        </w:rPr>
        <w:t xml:space="preserve"> As infrastructure has a long lifespan, the infrastructure built today also needs to be resilient to more extreme weather and able to perform in a warmer and drier climate. Existing infrastructure might also need to be adapted.</w:t>
      </w:r>
    </w:p>
    <w:p w14:paraId="296393C2"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Extreme weather events are already costing Victoria. For example, heatwaves are estimated to cost the Victorian economy an average of $87 million each year.</w:t>
      </w:r>
      <w:r w:rsidRPr="00CA2CC1">
        <w:rPr>
          <w:rStyle w:val="EndnoteReference"/>
          <w:rFonts w:ascii="Calibri" w:hAnsi="Calibri" w:cs="Calibri"/>
        </w:rPr>
        <w:endnoteReference w:id="407"/>
      </w:r>
      <w:r w:rsidRPr="00CA2CC1">
        <w:rPr>
          <w:rFonts w:ascii="Calibri" w:hAnsi="Calibri" w:cs="Calibri"/>
        </w:rPr>
        <w:t xml:space="preserve"> With no further global action to reduce emissions, climate change is estimated to cause $150 billion in damages to Victoria by 2050. This is estimated to increase to $1 trillion by 2100.</w:t>
      </w:r>
      <w:r w:rsidRPr="00CA2CC1">
        <w:rPr>
          <w:rStyle w:val="EndnoteReference"/>
          <w:rFonts w:ascii="Calibri" w:hAnsi="Calibri" w:cs="Calibri"/>
        </w:rPr>
        <w:endnoteReference w:id="408"/>
      </w:r>
      <w:r w:rsidRPr="00CA2CC1">
        <w:rPr>
          <w:rFonts w:ascii="Calibri" w:hAnsi="Calibri" w:cs="Calibri"/>
        </w:rPr>
        <w:t xml:space="preserve"> </w:t>
      </w:r>
    </w:p>
    <w:p w14:paraId="6C285257"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lastRenderedPageBreak/>
        <w:t xml:space="preserve">To respond to climate change, Victoria was one of the first jurisdictions in the world to legislate a net-zero emissions target with the </w:t>
      </w:r>
      <w:r w:rsidRPr="00CA2CC1">
        <w:rPr>
          <w:rFonts w:ascii="Calibri" w:hAnsi="Calibri" w:cs="Calibri"/>
          <w:i/>
          <w:iCs/>
        </w:rPr>
        <w:t>Climate Change Act 2017</w:t>
      </w:r>
      <w:r w:rsidRPr="00CA2CC1">
        <w:rPr>
          <w:rFonts w:ascii="Calibri" w:hAnsi="Calibri" w:cs="Calibri"/>
        </w:rPr>
        <w:t>.</w:t>
      </w:r>
      <w:r w:rsidRPr="00CA2CC1">
        <w:rPr>
          <w:rStyle w:val="EndnoteReference"/>
          <w:rFonts w:ascii="Calibri" w:hAnsi="Calibri" w:cs="Calibri"/>
        </w:rPr>
        <w:endnoteReference w:id="409"/>
      </w:r>
      <w:r w:rsidRPr="00CA2CC1">
        <w:rPr>
          <w:rFonts w:ascii="Calibri" w:hAnsi="Calibri" w:cs="Calibri"/>
        </w:rPr>
        <w:t xml:space="preserve"> In May 2023, the Victorian Government committed to reducing emissions from 2005 levels by between 75% and 80% by 2035.</w:t>
      </w:r>
      <w:r w:rsidRPr="00CA2CC1">
        <w:rPr>
          <w:rStyle w:val="EndnoteReference"/>
          <w:rFonts w:ascii="Calibri" w:hAnsi="Calibri" w:cs="Calibri"/>
        </w:rPr>
        <w:endnoteReference w:id="410"/>
      </w:r>
      <w:r w:rsidRPr="00CA2CC1">
        <w:rPr>
          <w:rFonts w:ascii="Calibri" w:hAnsi="Calibri" w:cs="Calibri"/>
        </w:rPr>
        <w:t xml:space="preserve"> It also brought forward its commitment to net zero emissions from 2050 to 2045.</w:t>
      </w:r>
      <w:r w:rsidRPr="00CA2CC1">
        <w:rPr>
          <w:rStyle w:val="EndnoteReference"/>
          <w:rFonts w:ascii="Calibri" w:hAnsi="Calibri" w:cs="Calibri"/>
        </w:rPr>
        <w:endnoteReference w:id="411"/>
      </w:r>
      <w:r w:rsidRPr="00CA2CC1">
        <w:rPr>
          <w:rFonts w:ascii="Calibri" w:hAnsi="Calibri" w:cs="Calibri"/>
        </w:rPr>
        <w:t xml:space="preserve"> </w:t>
      </w:r>
    </w:p>
    <w:p w14:paraId="61EBBDC7"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These targets build on Victoria’s success in reducing emissions so far. Victoria exceeded its emissions reduction target of 15% to 20% from 2005 levels by 2020.</w:t>
      </w:r>
      <w:r w:rsidRPr="00CA2CC1">
        <w:rPr>
          <w:rStyle w:val="EndnoteReference"/>
          <w:rFonts w:ascii="Calibri" w:hAnsi="Calibri" w:cs="Calibri"/>
        </w:rPr>
        <w:endnoteReference w:id="412"/>
      </w:r>
      <w:r w:rsidRPr="00CA2CC1">
        <w:rPr>
          <w:rFonts w:ascii="Calibri" w:hAnsi="Calibri" w:cs="Calibri"/>
        </w:rPr>
        <w:t xml:space="preserve"> Emissions decreased by 29.8% during this period.</w:t>
      </w:r>
      <w:r w:rsidRPr="00CA2CC1">
        <w:rPr>
          <w:rStyle w:val="EndnoteReference"/>
          <w:rFonts w:ascii="Calibri" w:hAnsi="Calibri" w:cs="Calibri"/>
        </w:rPr>
        <w:endnoteReference w:id="413"/>
      </w:r>
      <w:r w:rsidRPr="00CA2CC1">
        <w:rPr>
          <w:rFonts w:ascii="Calibri" w:hAnsi="Calibri" w:cs="Calibri"/>
        </w:rPr>
        <w:t xml:space="preserve"> By reducing emissions, Victoria is contributing to global efforts to reduce the severity of climate change.</w:t>
      </w:r>
    </w:p>
    <w:p w14:paraId="2BDC63F8"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Achieving action on climate change requires contributions across all infrastructure sectors. Each infrastructure sector has unique challenges and opportunities associated with reducing emissions. They also contribute differently to Victoria’s total greenhouse gas emissions. For example, transport was responsible for 25% of Victoria’s greenhouse gas emissions in 2020.</w:t>
      </w:r>
      <w:r w:rsidRPr="00CA2CC1">
        <w:rPr>
          <w:rStyle w:val="EndnoteReference"/>
          <w:rFonts w:ascii="Calibri" w:hAnsi="Calibri" w:cs="Calibri"/>
        </w:rPr>
        <w:endnoteReference w:id="414"/>
      </w:r>
      <w:r w:rsidRPr="00CA2CC1">
        <w:rPr>
          <w:rFonts w:ascii="Calibri" w:hAnsi="Calibri" w:cs="Calibri"/>
        </w:rPr>
        <w:t xml:space="preserve"> Road transport is responsible for the majority (89.5%) of transport related emissions.</w:t>
      </w:r>
      <w:r w:rsidRPr="00CA2CC1">
        <w:rPr>
          <w:rStyle w:val="EndnoteReference"/>
          <w:rFonts w:ascii="Calibri" w:hAnsi="Calibri" w:cs="Calibri"/>
        </w:rPr>
        <w:endnoteReference w:id="415"/>
      </w:r>
    </w:p>
    <w:p w14:paraId="40F3F16B"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Initiatives in the energy sector can deliver large emissions reductions over time. Victoria intends to update its renewable energy targets to 65% by 2030 and 95% by 2035.</w:t>
      </w:r>
      <w:r w:rsidRPr="00CA2CC1">
        <w:rPr>
          <w:rStyle w:val="EndnoteReference"/>
          <w:rFonts w:ascii="Calibri" w:hAnsi="Calibri" w:cs="Calibri"/>
        </w:rPr>
        <w:endnoteReference w:id="416"/>
      </w:r>
      <w:r w:rsidRPr="00CA2CC1">
        <w:rPr>
          <w:rFonts w:ascii="Calibri" w:hAnsi="Calibri" w:cs="Calibri"/>
        </w:rPr>
        <w:t xml:space="preserve"> We discuss this initiative further under Leading our transition to a clean energy economy and supporting jobs in the new energy sector. Building resilience to climate change contains climate-related initiatives in the water sector.</w:t>
      </w:r>
    </w:p>
    <w:p w14:paraId="698164EB"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The 2023–24 Budget contained new output funding of $20 million for policy capability to support Victoria’s climate action agenda.</w:t>
      </w:r>
      <w:r w:rsidRPr="00CA2CC1">
        <w:rPr>
          <w:rStyle w:val="EndnoteReference"/>
          <w:rFonts w:ascii="Calibri" w:hAnsi="Calibri" w:cs="Calibri"/>
        </w:rPr>
        <w:endnoteReference w:id="417"/>
      </w:r>
      <w:r w:rsidRPr="00CA2CC1">
        <w:rPr>
          <w:rFonts w:ascii="Calibri" w:hAnsi="Calibri" w:cs="Calibri"/>
        </w:rPr>
        <w:t xml:space="preserve"> It will be used to help legislate emissions targets, deliver the next climate change strategy and climate science report, and provide advice and analysis on Victoria’s transition to net zero.</w:t>
      </w:r>
      <w:r w:rsidRPr="00CA2CC1">
        <w:rPr>
          <w:rStyle w:val="EndnoteReference"/>
          <w:rFonts w:ascii="Calibri" w:hAnsi="Calibri" w:cs="Calibri"/>
        </w:rPr>
        <w:endnoteReference w:id="418"/>
      </w:r>
      <w:r w:rsidRPr="00CA2CC1">
        <w:rPr>
          <w:rFonts w:ascii="Calibri" w:hAnsi="Calibri" w:cs="Calibri"/>
        </w:rPr>
        <w:t xml:space="preserve"> The 2023–24  Budget also included funds to support the adaptation and resilience of Victoria’s coastal environment.</w:t>
      </w:r>
      <w:r w:rsidRPr="00CA2CC1">
        <w:rPr>
          <w:rStyle w:val="EndnoteReference"/>
          <w:rFonts w:ascii="Calibri" w:hAnsi="Calibri" w:cs="Calibri"/>
        </w:rPr>
        <w:endnoteReference w:id="419"/>
      </w:r>
      <w:r w:rsidRPr="00CA2CC1">
        <w:rPr>
          <w:rFonts w:ascii="Calibri" w:hAnsi="Calibri" w:cs="Calibri"/>
        </w:rPr>
        <w:t xml:space="preserve"> The funds will help address critical erosion and flood risks that will protect marine and coastal assets.</w:t>
      </w:r>
      <w:r w:rsidRPr="00CA2CC1">
        <w:rPr>
          <w:rStyle w:val="EndnoteReference"/>
          <w:rFonts w:ascii="Calibri" w:hAnsi="Calibri" w:cs="Calibri"/>
        </w:rPr>
        <w:endnoteReference w:id="420"/>
      </w:r>
      <w:r w:rsidRPr="00CA2CC1">
        <w:rPr>
          <w:rFonts w:ascii="Calibri" w:hAnsi="Calibri" w:cs="Calibri"/>
        </w:rPr>
        <w:t xml:space="preserve"> </w:t>
      </w:r>
    </w:p>
    <w:p w14:paraId="24097D6A"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i/>
          <w:iCs/>
        </w:rPr>
        <w:t>Victoria’s Resilient Coast – Adapting for 2100+</w:t>
      </w:r>
      <w:r w:rsidRPr="00CA2CC1">
        <w:rPr>
          <w:rFonts w:ascii="Calibri" w:hAnsi="Calibri" w:cs="Calibri"/>
        </w:rPr>
        <w:t xml:space="preserve"> also helps protect coastal assets.</w:t>
      </w:r>
      <w:r w:rsidRPr="00CA2CC1">
        <w:rPr>
          <w:rStyle w:val="EndnoteReference"/>
          <w:rFonts w:ascii="Calibri" w:hAnsi="Calibri" w:cs="Calibri"/>
        </w:rPr>
        <w:endnoteReference w:id="421"/>
      </w:r>
      <w:r w:rsidRPr="00CA2CC1">
        <w:rPr>
          <w:rFonts w:ascii="Calibri" w:hAnsi="Calibri" w:cs="Calibri"/>
        </w:rPr>
        <w:t xml:space="preserve"> In 2023, the government published a framework that establishes a strategic approach to coastal hazard risk management and adaptation.</w:t>
      </w:r>
      <w:r w:rsidRPr="00CA2CC1">
        <w:rPr>
          <w:rStyle w:val="EndnoteReference"/>
          <w:rFonts w:ascii="Calibri" w:hAnsi="Calibri" w:cs="Calibri"/>
        </w:rPr>
        <w:endnoteReference w:id="422"/>
      </w:r>
      <w:r w:rsidRPr="00CA2CC1">
        <w:rPr>
          <w:rFonts w:ascii="Calibri" w:hAnsi="Calibri" w:cs="Calibri"/>
        </w:rPr>
        <w:t xml:space="preserve"> They made grants available to help organisations pilot programs that improve coastal resilience. Round 2 of the grant program closed in March 2023.</w:t>
      </w:r>
      <w:r w:rsidRPr="00CA2CC1">
        <w:rPr>
          <w:rStyle w:val="EndnoteReference"/>
          <w:rFonts w:ascii="Calibri" w:hAnsi="Calibri" w:cs="Calibri"/>
        </w:rPr>
        <w:endnoteReference w:id="423"/>
      </w:r>
      <w:r w:rsidRPr="00CA2CC1">
        <w:rPr>
          <w:rFonts w:ascii="Calibri" w:hAnsi="Calibri" w:cs="Calibri"/>
        </w:rPr>
        <w:t xml:space="preserve"> These initiatives align to our recommendation for the government to invest in critical protection and adaptation for Victoria’s coasts.</w:t>
      </w:r>
      <w:r w:rsidRPr="00CA2CC1">
        <w:rPr>
          <w:rStyle w:val="EndnoteReference"/>
          <w:rFonts w:ascii="Calibri" w:hAnsi="Calibri" w:cs="Calibri"/>
        </w:rPr>
        <w:endnoteReference w:id="424"/>
      </w:r>
    </w:p>
    <w:p w14:paraId="1B1D1085"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 xml:space="preserve">In </w:t>
      </w:r>
      <w:r w:rsidRPr="00CA2CC1">
        <w:rPr>
          <w:rFonts w:ascii="Calibri" w:hAnsi="Calibri" w:cs="Calibri"/>
          <w:i/>
          <w:iCs/>
        </w:rPr>
        <w:t>Victoria’s infrastructure strategy 2021–2051,</w:t>
      </w:r>
      <w:r w:rsidRPr="00CA2CC1">
        <w:rPr>
          <w:rFonts w:ascii="Calibri" w:hAnsi="Calibri" w:cs="Calibri"/>
        </w:rPr>
        <w:t xml:space="preserve"> we identified the need to strategically review climate change consequences for infrastructure.</w:t>
      </w:r>
      <w:r w:rsidRPr="00CA2CC1">
        <w:rPr>
          <w:rStyle w:val="EndnoteReference"/>
          <w:rFonts w:ascii="Calibri" w:hAnsi="Calibri" w:cs="Calibri"/>
        </w:rPr>
        <w:endnoteReference w:id="425"/>
      </w:r>
      <w:r w:rsidRPr="00CA2CC1">
        <w:rPr>
          <w:rFonts w:ascii="Calibri" w:hAnsi="Calibri" w:cs="Calibri"/>
        </w:rPr>
        <w:t xml:space="preserve"> We also recommended specifying climate scenarios and carbon value in assessing infrastructure.</w:t>
      </w:r>
      <w:r w:rsidRPr="00CA2CC1">
        <w:rPr>
          <w:rStyle w:val="EndnoteReference"/>
          <w:rFonts w:ascii="Calibri" w:hAnsi="Calibri" w:cs="Calibri"/>
        </w:rPr>
        <w:t xml:space="preserve"> </w:t>
      </w:r>
      <w:r w:rsidRPr="00CA2CC1">
        <w:rPr>
          <w:rStyle w:val="EndnoteReference"/>
          <w:rFonts w:ascii="Calibri" w:hAnsi="Calibri" w:cs="Calibri"/>
        </w:rPr>
        <w:endnoteReference w:id="426"/>
      </w:r>
      <w:r w:rsidRPr="00CA2CC1">
        <w:rPr>
          <w:rFonts w:ascii="Calibri" w:hAnsi="Calibri" w:cs="Calibri"/>
        </w:rPr>
        <w:t xml:space="preserve"> Making more progress on these recommendations can help address this priority and make Victoria’s infrastructure more resilient to future extreme weather events.</w:t>
      </w:r>
    </w:p>
    <w:p w14:paraId="450F7CF5" w14:textId="77777777" w:rsidR="00373ED9" w:rsidRPr="00CA2CC1" w:rsidRDefault="00373ED9" w:rsidP="0043303B">
      <w:pPr>
        <w:pStyle w:val="IVBodyText"/>
        <w:spacing w:line="240" w:lineRule="auto"/>
        <w:rPr>
          <w:rFonts w:ascii="Calibri" w:hAnsi="Calibri" w:cs="Calibri"/>
          <w:color w:val="auto"/>
        </w:rPr>
      </w:pPr>
      <w:r w:rsidRPr="00CA2CC1">
        <w:rPr>
          <w:rFonts w:ascii="Calibri" w:hAnsi="Calibri" w:cs="Calibri"/>
          <w:color w:val="auto"/>
        </w:rPr>
        <w:t>Other jurisdictions are making progress to decarbonise infrastructure. For example, the New South Wales Government has released a decarbonising infrastructure roadmap and requires carbon value to be included in cost benefit analysis.</w:t>
      </w:r>
      <w:r w:rsidRPr="00CA2CC1">
        <w:rPr>
          <w:rStyle w:val="EndnoteReference"/>
          <w:rFonts w:ascii="Calibri" w:hAnsi="Calibri" w:cs="Calibri"/>
          <w:color w:val="auto"/>
        </w:rPr>
        <w:endnoteReference w:id="427"/>
      </w:r>
      <w:r w:rsidRPr="00CA2CC1">
        <w:rPr>
          <w:rFonts w:ascii="Calibri" w:hAnsi="Calibri" w:cs="Calibri"/>
          <w:color w:val="auto"/>
        </w:rPr>
        <w:t xml:space="preserve"> In March 2023, the Victorian Government requested Infrastructure Victoria’s advice on opportunities to reduce the greenhouse gas emissions of future public infrastructure investments. The advice will consider how policies and guidelines can better account for the greenhouse gas emissions produced in the design, investment, construction, maintenance, and end of life of Victoria’s infrastructure. Our final advice to government is due by September 2023.</w:t>
      </w:r>
      <w:r w:rsidRPr="00CA2CC1">
        <w:rPr>
          <w:rStyle w:val="EndnoteReference"/>
          <w:rFonts w:ascii="Calibri" w:hAnsi="Calibri" w:cs="Calibri"/>
          <w:color w:val="auto"/>
        </w:rPr>
        <w:endnoteReference w:id="428"/>
      </w:r>
      <w:r w:rsidRPr="00CA2CC1">
        <w:rPr>
          <w:rFonts w:ascii="Calibri" w:hAnsi="Calibri" w:cs="Calibri"/>
          <w:color w:val="auto"/>
        </w:rPr>
        <w:t xml:space="preserve"> </w:t>
      </w:r>
    </w:p>
    <w:p w14:paraId="026865F9" w14:textId="77777777" w:rsidR="00373ED9" w:rsidRPr="00CA2CC1" w:rsidRDefault="00373ED9" w:rsidP="0043303B">
      <w:pPr>
        <w:pStyle w:val="Heading2"/>
        <w:rPr>
          <w:rFonts w:cs="Calibri"/>
        </w:rPr>
      </w:pPr>
      <w:bookmarkStart w:id="84" w:name="_Toc109662752"/>
      <w:r w:rsidRPr="00CA2CC1">
        <w:rPr>
          <w:rFonts w:cs="Calibri"/>
        </w:rPr>
        <w:t>Improving resource recovery and waste management</w:t>
      </w:r>
      <w:bookmarkEnd w:id="84"/>
    </w:p>
    <w:p w14:paraId="7A1CBAC6" w14:textId="77777777" w:rsidR="00373ED9" w:rsidRPr="00CA2CC1" w:rsidRDefault="00373ED9" w:rsidP="0043303B">
      <w:pPr>
        <w:pStyle w:val="Heading3"/>
        <w:rPr>
          <w:rFonts w:cs="Calibri"/>
        </w:rPr>
      </w:pPr>
      <w:r w:rsidRPr="00CA2CC1">
        <w:rPr>
          <w:rFonts w:cs="Calibri"/>
        </w:rPr>
        <w:t xml:space="preserve">Priority description from the </w:t>
      </w:r>
      <w:r w:rsidRPr="00CA2CC1">
        <w:rPr>
          <w:rFonts w:cs="Calibri"/>
          <w:i/>
          <w:iCs/>
        </w:rPr>
        <w:t>Victorian infrastructure plan 2021</w:t>
      </w:r>
    </w:p>
    <w:p w14:paraId="3B363C69" w14:textId="77777777" w:rsidR="00373ED9" w:rsidRPr="00CA2CC1" w:rsidRDefault="00373ED9" w:rsidP="0043303B">
      <w:pPr>
        <w:pStyle w:val="IVBodyText"/>
        <w:spacing w:line="240" w:lineRule="auto"/>
        <w:rPr>
          <w:rFonts w:ascii="Calibri" w:hAnsi="Calibri" w:cs="Calibri"/>
          <w:b/>
          <w:bCs/>
          <w:color w:val="auto"/>
        </w:rPr>
      </w:pPr>
      <w:r w:rsidRPr="00CA2CC1">
        <w:rPr>
          <w:rFonts w:ascii="Calibri" w:hAnsi="Calibri" w:cs="Calibri"/>
          <w:b/>
          <w:bCs/>
          <w:color w:val="auto"/>
        </w:rPr>
        <w:t xml:space="preserve">The Victorian Government’s circular economy policy, </w:t>
      </w:r>
      <w:r w:rsidRPr="00CA2CC1">
        <w:rPr>
          <w:rFonts w:ascii="Calibri" w:hAnsi="Calibri" w:cs="Calibri"/>
          <w:b/>
          <w:bCs/>
          <w:i/>
          <w:iCs/>
          <w:color w:val="auto"/>
        </w:rPr>
        <w:t>Recycling Victoria: a new economy,</w:t>
      </w:r>
      <w:r w:rsidRPr="00CA2CC1">
        <w:rPr>
          <w:rFonts w:ascii="Calibri" w:hAnsi="Calibri" w:cs="Calibri"/>
          <w:b/>
          <w:bCs/>
          <w:color w:val="auto"/>
        </w:rPr>
        <w:t xml:space="preserve"> is driving reform in recycling and waste resource recovery. Long-term planning and investment in waste management will ensure Victoria has efficient and sustainable resource recovery systems to make the most of our finite resources.</w:t>
      </w:r>
    </w:p>
    <w:p w14:paraId="2AB869ED" w14:textId="77777777" w:rsidR="00373ED9" w:rsidRPr="00CA2CC1" w:rsidRDefault="00373ED9" w:rsidP="0043303B">
      <w:pPr>
        <w:pStyle w:val="Heading3"/>
        <w:rPr>
          <w:rFonts w:cs="Calibri"/>
        </w:rPr>
      </w:pPr>
      <w:r w:rsidRPr="00CA2CC1">
        <w:rPr>
          <w:rFonts w:cs="Calibri"/>
        </w:rPr>
        <w:t>Victorian Government progress in 2022–23</w:t>
      </w:r>
    </w:p>
    <w:p w14:paraId="7FC48482"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This priority seeks to improve resource recovery and waste management in Victoria. It focuses on transitioning to a circular economy by long-term planning and investing in waste management. A circular economy can increase the demand for recycled materials and improve the quality of recyclable material collected.</w:t>
      </w:r>
      <w:r w:rsidRPr="00CA2CC1">
        <w:rPr>
          <w:rStyle w:val="EndnoteReference"/>
          <w:rFonts w:ascii="Calibri" w:hAnsi="Calibri" w:cs="Calibri"/>
        </w:rPr>
        <w:endnoteReference w:id="429"/>
      </w:r>
      <w:r w:rsidRPr="00CA2CC1">
        <w:rPr>
          <w:rFonts w:ascii="Calibri" w:hAnsi="Calibri" w:cs="Calibri"/>
        </w:rPr>
        <w:t xml:space="preserve"> </w:t>
      </w:r>
      <w:r w:rsidRPr="00CA2CC1">
        <w:rPr>
          <w:rFonts w:ascii="Calibri" w:hAnsi="Calibri" w:cs="Calibri"/>
          <w:i/>
          <w:iCs/>
        </w:rPr>
        <w:t>Recycling Victoria: a new economy</w:t>
      </w:r>
      <w:r w:rsidRPr="00CA2CC1">
        <w:rPr>
          <w:rFonts w:ascii="Calibri" w:hAnsi="Calibri" w:cs="Calibri"/>
        </w:rPr>
        <w:t xml:space="preserve"> outlines the government’s approach to reducing waste, including by increasing recycling and extracting more value from Victoria’s resources.</w:t>
      </w:r>
      <w:r w:rsidRPr="00CA2CC1">
        <w:rPr>
          <w:rStyle w:val="EndnoteReference"/>
          <w:rFonts w:ascii="Calibri" w:hAnsi="Calibri" w:cs="Calibri"/>
        </w:rPr>
        <w:endnoteReference w:id="430"/>
      </w:r>
      <w:r w:rsidRPr="00CA2CC1">
        <w:rPr>
          <w:rFonts w:ascii="Calibri" w:hAnsi="Calibri" w:cs="Calibri"/>
        </w:rPr>
        <w:t xml:space="preserve"> </w:t>
      </w:r>
    </w:p>
    <w:p w14:paraId="311C6025"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Victoria’s recycling infrastructure capacity increased by 1,480,000 tonnes in 2022–23. The government has a target to increase this by 2,000,000 tonnes in 2023–24.</w:t>
      </w:r>
      <w:r w:rsidRPr="00CA2CC1">
        <w:rPr>
          <w:rStyle w:val="EndnoteReference"/>
          <w:rFonts w:ascii="Calibri" w:hAnsi="Calibri" w:cs="Calibri"/>
        </w:rPr>
        <w:endnoteReference w:id="431"/>
      </w:r>
      <w:r w:rsidRPr="00CA2CC1">
        <w:rPr>
          <w:rFonts w:ascii="Calibri" w:hAnsi="Calibri" w:cs="Calibri"/>
        </w:rPr>
        <w:t xml:space="preserve"> As of April 2023, 63% of local councils collect food organics and garden organics with kerbside collection services.</w:t>
      </w:r>
      <w:r w:rsidRPr="00CA2CC1">
        <w:rPr>
          <w:rStyle w:val="EndnoteReference"/>
          <w:rFonts w:ascii="Calibri" w:hAnsi="Calibri" w:cs="Calibri"/>
        </w:rPr>
        <w:endnoteReference w:id="432"/>
      </w:r>
      <w:r w:rsidRPr="00CA2CC1">
        <w:rPr>
          <w:rFonts w:ascii="Calibri" w:hAnsi="Calibri" w:cs="Calibri"/>
        </w:rPr>
        <w:t xml:space="preserve"> However, the Victorian Government estimates only 33% of Victorian households had access to organic food and garden waste recycling services in 2022–23.</w:t>
      </w:r>
      <w:r w:rsidRPr="00CA2CC1">
        <w:rPr>
          <w:rStyle w:val="EndnoteReference"/>
          <w:rFonts w:ascii="Calibri" w:hAnsi="Calibri" w:cs="Calibri"/>
        </w:rPr>
        <w:endnoteReference w:id="433"/>
      </w:r>
      <w:r w:rsidRPr="00CA2CC1">
        <w:rPr>
          <w:rFonts w:ascii="Calibri" w:hAnsi="Calibri" w:cs="Calibri"/>
        </w:rPr>
        <w:t xml:space="preserve"> Similarly, only 16% of Victorian households had access to separated glass recycling services in 2022–23.</w:t>
      </w:r>
      <w:r w:rsidRPr="00CA2CC1">
        <w:rPr>
          <w:rStyle w:val="EndnoteReference"/>
          <w:rFonts w:ascii="Calibri" w:hAnsi="Calibri" w:cs="Calibri"/>
        </w:rPr>
        <w:endnoteReference w:id="434"/>
      </w:r>
      <w:r w:rsidRPr="00CA2CC1">
        <w:rPr>
          <w:rFonts w:ascii="Calibri" w:hAnsi="Calibri" w:cs="Calibri"/>
        </w:rPr>
        <w:t xml:space="preserve"> The Victorian Government consulted on kerbside reform to support the rollout of the new standardised 4-stream waste and recycling system.</w:t>
      </w:r>
      <w:r w:rsidRPr="00CA2CC1">
        <w:rPr>
          <w:rStyle w:val="EndnoteReference"/>
          <w:rFonts w:ascii="Calibri" w:hAnsi="Calibri" w:cs="Calibri"/>
        </w:rPr>
        <w:endnoteReference w:id="435"/>
      </w:r>
    </w:p>
    <w:p w14:paraId="28A13B18"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The government released regional circular economy plans in October 2022 to support the delivery of</w:t>
      </w:r>
      <w:r w:rsidRPr="00CA2CC1">
        <w:rPr>
          <w:rFonts w:ascii="Calibri" w:hAnsi="Calibri" w:cs="Calibri"/>
          <w:i/>
          <w:iCs/>
        </w:rPr>
        <w:t xml:space="preserve"> Recycling Victoria: a new economy</w:t>
      </w:r>
      <w:r w:rsidRPr="00CA2CC1">
        <w:rPr>
          <w:rFonts w:ascii="Calibri" w:hAnsi="Calibri" w:cs="Calibri"/>
        </w:rPr>
        <w:t>.</w:t>
      </w:r>
      <w:r w:rsidRPr="00CA2CC1">
        <w:rPr>
          <w:rStyle w:val="EndnoteReference"/>
          <w:rFonts w:ascii="Calibri" w:hAnsi="Calibri" w:cs="Calibri"/>
        </w:rPr>
        <w:endnoteReference w:id="436"/>
      </w:r>
      <w:r w:rsidRPr="00CA2CC1">
        <w:rPr>
          <w:rFonts w:ascii="Calibri" w:hAnsi="Calibri" w:cs="Calibri"/>
        </w:rPr>
        <w:t xml:space="preserve"> The plans aspire to create a sustainable and circular economy,</w:t>
      </w:r>
      <w:r w:rsidRPr="00CA2CC1">
        <w:rPr>
          <w:rStyle w:val="EndnoteReference"/>
          <w:rFonts w:ascii="Calibri" w:hAnsi="Calibri" w:cs="Calibri"/>
        </w:rPr>
        <w:endnoteReference w:id="437"/>
      </w:r>
      <w:r w:rsidRPr="00CA2CC1">
        <w:rPr>
          <w:rFonts w:ascii="Calibri" w:hAnsi="Calibri" w:cs="Calibri"/>
        </w:rPr>
        <w:t xml:space="preserve"> and identify regional waste and recycling priorities.</w:t>
      </w:r>
      <w:r w:rsidRPr="00CA2CC1">
        <w:rPr>
          <w:rStyle w:val="EndnoteReference"/>
          <w:rFonts w:ascii="Calibri" w:hAnsi="Calibri" w:cs="Calibri"/>
        </w:rPr>
        <w:endnoteReference w:id="438"/>
      </w:r>
      <w:r w:rsidRPr="00CA2CC1">
        <w:rPr>
          <w:rFonts w:ascii="Calibri" w:hAnsi="Calibri" w:cs="Calibri"/>
        </w:rPr>
        <w:t xml:space="preserve"> Their priorities include new or upgraded recycling programs, expanding local markets for recycled materials, and education or behaviour change programs.</w:t>
      </w:r>
      <w:r w:rsidRPr="00CA2CC1">
        <w:rPr>
          <w:rStyle w:val="EndnoteReference"/>
          <w:rFonts w:ascii="Calibri" w:hAnsi="Calibri" w:cs="Calibri"/>
        </w:rPr>
        <w:endnoteReference w:id="439"/>
      </w:r>
      <w:r w:rsidRPr="00CA2CC1">
        <w:rPr>
          <w:rFonts w:ascii="Calibri" w:hAnsi="Calibri" w:cs="Calibri"/>
        </w:rPr>
        <w:t xml:space="preserve"> For example, the </w:t>
      </w:r>
      <w:r w:rsidRPr="00CA2CC1">
        <w:rPr>
          <w:rFonts w:ascii="Calibri" w:hAnsi="Calibri" w:cs="Calibri"/>
          <w:i/>
        </w:rPr>
        <w:t>Gippsland Regional Circular Economy Plan</w:t>
      </w:r>
      <w:r w:rsidRPr="00CA2CC1">
        <w:rPr>
          <w:rFonts w:ascii="Calibri" w:hAnsi="Calibri" w:cs="Calibri"/>
        </w:rPr>
        <w:t xml:space="preserve"> lists a priority to improve organics processing capability and capacity.</w:t>
      </w:r>
      <w:r w:rsidRPr="00CA2CC1">
        <w:rPr>
          <w:rStyle w:val="EndnoteReference"/>
          <w:rFonts w:ascii="Calibri" w:hAnsi="Calibri" w:cs="Calibri"/>
        </w:rPr>
        <w:endnoteReference w:id="440"/>
      </w:r>
      <w:r w:rsidRPr="00CA2CC1">
        <w:rPr>
          <w:rFonts w:ascii="Calibri" w:hAnsi="Calibri" w:cs="Calibri"/>
        </w:rPr>
        <w:t xml:space="preserve"> It lists better infrastructure as an enabler that can help the region achieve that priority.</w:t>
      </w:r>
      <w:r w:rsidRPr="00CA2CC1">
        <w:rPr>
          <w:rStyle w:val="EndnoteReference"/>
          <w:rFonts w:ascii="Calibri" w:hAnsi="Calibri" w:cs="Calibri"/>
        </w:rPr>
        <w:endnoteReference w:id="441"/>
      </w:r>
    </w:p>
    <w:p w14:paraId="4C64BE6A"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 xml:space="preserve">Recycling Victoria, established under the </w:t>
      </w:r>
      <w:r w:rsidRPr="00CA2CC1">
        <w:rPr>
          <w:rFonts w:ascii="Calibri" w:hAnsi="Calibri" w:cs="Calibri"/>
          <w:i/>
          <w:iCs/>
        </w:rPr>
        <w:t>Circular Economy (Waste Reduction and Recycling) Act 2021</w:t>
      </w:r>
      <w:r w:rsidRPr="00CA2CC1">
        <w:rPr>
          <w:rFonts w:ascii="Calibri" w:hAnsi="Calibri" w:cs="Calibri"/>
        </w:rPr>
        <w:t>, started operating on 1 July 2022.</w:t>
      </w:r>
      <w:r w:rsidRPr="00CA2CC1">
        <w:rPr>
          <w:rStyle w:val="EndnoteReference"/>
          <w:rFonts w:ascii="Calibri" w:hAnsi="Calibri" w:cs="Calibri"/>
        </w:rPr>
        <w:endnoteReference w:id="442"/>
      </w:r>
      <w:r w:rsidRPr="00CA2CC1">
        <w:rPr>
          <w:rFonts w:ascii="Calibri" w:hAnsi="Calibri" w:cs="Calibri"/>
        </w:rPr>
        <w:t xml:space="preserve"> It will oversee and regulate the waste and recycling sector.</w:t>
      </w:r>
      <w:r w:rsidRPr="00CA2CC1">
        <w:rPr>
          <w:rStyle w:val="EndnoteReference"/>
          <w:rFonts w:ascii="Calibri" w:hAnsi="Calibri" w:cs="Calibri"/>
        </w:rPr>
        <w:endnoteReference w:id="443"/>
      </w:r>
      <w:r w:rsidRPr="00CA2CC1">
        <w:rPr>
          <w:rFonts w:ascii="Calibri" w:hAnsi="Calibri" w:cs="Calibri"/>
        </w:rPr>
        <w:t xml:space="preserve"> It will initially help councils and alpine regions with strategic procurement and contract management.</w:t>
      </w:r>
      <w:r w:rsidRPr="00CA2CC1">
        <w:rPr>
          <w:rStyle w:val="EndnoteReference"/>
          <w:rFonts w:ascii="Calibri" w:hAnsi="Calibri" w:cs="Calibri"/>
        </w:rPr>
        <w:endnoteReference w:id="444"/>
      </w:r>
      <w:r w:rsidRPr="00CA2CC1">
        <w:rPr>
          <w:rFonts w:ascii="Calibri" w:hAnsi="Calibri" w:cs="Calibri"/>
        </w:rPr>
        <w:t xml:space="preserve"> Recycling Victoria is also developing the Victorian recycling infrastructure plan, expected in 2024.</w:t>
      </w:r>
      <w:r w:rsidRPr="00CA2CC1">
        <w:rPr>
          <w:rStyle w:val="EndnoteReference"/>
          <w:rFonts w:ascii="Calibri" w:hAnsi="Calibri" w:cs="Calibri"/>
        </w:rPr>
        <w:endnoteReference w:id="445"/>
      </w:r>
      <w:r w:rsidRPr="00CA2CC1">
        <w:rPr>
          <w:rFonts w:ascii="Calibri" w:hAnsi="Calibri" w:cs="Calibri"/>
        </w:rPr>
        <w:t xml:space="preserve"> This will plan for long-term, strategic infrastructure for waste and recycling.</w:t>
      </w:r>
      <w:r w:rsidRPr="00CA2CC1">
        <w:rPr>
          <w:rStyle w:val="EndnoteReference"/>
          <w:rFonts w:ascii="Calibri" w:hAnsi="Calibri" w:cs="Calibri"/>
        </w:rPr>
        <w:endnoteReference w:id="446"/>
      </w:r>
    </w:p>
    <w:p w14:paraId="4FE9D946"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 xml:space="preserve">The </w:t>
      </w:r>
      <w:r w:rsidRPr="00CA2CC1">
        <w:rPr>
          <w:rFonts w:ascii="Calibri" w:hAnsi="Calibri" w:cs="Calibri"/>
          <w:i/>
          <w:iCs/>
        </w:rPr>
        <w:t xml:space="preserve">Circular Economy (Waste Reduction and Recycling) Act 2021 </w:t>
      </w:r>
      <w:r w:rsidRPr="00CA2CC1">
        <w:rPr>
          <w:rFonts w:ascii="Calibri" w:hAnsi="Calibri" w:cs="Calibri"/>
        </w:rPr>
        <w:t>also legislated a container deposit scheme.</w:t>
      </w:r>
      <w:r w:rsidRPr="00CA2CC1">
        <w:rPr>
          <w:rStyle w:val="EndnoteReference"/>
          <w:rFonts w:ascii="Calibri" w:hAnsi="Calibri" w:cs="Calibri"/>
        </w:rPr>
        <w:endnoteReference w:id="447"/>
      </w:r>
      <w:r w:rsidRPr="00CA2CC1">
        <w:rPr>
          <w:rFonts w:ascii="Calibri" w:hAnsi="Calibri" w:cs="Calibri"/>
        </w:rPr>
        <w:t xml:space="preserve"> Container deposit schemes use a cash reward to encourage people to recycle used bottles, cans, and other drink containers. The Victorian Government announced in April 2023 that a container deposit scheme will begin on 1 November 2023.</w:t>
      </w:r>
      <w:r w:rsidRPr="00CA2CC1">
        <w:rPr>
          <w:rStyle w:val="EndnoteReference"/>
          <w:rFonts w:ascii="Calibri" w:hAnsi="Calibri" w:cs="Calibri"/>
        </w:rPr>
        <w:endnoteReference w:id="448"/>
      </w:r>
      <w:r w:rsidRPr="00CA2CC1">
        <w:rPr>
          <w:rFonts w:ascii="Calibri" w:hAnsi="Calibri" w:cs="Calibri"/>
        </w:rPr>
        <w:t xml:space="preserve"> They expect the scheme to reduce litter by up to 50%.</w:t>
      </w:r>
      <w:r w:rsidRPr="00CA2CC1">
        <w:rPr>
          <w:rStyle w:val="EndnoteReference"/>
          <w:rFonts w:ascii="Calibri" w:hAnsi="Calibri" w:cs="Calibri"/>
        </w:rPr>
        <w:endnoteReference w:id="449"/>
      </w:r>
    </w:p>
    <w:p w14:paraId="59413A6E"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A ban on the sale or supply of certain single use plastics started on 1 February 2023.</w:t>
      </w:r>
      <w:r w:rsidRPr="00CA2CC1">
        <w:rPr>
          <w:rStyle w:val="EndnoteReference"/>
          <w:rFonts w:ascii="Calibri" w:hAnsi="Calibri" w:cs="Calibri"/>
        </w:rPr>
        <w:endnoteReference w:id="450"/>
      </w:r>
      <w:r w:rsidRPr="00CA2CC1">
        <w:rPr>
          <w:rFonts w:ascii="Calibri" w:hAnsi="Calibri" w:cs="Calibri"/>
        </w:rPr>
        <w:t xml:space="preserve"> The ban applies to drinking straws, cutlery, plates, and drink-stirrers.</w:t>
      </w:r>
      <w:r w:rsidRPr="00CA2CC1">
        <w:rPr>
          <w:rStyle w:val="EndnoteReference"/>
          <w:rFonts w:ascii="Calibri" w:hAnsi="Calibri" w:cs="Calibri"/>
        </w:rPr>
        <w:endnoteReference w:id="451"/>
      </w:r>
      <w:r w:rsidRPr="00CA2CC1">
        <w:rPr>
          <w:rFonts w:ascii="Calibri" w:hAnsi="Calibri" w:cs="Calibri"/>
        </w:rPr>
        <w:t xml:space="preserve"> Single use plastics are difficult and expensive to recycle and can contaminate materials for recycling.</w:t>
      </w:r>
      <w:r w:rsidRPr="00CA2CC1">
        <w:rPr>
          <w:rStyle w:val="EndnoteReference"/>
          <w:rFonts w:ascii="Calibri" w:hAnsi="Calibri" w:cs="Calibri"/>
        </w:rPr>
        <w:endnoteReference w:id="452"/>
      </w:r>
      <w:r w:rsidRPr="00CA2CC1">
        <w:rPr>
          <w:rFonts w:ascii="Calibri" w:hAnsi="Calibri" w:cs="Calibri"/>
        </w:rPr>
        <w:t xml:space="preserve"> They can often be easily replaced with reusable products, helping to reduce plastic pollution.</w:t>
      </w:r>
      <w:r w:rsidRPr="00CA2CC1">
        <w:rPr>
          <w:rStyle w:val="EndnoteReference"/>
          <w:rFonts w:ascii="Calibri" w:hAnsi="Calibri" w:cs="Calibri"/>
        </w:rPr>
        <w:endnoteReference w:id="453"/>
      </w:r>
    </w:p>
    <w:p w14:paraId="366B6C4C"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Sustainability Victoria delivered several grants and programs to help the community and organisations, such as local councils, improve recycling and reduce waste. For example, it completed round 3 of the Circular Economy Household Education Fund in March 2023.</w:t>
      </w:r>
      <w:r w:rsidRPr="00CA2CC1">
        <w:rPr>
          <w:rStyle w:val="EndnoteReference"/>
          <w:rFonts w:ascii="Calibri" w:hAnsi="Calibri" w:cs="Calibri"/>
        </w:rPr>
        <w:endnoteReference w:id="454"/>
      </w:r>
    </w:p>
    <w:p w14:paraId="52266D62" w14:textId="77777777" w:rsidR="00373ED9" w:rsidRPr="00CA2CC1" w:rsidRDefault="00373ED9" w:rsidP="0043303B">
      <w:pPr>
        <w:pStyle w:val="IVBodyText"/>
        <w:spacing w:line="240" w:lineRule="auto"/>
        <w:rPr>
          <w:rFonts w:ascii="Calibri" w:hAnsi="Calibri" w:cs="Calibri"/>
          <w:color w:val="auto"/>
        </w:rPr>
      </w:pPr>
      <w:r w:rsidRPr="00CA2CC1">
        <w:rPr>
          <w:rFonts w:ascii="Calibri" w:hAnsi="Calibri" w:cs="Calibri"/>
        </w:rPr>
        <w:t>In V</w:t>
      </w:r>
      <w:r w:rsidRPr="00CA2CC1">
        <w:rPr>
          <w:rFonts w:ascii="Calibri" w:hAnsi="Calibri" w:cs="Calibri"/>
          <w:i/>
          <w:iCs/>
        </w:rPr>
        <w:t xml:space="preserve">ictoria’s infrastructure strategy 2021–2051, </w:t>
      </w:r>
      <w:r w:rsidRPr="00CA2CC1">
        <w:rPr>
          <w:rFonts w:ascii="Calibri" w:hAnsi="Calibri" w:cs="Calibri"/>
        </w:rPr>
        <w:t>we recommended the Victorian Government reduce waste and improve waste and recycling infrastructure planning.</w:t>
      </w:r>
      <w:r w:rsidRPr="00CA2CC1">
        <w:rPr>
          <w:rStyle w:val="EndnoteReference"/>
          <w:rFonts w:ascii="Calibri" w:hAnsi="Calibri" w:cs="Calibri"/>
        </w:rPr>
        <w:endnoteReference w:id="455"/>
      </w:r>
      <w:r w:rsidRPr="00CA2CC1">
        <w:rPr>
          <w:rFonts w:ascii="Calibri" w:hAnsi="Calibri" w:cs="Calibri"/>
        </w:rPr>
        <w:t xml:space="preserve"> This includes consistently investing in waste avoidance through behaviour change programs, pricing, regulations and other incentives.</w:t>
      </w:r>
      <w:r w:rsidRPr="00CA2CC1">
        <w:rPr>
          <w:rStyle w:val="EndnoteReference"/>
          <w:rFonts w:ascii="Calibri" w:hAnsi="Calibri" w:cs="Calibri"/>
        </w:rPr>
        <w:endnoteReference w:id="456"/>
      </w:r>
      <w:r w:rsidRPr="00CA2CC1">
        <w:rPr>
          <w:rFonts w:ascii="Calibri" w:hAnsi="Calibri" w:cs="Calibri"/>
        </w:rPr>
        <w:t xml:space="preserve"> In 2020, we advised the Victorian Government on the benefits and priorities for investing in recycling and resource recovery infrastructure.</w:t>
      </w:r>
      <w:r w:rsidRPr="00CA2CC1">
        <w:rPr>
          <w:rStyle w:val="EndnoteReference"/>
          <w:rFonts w:ascii="Calibri" w:hAnsi="Calibri" w:cs="Calibri"/>
        </w:rPr>
        <w:endnoteReference w:id="457"/>
      </w:r>
    </w:p>
    <w:p w14:paraId="3F3836C5" w14:textId="77777777" w:rsidR="00373ED9" w:rsidRPr="00CA2CC1" w:rsidRDefault="00373ED9" w:rsidP="0043303B">
      <w:pPr>
        <w:pStyle w:val="Heading1"/>
        <w:rPr>
          <w:rFonts w:cs="Calibri"/>
        </w:rPr>
      </w:pPr>
      <w:bookmarkStart w:id="87" w:name="_Toc109662753"/>
      <w:r w:rsidRPr="00CA2CC1">
        <w:rPr>
          <w:rFonts w:cs="Calibri"/>
        </w:rPr>
        <w:t>Health and human services</w:t>
      </w:r>
      <w:bookmarkEnd w:id="87"/>
    </w:p>
    <w:p w14:paraId="6A9A0233" w14:textId="77777777" w:rsidR="00373ED9" w:rsidRPr="00CA2CC1" w:rsidRDefault="00373ED9" w:rsidP="0043303B">
      <w:pPr>
        <w:pStyle w:val="IVIntrotext"/>
        <w:spacing w:line="240" w:lineRule="auto"/>
        <w:rPr>
          <w:rFonts w:cs="Calibri"/>
          <w:color w:val="auto"/>
          <w:highlight w:val="yellow"/>
        </w:rPr>
      </w:pPr>
      <w:r w:rsidRPr="00CA2CC1">
        <w:rPr>
          <w:rFonts w:cs="Calibri"/>
          <w:color w:val="auto"/>
        </w:rPr>
        <w:t>Victoria’s health and human services systems deliver high standards of care and outcomes. But these systems are under growing pressure – from unprecedented population growth and ageing, from the rise in chronic disease, the ongoing impacts of COVID-19 and the increasingly complex needs of the Victorian community.</w:t>
      </w:r>
    </w:p>
    <w:p w14:paraId="3153482D" w14:textId="77777777" w:rsidR="00373ED9" w:rsidRPr="00CA2CC1" w:rsidRDefault="00373ED9" w:rsidP="0043303B">
      <w:pPr>
        <w:pStyle w:val="IVBodyText"/>
        <w:spacing w:line="240" w:lineRule="auto"/>
        <w:rPr>
          <w:rFonts w:ascii="Calibri" w:hAnsi="Calibri" w:cs="Calibri"/>
          <w:color w:val="auto"/>
        </w:rPr>
      </w:pPr>
      <w:r w:rsidRPr="00CA2CC1">
        <w:rPr>
          <w:rFonts w:ascii="Calibri" w:hAnsi="Calibri" w:cs="Calibri"/>
          <w:color w:val="auto"/>
        </w:rPr>
        <w:t xml:space="preserve">The </w:t>
      </w:r>
      <w:r w:rsidRPr="00CA2CC1">
        <w:rPr>
          <w:rFonts w:ascii="Calibri" w:hAnsi="Calibri" w:cs="Calibri"/>
          <w:i/>
          <w:iCs/>
          <w:color w:val="auto"/>
        </w:rPr>
        <w:t xml:space="preserve">Victorian infrastructure plan 2021 </w:t>
      </w:r>
      <w:r w:rsidRPr="00CA2CC1">
        <w:rPr>
          <w:rFonts w:ascii="Calibri" w:hAnsi="Calibri" w:cs="Calibri"/>
          <w:color w:val="auto"/>
        </w:rPr>
        <w:t>includes 6 priorities for the health and human services sector:</w:t>
      </w:r>
    </w:p>
    <w:p w14:paraId="6304C488" w14:textId="77777777" w:rsidR="00373ED9" w:rsidRPr="00CA2CC1" w:rsidRDefault="00373ED9" w:rsidP="0043303B">
      <w:pPr>
        <w:pStyle w:val="IVBodyText"/>
        <w:numPr>
          <w:ilvl w:val="0"/>
          <w:numId w:val="52"/>
        </w:numPr>
        <w:spacing w:line="240" w:lineRule="auto"/>
        <w:rPr>
          <w:rFonts w:ascii="Calibri" w:hAnsi="Calibri" w:cs="Calibri"/>
          <w:color w:val="auto"/>
        </w:rPr>
      </w:pPr>
      <w:r w:rsidRPr="00CA2CC1">
        <w:rPr>
          <w:rFonts w:ascii="Calibri" w:hAnsi="Calibri" w:cs="Calibri"/>
          <w:color w:val="auto"/>
        </w:rPr>
        <w:t>building a proactive system than anticipates demand</w:t>
      </w:r>
    </w:p>
    <w:p w14:paraId="48F47B9C" w14:textId="77777777" w:rsidR="00373ED9" w:rsidRPr="00CA2CC1" w:rsidRDefault="00373ED9" w:rsidP="0043303B">
      <w:pPr>
        <w:pStyle w:val="IVBodyText"/>
        <w:numPr>
          <w:ilvl w:val="0"/>
          <w:numId w:val="52"/>
        </w:numPr>
        <w:spacing w:line="240" w:lineRule="auto"/>
        <w:rPr>
          <w:rFonts w:ascii="Calibri" w:hAnsi="Calibri" w:cs="Calibri"/>
          <w:color w:val="auto"/>
        </w:rPr>
      </w:pPr>
      <w:r w:rsidRPr="00CA2CC1">
        <w:rPr>
          <w:rFonts w:ascii="Calibri" w:hAnsi="Calibri" w:cs="Calibri"/>
          <w:color w:val="auto"/>
        </w:rPr>
        <w:t>driving system-wide reform for safer, better services</w:t>
      </w:r>
    </w:p>
    <w:p w14:paraId="6636E038" w14:textId="77777777" w:rsidR="00373ED9" w:rsidRPr="00CA2CC1" w:rsidRDefault="00373ED9" w:rsidP="0043303B">
      <w:pPr>
        <w:pStyle w:val="IVBodyText"/>
        <w:numPr>
          <w:ilvl w:val="0"/>
          <w:numId w:val="52"/>
        </w:numPr>
        <w:spacing w:line="240" w:lineRule="auto"/>
        <w:rPr>
          <w:rFonts w:ascii="Calibri" w:hAnsi="Calibri" w:cs="Calibri"/>
          <w:color w:val="auto"/>
        </w:rPr>
      </w:pPr>
      <w:r w:rsidRPr="00CA2CC1">
        <w:rPr>
          <w:rFonts w:ascii="Calibri" w:hAnsi="Calibri" w:cs="Calibri"/>
          <w:color w:val="auto"/>
        </w:rPr>
        <w:t>integrating care across the health and social service system</w:t>
      </w:r>
    </w:p>
    <w:p w14:paraId="6244A84C" w14:textId="77777777" w:rsidR="00373ED9" w:rsidRPr="00CA2CC1" w:rsidRDefault="00373ED9" w:rsidP="0043303B">
      <w:pPr>
        <w:pStyle w:val="IVBodyText"/>
        <w:numPr>
          <w:ilvl w:val="0"/>
          <w:numId w:val="52"/>
        </w:numPr>
        <w:spacing w:line="240" w:lineRule="auto"/>
        <w:rPr>
          <w:rFonts w:ascii="Calibri" w:hAnsi="Calibri" w:cs="Calibri"/>
          <w:color w:val="auto"/>
        </w:rPr>
      </w:pPr>
      <w:r w:rsidRPr="00CA2CC1">
        <w:rPr>
          <w:rFonts w:ascii="Calibri" w:hAnsi="Calibri" w:cs="Calibri"/>
          <w:color w:val="auto"/>
        </w:rPr>
        <w:t>improving equity and access</w:t>
      </w:r>
    </w:p>
    <w:p w14:paraId="7EF95149" w14:textId="77777777" w:rsidR="00373ED9" w:rsidRPr="00CA2CC1" w:rsidRDefault="00373ED9" w:rsidP="0043303B">
      <w:pPr>
        <w:pStyle w:val="IVBodyText"/>
        <w:numPr>
          <w:ilvl w:val="0"/>
          <w:numId w:val="52"/>
        </w:numPr>
        <w:spacing w:line="240" w:lineRule="auto"/>
        <w:rPr>
          <w:rFonts w:ascii="Calibri" w:hAnsi="Calibri" w:cs="Calibri"/>
          <w:color w:val="auto"/>
        </w:rPr>
      </w:pPr>
      <w:r w:rsidRPr="00CA2CC1">
        <w:rPr>
          <w:rFonts w:ascii="Calibri" w:hAnsi="Calibri" w:cs="Calibri"/>
          <w:color w:val="auto"/>
        </w:rPr>
        <w:t>investing in the future</w:t>
      </w:r>
    </w:p>
    <w:p w14:paraId="3DB04A04" w14:textId="77777777" w:rsidR="00373ED9" w:rsidRPr="00CA2CC1" w:rsidRDefault="00373ED9" w:rsidP="0043303B">
      <w:pPr>
        <w:pStyle w:val="IVBodyText"/>
        <w:numPr>
          <w:ilvl w:val="0"/>
          <w:numId w:val="52"/>
        </w:numPr>
        <w:spacing w:line="240" w:lineRule="auto"/>
        <w:rPr>
          <w:rFonts w:ascii="Calibri" w:hAnsi="Calibri" w:cs="Calibri"/>
          <w:color w:val="auto"/>
        </w:rPr>
      </w:pPr>
      <w:r w:rsidRPr="00CA2CC1">
        <w:rPr>
          <w:rFonts w:ascii="Calibri" w:hAnsi="Calibri" w:cs="Calibri"/>
          <w:color w:val="auto"/>
        </w:rPr>
        <w:t>all Victorians have stable, affordable, and appropriate housing.</w:t>
      </w:r>
    </w:p>
    <w:p w14:paraId="3A2FEEE2" w14:textId="77777777" w:rsidR="00373ED9" w:rsidRPr="00CA2CC1" w:rsidRDefault="00373ED9" w:rsidP="00B407FB">
      <w:pPr>
        <w:pStyle w:val="Heading2"/>
      </w:pPr>
      <w:bookmarkStart w:id="88" w:name="_Toc109662754"/>
      <w:r w:rsidRPr="00B407FB">
        <w:t>Building</w:t>
      </w:r>
      <w:r w:rsidRPr="00CA2CC1">
        <w:t xml:space="preserve"> a proactive system that anticipates demand</w:t>
      </w:r>
      <w:bookmarkEnd w:id="88"/>
    </w:p>
    <w:p w14:paraId="5BEC32E2" w14:textId="77777777" w:rsidR="00373ED9" w:rsidRPr="00CA2CC1" w:rsidRDefault="00373ED9" w:rsidP="0043303B">
      <w:pPr>
        <w:pStyle w:val="Heading3"/>
        <w:rPr>
          <w:rFonts w:cs="Calibri"/>
        </w:rPr>
      </w:pPr>
      <w:r w:rsidRPr="00CA2CC1">
        <w:rPr>
          <w:rFonts w:cs="Calibri"/>
        </w:rPr>
        <w:t xml:space="preserve">Priority description from the </w:t>
      </w:r>
      <w:r w:rsidRPr="00CA2CC1">
        <w:rPr>
          <w:rFonts w:cs="Calibri"/>
          <w:i/>
          <w:iCs/>
        </w:rPr>
        <w:t>Victorian infrastructure plan 2021</w:t>
      </w:r>
    </w:p>
    <w:p w14:paraId="0F68FFB1" w14:textId="77777777" w:rsidR="00373ED9" w:rsidRPr="00CA2CC1" w:rsidRDefault="00373ED9" w:rsidP="0043303B">
      <w:pPr>
        <w:pStyle w:val="IVBodyText"/>
        <w:spacing w:line="240" w:lineRule="auto"/>
        <w:rPr>
          <w:rFonts w:ascii="Calibri" w:hAnsi="Calibri" w:cs="Calibri"/>
          <w:b/>
          <w:bCs/>
          <w:color w:val="auto"/>
        </w:rPr>
      </w:pPr>
      <w:r w:rsidRPr="00CA2CC1">
        <w:rPr>
          <w:rFonts w:ascii="Calibri" w:hAnsi="Calibri" w:cs="Calibri"/>
          <w:b/>
          <w:bCs/>
          <w:color w:val="auto"/>
        </w:rPr>
        <w:t>Victoria’s population is growing and ageing, altering the nature and demand on services. Anticipating future needs lets us build capacity to keep pace with change.</w:t>
      </w:r>
    </w:p>
    <w:p w14:paraId="4A25D8E1" w14:textId="77777777" w:rsidR="00373ED9" w:rsidRPr="00CA2CC1" w:rsidRDefault="00373ED9" w:rsidP="0043303B">
      <w:pPr>
        <w:pStyle w:val="Heading3"/>
        <w:rPr>
          <w:rFonts w:cs="Calibri"/>
        </w:rPr>
      </w:pPr>
      <w:r w:rsidRPr="00CA2CC1">
        <w:rPr>
          <w:rFonts w:cs="Calibri"/>
        </w:rPr>
        <w:t>Victorian Government progress in 2022–23</w:t>
      </w:r>
    </w:p>
    <w:p w14:paraId="28FE16B1"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 xml:space="preserve">This priority is about building capacity in the Victorian health and human services system, including the mental health system, to respond to higher demand for services from Victoria’s growing and changing population. </w:t>
      </w:r>
    </w:p>
    <w:p w14:paraId="36B94DCE"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Department of Health performance reports show the number of patients admitted from the elective surgery waiting list was below target from 2019–20 to 2021–22. The percentage of semi-urgent (Category 2) elective surgery patients admitted within 90 days was also below target since 2018–19, with only 55.5% of patients admitted within 90 days in 2021–22.</w:t>
      </w:r>
      <w:r w:rsidRPr="00CA2CC1">
        <w:rPr>
          <w:rFonts w:ascii="Calibri" w:hAnsi="Calibri" w:cs="Calibri"/>
          <w:vertAlign w:val="superscript"/>
        </w:rPr>
        <w:endnoteReference w:id="458"/>
      </w:r>
    </w:p>
    <w:p w14:paraId="7DEAB8F1"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The number of emergency patients treated within the ‘clinically recommended time to treatment’ has also been below government’s 80% target for several years. In 2021–22, this was the lowest since measurement began in 2011–12.</w:t>
      </w:r>
      <w:r w:rsidRPr="00CA2CC1">
        <w:rPr>
          <w:rFonts w:ascii="Calibri" w:hAnsi="Calibri" w:cs="Calibri"/>
          <w:vertAlign w:val="superscript"/>
        </w:rPr>
        <w:endnoteReference w:id="459"/>
      </w:r>
      <w:r w:rsidRPr="00CA2CC1">
        <w:rPr>
          <w:rFonts w:ascii="Calibri" w:hAnsi="Calibri" w:cs="Calibri"/>
        </w:rPr>
        <w:t xml:space="preserve"> For ambulance emergency services, the proportion of emergency (Code 1) incidents responded to within 15 minutes has also been below the statewide target since 2018–19. In 2021–22, ambulances only attended to 67.5% of incidents within 15 minutes, well below the 85% target. </w:t>
      </w:r>
    </w:p>
    <w:p w14:paraId="30C5DEFA"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The number of residential drug treatment services have been below target since 2019–20. In 2021–22, the number of services delivered was 21.8% lower than the target. The number of mental health clinical inpatient separations have been meeting or close to meeting target from 2018–19 to 2020–21, however in 2021–22 the actual was 8.7% lower than target.</w:t>
      </w:r>
      <w:r w:rsidRPr="00CA2CC1">
        <w:rPr>
          <w:rStyle w:val="EndnoteReference"/>
          <w:rFonts w:ascii="Calibri" w:hAnsi="Calibri" w:cs="Calibri"/>
        </w:rPr>
        <w:endnoteReference w:id="460"/>
      </w:r>
    </w:p>
    <w:p w14:paraId="3207E62D"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In October 2022, the government announced a $2.338 billion redevelopment of the Royal Melbourne Hospital and Royal Women’s Hospital.</w:t>
      </w:r>
      <w:r w:rsidRPr="00CA2CC1">
        <w:rPr>
          <w:rStyle w:val="EndnoteReference"/>
          <w:rFonts w:ascii="Calibri" w:hAnsi="Calibri" w:cs="Calibri"/>
        </w:rPr>
        <w:endnoteReference w:id="461"/>
      </w:r>
      <w:r w:rsidRPr="00CA2CC1">
        <w:rPr>
          <w:rFonts w:ascii="Calibri" w:hAnsi="Calibri" w:cs="Calibri"/>
        </w:rPr>
        <w:t xml:space="preserve"> The initial investment will build a new hospital tower in the Arden precinct, creating more than 400 beds and treatment spaces.</w:t>
      </w:r>
      <w:r w:rsidRPr="00CA2CC1">
        <w:rPr>
          <w:rStyle w:val="EndnoteReference"/>
          <w:rFonts w:ascii="Calibri" w:hAnsi="Calibri" w:cs="Calibri"/>
        </w:rPr>
        <w:endnoteReference w:id="462"/>
      </w:r>
      <w:r w:rsidRPr="00CA2CC1">
        <w:rPr>
          <w:rFonts w:ascii="Calibri" w:hAnsi="Calibri" w:cs="Calibri"/>
        </w:rPr>
        <w:t xml:space="preserve"> It will increase women’s health services including low risk birthing, day surgery and ambulatory services. The government intends it to catalyse activation of the Arden precinct.</w:t>
      </w:r>
      <w:r w:rsidRPr="00CA2CC1">
        <w:rPr>
          <w:rStyle w:val="EndnoteReference"/>
          <w:rFonts w:ascii="Calibri" w:hAnsi="Calibri" w:cs="Calibri"/>
        </w:rPr>
        <w:endnoteReference w:id="463"/>
      </w:r>
      <w:r w:rsidRPr="00CA2CC1">
        <w:rPr>
          <w:rFonts w:ascii="Calibri" w:hAnsi="Calibri" w:cs="Calibri"/>
        </w:rPr>
        <w:t xml:space="preserve"> </w:t>
      </w:r>
    </w:p>
    <w:p w14:paraId="74161F84" w14:textId="23F84F0A" w:rsidR="00373ED9" w:rsidRPr="00CA2CC1" w:rsidRDefault="00373ED9" w:rsidP="0043303B">
      <w:pPr>
        <w:pStyle w:val="IVBodyText"/>
        <w:spacing w:line="240" w:lineRule="auto"/>
        <w:rPr>
          <w:rFonts w:ascii="Calibri" w:hAnsi="Calibri" w:cs="Calibri"/>
        </w:rPr>
      </w:pPr>
      <w:r w:rsidRPr="00CA2CC1">
        <w:rPr>
          <w:rFonts w:ascii="Calibri" w:hAnsi="Calibri" w:cs="Calibri"/>
        </w:rPr>
        <w:t xml:space="preserve">The government progressed or completed several new hospitals or medical facilities to expand health system capacity during the 2022–23 financial year. </w:t>
      </w:r>
      <w:hyperlink r:id="rId40" w:history="1">
        <w:r w:rsidRPr="00CA2CC1">
          <w:rPr>
            <w:rFonts w:ascii="Calibri" w:hAnsi="Calibri" w:cs="Calibri"/>
          </w:rPr>
          <w:t>Monash Health’s Victorian Heart Hospital opened on 23 February 2023.</w:t>
        </w:r>
      </w:hyperlink>
      <w:r w:rsidRPr="00CA2CC1">
        <w:rPr>
          <w:rStyle w:val="EndnoteReference"/>
          <w:rFonts w:ascii="Calibri" w:hAnsi="Calibri" w:cs="Calibri"/>
        </w:rPr>
        <w:endnoteReference w:id="464"/>
      </w:r>
      <w:r w:rsidRPr="00CA2CC1">
        <w:rPr>
          <w:rFonts w:ascii="Calibri" w:hAnsi="Calibri" w:cs="Calibri"/>
        </w:rPr>
        <w:t xml:space="preserve"> The New Palliative Care South community hub in Narre Warren opened in May 2023, as part of government’s $32 million package to strengthen community palliative care.</w:t>
      </w:r>
      <w:r w:rsidRPr="00CA2CC1">
        <w:rPr>
          <w:rStyle w:val="EndnoteReference"/>
          <w:rFonts w:ascii="Calibri" w:hAnsi="Calibri" w:cs="Calibri"/>
        </w:rPr>
        <w:endnoteReference w:id="465"/>
      </w:r>
      <w:r w:rsidRPr="00CA2CC1">
        <w:rPr>
          <w:rFonts w:ascii="Calibri" w:hAnsi="Calibri" w:cs="Calibri"/>
        </w:rPr>
        <w:t xml:space="preserve"> The 2023–24 Budget also allocated $320 million to the Hospital Infrastructure Delivery Fund to plan the delivery of major investments at 7 Victorian hospitals. </w:t>
      </w:r>
      <w:r w:rsidR="00011EDC" w:rsidRPr="00CA2CC1">
        <w:rPr>
          <w:rFonts w:ascii="Calibri" w:eastAsiaTheme="minorHAnsi" w:hAnsi="Calibri" w:cs="Calibri"/>
          <w:color w:val="000000"/>
          <w:szCs w:val="22"/>
          <w:lang w:val="en-GB"/>
        </w:rPr>
        <w:t>This investment is intended to boost capacity and improve infrastructure</w:t>
      </w:r>
      <w:r w:rsidRPr="00CA2CC1">
        <w:rPr>
          <w:rFonts w:ascii="Calibri" w:hAnsi="Calibri" w:cs="Calibri"/>
        </w:rPr>
        <w:t>.</w:t>
      </w:r>
      <w:r w:rsidRPr="00CA2CC1">
        <w:rPr>
          <w:rStyle w:val="EndnoteReference"/>
          <w:rFonts w:ascii="Calibri" w:hAnsi="Calibri" w:cs="Calibri"/>
        </w:rPr>
        <w:endnoteReference w:id="466"/>
      </w:r>
    </w:p>
    <w:p w14:paraId="0FC3FC9F"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In 2022–23, the government completed several new ambulance stations including in Melton West</w:t>
      </w:r>
      <w:r w:rsidRPr="00CA2CC1">
        <w:rPr>
          <w:rStyle w:val="EndnoteReference"/>
          <w:rFonts w:ascii="Calibri" w:hAnsi="Calibri" w:cs="Calibri"/>
        </w:rPr>
        <w:endnoteReference w:id="467"/>
      </w:r>
      <w:r w:rsidRPr="00CA2CC1">
        <w:rPr>
          <w:rFonts w:ascii="Calibri" w:hAnsi="Calibri" w:cs="Calibri"/>
        </w:rPr>
        <w:t xml:space="preserve"> and Taylors Lakes.</w:t>
      </w:r>
      <w:r w:rsidRPr="00CA2CC1">
        <w:rPr>
          <w:rStyle w:val="EndnoteReference"/>
          <w:rFonts w:ascii="Calibri" w:hAnsi="Calibri" w:cs="Calibri"/>
        </w:rPr>
        <w:endnoteReference w:id="468"/>
      </w:r>
      <w:r w:rsidRPr="00CA2CC1">
        <w:rPr>
          <w:rFonts w:ascii="Calibri" w:hAnsi="Calibri" w:cs="Calibri"/>
        </w:rPr>
        <w:t xml:space="preserve"> The 2023–24 Budget allocated $30 million for a new ambulance station in Armstrong Creek to improve ambulance response times and better support paramedics in the City of Greater Geelong and surrounding regions.</w:t>
      </w:r>
      <w:r w:rsidRPr="00CA2CC1">
        <w:rPr>
          <w:rStyle w:val="EndnoteReference"/>
          <w:rFonts w:ascii="Calibri" w:hAnsi="Calibri" w:cs="Calibri"/>
        </w:rPr>
        <w:endnoteReference w:id="469"/>
      </w:r>
      <w:r w:rsidRPr="00CA2CC1">
        <w:rPr>
          <w:rFonts w:ascii="Calibri" w:hAnsi="Calibri" w:cs="Calibri"/>
        </w:rPr>
        <w:t xml:space="preserve"> </w:t>
      </w:r>
    </w:p>
    <w:p w14:paraId="6CBF285D" w14:textId="5EFCB6E1" w:rsidR="00373ED9" w:rsidRPr="00CA2CC1" w:rsidRDefault="00373ED9" w:rsidP="0043303B">
      <w:pPr>
        <w:pStyle w:val="IVBodyText"/>
        <w:spacing w:line="240" w:lineRule="auto"/>
        <w:rPr>
          <w:rFonts w:ascii="Calibri" w:hAnsi="Calibri" w:cs="Calibri"/>
        </w:rPr>
      </w:pPr>
      <w:r w:rsidRPr="00CA2CC1">
        <w:rPr>
          <w:rFonts w:ascii="Calibri" w:hAnsi="Calibri" w:cs="Calibri"/>
        </w:rPr>
        <w:t>Maintaining and upgrading existing facilities also supports hospital capacity. Old facilities can require more frequent and expensive emergency repairs. Many older buildings do not meet modern standards for accessibility, safety, or energy efficiency.</w:t>
      </w:r>
      <w:r w:rsidRPr="00CA2CC1">
        <w:rPr>
          <w:rFonts w:ascii="Calibri" w:hAnsi="Calibri" w:cs="Calibri"/>
          <w:vertAlign w:val="superscript"/>
        </w:rPr>
        <w:endnoteReference w:id="470"/>
      </w:r>
      <w:r w:rsidRPr="00CA2CC1">
        <w:rPr>
          <w:rFonts w:ascii="Calibri" w:hAnsi="Calibri" w:cs="Calibri"/>
        </w:rPr>
        <w:t xml:space="preserve"> The 2023–24 Budget provided an extra $40 million to the Metropolitan Health </w:t>
      </w:r>
      <w:r w:rsidR="00626FDB" w:rsidRPr="00CA2CC1">
        <w:rPr>
          <w:rFonts w:ascii="Calibri" w:hAnsi="Calibri" w:cs="Calibri"/>
        </w:rPr>
        <w:t>I</w:t>
      </w:r>
      <w:r w:rsidRPr="00CA2CC1">
        <w:rPr>
          <w:rFonts w:ascii="Calibri" w:hAnsi="Calibri" w:cs="Calibri"/>
        </w:rPr>
        <w:t>nfrastructure Fund to improve the quality and amenity of infrastructure of some metropolitan health services.</w:t>
      </w:r>
      <w:r w:rsidRPr="00CA2CC1">
        <w:rPr>
          <w:rStyle w:val="EndnoteReference"/>
          <w:rFonts w:ascii="Calibri" w:hAnsi="Calibri" w:cs="Calibri"/>
        </w:rPr>
        <w:endnoteReference w:id="471"/>
      </w:r>
      <w:r w:rsidRPr="00CA2CC1">
        <w:rPr>
          <w:rFonts w:ascii="Calibri" w:hAnsi="Calibri" w:cs="Calibri"/>
        </w:rPr>
        <w:t xml:space="preserve"> The Victorian Government can take a more strategic approach to the statewide, whole-of-life management and renewal of hospital assets, in line with our recommendation in </w:t>
      </w:r>
      <w:r w:rsidRPr="00CA2CC1">
        <w:rPr>
          <w:rFonts w:ascii="Calibri" w:hAnsi="Calibri" w:cs="Calibri"/>
          <w:i/>
        </w:rPr>
        <w:t>Victoria’s infrastructure strategy 2021</w:t>
      </w:r>
      <w:r w:rsidRPr="00CA2CC1">
        <w:rPr>
          <w:rFonts w:ascii="Calibri" w:hAnsi="Calibri" w:cs="Calibri"/>
        </w:rPr>
        <w:t>–</w:t>
      </w:r>
      <w:r w:rsidRPr="00CA2CC1">
        <w:rPr>
          <w:rFonts w:ascii="Calibri" w:hAnsi="Calibri" w:cs="Calibri"/>
          <w:i/>
        </w:rPr>
        <w:t>2051</w:t>
      </w:r>
      <w:r w:rsidRPr="00CA2CC1">
        <w:rPr>
          <w:rFonts w:ascii="Calibri" w:hAnsi="Calibri" w:cs="Calibri"/>
        </w:rPr>
        <w:t>.</w:t>
      </w:r>
      <w:r w:rsidRPr="00CA2CC1">
        <w:rPr>
          <w:rFonts w:ascii="Calibri" w:hAnsi="Calibri" w:cs="Calibri"/>
          <w:vertAlign w:val="superscript"/>
        </w:rPr>
        <w:endnoteReference w:id="472"/>
      </w:r>
      <w:r w:rsidRPr="00CA2CC1">
        <w:rPr>
          <w:rFonts w:ascii="Calibri" w:hAnsi="Calibri" w:cs="Calibri"/>
          <w:vertAlign w:val="superscript"/>
        </w:rPr>
        <w:t xml:space="preserve"> </w:t>
      </w:r>
    </w:p>
    <w:p w14:paraId="7C7C785C"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The Victorian Government also invested in public sector aged care facilities across the state, including $162 million in the 2023–24 Budget to keep delivering the Rural and Regional Public Sector Residential Aged Care Services Revitalisation Strategy. The funds will build 3 new facilities in Cohuna, Maffra and Numurkah.</w:t>
      </w:r>
      <w:r w:rsidRPr="00CA2CC1">
        <w:rPr>
          <w:rStyle w:val="EndnoteReference"/>
          <w:rFonts w:ascii="Calibri" w:hAnsi="Calibri" w:cs="Calibri"/>
        </w:rPr>
        <w:t xml:space="preserve"> </w:t>
      </w:r>
      <w:r w:rsidRPr="00CA2CC1">
        <w:rPr>
          <w:rStyle w:val="EndnoteReference"/>
          <w:rFonts w:ascii="Calibri" w:hAnsi="Calibri" w:cs="Calibri"/>
        </w:rPr>
        <w:endnoteReference w:id="473"/>
      </w:r>
      <w:r w:rsidRPr="00CA2CC1">
        <w:rPr>
          <w:rFonts w:ascii="Calibri" w:hAnsi="Calibri" w:cs="Calibri"/>
        </w:rPr>
        <w:t xml:space="preserve"> The Budget also provided </w:t>
      </w:r>
      <w:r w:rsidRPr="00CA2CC1">
        <w:rPr>
          <w:rFonts w:ascii="Calibri" w:hAnsi="Calibri" w:cs="Calibri"/>
          <w:color w:val="auto"/>
        </w:rPr>
        <w:t xml:space="preserve">$44 million to </w:t>
      </w:r>
      <w:r w:rsidRPr="00CA2CC1">
        <w:rPr>
          <w:rFonts w:ascii="Calibri" w:hAnsi="Calibri" w:cs="Calibri"/>
        </w:rPr>
        <w:t>buy 8 new hospital imaging scanners. This aims to improve Victoria’s clinical capacity to assess cancers, neurological diseases and cardiovascular disease.</w:t>
      </w:r>
      <w:r w:rsidRPr="00CA2CC1">
        <w:rPr>
          <w:rStyle w:val="EndnoteReference"/>
          <w:rFonts w:ascii="Calibri" w:hAnsi="Calibri" w:cs="Calibri"/>
        </w:rPr>
        <w:endnoteReference w:id="474"/>
      </w:r>
    </w:p>
    <w:p w14:paraId="4E2255EF"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 xml:space="preserve">In </w:t>
      </w:r>
      <w:r w:rsidRPr="00CA2CC1">
        <w:rPr>
          <w:rFonts w:ascii="Calibri" w:hAnsi="Calibri" w:cs="Calibri"/>
          <w:i/>
          <w:iCs/>
        </w:rPr>
        <w:t>Victoria’s infrastructure strategy 2021–51</w:t>
      </w:r>
      <w:r w:rsidRPr="00CA2CC1">
        <w:rPr>
          <w:rFonts w:ascii="Calibri" w:hAnsi="Calibri" w:cs="Calibri"/>
        </w:rPr>
        <w:t>, we recommend building new hospital capacity</w:t>
      </w:r>
      <w:r w:rsidRPr="00CA2CC1">
        <w:rPr>
          <w:rStyle w:val="EndnoteReference"/>
          <w:rFonts w:ascii="Calibri" w:hAnsi="Calibri" w:cs="Calibri"/>
        </w:rPr>
        <w:endnoteReference w:id="475"/>
      </w:r>
      <w:r w:rsidRPr="00CA2CC1">
        <w:rPr>
          <w:rFonts w:ascii="Calibri" w:hAnsi="Calibri" w:cs="Calibri"/>
        </w:rPr>
        <w:t xml:space="preserve"> and upgrading and rebuilding public hospital infrastructure.</w:t>
      </w:r>
      <w:r w:rsidRPr="00CA2CC1">
        <w:rPr>
          <w:rStyle w:val="EndnoteReference"/>
          <w:rFonts w:ascii="Calibri" w:hAnsi="Calibri" w:cs="Calibri"/>
        </w:rPr>
        <w:endnoteReference w:id="476"/>
      </w:r>
      <w:r w:rsidRPr="00CA2CC1">
        <w:rPr>
          <w:rFonts w:ascii="Calibri" w:hAnsi="Calibri" w:cs="Calibri"/>
        </w:rPr>
        <w:t xml:space="preserve"> While progress was made during the year on new public hospital capacity, there is still a need to progress the upgrade and rebuild of the Alfred and Austin hospitals. When building and upgrading hospitals, the Victorian Government can plan and deliver well-designed infrastructure that can be easily maintained, upgraded and expanded, and which meets modern standards for accessibility, energy efficiency and sustainability. This can allow facilities to be readily adapted to changing need, technology and best practice to deliver modern, safe and improved care. </w:t>
      </w:r>
    </w:p>
    <w:p w14:paraId="3C61BBAF" w14:textId="1D37C6FF" w:rsidR="00373ED9" w:rsidRPr="00CA2CC1" w:rsidRDefault="00373ED9" w:rsidP="000D203B">
      <w:pPr>
        <w:pStyle w:val="Heading2"/>
        <w:rPr>
          <w:rFonts w:cs="Calibri"/>
        </w:rPr>
      </w:pPr>
      <w:bookmarkStart w:id="89" w:name="_Toc109662755"/>
      <w:r w:rsidRPr="00CA2CC1">
        <w:rPr>
          <w:rFonts w:cs="Calibri"/>
        </w:rPr>
        <w:t>Driving system-wide reform for safer, better services</w:t>
      </w:r>
      <w:bookmarkEnd w:id="89"/>
    </w:p>
    <w:p w14:paraId="0C69EFAF" w14:textId="77777777" w:rsidR="00373ED9" w:rsidRPr="00CA2CC1" w:rsidRDefault="00373ED9" w:rsidP="0043303B">
      <w:pPr>
        <w:pStyle w:val="Heading3"/>
        <w:rPr>
          <w:rFonts w:cs="Calibri"/>
        </w:rPr>
      </w:pPr>
      <w:r w:rsidRPr="00CA2CC1">
        <w:rPr>
          <w:rFonts w:cs="Calibri"/>
        </w:rPr>
        <w:t xml:space="preserve">Priority description from the </w:t>
      </w:r>
      <w:r w:rsidRPr="00CA2CC1">
        <w:rPr>
          <w:rFonts w:cs="Calibri"/>
          <w:i/>
          <w:iCs/>
        </w:rPr>
        <w:t>Victorian infrastructure plan 2021</w:t>
      </w:r>
    </w:p>
    <w:p w14:paraId="571CCE83" w14:textId="77777777" w:rsidR="00373ED9" w:rsidRPr="00CA2CC1" w:rsidRDefault="00373ED9" w:rsidP="0043303B">
      <w:pPr>
        <w:pStyle w:val="IVBodyText"/>
        <w:spacing w:line="240" w:lineRule="auto"/>
        <w:rPr>
          <w:rFonts w:ascii="Calibri" w:hAnsi="Calibri" w:cs="Calibri"/>
          <w:b/>
          <w:bCs/>
          <w:color w:val="auto"/>
        </w:rPr>
      </w:pPr>
      <w:r w:rsidRPr="00CA2CC1">
        <w:rPr>
          <w:rFonts w:ascii="Calibri" w:hAnsi="Calibri" w:cs="Calibri"/>
          <w:b/>
          <w:bCs/>
          <w:color w:val="auto"/>
        </w:rPr>
        <w:t>The challenges facing our systems mean new approaches to health and human services design, quality assurance, workforce capabilities and technology.</w:t>
      </w:r>
    </w:p>
    <w:p w14:paraId="072B4B70" w14:textId="77777777" w:rsidR="00373ED9" w:rsidRPr="00CA2CC1" w:rsidRDefault="00373ED9" w:rsidP="0043303B">
      <w:pPr>
        <w:pStyle w:val="Heading3"/>
        <w:rPr>
          <w:rFonts w:cs="Calibri"/>
        </w:rPr>
      </w:pPr>
      <w:r w:rsidRPr="00CA2CC1">
        <w:rPr>
          <w:rFonts w:cs="Calibri"/>
        </w:rPr>
        <w:t>Victorian Government progress in 2022–23</w:t>
      </w:r>
    </w:p>
    <w:p w14:paraId="22F9C4FB"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 xml:space="preserve">This priority relates to new approaches to health and human services design, quality assurance, workforce capabilities and technology. It aims for safer, better services. It closely aligns with a recommendation in </w:t>
      </w:r>
      <w:r w:rsidRPr="00CA2CC1">
        <w:rPr>
          <w:rFonts w:ascii="Calibri" w:hAnsi="Calibri" w:cs="Calibri"/>
          <w:i/>
          <w:iCs/>
        </w:rPr>
        <w:t>Victoria’s infrastructure strategy 2021–2051</w:t>
      </w:r>
      <w:r w:rsidRPr="00CA2CC1">
        <w:rPr>
          <w:rFonts w:ascii="Calibri" w:hAnsi="Calibri" w:cs="Calibri"/>
        </w:rPr>
        <w:t xml:space="preserve"> to use innovation to deliver better models of health care.</w:t>
      </w:r>
      <w:r w:rsidRPr="00CA2CC1">
        <w:rPr>
          <w:rFonts w:ascii="Calibri" w:hAnsi="Calibri" w:cs="Calibri"/>
          <w:vertAlign w:val="superscript"/>
        </w:rPr>
        <w:endnoteReference w:id="477"/>
      </w:r>
    </w:p>
    <w:p w14:paraId="63069AFC"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Health and human services quality and safety outcomes can reflect progress against this priority. Preliminary Department of Health data indicated 90.3% of patients were positive about their hospital stay in 2022–23, below</w:t>
      </w:r>
      <w:r w:rsidRPr="00CA2CC1" w:rsidDel="00CF2C93">
        <w:rPr>
          <w:rFonts w:ascii="Calibri" w:hAnsi="Calibri" w:cs="Calibri"/>
        </w:rPr>
        <w:t xml:space="preserve"> </w:t>
      </w:r>
      <w:r w:rsidRPr="00CA2CC1">
        <w:rPr>
          <w:rFonts w:ascii="Calibri" w:hAnsi="Calibri" w:cs="Calibri"/>
        </w:rPr>
        <w:t>the 95% performance target.</w:t>
      </w:r>
      <w:r w:rsidRPr="00CA2CC1">
        <w:rPr>
          <w:rStyle w:val="EndnoteReference"/>
          <w:rFonts w:ascii="Calibri" w:hAnsi="Calibri" w:cs="Calibri"/>
        </w:rPr>
        <w:endnoteReference w:id="478"/>
      </w:r>
      <w:r w:rsidRPr="00CA2CC1">
        <w:rPr>
          <w:rFonts w:ascii="Calibri" w:hAnsi="Calibri" w:cs="Calibri"/>
        </w:rPr>
        <w:t xml:space="preserve"> It also indicated 13.3% of mental health clinical care clients were unexpectedly readmitted within 28 days, also below the target of 14%.</w:t>
      </w:r>
      <w:r w:rsidRPr="00CA2CC1">
        <w:rPr>
          <w:rStyle w:val="EndnoteReference"/>
          <w:rFonts w:ascii="Calibri" w:hAnsi="Calibri" w:cs="Calibri"/>
        </w:rPr>
        <w:endnoteReference w:id="479"/>
      </w:r>
    </w:p>
    <w:p w14:paraId="0F74B288" w14:textId="77777777" w:rsidR="00373ED9" w:rsidRPr="00CA2CC1" w:rsidRDefault="00373ED9" w:rsidP="0043303B">
      <w:pPr>
        <w:pStyle w:val="IVBodyText"/>
        <w:spacing w:line="240" w:lineRule="auto"/>
        <w:rPr>
          <w:rFonts w:ascii="Calibri" w:hAnsi="Calibri" w:cs="Calibri"/>
          <w:color w:val="auto"/>
        </w:rPr>
      </w:pPr>
      <w:r w:rsidRPr="00CA2CC1">
        <w:rPr>
          <w:rFonts w:ascii="Calibri" w:hAnsi="Calibri" w:cs="Calibri"/>
          <w:iCs/>
        </w:rPr>
        <w:t>On 28 January 2023, the Victorian Government announced implementation of the final recommendations of the Royal Commission into Family Violence. This means they have implemented all 227 recommendations.</w:t>
      </w:r>
      <w:r w:rsidRPr="00CA2CC1">
        <w:rPr>
          <w:rStyle w:val="EndnoteReference"/>
          <w:rFonts w:ascii="Calibri" w:hAnsi="Calibri" w:cs="Calibri"/>
          <w:iCs/>
        </w:rPr>
        <w:endnoteReference w:id="480"/>
      </w:r>
      <w:r w:rsidRPr="00CA2CC1">
        <w:rPr>
          <w:rFonts w:ascii="Calibri" w:hAnsi="Calibri" w:cs="Calibri"/>
          <w:iCs/>
        </w:rPr>
        <w:t xml:space="preserve"> </w:t>
      </w:r>
      <w:r w:rsidRPr="00CA2CC1">
        <w:rPr>
          <w:rFonts w:ascii="Calibri" w:hAnsi="Calibri" w:cs="Calibri"/>
        </w:rPr>
        <w:t>The Budget also provided $11 million to continue trials to embed family services in universal settings such as schools, early years services and community health hubs. This aims to make services more accessible to vulnerable families.</w:t>
      </w:r>
      <w:r w:rsidRPr="00CA2CC1">
        <w:rPr>
          <w:rStyle w:val="EndnoteReference"/>
          <w:rFonts w:ascii="Calibri" w:hAnsi="Calibri" w:cs="Calibri"/>
        </w:rPr>
        <w:endnoteReference w:id="481"/>
      </w:r>
    </w:p>
    <w:p w14:paraId="0AF1BDFD"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In June 2023, the government opened a new capability hub at Victoria University to train paramedics.</w:t>
      </w:r>
      <w:r w:rsidRPr="00CA2CC1">
        <w:rPr>
          <w:rStyle w:val="EndnoteReference"/>
          <w:rFonts w:ascii="Calibri" w:hAnsi="Calibri" w:cs="Calibri"/>
        </w:rPr>
        <w:endnoteReference w:id="482"/>
      </w:r>
      <w:r w:rsidRPr="00CA2CC1">
        <w:rPr>
          <w:rFonts w:ascii="Calibri" w:hAnsi="Calibri" w:cs="Calibri"/>
        </w:rPr>
        <w:t xml:space="preserve"> The 2023–24 Budget granted $10 million to establish Australia’s first Centre for Paramedicine to support paramedic education and training. It will be located at the capability hub site.</w:t>
      </w:r>
      <w:r w:rsidRPr="00CA2CC1">
        <w:rPr>
          <w:rStyle w:val="EndnoteReference"/>
          <w:rFonts w:ascii="Calibri" w:hAnsi="Calibri" w:cs="Calibri"/>
        </w:rPr>
        <w:t xml:space="preserve"> </w:t>
      </w:r>
      <w:r w:rsidRPr="00CA2CC1">
        <w:rPr>
          <w:rStyle w:val="EndnoteReference"/>
          <w:rFonts w:ascii="Calibri" w:hAnsi="Calibri" w:cs="Calibri"/>
        </w:rPr>
        <w:endnoteReference w:id="483"/>
      </w:r>
    </w:p>
    <w:p w14:paraId="77123753"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The 2023–24 Budget allocated $12 million to establish an alcohol and other drug centre for Victorian workers.</w:t>
      </w:r>
      <w:r w:rsidRPr="00CA2CC1">
        <w:rPr>
          <w:rStyle w:val="EndnoteReference"/>
          <w:rFonts w:ascii="Calibri" w:hAnsi="Calibri" w:cs="Calibri"/>
        </w:rPr>
        <w:endnoteReference w:id="484"/>
      </w:r>
      <w:r w:rsidRPr="00CA2CC1">
        <w:rPr>
          <w:rFonts w:ascii="Calibri" w:hAnsi="Calibri" w:cs="Calibri"/>
        </w:rPr>
        <w:t xml:space="preserve"> The 20-bed centre will care for up to 230 in-patients each year, provide outreach, and engage workers.</w:t>
      </w:r>
      <w:r w:rsidRPr="00CA2CC1">
        <w:rPr>
          <w:rStyle w:val="EndnoteReference"/>
          <w:rFonts w:ascii="Calibri" w:hAnsi="Calibri" w:cs="Calibri"/>
        </w:rPr>
        <w:endnoteReference w:id="485"/>
      </w:r>
      <w:r w:rsidRPr="00CA2CC1">
        <w:rPr>
          <w:rFonts w:ascii="Calibri" w:hAnsi="Calibri" w:cs="Calibri"/>
        </w:rPr>
        <w:t xml:space="preserve"> </w:t>
      </w:r>
    </w:p>
    <w:p w14:paraId="10E14FA2"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Drug and alcohol abuse is growing faster in regional Victorian than in Melbourne. People in regional areas are also more likely to have used an illicit drug or consumed alcohol at dangerous quantities.</w:t>
      </w:r>
      <w:r w:rsidRPr="00CA2CC1">
        <w:rPr>
          <w:rFonts w:ascii="Calibri" w:hAnsi="Calibri" w:cs="Calibri"/>
          <w:vertAlign w:val="superscript"/>
        </w:rPr>
        <w:t xml:space="preserve"> </w:t>
      </w:r>
      <w:r w:rsidRPr="00CA2CC1">
        <w:rPr>
          <w:rFonts w:ascii="Calibri" w:hAnsi="Calibri" w:cs="Calibri"/>
          <w:vertAlign w:val="superscript"/>
        </w:rPr>
        <w:endnoteReference w:id="486"/>
      </w:r>
      <w:r w:rsidRPr="00CA2CC1">
        <w:rPr>
          <w:rFonts w:ascii="Calibri" w:hAnsi="Calibri" w:cs="Calibri"/>
        </w:rPr>
        <w:t xml:space="preserve"> To address these challenges, </w:t>
      </w:r>
      <w:r w:rsidRPr="00CA2CC1">
        <w:rPr>
          <w:rFonts w:ascii="Calibri" w:hAnsi="Calibri" w:cs="Calibri"/>
          <w:i/>
          <w:iCs/>
        </w:rPr>
        <w:t>Victoria’s infrastructure strategy 2021–51</w:t>
      </w:r>
      <w:r w:rsidRPr="00CA2CC1">
        <w:rPr>
          <w:rFonts w:ascii="Calibri" w:hAnsi="Calibri" w:cs="Calibri"/>
        </w:rPr>
        <w:t xml:space="preserve">, recommended building regional residential alcohol and drug rehabilitation facilities. </w:t>
      </w:r>
    </w:p>
    <w:p w14:paraId="0136DAA7" w14:textId="77777777" w:rsidR="00373ED9" w:rsidRPr="00CA2CC1" w:rsidRDefault="00373ED9" w:rsidP="0043303B">
      <w:pPr>
        <w:pStyle w:val="Heading2"/>
        <w:rPr>
          <w:rFonts w:cs="Calibri"/>
        </w:rPr>
      </w:pPr>
      <w:bookmarkStart w:id="90" w:name="_Toc109662756"/>
      <w:r w:rsidRPr="00CA2CC1">
        <w:rPr>
          <w:rFonts w:cs="Calibri"/>
        </w:rPr>
        <w:t>Integrating care across the health and social service system</w:t>
      </w:r>
      <w:bookmarkEnd w:id="90"/>
    </w:p>
    <w:p w14:paraId="306EEB3F" w14:textId="77777777" w:rsidR="00373ED9" w:rsidRPr="00CA2CC1" w:rsidRDefault="00373ED9" w:rsidP="0043303B">
      <w:pPr>
        <w:pStyle w:val="Heading3"/>
        <w:rPr>
          <w:rFonts w:cs="Calibri"/>
        </w:rPr>
      </w:pPr>
      <w:r w:rsidRPr="00CA2CC1">
        <w:rPr>
          <w:rFonts w:cs="Calibri"/>
        </w:rPr>
        <w:t xml:space="preserve">Priority description from the </w:t>
      </w:r>
      <w:r w:rsidRPr="00CA2CC1">
        <w:rPr>
          <w:rFonts w:cs="Calibri"/>
          <w:i/>
          <w:iCs/>
        </w:rPr>
        <w:t>Victorian infrastructure plan 2021</w:t>
      </w:r>
    </w:p>
    <w:p w14:paraId="2A439AAB" w14:textId="77777777" w:rsidR="00373ED9" w:rsidRPr="00CA2CC1" w:rsidRDefault="00373ED9" w:rsidP="0043303B">
      <w:pPr>
        <w:pStyle w:val="IVBodyText"/>
        <w:spacing w:line="240" w:lineRule="auto"/>
        <w:rPr>
          <w:rFonts w:ascii="Calibri" w:hAnsi="Calibri" w:cs="Calibri"/>
          <w:b/>
          <w:bCs/>
          <w:color w:val="auto"/>
        </w:rPr>
      </w:pPr>
      <w:r w:rsidRPr="00CA2CC1">
        <w:rPr>
          <w:rFonts w:ascii="Calibri" w:hAnsi="Calibri" w:cs="Calibri"/>
          <w:b/>
          <w:bCs/>
          <w:color w:val="auto"/>
        </w:rPr>
        <w:t>Those who are vulnerable or with complex needs rely on multiple providers. Better service connections will strengthen early intervention, outcomes, and lower cost.</w:t>
      </w:r>
    </w:p>
    <w:p w14:paraId="7E915BBC" w14:textId="77777777" w:rsidR="00373ED9" w:rsidRPr="00CA2CC1" w:rsidRDefault="00373ED9" w:rsidP="0043303B">
      <w:pPr>
        <w:pStyle w:val="Heading3"/>
        <w:rPr>
          <w:rFonts w:cs="Calibri"/>
        </w:rPr>
      </w:pPr>
      <w:r w:rsidRPr="00CA2CC1">
        <w:rPr>
          <w:rFonts w:cs="Calibri"/>
        </w:rPr>
        <w:t>Victorian Government’s progress in 2022–23</w:t>
      </w:r>
    </w:p>
    <w:p w14:paraId="29793A0A"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This priority seeks to improve service delivery by creating better service connections for Victorians who rely on multiple providers. It aims to enhance early intervention, leading to better outcomes at a lower cost.</w:t>
      </w:r>
    </w:p>
    <w:p w14:paraId="2AB461BC"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Better service connections, or integrated care, is an aim of many health systems globally. Yet changes in actual practice tend to trail behind policy intentions.</w:t>
      </w:r>
      <w:r w:rsidRPr="00CA2CC1">
        <w:rPr>
          <w:rFonts w:ascii="Calibri" w:hAnsi="Calibri" w:cs="Calibri"/>
          <w:vertAlign w:val="superscript"/>
        </w:rPr>
        <w:endnoteReference w:id="487"/>
      </w:r>
      <w:r w:rsidRPr="00CA2CC1">
        <w:rPr>
          <w:rFonts w:ascii="Calibri" w:hAnsi="Calibri" w:cs="Calibri"/>
        </w:rPr>
        <w:t xml:space="preserve"> Better integrating health and social services can deliver multiple benefits, including better health outcomes, higher quality services, lower costs, and better workforce wellbeing.</w:t>
      </w:r>
      <w:r w:rsidRPr="00CA2CC1">
        <w:rPr>
          <w:rFonts w:ascii="Calibri" w:hAnsi="Calibri" w:cs="Calibri"/>
          <w:vertAlign w:val="superscript"/>
        </w:rPr>
        <w:endnoteReference w:id="488"/>
      </w:r>
      <w:r w:rsidRPr="00CA2CC1">
        <w:rPr>
          <w:rFonts w:ascii="Calibri" w:hAnsi="Calibri" w:cs="Calibri"/>
        </w:rPr>
        <w:t xml:space="preserve"> The </w:t>
      </w:r>
      <w:r w:rsidRPr="00CA2CC1">
        <w:rPr>
          <w:rFonts w:ascii="Calibri" w:hAnsi="Calibri" w:cs="Calibri"/>
          <w:i/>
          <w:iCs/>
        </w:rPr>
        <w:t>Statewide design, service, and infrastructure plan 2017–37</w:t>
      </w:r>
      <w:r w:rsidRPr="00CA2CC1">
        <w:rPr>
          <w:rFonts w:ascii="Calibri" w:hAnsi="Calibri" w:cs="Calibri"/>
        </w:rPr>
        <w:t xml:space="preserve"> identifies integrated care as a long-term priority.</w:t>
      </w:r>
      <w:r w:rsidRPr="00CA2CC1">
        <w:rPr>
          <w:rFonts w:ascii="Calibri" w:hAnsi="Calibri" w:cs="Calibri"/>
          <w:vertAlign w:val="superscript"/>
        </w:rPr>
        <w:endnoteReference w:id="489"/>
      </w:r>
    </w:p>
    <w:p w14:paraId="65162370"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Establishing support and safety hubs and the Orange Door network will contribute to this priority by bringing services together and making it easier for vulnerable Victorians to access care and services from multiple providers. This aligns with the need for greater integration of support services identified by the 2016 Royal Commission into Family Violence. In 2022–23, the Orange Door Network became operational statewide.</w:t>
      </w:r>
      <w:r w:rsidRPr="00CA2CC1">
        <w:rPr>
          <w:rStyle w:val="EndnoteReference"/>
          <w:rFonts w:ascii="Calibri" w:hAnsi="Calibri" w:cs="Calibri"/>
        </w:rPr>
        <w:endnoteReference w:id="490"/>
      </w:r>
      <w:r w:rsidRPr="00CA2CC1">
        <w:rPr>
          <w:rFonts w:ascii="Calibri" w:hAnsi="Calibri" w:cs="Calibri"/>
        </w:rPr>
        <w:t xml:space="preserve"> This activity was identified in the </w:t>
      </w:r>
      <w:r w:rsidRPr="00CA2CC1">
        <w:rPr>
          <w:rFonts w:ascii="Calibri" w:hAnsi="Calibri" w:cs="Calibri"/>
          <w:i/>
          <w:iCs/>
        </w:rPr>
        <w:t>Family Violence Reform Rolling Action Plan 2020–2023</w:t>
      </w:r>
      <w:r w:rsidRPr="00CA2CC1">
        <w:rPr>
          <w:rFonts w:ascii="Calibri" w:hAnsi="Calibri" w:cs="Calibri"/>
        </w:rPr>
        <w:t>.</w:t>
      </w:r>
      <w:r w:rsidRPr="00CA2CC1">
        <w:rPr>
          <w:rStyle w:val="EndnoteReference"/>
          <w:rFonts w:ascii="Calibri" w:hAnsi="Calibri" w:cs="Calibri"/>
        </w:rPr>
        <w:endnoteReference w:id="491"/>
      </w:r>
    </w:p>
    <w:p w14:paraId="1D5A7E18" w14:textId="76C08DA8" w:rsidR="00373ED9" w:rsidRPr="00CA2CC1" w:rsidRDefault="00373ED9" w:rsidP="0043303B">
      <w:pPr>
        <w:pStyle w:val="IVBodyText"/>
        <w:spacing w:line="240" w:lineRule="auto"/>
        <w:rPr>
          <w:rFonts w:ascii="Calibri" w:hAnsi="Calibri" w:cs="Calibri"/>
        </w:rPr>
      </w:pPr>
      <w:r w:rsidRPr="00CA2CC1">
        <w:rPr>
          <w:rFonts w:ascii="Calibri" w:hAnsi="Calibri" w:cs="Calibri"/>
          <w:iCs/>
          <w:color w:val="auto"/>
        </w:rPr>
        <w:t xml:space="preserve">The government also kept implementing recommendations from the 2021 </w:t>
      </w:r>
      <w:r w:rsidRPr="00CA2CC1">
        <w:rPr>
          <w:rFonts w:ascii="Calibri" w:hAnsi="Calibri" w:cs="Calibri"/>
          <w:color w:val="auto"/>
        </w:rPr>
        <w:t>Royal Commission into Victoria’s mental health system</w:t>
      </w:r>
      <w:r w:rsidRPr="00CA2CC1">
        <w:rPr>
          <w:rFonts w:ascii="Calibri" w:hAnsi="Calibri" w:cs="Calibri"/>
          <w:iCs/>
          <w:color w:val="auto"/>
        </w:rPr>
        <w:t xml:space="preserve">. More than 90% of </w:t>
      </w:r>
      <w:r w:rsidRPr="00CA2CC1">
        <w:rPr>
          <w:rFonts w:ascii="Calibri" w:hAnsi="Calibri" w:cs="Calibri"/>
          <w:iCs/>
        </w:rPr>
        <w:t>r</w:t>
      </w:r>
      <w:r w:rsidRPr="00CA2CC1">
        <w:rPr>
          <w:rFonts w:ascii="Calibri" w:hAnsi="Calibri" w:cs="Calibri"/>
          <w:iCs/>
          <w:color w:val="auto"/>
        </w:rPr>
        <w:t>ecommendations are underway.</w:t>
      </w:r>
      <w:r w:rsidRPr="00CA2CC1">
        <w:rPr>
          <w:rStyle w:val="EndnoteReference"/>
          <w:rFonts w:ascii="Calibri" w:hAnsi="Calibri" w:cs="Calibri"/>
        </w:rPr>
        <w:endnoteReference w:id="492"/>
      </w:r>
      <w:r w:rsidRPr="00CA2CC1">
        <w:rPr>
          <w:rFonts w:ascii="Calibri" w:hAnsi="Calibri" w:cs="Calibri"/>
        </w:rPr>
        <w:t xml:space="preserve"> The 2023–24 Budget invested $63 million in the Mental Health Capital Fund to deliver on the Royal Commission’s recommendations. This included $53 million for planning and development for Stage 3 of the redevelopment of the Thomas Embling Hospital and $10 million for the Mental Health Capital Renewal Fund.</w:t>
      </w:r>
      <w:r w:rsidRPr="00CA2CC1">
        <w:rPr>
          <w:rStyle w:val="EndnoteReference"/>
          <w:rFonts w:ascii="Calibri" w:hAnsi="Calibri" w:cs="Calibri"/>
        </w:rPr>
        <w:endnoteReference w:id="493"/>
      </w:r>
      <w:r w:rsidRPr="00CA2CC1">
        <w:rPr>
          <w:rFonts w:ascii="Calibri" w:hAnsi="Calibri" w:cs="Calibri"/>
        </w:rPr>
        <w:t xml:space="preserve"> The establishment of the Mental Health Capital Fund aligns to our recommendation to deliver infrastructure for a more responsive and integrated mental health system.</w:t>
      </w:r>
      <w:r w:rsidRPr="00CA2CC1">
        <w:rPr>
          <w:rStyle w:val="EndnoteReference"/>
          <w:rFonts w:ascii="Calibri" w:hAnsi="Calibri" w:cs="Calibri"/>
        </w:rPr>
        <w:endnoteReference w:id="494"/>
      </w:r>
    </w:p>
    <w:p w14:paraId="33A4229B" w14:textId="68D86177" w:rsidR="00373ED9" w:rsidRPr="00CA2CC1" w:rsidRDefault="00373ED9" w:rsidP="0043303B">
      <w:pPr>
        <w:pStyle w:val="IVBodyText"/>
        <w:spacing w:line="240" w:lineRule="auto"/>
        <w:rPr>
          <w:rFonts w:ascii="Calibri" w:hAnsi="Calibri" w:cs="Calibri"/>
        </w:rPr>
      </w:pPr>
      <w:r w:rsidRPr="00CA2CC1">
        <w:rPr>
          <w:rFonts w:ascii="Calibri" w:hAnsi="Calibri" w:cs="Calibri"/>
        </w:rPr>
        <w:t>The government separated the Department of Health and Human Services into 2 departments in February 2021.</w:t>
      </w:r>
      <w:r w:rsidRPr="00CA2CC1">
        <w:rPr>
          <w:rStyle w:val="EndnoteReference"/>
          <w:rFonts w:ascii="Calibri" w:hAnsi="Calibri" w:cs="Calibri"/>
        </w:rPr>
        <w:t xml:space="preserve"> </w:t>
      </w:r>
      <w:r w:rsidRPr="00CA2CC1">
        <w:rPr>
          <w:rStyle w:val="EndnoteReference"/>
          <w:rFonts w:ascii="Calibri" w:hAnsi="Calibri" w:cs="Calibri"/>
        </w:rPr>
        <w:endnoteReference w:id="495"/>
      </w:r>
      <w:r w:rsidRPr="00CA2CC1">
        <w:rPr>
          <w:rFonts w:ascii="Calibri" w:hAnsi="Calibri" w:cs="Calibri"/>
        </w:rPr>
        <w:t xml:space="preserve"> The 2 new department</w:t>
      </w:r>
      <w:r w:rsidR="0049232B" w:rsidRPr="00CA2CC1">
        <w:rPr>
          <w:rFonts w:ascii="Calibri" w:hAnsi="Calibri" w:cs="Calibri"/>
        </w:rPr>
        <w:t>s</w:t>
      </w:r>
      <w:r w:rsidRPr="00CA2CC1">
        <w:rPr>
          <w:rFonts w:ascii="Calibri" w:hAnsi="Calibri" w:cs="Calibri"/>
        </w:rPr>
        <w:t xml:space="preserve"> will need to collaborate to deliver integrated care across the health and social service systems. </w:t>
      </w:r>
    </w:p>
    <w:p w14:paraId="66A0562F" w14:textId="77777777" w:rsidR="00373ED9" w:rsidRPr="00CA2CC1" w:rsidRDefault="00373ED9" w:rsidP="0043303B">
      <w:pPr>
        <w:pStyle w:val="Heading2"/>
        <w:rPr>
          <w:rFonts w:cs="Calibri"/>
        </w:rPr>
      </w:pPr>
      <w:bookmarkStart w:id="91" w:name="_Toc109662757"/>
      <w:r w:rsidRPr="00CA2CC1">
        <w:rPr>
          <w:rFonts w:cs="Calibri"/>
        </w:rPr>
        <w:t>Improving equity and access</w:t>
      </w:r>
      <w:bookmarkEnd w:id="91"/>
    </w:p>
    <w:p w14:paraId="301742FC" w14:textId="77777777" w:rsidR="00373ED9" w:rsidRPr="00CA2CC1" w:rsidRDefault="00373ED9" w:rsidP="0043303B">
      <w:pPr>
        <w:pStyle w:val="Heading3"/>
        <w:rPr>
          <w:rFonts w:cs="Calibri"/>
        </w:rPr>
      </w:pPr>
      <w:r w:rsidRPr="00CA2CC1">
        <w:rPr>
          <w:rFonts w:cs="Calibri"/>
        </w:rPr>
        <w:t xml:space="preserve">Priority description from the </w:t>
      </w:r>
      <w:r w:rsidRPr="00CA2CC1">
        <w:rPr>
          <w:rFonts w:cs="Calibri"/>
          <w:i/>
          <w:iCs/>
        </w:rPr>
        <w:t>Victorian infrastructure plan 2021</w:t>
      </w:r>
    </w:p>
    <w:p w14:paraId="07718555" w14:textId="77777777" w:rsidR="00373ED9" w:rsidRPr="00CA2CC1" w:rsidRDefault="00373ED9" w:rsidP="0043303B">
      <w:pPr>
        <w:pStyle w:val="IVBodyText"/>
        <w:spacing w:line="240" w:lineRule="auto"/>
        <w:rPr>
          <w:rFonts w:ascii="Calibri" w:hAnsi="Calibri" w:cs="Calibri"/>
          <w:b/>
          <w:bCs/>
          <w:color w:val="auto"/>
        </w:rPr>
      </w:pPr>
      <w:r w:rsidRPr="00CA2CC1">
        <w:rPr>
          <w:rFonts w:ascii="Calibri" w:hAnsi="Calibri" w:cs="Calibri"/>
          <w:b/>
          <w:bCs/>
          <w:color w:val="auto"/>
        </w:rPr>
        <w:t>Better planning and policy design will target support where it’s needed most, to give people the best care, wherever they live.</w:t>
      </w:r>
    </w:p>
    <w:p w14:paraId="2914C1CE" w14:textId="77777777" w:rsidR="00373ED9" w:rsidRPr="00CA2CC1" w:rsidRDefault="00373ED9" w:rsidP="0043303B">
      <w:pPr>
        <w:pStyle w:val="Heading3"/>
        <w:rPr>
          <w:rFonts w:cs="Calibri"/>
        </w:rPr>
      </w:pPr>
      <w:r w:rsidRPr="00CA2CC1">
        <w:rPr>
          <w:rFonts w:cs="Calibri"/>
        </w:rPr>
        <w:t>Victorian Government progress in 2022–23</w:t>
      </w:r>
    </w:p>
    <w:p w14:paraId="1C5BD0F5"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This priority aims to give Victorians care in the places and at the time they need it, regardless of their location, background, or circumstances. It seeks to provide greater equity in access to services through better planning and policy design.</w:t>
      </w:r>
    </w:p>
    <w:p w14:paraId="096C07AC" w14:textId="4AF066A3" w:rsidR="00373ED9" w:rsidRPr="00CA2CC1" w:rsidRDefault="00373ED9" w:rsidP="0043303B">
      <w:pPr>
        <w:pStyle w:val="IVBodyText"/>
        <w:spacing w:line="240" w:lineRule="auto"/>
        <w:rPr>
          <w:rFonts w:ascii="Calibri" w:hAnsi="Calibri" w:cs="Calibri"/>
        </w:rPr>
      </w:pPr>
      <w:r w:rsidRPr="00CA2CC1">
        <w:rPr>
          <w:rFonts w:ascii="Calibri" w:hAnsi="Calibri" w:cs="Calibri"/>
        </w:rPr>
        <w:t>Victoria’s social infrastructure needs to grow and change with its people. Different types of health service</w:t>
      </w:r>
      <w:r w:rsidR="00587F46" w:rsidRPr="00CA2CC1">
        <w:rPr>
          <w:rFonts w:ascii="Calibri" w:hAnsi="Calibri" w:cs="Calibri"/>
        </w:rPr>
        <w:t>s</w:t>
      </w:r>
      <w:r w:rsidRPr="00CA2CC1">
        <w:rPr>
          <w:rFonts w:ascii="Calibri" w:hAnsi="Calibri" w:cs="Calibri"/>
        </w:rPr>
        <w:t xml:space="preserve"> have different demand drivers.</w:t>
      </w:r>
      <w:r w:rsidRPr="00CA2CC1">
        <w:rPr>
          <w:rStyle w:val="EndnoteReference"/>
          <w:rFonts w:ascii="Calibri" w:hAnsi="Calibri" w:cs="Calibri"/>
          <w:color w:val="auto"/>
        </w:rPr>
        <w:endnoteReference w:id="496"/>
      </w:r>
      <w:r w:rsidRPr="00CA2CC1">
        <w:rPr>
          <w:rFonts w:ascii="Calibri" w:hAnsi="Calibri" w:cs="Calibri"/>
        </w:rPr>
        <w:t xml:space="preserve"> For instance, more people are seeking mental health assistance. Mental illness disproportionately affects young people, people experiencing disadvantage, residents of remote areas, Aboriginal Victorians and people from certain cultural backgrounds.</w:t>
      </w:r>
      <w:r w:rsidRPr="00CA2CC1">
        <w:rPr>
          <w:rStyle w:val="EndnoteReference"/>
          <w:rFonts w:ascii="Calibri" w:hAnsi="Calibri" w:cs="Calibri"/>
          <w:color w:val="auto"/>
        </w:rPr>
        <w:endnoteReference w:id="497"/>
      </w:r>
      <w:r w:rsidRPr="00CA2CC1">
        <w:rPr>
          <w:rFonts w:ascii="Calibri" w:hAnsi="Calibri" w:cs="Calibri"/>
        </w:rPr>
        <w:t xml:space="preserve"> </w:t>
      </w:r>
    </w:p>
    <w:p w14:paraId="106EFB99"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Drug and alcohol abuse is growing faster in regional areas than in Melbourne, and people in regional areas are more likely to have consumed an illicit drug or alcohol at dangerous quantities.</w:t>
      </w:r>
      <w:r w:rsidRPr="00CA2CC1">
        <w:rPr>
          <w:rFonts w:ascii="Calibri" w:hAnsi="Calibri" w:cs="Calibri"/>
          <w:vertAlign w:val="superscript"/>
        </w:rPr>
        <w:endnoteReference w:id="498"/>
      </w:r>
      <w:r w:rsidRPr="00CA2CC1">
        <w:rPr>
          <w:rFonts w:ascii="Calibri" w:hAnsi="Calibri" w:cs="Calibri"/>
        </w:rPr>
        <w:t xml:space="preserve"> Rural and regional Victorians also experienced poorer health compared with those living in Melbourne.</w:t>
      </w:r>
      <w:r w:rsidRPr="00CA2CC1">
        <w:rPr>
          <w:rStyle w:val="EndnoteReference"/>
          <w:rFonts w:ascii="Calibri" w:hAnsi="Calibri" w:cs="Calibri"/>
          <w:color w:val="auto"/>
        </w:rPr>
        <w:endnoteReference w:id="499"/>
      </w:r>
    </w:p>
    <w:p w14:paraId="0CB6D335" w14:textId="77777777" w:rsidR="00373ED9" w:rsidRPr="00CA2CC1" w:rsidRDefault="00373ED9" w:rsidP="0043303B">
      <w:pPr>
        <w:pStyle w:val="IVBodyText"/>
        <w:spacing w:line="240" w:lineRule="auto"/>
        <w:rPr>
          <w:rFonts w:ascii="Calibri" w:eastAsiaTheme="minorEastAsia" w:hAnsi="Calibri" w:cs="Calibri"/>
        </w:rPr>
      </w:pPr>
      <w:r w:rsidRPr="00CA2CC1">
        <w:rPr>
          <w:rFonts w:ascii="Calibri" w:hAnsi="Calibri" w:cs="Calibri"/>
        </w:rPr>
        <w:t>The Regional Health Infrastructure Fund assists regional and rural health services to improve their services. In October 2022, the fund awarded more than $70 million to 128 projects from 83 health services and agencies.</w:t>
      </w:r>
      <w:r w:rsidRPr="00CA2CC1">
        <w:rPr>
          <w:rStyle w:val="EndnoteReference"/>
          <w:rFonts w:ascii="Calibri" w:hAnsi="Calibri" w:cs="Calibri"/>
        </w:rPr>
        <w:endnoteReference w:id="500"/>
      </w:r>
    </w:p>
    <w:p w14:paraId="5CD15BB0" w14:textId="77777777" w:rsidR="00373ED9" w:rsidRPr="00CA2CC1" w:rsidRDefault="00373ED9" w:rsidP="0043303B">
      <w:pPr>
        <w:pStyle w:val="IVBodyText"/>
        <w:spacing w:line="240" w:lineRule="auto"/>
        <w:rPr>
          <w:rFonts w:ascii="Calibri" w:hAnsi="Calibri" w:cs="Calibri"/>
          <w:color w:val="auto"/>
        </w:rPr>
      </w:pPr>
      <w:r w:rsidRPr="00CA2CC1">
        <w:rPr>
          <w:rFonts w:ascii="Calibri" w:hAnsi="Calibri" w:cs="Calibri"/>
          <w:color w:val="auto"/>
        </w:rPr>
        <w:t>The 2023–24 Budget funded the construction of a new clinical services tower at Albury Wodonga Health’s Albury Hospital campus. The new tower will house new and expanded maternity, paediatrics, peri operative, intensive care, medical and surgical services. The New South Wales and Victorian governments are jointly funding the project.</w:t>
      </w:r>
      <w:r w:rsidRPr="00CA2CC1">
        <w:rPr>
          <w:rStyle w:val="EndnoteReference"/>
          <w:rFonts w:ascii="Calibri" w:hAnsi="Calibri" w:cs="Calibri"/>
          <w:color w:val="auto"/>
        </w:rPr>
        <w:endnoteReference w:id="501"/>
      </w:r>
    </w:p>
    <w:p w14:paraId="66B75B0F" w14:textId="77777777" w:rsidR="00373ED9" w:rsidRPr="00CA2CC1" w:rsidRDefault="00373ED9" w:rsidP="0043303B">
      <w:pPr>
        <w:pStyle w:val="IVBodyText"/>
        <w:spacing w:line="240" w:lineRule="auto"/>
        <w:rPr>
          <w:rFonts w:ascii="Calibri" w:hAnsi="Calibri" w:cs="Calibri"/>
          <w:color w:val="auto"/>
        </w:rPr>
      </w:pPr>
      <w:r w:rsidRPr="00CA2CC1">
        <w:rPr>
          <w:rFonts w:ascii="Calibri" w:hAnsi="Calibri" w:cs="Calibri"/>
        </w:rPr>
        <w:t>The Budget also provided $34 million to plan for the operation of community hospitals and commission the Sunbury Community Hospital. These projects will improve access to healthcare and reduce demand on acute hospitals and emergency departments.</w:t>
      </w:r>
      <w:r w:rsidRPr="00CA2CC1">
        <w:rPr>
          <w:rStyle w:val="EndnoteReference"/>
          <w:rFonts w:ascii="Calibri" w:hAnsi="Calibri" w:cs="Calibri"/>
        </w:rPr>
        <w:endnoteReference w:id="502"/>
      </w:r>
      <w:r w:rsidRPr="00CA2CC1">
        <w:rPr>
          <w:rFonts w:ascii="Calibri" w:hAnsi="Calibri" w:cs="Calibri"/>
        </w:rPr>
        <w:t xml:space="preserve"> In October 2022, the government announced locations for 10 more general practitioner-led priority primary care centres in Melbourne and regional Victoria. These centres will improve access to fee-free healthcare and aim to reduce demand on emergency departments.</w:t>
      </w:r>
      <w:r w:rsidRPr="00CA2CC1">
        <w:rPr>
          <w:rStyle w:val="EndnoteReference"/>
          <w:rFonts w:ascii="Calibri" w:hAnsi="Calibri" w:cs="Calibri"/>
          <w:color w:val="auto"/>
        </w:rPr>
        <w:endnoteReference w:id="503"/>
      </w:r>
    </w:p>
    <w:p w14:paraId="232D2C69"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The 2023–24 Budget provided $154 million to improve access to services for women and girls and promote best practice management of women’s health. This includes funds for 20 new women’s health clinics, a dedicated Aboriginal-led clinic, an additional 10,800 laparoscopies, and sexual and reproductive health hubs.</w:t>
      </w:r>
      <w:r w:rsidRPr="00CA2CC1">
        <w:rPr>
          <w:rStyle w:val="EndnoteReference"/>
          <w:rFonts w:ascii="Calibri" w:hAnsi="Calibri" w:cs="Calibri"/>
        </w:rPr>
        <w:endnoteReference w:id="504"/>
      </w:r>
    </w:p>
    <w:p w14:paraId="170D8972"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The Budget also funded 72 beds in Victoria’s mental health system to improve access to acute care for people experiencing mental illness. This included funds for a new statewide residential eating disorder treatment centre.</w:t>
      </w:r>
      <w:r w:rsidRPr="00CA2CC1">
        <w:rPr>
          <w:rStyle w:val="EndnoteReference"/>
          <w:rFonts w:ascii="Calibri" w:hAnsi="Calibri" w:cs="Calibri"/>
        </w:rPr>
        <w:endnoteReference w:id="505"/>
      </w:r>
      <w:r w:rsidRPr="00CA2CC1">
        <w:rPr>
          <w:rFonts w:ascii="Calibri" w:hAnsi="Calibri" w:cs="Calibri"/>
        </w:rPr>
        <w:t xml:space="preserve"> </w:t>
      </w:r>
    </w:p>
    <w:p w14:paraId="7D5E90F5"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The government also made progress on several existing projects. In March 2023, it released designs for the new Casey Early Parenting Centre.</w:t>
      </w:r>
      <w:r w:rsidRPr="00CA2CC1">
        <w:rPr>
          <w:rStyle w:val="EndnoteReference"/>
          <w:rFonts w:ascii="Calibri" w:hAnsi="Calibri" w:cs="Calibri"/>
          <w:color w:val="auto"/>
        </w:rPr>
        <w:endnoteReference w:id="506"/>
      </w:r>
      <w:r w:rsidRPr="00CA2CC1">
        <w:rPr>
          <w:rFonts w:ascii="Calibri" w:hAnsi="Calibri" w:cs="Calibri"/>
        </w:rPr>
        <w:t xml:space="preserve"> In April 2023, it announced a site for the first Frankston and Mornington Peninsula early parenting centre.</w:t>
      </w:r>
      <w:r w:rsidRPr="00CA2CC1">
        <w:rPr>
          <w:rStyle w:val="EndnoteReference"/>
          <w:rFonts w:ascii="Calibri" w:hAnsi="Calibri" w:cs="Calibri"/>
          <w:color w:val="auto"/>
        </w:rPr>
        <w:endnoteReference w:id="507"/>
      </w:r>
      <w:r w:rsidRPr="00CA2CC1">
        <w:rPr>
          <w:rFonts w:ascii="Calibri" w:hAnsi="Calibri" w:cs="Calibri"/>
        </w:rPr>
        <w:t xml:space="preserve"> These new centres aim to give new parents better access to early support in purpose-built facilities. In 2022–23, construction started on the new Barwon Women’s and Children’s Hospital</w:t>
      </w:r>
      <w:r w:rsidRPr="00CA2CC1">
        <w:rPr>
          <w:rStyle w:val="EndnoteReference"/>
          <w:rFonts w:ascii="Calibri" w:hAnsi="Calibri" w:cs="Calibri"/>
        </w:rPr>
        <w:endnoteReference w:id="508"/>
      </w:r>
      <w:r w:rsidRPr="00CA2CC1">
        <w:rPr>
          <w:rFonts w:ascii="Calibri" w:hAnsi="Calibri" w:cs="Calibri"/>
        </w:rPr>
        <w:t xml:space="preserve"> and the government consulted the community on the Warrnambool Base Hospital redevelopment.</w:t>
      </w:r>
      <w:r w:rsidRPr="00CA2CC1">
        <w:rPr>
          <w:rStyle w:val="EndnoteReference"/>
          <w:rFonts w:ascii="Calibri" w:hAnsi="Calibri" w:cs="Calibri"/>
        </w:rPr>
        <w:endnoteReference w:id="509"/>
      </w:r>
    </w:p>
    <w:p w14:paraId="1C8D2371" w14:textId="6D95734D" w:rsidR="00F3407E" w:rsidRPr="00CA2CC1" w:rsidRDefault="00373ED9" w:rsidP="0043303B">
      <w:pPr>
        <w:pStyle w:val="IVBodyText"/>
        <w:spacing w:line="240" w:lineRule="auto"/>
        <w:rPr>
          <w:rFonts w:ascii="Calibri" w:hAnsi="Calibri" w:cs="Calibri"/>
        </w:rPr>
      </w:pPr>
      <w:r w:rsidRPr="00CA2CC1">
        <w:rPr>
          <w:rFonts w:ascii="Calibri" w:hAnsi="Calibri" w:cs="Calibri"/>
        </w:rPr>
        <w:t xml:space="preserve">To improve equity and access in health and human services, </w:t>
      </w:r>
      <w:r w:rsidRPr="00CA2CC1">
        <w:rPr>
          <w:rFonts w:ascii="Calibri" w:hAnsi="Calibri" w:cs="Calibri"/>
          <w:i/>
          <w:iCs/>
        </w:rPr>
        <w:t>Victoria’s infrastructure strategy 2021–51</w:t>
      </w:r>
      <w:r w:rsidRPr="00CA2CC1">
        <w:rPr>
          <w:rFonts w:ascii="Calibri" w:hAnsi="Calibri" w:cs="Calibri"/>
        </w:rPr>
        <w:t xml:space="preserve"> recommended building regional residential alcohol and drug rehabilitation facilities and using rural schools to provide children’s specialist and allied telehealth services. </w:t>
      </w:r>
    </w:p>
    <w:p w14:paraId="0E363E7C" w14:textId="77777777" w:rsidR="00373ED9" w:rsidRPr="00CA2CC1" w:rsidRDefault="00373ED9" w:rsidP="0043303B">
      <w:pPr>
        <w:pStyle w:val="Heading2"/>
        <w:rPr>
          <w:rFonts w:cs="Calibri"/>
        </w:rPr>
      </w:pPr>
      <w:bookmarkStart w:id="92" w:name="_Toc109662758"/>
      <w:r w:rsidRPr="00CA2CC1">
        <w:rPr>
          <w:rFonts w:cs="Calibri"/>
        </w:rPr>
        <w:t>Investing in the future</w:t>
      </w:r>
      <w:bookmarkEnd w:id="92"/>
    </w:p>
    <w:p w14:paraId="5207D93D" w14:textId="77777777" w:rsidR="00373ED9" w:rsidRPr="00CA2CC1" w:rsidRDefault="00373ED9" w:rsidP="0043303B">
      <w:pPr>
        <w:pStyle w:val="Heading3"/>
        <w:rPr>
          <w:rFonts w:cs="Calibri"/>
        </w:rPr>
      </w:pPr>
      <w:r w:rsidRPr="00CA2CC1">
        <w:rPr>
          <w:rFonts w:cs="Calibri"/>
        </w:rPr>
        <w:t xml:space="preserve">Priority description from the </w:t>
      </w:r>
      <w:r w:rsidRPr="00CA2CC1">
        <w:rPr>
          <w:rFonts w:cs="Calibri"/>
          <w:i/>
          <w:iCs/>
        </w:rPr>
        <w:t>Victorian infrastructure plan 2021</w:t>
      </w:r>
    </w:p>
    <w:p w14:paraId="1225C9DC" w14:textId="77777777" w:rsidR="00373ED9" w:rsidRPr="00CA2CC1" w:rsidRDefault="00373ED9" w:rsidP="0043303B">
      <w:pPr>
        <w:pStyle w:val="IVBodyText"/>
        <w:spacing w:line="240" w:lineRule="auto"/>
        <w:rPr>
          <w:rFonts w:ascii="Calibri" w:hAnsi="Calibri" w:cs="Calibri"/>
          <w:b/>
          <w:bCs/>
          <w:color w:val="auto"/>
        </w:rPr>
      </w:pPr>
      <w:r w:rsidRPr="00CA2CC1">
        <w:rPr>
          <w:rFonts w:ascii="Calibri" w:hAnsi="Calibri" w:cs="Calibri"/>
          <w:b/>
          <w:bCs/>
          <w:color w:val="auto"/>
        </w:rPr>
        <w:t>Development and adoption of cutting-edge research, practice and technology will maintain Victoria’s world-class health and human services system in future.</w:t>
      </w:r>
    </w:p>
    <w:p w14:paraId="4EBDC873" w14:textId="77777777" w:rsidR="00373ED9" w:rsidRPr="00CA2CC1" w:rsidRDefault="00373ED9" w:rsidP="0043303B">
      <w:pPr>
        <w:pStyle w:val="Heading3"/>
        <w:rPr>
          <w:rFonts w:cs="Calibri"/>
        </w:rPr>
      </w:pPr>
      <w:r w:rsidRPr="00CA2CC1">
        <w:rPr>
          <w:rFonts w:cs="Calibri"/>
        </w:rPr>
        <w:t>Victorian Government progress in 2022–23</w:t>
      </w:r>
    </w:p>
    <w:p w14:paraId="61BFC136"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 xml:space="preserve">This priority focuses on the development and adoption of cutting-edge research, practice, and technology in Victoria. It aims to invest in research to maintain a world-class health and human services system. </w:t>
      </w:r>
    </w:p>
    <w:p w14:paraId="146421DE"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Infrastructure can support world-class research and attract research investment. For example, the Victorian Government funds the Australian Institute for Infectious Diseases, which builds on Victoria’s existing strengths in medical research and supports partnerships in precincts. The government unveiled the concept design for the new institute in the Melbourne Biomedical Precinct in June 2023.</w:t>
      </w:r>
      <w:r w:rsidRPr="00CA2CC1">
        <w:rPr>
          <w:rStyle w:val="EndnoteReference"/>
          <w:rFonts w:ascii="Calibri" w:hAnsi="Calibri" w:cs="Calibri"/>
        </w:rPr>
        <w:endnoteReference w:id="510"/>
      </w:r>
    </w:p>
    <w:p w14:paraId="6073EEAE"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In October 2022, the Victorian Government supported future leaders in cancer research by announcing $9 million to explore new ways to detect and treat different cancers.</w:t>
      </w:r>
      <w:r w:rsidRPr="00CA2CC1">
        <w:rPr>
          <w:rStyle w:val="EndnoteReference"/>
          <w:rFonts w:ascii="Calibri" w:hAnsi="Calibri" w:cs="Calibri"/>
        </w:rPr>
        <w:endnoteReference w:id="511"/>
      </w:r>
    </w:p>
    <w:p w14:paraId="5A98696B"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The 2023–24 Budget allocated $19 million to maintain strong cybersecurity measures for Victorian public health services and Ambulance Victoria.</w:t>
      </w:r>
      <w:r w:rsidRPr="00CA2CC1">
        <w:rPr>
          <w:rStyle w:val="EndnoteReference"/>
          <w:rFonts w:ascii="Calibri" w:hAnsi="Calibri" w:cs="Calibri"/>
        </w:rPr>
        <w:endnoteReference w:id="512"/>
      </w:r>
      <w:r w:rsidRPr="00CA2CC1">
        <w:rPr>
          <w:rFonts w:ascii="Calibri" w:hAnsi="Calibri" w:cs="Calibri"/>
        </w:rPr>
        <w:t xml:space="preserve"> The government’s digital healthcare investments aim to deliver better service delivery. It also helps strengthen cybersecurity protection for public health and ambulance services.</w:t>
      </w:r>
      <w:r w:rsidRPr="00CA2CC1">
        <w:rPr>
          <w:rStyle w:val="EndnoteReference"/>
          <w:rFonts w:ascii="Calibri" w:hAnsi="Calibri" w:cs="Calibri"/>
        </w:rPr>
        <w:endnoteReference w:id="513"/>
      </w:r>
      <w:r w:rsidRPr="00CA2CC1">
        <w:rPr>
          <w:rFonts w:ascii="Calibri" w:hAnsi="Calibri" w:cs="Calibri"/>
        </w:rPr>
        <w:t xml:space="preserve"> At a minimum, this will update technology to contribute to improving the overall resilience of the health system. </w:t>
      </w:r>
    </w:p>
    <w:p w14:paraId="24111067"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color w:val="auto"/>
        </w:rPr>
        <w:t xml:space="preserve">In March 2023, the government announced </w:t>
      </w:r>
      <w:r w:rsidRPr="00CA2CC1">
        <w:rPr>
          <w:rFonts w:ascii="Calibri" w:hAnsi="Calibri" w:cs="Calibri"/>
        </w:rPr>
        <w:t xml:space="preserve">it will provide </w:t>
      </w:r>
      <w:r w:rsidRPr="00CA2CC1">
        <w:rPr>
          <w:rFonts w:ascii="Calibri" w:hAnsi="Calibri" w:cs="Calibri"/>
          <w:color w:val="auto"/>
        </w:rPr>
        <w:t>$1 million for research to support evidence-based improvements and innovation in prevention of and response to family violence and sexual assault.</w:t>
      </w:r>
      <w:r w:rsidRPr="00CA2CC1">
        <w:rPr>
          <w:rStyle w:val="EndnoteReference"/>
          <w:rFonts w:ascii="Calibri" w:hAnsi="Calibri" w:cs="Calibri"/>
        </w:rPr>
        <w:endnoteReference w:id="514"/>
      </w:r>
      <w:r w:rsidRPr="00CA2CC1">
        <w:rPr>
          <w:rFonts w:ascii="Calibri" w:hAnsi="Calibri" w:cs="Calibri"/>
        </w:rPr>
        <w:t xml:space="preserve"> The Budget also funded support for detailed planning and design of a phased, multi-year delivery program in new technology systems. These will replace the integrated client and case management system and integrated reports and information system technology platforms that the Department of Families, Fairness and Housing uses.</w:t>
      </w:r>
      <w:r w:rsidRPr="00CA2CC1">
        <w:rPr>
          <w:rStyle w:val="EndnoteReference"/>
          <w:rFonts w:ascii="Calibri" w:hAnsi="Calibri" w:cs="Calibri"/>
        </w:rPr>
        <w:endnoteReference w:id="515"/>
      </w:r>
    </w:p>
    <w:p w14:paraId="3DAF13CA" w14:textId="77777777" w:rsidR="00373ED9" w:rsidRPr="00CA2CC1" w:rsidRDefault="00373ED9" w:rsidP="0043303B">
      <w:pPr>
        <w:spacing w:after="160"/>
        <w:rPr>
          <w:rFonts w:cs="Calibri"/>
        </w:rPr>
      </w:pPr>
      <w:r w:rsidRPr="00CA2CC1">
        <w:rPr>
          <w:rFonts w:cs="Calibri"/>
          <w:i/>
          <w:iCs/>
        </w:rPr>
        <w:t>Victoria’s infrastructure strategy 2021–2051</w:t>
      </w:r>
      <w:r w:rsidRPr="00CA2CC1">
        <w:rPr>
          <w:rFonts w:cs="Calibri"/>
        </w:rPr>
        <w:t xml:space="preserve"> recommended using innovation to deliver better models of health care.</w:t>
      </w:r>
      <w:r w:rsidRPr="00CA2CC1">
        <w:rPr>
          <w:rStyle w:val="EndnoteReference"/>
          <w:rFonts w:cs="Calibri"/>
        </w:rPr>
        <w:endnoteReference w:id="516"/>
      </w:r>
      <w:r w:rsidRPr="00CA2CC1">
        <w:rPr>
          <w:rFonts w:cs="Calibri"/>
        </w:rPr>
        <w:br w:type="page"/>
      </w:r>
    </w:p>
    <w:p w14:paraId="0096F418" w14:textId="77777777" w:rsidR="00373ED9" w:rsidRPr="00CA2CC1" w:rsidRDefault="00373ED9" w:rsidP="0043303B">
      <w:pPr>
        <w:pStyle w:val="Heading2"/>
        <w:rPr>
          <w:rFonts w:cs="Calibri"/>
        </w:rPr>
      </w:pPr>
      <w:bookmarkStart w:id="93" w:name="_Toc109662759"/>
      <w:r w:rsidRPr="00CA2CC1">
        <w:rPr>
          <w:rFonts w:cs="Calibri"/>
        </w:rPr>
        <w:t>All Victorians have stable, affordable, and appropriate housing</w:t>
      </w:r>
      <w:bookmarkEnd w:id="93"/>
    </w:p>
    <w:p w14:paraId="3A1EE9AD" w14:textId="77777777" w:rsidR="00373ED9" w:rsidRPr="00CA2CC1" w:rsidRDefault="00373ED9" w:rsidP="0043303B">
      <w:pPr>
        <w:pStyle w:val="Heading3"/>
        <w:rPr>
          <w:rFonts w:cs="Calibri"/>
          <w:i/>
          <w:iCs/>
        </w:rPr>
      </w:pPr>
      <w:r w:rsidRPr="00CA2CC1">
        <w:rPr>
          <w:rFonts w:cs="Calibri"/>
        </w:rPr>
        <w:t xml:space="preserve">Priority description from the </w:t>
      </w:r>
      <w:r w:rsidRPr="00CA2CC1">
        <w:rPr>
          <w:rFonts w:cs="Calibri"/>
          <w:i/>
          <w:iCs/>
        </w:rPr>
        <w:t>Victorian infrastructure plan 2021</w:t>
      </w:r>
    </w:p>
    <w:p w14:paraId="4EF76B16" w14:textId="77777777" w:rsidR="00373ED9" w:rsidRPr="00CA2CC1" w:rsidRDefault="00373ED9" w:rsidP="0043303B">
      <w:pPr>
        <w:pStyle w:val="IVBodyText"/>
        <w:spacing w:line="240" w:lineRule="auto"/>
        <w:rPr>
          <w:rFonts w:ascii="Calibri" w:hAnsi="Calibri" w:cs="Calibri"/>
          <w:b/>
          <w:bCs/>
          <w:color w:val="auto"/>
        </w:rPr>
      </w:pPr>
      <w:r w:rsidRPr="00CA2CC1">
        <w:rPr>
          <w:rFonts w:ascii="Calibri" w:hAnsi="Calibri" w:cs="Calibri"/>
          <w:b/>
          <w:bCs/>
          <w:color w:val="auto"/>
        </w:rPr>
        <w:t>Victorians have safe homes that provide emotional and physical sanctuary and have security of tenure in housing that is accessible, appropriate, affordable, and tailored to them. This includes supports to reduce housing insecurity and homelessness, to enable suitable housing for all.</w:t>
      </w:r>
    </w:p>
    <w:p w14:paraId="04D41D1D" w14:textId="77777777" w:rsidR="00373ED9" w:rsidRPr="00CA2CC1" w:rsidRDefault="00373ED9" w:rsidP="0043303B">
      <w:pPr>
        <w:pStyle w:val="Heading3"/>
        <w:rPr>
          <w:rFonts w:cs="Calibri"/>
        </w:rPr>
      </w:pPr>
      <w:r w:rsidRPr="00CA2CC1">
        <w:rPr>
          <w:rFonts w:cs="Calibri"/>
        </w:rPr>
        <w:t>Victorian Government progress in 2022–23</w:t>
      </w:r>
    </w:p>
    <w:p w14:paraId="586D8726"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 xml:space="preserve">This priority is about affordable and appropriate housing for all Victorians. It covers all segments of housing, including public, community and private housing, and includes both homeowners and renters. </w:t>
      </w:r>
    </w:p>
    <w:p w14:paraId="39525B43" w14:textId="2B706556" w:rsidR="00D34DE8" w:rsidRPr="00CA2CC1" w:rsidRDefault="00D34DE8" w:rsidP="0043303B">
      <w:pPr>
        <w:spacing w:before="240"/>
        <w:rPr>
          <w:rFonts w:cs="Calibri"/>
          <w:color w:val="000000" w:themeColor="text1"/>
        </w:rPr>
      </w:pPr>
      <w:r w:rsidRPr="00CA2CC1">
        <w:rPr>
          <w:rFonts w:cs="Calibri"/>
          <w:color w:val="000000" w:themeColor="text1"/>
        </w:rPr>
        <w:t xml:space="preserve">In September 2023, the Victorian Government released a major new housing policy, </w:t>
      </w:r>
      <w:r w:rsidRPr="00CA2CC1">
        <w:rPr>
          <w:rFonts w:cs="Calibri"/>
          <w:i/>
          <w:iCs/>
          <w:color w:val="000000" w:themeColor="text1"/>
        </w:rPr>
        <w:t>Victoria’s housing statement: the decade ahead 2024-2034</w:t>
      </w:r>
      <w:r w:rsidRPr="00CA2CC1">
        <w:rPr>
          <w:rFonts w:cs="Calibri"/>
          <w:color w:val="000000" w:themeColor="text1"/>
        </w:rPr>
        <w:t>. As this occurred after 30 June 2023, we will consider it in next year’s assessment.</w:t>
      </w:r>
    </w:p>
    <w:p w14:paraId="7CE69DAF"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 xml:space="preserve">Infrastructure Victoria researched housing options to better understand why people choose to live where they do. We asked over 6,000 Victorian households about the type of home they would choose in Melbourne, Geelong or Ballarat if they had to move, factoring in current house prices and their household budget – the largest survey of its kind ever conducted in Australia. </w:t>
      </w:r>
      <w:r w:rsidRPr="00CA2CC1">
        <w:rPr>
          <w:rFonts w:ascii="Calibri" w:hAnsi="Calibri" w:cs="Calibri"/>
          <w:i/>
          <w:iCs/>
        </w:rPr>
        <w:t>Our home choices: how more housing options can make better use of Victoria’s existing infrastructure</w:t>
      </w:r>
      <w:r w:rsidRPr="00CA2CC1">
        <w:rPr>
          <w:rFonts w:ascii="Calibri" w:hAnsi="Calibri" w:cs="Calibri"/>
        </w:rPr>
        <w:t xml:space="preserve"> published our findings.</w:t>
      </w:r>
      <w:r w:rsidRPr="00CA2CC1">
        <w:rPr>
          <w:rStyle w:val="EndnoteReference"/>
          <w:rFonts w:ascii="Calibri" w:hAnsi="Calibri" w:cs="Calibri"/>
        </w:rPr>
        <w:endnoteReference w:id="517"/>
      </w:r>
    </w:p>
    <w:p w14:paraId="363C3D75"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Our research showed that Melbourne’s existing suburbs do not offer a choice of homes at a price that many households can afford. We found that 1 in 5 households would trade house and land size to live in an established suburb in a medium density home, such as an apartment or townhouse, if it were available at a more comparable price.</w:t>
      </w:r>
      <w:r w:rsidRPr="00CA2CC1">
        <w:rPr>
          <w:rStyle w:val="EndnoteReference"/>
          <w:rFonts w:ascii="Calibri" w:hAnsi="Calibri" w:cs="Calibri"/>
        </w:rPr>
        <w:endnoteReference w:id="518"/>
      </w:r>
    </w:p>
    <w:p w14:paraId="400E8726"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The Victorian Government defines affordable housing as ‘housing suitable for the needs of a range of low to moderate income households and priced so households can meet other essential living costs’.</w:t>
      </w:r>
      <w:r w:rsidRPr="00CA2CC1">
        <w:rPr>
          <w:rFonts w:ascii="Calibri" w:hAnsi="Calibri" w:cs="Calibri"/>
          <w:vertAlign w:val="superscript"/>
        </w:rPr>
        <w:endnoteReference w:id="519"/>
      </w:r>
      <w:r w:rsidRPr="00CA2CC1">
        <w:rPr>
          <w:rFonts w:ascii="Calibri" w:hAnsi="Calibri" w:cs="Calibri"/>
        </w:rPr>
        <w:t xml:space="preserve"> Affordable homes seek to address the gap between private rental rates and community housing rates so people can afford a private rental or local housing close to where they work.</w:t>
      </w:r>
      <w:r w:rsidRPr="00CA2CC1">
        <w:rPr>
          <w:rFonts w:ascii="Calibri" w:eastAsiaTheme="majorEastAsia" w:hAnsi="Calibri" w:cs="Calibri"/>
          <w:vertAlign w:val="superscript"/>
        </w:rPr>
        <w:endnoteReference w:id="520"/>
      </w:r>
    </w:p>
    <w:p w14:paraId="086387E3"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Public and community housing infrastructure aims to meet the needs of low and moderate-income Victorians for secure, affordable and appropriate housing. The average waiting time for public rental housing for priority clients increased markedly from 11.6 months in 2018–19 to 16.5 months in 2022–23. Average wait times for public housing for clients due to family violence are also worse, increasing from 10.3 months in 2018–19 to 20.2 months in 2022–23. The department reported that 2022–23 wait times were longer than the target of 10.5 months due to the sustained demand for social housing after the COVID-19 pandemic combined with less renters moving out.</w:t>
      </w:r>
      <w:r w:rsidRPr="00CA2CC1">
        <w:rPr>
          <w:rStyle w:val="EndnoteReference"/>
          <w:rFonts w:ascii="Calibri" w:hAnsi="Calibri" w:cs="Calibri"/>
        </w:rPr>
        <w:endnoteReference w:id="521"/>
      </w:r>
      <w:r w:rsidRPr="00CA2CC1">
        <w:rPr>
          <w:rFonts w:ascii="Calibri" w:hAnsi="Calibri" w:cs="Calibri"/>
        </w:rPr>
        <w:t xml:space="preserve"> </w:t>
      </w:r>
    </w:p>
    <w:p w14:paraId="6D60C317"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In the March quarter 2023, only 8.8% of all new lettings across Victoria were affordable to low-income households, the lowest rate since March 2000.</w:t>
      </w:r>
      <w:r w:rsidRPr="00CA2CC1">
        <w:rPr>
          <w:rStyle w:val="EndnoteReference"/>
          <w:rFonts w:ascii="Calibri" w:hAnsi="Calibri" w:cs="Calibri"/>
        </w:rPr>
        <w:endnoteReference w:id="522"/>
      </w:r>
    </w:p>
    <w:p w14:paraId="342928F7"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In 2022–23, the government progressed several initiatives that form part of the Big Housing Build program. In April 2023, 34 Kensington homes funded through the Affordable Housing Rental Scheme began welcoming renters.</w:t>
      </w:r>
      <w:r w:rsidRPr="00CA2CC1">
        <w:rPr>
          <w:rStyle w:val="EndnoteReference"/>
          <w:rFonts w:ascii="Calibri" w:hAnsi="Calibri" w:cs="Calibri"/>
        </w:rPr>
        <w:endnoteReference w:id="523"/>
      </w:r>
      <w:r w:rsidRPr="00CA2CC1">
        <w:rPr>
          <w:rFonts w:ascii="Calibri" w:hAnsi="Calibri" w:cs="Calibri"/>
        </w:rPr>
        <w:t xml:space="preserve"> In May 2023, the government announced $5 million to expand the Aboriginal Private Rental Assistance Program services into 4 more areas.</w:t>
      </w:r>
      <w:r w:rsidRPr="00CA2CC1">
        <w:rPr>
          <w:rStyle w:val="EndnoteReference"/>
          <w:rFonts w:ascii="Calibri" w:hAnsi="Calibri" w:cs="Calibri"/>
        </w:rPr>
        <w:endnoteReference w:id="524"/>
      </w:r>
      <w:r w:rsidRPr="00CA2CC1">
        <w:rPr>
          <w:rFonts w:ascii="Calibri" w:hAnsi="Calibri" w:cs="Calibri"/>
        </w:rPr>
        <w:t xml:space="preserve"> In June 2023, it announced the recipients of the Social Housing Growth Funds’ Mental Health Supported Housing Round. This included 32 projects expected to deliver up to 214 new homes for Victorians living with mental illness.</w:t>
      </w:r>
      <w:r w:rsidRPr="00CA2CC1">
        <w:rPr>
          <w:rFonts w:ascii="Calibri" w:hAnsi="Calibri" w:cs="Calibri"/>
          <w:vertAlign w:val="superscript"/>
        </w:rPr>
        <w:endnoteReference w:id="525"/>
      </w:r>
      <w:r w:rsidRPr="00CA2CC1">
        <w:rPr>
          <w:rFonts w:ascii="Calibri" w:hAnsi="Calibri" w:cs="Calibri"/>
        </w:rPr>
        <w:t xml:space="preserve"> </w:t>
      </w:r>
    </w:p>
    <w:p w14:paraId="2A155CE1"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Regional Victoria is experiencing deteriorating housing affordability. The proportion of new rentals affordable to lower income households fell to 24.1% in March 2023. This is the lowest rate since March 2000.</w:t>
      </w:r>
      <w:r w:rsidRPr="00CA2CC1">
        <w:rPr>
          <w:rStyle w:val="EndnoteReference"/>
          <w:rFonts w:ascii="Calibri" w:hAnsi="Calibri" w:cs="Calibri"/>
        </w:rPr>
        <w:endnoteReference w:id="526"/>
      </w:r>
      <w:r w:rsidRPr="00CA2CC1">
        <w:rPr>
          <w:rFonts w:ascii="Calibri" w:hAnsi="Calibri" w:cs="Calibri"/>
        </w:rPr>
        <w:t xml:space="preserve"> The government announced the latest round of the Social Housing Growth Fund in late 2022. The Regional Round included 46 projects expected to create up to 683 new homes, to which the government will contribute $219 million.</w:t>
      </w:r>
      <w:r w:rsidRPr="00CA2CC1">
        <w:rPr>
          <w:rStyle w:val="EndnoteReference"/>
          <w:rFonts w:ascii="Calibri" w:hAnsi="Calibri" w:cs="Calibri"/>
        </w:rPr>
        <w:endnoteReference w:id="527"/>
      </w:r>
    </w:p>
    <w:p w14:paraId="1098F2B7"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Upgrading existing social housing to improve safety and accessibility also aligns with this priority. The 2023–24 Budget provided $136 million to install air conditioners in Victoria’s high-rise public housing. As many as 13,000 Victorians live there, in more than 40 high-rise towers.</w:t>
      </w:r>
      <w:r w:rsidRPr="00CA2CC1">
        <w:rPr>
          <w:rStyle w:val="EndnoteReference"/>
          <w:rFonts w:ascii="Calibri" w:hAnsi="Calibri" w:cs="Calibri"/>
        </w:rPr>
        <w:endnoteReference w:id="528"/>
      </w:r>
    </w:p>
    <w:p w14:paraId="56A41B30"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The priority also includes supports to reduce homelessness. In the 2023–24 Budget, the government allocated $23 million to The Salvation Army’s Magpie Nest, Hope Street First Response Youth Services, Frankston Zero, Sacred Heart Mission and The Outpost Geelong to increase access to housing and homelessness supports for people across Victoria.</w:t>
      </w:r>
      <w:r w:rsidRPr="00CA2CC1">
        <w:rPr>
          <w:rStyle w:val="EndnoteReference"/>
          <w:rFonts w:ascii="Calibri" w:hAnsi="Calibri" w:cs="Calibri"/>
        </w:rPr>
        <w:endnoteReference w:id="529"/>
      </w:r>
    </w:p>
    <w:p w14:paraId="70B3EFEE"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In February 2023, the government announced $50 million to build more than 130 new homes for young people across Victoria to address youth homelessness.</w:t>
      </w:r>
      <w:r w:rsidRPr="00CA2CC1">
        <w:rPr>
          <w:rStyle w:val="EndnoteReference"/>
          <w:rFonts w:ascii="Calibri" w:hAnsi="Calibri" w:cs="Calibri"/>
        </w:rPr>
        <w:endnoteReference w:id="530"/>
      </w:r>
      <w:r w:rsidRPr="00CA2CC1">
        <w:rPr>
          <w:rFonts w:ascii="Calibri" w:hAnsi="Calibri" w:cs="Calibri"/>
        </w:rPr>
        <w:t xml:space="preserve"> This aligns to our recommendation to fund more youth foyers in regional Victoria to support vulnerable young people.</w:t>
      </w:r>
      <w:r w:rsidRPr="00CA2CC1">
        <w:rPr>
          <w:rStyle w:val="EndnoteReference"/>
          <w:rFonts w:ascii="Calibri" w:hAnsi="Calibri" w:cs="Calibri"/>
        </w:rPr>
        <w:endnoteReference w:id="531"/>
      </w:r>
      <w:r w:rsidRPr="00CA2CC1">
        <w:rPr>
          <w:rFonts w:ascii="Calibri" w:hAnsi="Calibri" w:cs="Calibri"/>
        </w:rPr>
        <w:t xml:space="preserve"> </w:t>
      </w:r>
    </w:p>
    <w:p w14:paraId="42086217" w14:textId="039E5D86" w:rsidR="00373ED9" w:rsidRPr="00CA2CC1" w:rsidRDefault="00373ED9" w:rsidP="0043303B">
      <w:pPr>
        <w:pStyle w:val="IVBodyText"/>
        <w:spacing w:line="240" w:lineRule="auto"/>
        <w:rPr>
          <w:rFonts w:ascii="Calibri" w:hAnsi="Calibri" w:cs="Calibri"/>
        </w:rPr>
      </w:pPr>
      <w:r w:rsidRPr="00CA2CC1">
        <w:rPr>
          <w:rFonts w:ascii="Calibri" w:hAnsi="Calibri" w:cs="Calibri"/>
          <w:i/>
          <w:iCs/>
        </w:rPr>
        <w:t>Victoria’s infrastructure strategy 202</w:t>
      </w:r>
      <w:r w:rsidR="00587F46" w:rsidRPr="00CA2CC1">
        <w:rPr>
          <w:rFonts w:ascii="Calibri" w:hAnsi="Calibri" w:cs="Calibri"/>
          <w:i/>
          <w:iCs/>
        </w:rPr>
        <w:t>1</w:t>
      </w:r>
      <w:r w:rsidRPr="00CA2CC1">
        <w:rPr>
          <w:rFonts w:ascii="Calibri" w:hAnsi="Calibri" w:cs="Calibri"/>
          <w:i/>
          <w:iCs/>
        </w:rPr>
        <w:t xml:space="preserve">–2051 </w:t>
      </w:r>
      <w:r w:rsidRPr="00CA2CC1">
        <w:rPr>
          <w:rFonts w:ascii="Calibri" w:hAnsi="Calibri" w:cs="Calibri"/>
        </w:rPr>
        <w:t>makes several other recommendations about affordable and appropriate housing for Victorians including:</w:t>
      </w:r>
    </w:p>
    <w:p w14:paraId="56A7E418" w14:textId="77777777" w:rsidR="00373ED9" w:rsidRPr="00CA2CC1" w:rsidRDefault="00373ED9" w:rsidP="0043303B">
      <w:pPr>
        <w:pStyle w:val="IVBulletLevel2"/>
        <w:numPr>
          <w:ilvl w:val="1"/>
          <w:numId w:val="54"/>
        </w:numPr>
        <w:spacing w:line="240" w:lineRule="auto"/>
        <w:rPr>
          <w:rFonts w:ascii="Calibri" w:hAnsi="Calibri" w:cs="Calibri"/>
        </w:rPr>
      </w:pPr>
      <w:r w:rsidRPr="00CA2CC1">
        <w:rPr>
          <w:rFonts w:ascii="Calibri" w:hAnsi="Calibri" w:cs="Calibri"/>
        </w:rPr>
        <w:t>rapidly renewing old public housing</w:t>
      </w:r>
      <w:r w:rsidRPr="00CA2CC1">
        <w:rPr>
          <w:rStyle w:val="EndnoteReference"/>
          <w:rFonts w:ascii="Calibri" w:hAnsi="Calibri" w:cs="Calibri"/>
        </w:rPr>
        <w:endnoteReference w:id="532"/>
      </w:r>
    </w:p>
    <w:p w14:paraId="01E66176" w14:textId="77777777" w:rsidR="00373ED9" w:rsidRPr="00CA2CC1" w:rsidRDefault="00373ED9" w:rsidP="0043303B">
      <w:pPr>
        <w:pStyle w:val="IVBulletLevel2"/>
        <w:numPr>
          <w:ilvl w:val="1"/>
          <w:numId w:val="54"/>
        </w:numPr>
        <w:spacing w:line="240" w:lineRule="auto"/>
        <w:rPr>
          <w:rFonts w:ascii="Calibri" w:hAnsi="Calibri" w:cs="Calibri"/>
        </w:rPr>
      </w:pPr>
      <w:r w:rsidRPr="00CA2CC1">
        <w:rPr>
          <w:rFonts w:ascii="Calibri" w:hAnsi="Calibri" w:cs="Calibri"/>
        </w:rPr>
        <w:t>setting targets to grow social housing</w:t>
      </w:r>
      <w:r w:rsidRPr="00CA2CC1">
        <w:rPr>
          <w:rStyle w:val="EndnoteReference"/>
          <w:rFonts w:ascii="Calibri" w:hAnsi="Calibri" w:cs="Calibri"/>
        </w:rPr>
        <w:endnoteReference w:id="533"/>
      </w:r>
    </w:p>
    <w:p w14:paraId="7E359F31" w14:textId="77777777" w:rsidR="00373ED9" w:rsidRPr="00CA2CC1" w:rsidRDefault="00373ED9" w:rsidP="0043303B">
      <w:pPr>
        <w:pStyle w:val="IVBulletLevel2"/>
        <w:numPr>
          <w:ilvl w:val="1"/>
          <w:numId w:val="54"/>
        </w:numPr>
        <w:spacing w:line="240" w:lineRule="auto"/>
        <w:rPr>
          <w:rFonts w:ascii="Calibri" w:hAnsi="Calibri" w:cs="Calibri"/>
        </w:rPr>
      </w:pPr>
      <w:r w:rsidRPr="00CA2CC1">
        <w:rPr>
          <w:rFonts w:ascii="Calibri" w:hAnsi="Calibri" w:cs="Calibri"/>
        </w:rPr>
        <w:t>expanding social housing in regional centres in locations with good access</w:t>
      </w:r>
      <w:r w:rsidRPr="00CA2CC1">
        <w:rPr>
          <w:rStyle w:val="EndnoteReference"/>
          <w:rFonts w:ascii="Calibri" w:hAnsi="Calibri" w:cs="Calibri"/>
        </w:rPr>
        <w:endnoteReference w:id="534"/>
      </w:r>
    </w:p>
    <w:p w14:paraId="6A2904E6" w14:textId="77777777" w:rsidR="00373ED9" w:rsidRPr="00CA2CC1" w:rsidRDefault="00373ED9" w:rsidP="0043303B">
      <w:pPr>
        <w:pStyle w:val="IVBulletLevel2"/>
        <w:numPr>
          <w:ilvl w:val="1"/>
          <w:numId w:val="54"/>
        </w:numPr>
        <w:spacing w:line="240" w:lineRule="auto"/>
        <w:rPr>
          <w:rFonts w:ascii="Calibri" w:hAnsi="Calibri" w:cs="Calibri"/>
        </w:rPr>
      </w:pPr>
      <w:r w:rsidRPr="00CA2CC1">
        <w:rPr>
          <w:rFonts w:ascii="Calibri" w:hAnsi="Calibri" w:cs="Calibri"/>
        </w:rPr>
        <w:t>using value-capture mechanisms to deliver very low income housing</w:t>
      </w:r>
      <w:r w:rsidRPr="00CA2CC1">
        <w:rPr>
          <w:rStyle w:val="EndnoteReference"/>
          <w:rFonts w:ascii="Calibri" w:hAnsi="Calibri" w:cs="Calibri"/>
        </w:rPr>
        <w:endnoteReference w:id="535"/>
      </w:r>
    </w:p>
    <w:p w14:paraId="42ADE41D" w14:textId="77777777" w:rsidR="00373ED9" w:rsidRPr="00CA2CC1" w:rsidRDefault="00373ED9" w:rsidP="0043303B">
      <w:pPr>
        <w:pStyle w:val="IVBulletLevel2"/>
        <w:numPr>
          <w:ilvl w:val="1"/>
          <w:numId w:val="54"/>
        </w:numPr>
        <w:spacing w:line="240" w:lineRule="auto"/>
        <w:rPr>
          <w:rFonts w:ascii="Calibri" w:hAnsi="Calibri" w:cs="Calibri"/>
        </w:rPr>
      </w:pPr>
      <w:r w:rsidRPr="00CA2CC1">
        <w:rPr>
          <w:rFonts w:ascii="Calibri" w:hAnsi="Calibri" w:cs="Calibri"/>
        </w:rPr>
        <w:t>making social housing suitable for a changing climate.</w:t>
      </w:r>
      <w:r w:rsidRPr="00CA2CC1">
        <w:rPr>
          <w:rStyle w:val="EndnoteReference"/>
          <w:rFonts w:ascii="Calibri" w:hAnsi="Calibri" w:cs="Calibri"/>
        </w:rPr>
        <w:t xml:space="preserve"> </w:t>
      </w:r>
      <w:r w:rsidRPr="00CA2CC1">
        <w:rPr>
          <w:rStyle w:val="EndnoteReference"/>
          <w:rFonts w:ascii="Calibri" w:hAnsi="Calibri" w:cs="Calibri"/>
        </w:rPr>
        <w:endnoteReference w:id="536"/>
      </w:r>
    </w:p>
    <w:p w14:paraId="24151057" w14:textId="77777777" w:rsidR="00373ED9" w:rsidRPr="00CA2CC1" w:rsidRDefault="00373ED9" w:rsidP="0043303B">
      <w:pPr>
        <w:pStyle w:val="IVBodyText"/>
        <w:numPr>
          <w:ilvl w:val="0"/>
          <w:numId w:val="54"/>
        </w:numPr>
        <w:spacing w:line="240" w:lineRule="auto"/>
        <w:rPr>
          <w:rFonts w:ascii="Calibri" w:hAnsi="Calibri" w:cs="Calibri"/>
        </w:rPr>
      </w:pPr>
      <w:r w:rsidRPr="00CA2CC1">
        <w:rPr>
          <w:rFonts w:ascii="Calibri" w:hAnsi="Calibri" w:cs="Calibri"/>
        </w:rPr>
        <w:t>Infrastructure Victoria’s Our home choices report also suggested numerous reforms for the Victorian Government to consider, which can create more appropriate housing choices in established suburbs. These include:</w:t>
      </w:r>
    </w:p>
    <w:p w14:paraId="5720B158" w14:textId="77777777" w:rsidR="00373ED9" w:rsidRPr="00CA2CC1" w:rsidRDefault="00373ED9" w:rsidP="0043303B">
      <w:pPr>
        <w:pStyle w:val="IVBulletLevel2"/>
        <w:numPr>
          <w:ilvl w:val="1"/>
          <w:numId w:val="54"/>
        </w:numPr>
        <w:spacing w:line="240" w:lineRule="auto"/>
        <w:rPr>
          <w:rFonts w:ascii="Calibri" w:hAnsi="Calibri" w:cs="Calibri"/>
        </w:rPr>
      </w:pPr>
      <w:r w:rsidRPr="00CA2CC1">
        <w:rPr>
          <w:rFonts w:ascii="Calibri" w:hAnsi="Calibri" w:cs="Calibri"/>
        </w:rPr>
        <w:t>changes to existing financial incentives that distort home choices and favour greenfield development</w:t>
      </w:r>
    </w:p>
    <w:p w14:paraId="1C4071B6" w14:textId="77777777" w:rsidR="00373ED9" w:rsidRPr="00CA2CC1" w:rsidRDefault="00373ED9" w:rsidP="0043303B">
      <w:pPr>
        <w:pStyle w:val="IVBulletLevel2"/>
        <w:numPr>
          <w:ilvl w:val="1"/>
          <w:numId w:val="54"/>
        </w:numPr>
        <w:spacing w:line="240" w:lineRule="auto"/>
        <w:rPr>
          <w:rFonts w:ascii="Calibri" w:hAnsi="Calibri" w:cs="Calibri"/>
        </w:rPr>
      </w:pPr>
      <w:r w:rsidRPr="00CA2CC1">
        <w:rPr>
          <w:rFonts w:ascii="Calibri" w:hAnsi="Calibri" w:cs="Calibri"/>
        </w:rPr>
        <w:t>planning reforms that can encourage more affordable homes in established suburbs</w:t>
      </w:r>
    </w:p>
    <w:p w14:paraId="6F570671" w14:textId="77777777" w:rsidR="00373ED9" w:rsidRPr="00CA2CC1" w:rsidRDefault="00373ED9" w:rsidP="0043303B">
      <w:pPr>
        <w:pStyle w:val="IVBulletLevel2"/>
        <w:numPr>
          <w:ilvl w:val="1"/>
          <w:numId w:val="54"/>
        </w:numPr>
        <w:spacing w:line="240" w:lineRule="auto"/>
        <w:rPr>
          <w:rFonts w:ascii="Calibri" w:hAnsi="Calibri" w:cs="Calibri"/>
        </w:rPr>
      </w:pPr>
      <w:r w:rsidRPr="00CA2CC1">
        <w:rPr>
          <w:rFonts w:ascii="Calibri" w:hAnsi="Calibri" w:cs="Calibri"/>
        </w:rPr>
        <w:t>reforming infrastructure contribution schemes to better reflect the costs of building infrastructure in different areas.</w:t>
      </w:r>
      <w:r w:rsidRPr="00CA2CC1">
        <w:rPr>
          <w:rStyle w:val="EndnoteReference"/>
          <w:rFonts w:ascii="Calibri" w:hAnsi="Calibri" w:cs="Calibri"/>
        </w:rPr>
        <w:t xml:space="preserve"> </w:t>
      </w:r>
      <w:r w:rsidRPr="00CA2CC1">
        <w:rPr>
          <w:rStyle w:val="EndnoteReference"/>
          <w:rFonts w:ascii="Calibri" w:hAnsi="Calibri" w:cs="Calibri"/>
        </w:rPr>
        <w:endnoteReference w:id="537"/>
      </w:r>
    </w:p>
    <w:p w14:paraId="07E21E71" w14:textId="77777777" w:rsidR="00373ED9" w:rsidRPr="00CA2CC1" w:rsidRDefault="00373ED9" w:rsidP="0043303B">
      <w:pPr>
        <w:pStyle w:val="Heading1"/>
        <w:rPr>
          <w:rFonts w:cs="Calibri"/>
        </w:rPr>
      </w:pPr>
      <w:bookmarkStart w:id="94" w:name="_Toc109662760"/>
      <w:r w:rsidRPr="00CA2CC1">
        <w:rPr>
          <w:rFonts w:cs="Calibri"/>
        </w:rPr>
        <w:t>Justice and emergency services</w:t>
      </w:r>
      <w:bookmarkEnd w:id="94"/>
    </w:p>
    <w:p w14:paraId="08B67C3E" w14:textId="77777777" w:rsidR="00373ED9" w:rsidRPr="00CA2CC1" w:rsidRDefault="00373ED9" w:rsidP="0043303B">
      <w:pPr>
        <w:pStyle w:val="IVIntrotext"/>
        <w:spacing w:line="240" w:lineRule="auto"/>
        <w:rPr>
          <w:rFonts w:cs="Calibri"/>
          <w:color w:val="auto"/>
          <w:highlight w:val="yellow"/>
        </w:rPr>
      </w:pPr>
      <w:r w:rsidRPr="00CA2CC1">
        <w:rPr>
          <w:rFonts w:cs="Calibri"/>
          <w:color w:val="auto"/>
        </w:rPr>
        <w:t xml:space="preserve">Justice and emergency services infrastructure serves to protect the community, hold offenders accountable, help emergency services aid Victorians, improve community resilience, and respond to danger and major disasters. It includes stations and facilities for emergency services, courts and tribunals, remand centres, prisons, and youth justice facilities. Facilities are enabled and supported by specialised equipment and </w:t>
      </w:r>
      <w:r w:rsidRPr="00CA2CC1">
        <w:rPr>
          <w:rFonts w:eastAsia="Calibri Light" w:cs="Calibri"/>
          <w:color w:val="auto"/>
        </w:rPr>
        <w:t>information and communication technology (</w:t>
      </w:r>
      <w:r w:rsidRPr="00CA2CC1">
        <w:rPr>
          <w:rFonts w:cs="Calibri"/>
          <w:color w:val="auto"/>
        </w:rPr>
        <w:t>ICT) infrastructure including case management systems, audio-visual links, public safety systems and mobile communications to support operations.</w:t>
      </w:r>
    </w:p>
    <w:p w14:paraId="5BC909EC" w14:textId="5203BE24" w:rsidR="00373ED9" w:rsidRPr="00CA2CC1" w:rsidRDefault="00373ED9" w:rsidP="0043303B">
      <w:pPr>
        <w:pStyle w:val="IVBodyText"/>
        <w:spacing w:line="240" w:lineRule="auto"/>
        <w:rPr>
          <w:rFonts w:ascii="Calibri" w:hAnsi="Calibri" w:cs="Calibri"/>
          <w:color w:val="auto"/>
        </w:rPr>
      </w:pPr>
      <w:r w:rsidRPr="00CA2CC1">
        <w:rPr>
          <w:rFonts w:ascii="Calibri" w:hAnsi="Calibri" w:cs="Calibri"/>
          <w:color w:val="auto"/>
        </w:rPr>
        <w:t xml:space="preserve">The </w:t>
      </w:r>
      <w:r w:rsidRPr="00CA2CC1">
        <w:rPr>
          <w:rFonts w:ascii="Calibri" w:hAnsi="Calibri" w:cs="Calibri"/>
          <w:i/>
          <w:iCs/>
          <w:color w:val="auto"/>
        </w:rPr>
        <w:t>Victorian infrastructure plan 2021</w:t>
      </w:r>
      <w:r w:rsidRPr="00CA2CC1">
        <w:rPr>
          <w:rFonts w:ascii="Calibri" w:hAnsi="Calibri" w:cs="Calibri"/>
          <w:color w:val="auto"/>
        </w:rPr>
        <w:t xml:space="preserve"> outlines 5 priorities for the justice and emergency services infrastructure sector. Many agencies are involved in justice and </w:t>
      </w:r>
      <w:r w:rsidR="0038068A" w:rsidRPr="00CA2CC1">
        <w:rPr>
          <w:rFonts w:ascii="Calibri" w:hAnsi="Calibri" w:cs="Calibri"/>
          <w:color w:val="auto"/>
        </w:rPr>
        <w:t xml:space="preserve">emergency </w:t>
      </w:r>
      <w:r w:rsidRPr="00CA2CC1">
        <w:rPr>
          <w:rFonts w:ascii="Calibri" w:hAnsi="Calibri" w:cs="Calibri"/>
          <w:color w:val="auto"/>
        </w:rPr>
        <w:t>services including the Community Safety Building Authority, Court Services Victoria, Emergency Management Victoria, Victoria Police, Ambulance Victoria, the State Emergency Services, Fire Rescue Victoria, the Country Fire Authority and Forest Fire Management Victoria. The state’s justice and emergency services priorities are:</w:t>
      </w:r>
    </w:p>
    <w:p w14:paraId="4A8E93CD" w14:textId="77777777" w:rsidR="00373ED9" w:rsidRPr="00CA2CC1" w:rsidRDefault="00373ED9" w:rsidP="0043303B">
      <w:pPr>
        <w:pStyle w:val="IVBodyText"/>
        <w:numPr>
          <w:ilvl w:val="0"/>
          <w:numId w:val="53"/>
        </w:numPr>
        <w:spacing w:line="240" w:lineRule="auto"/>
        <w:rPr>
          <w:rFonts w:ascii="Calibri" w:hAnsi="Calibri" w:cs="Calibri"/>
          <w:color w:val="auto"/>
        </w:rPr>
      </w:pPr>
      <w:r w:rsidRPr="00CA2CC1">
        <w:rPr>
          <w:rFonts w:ascii="Calibri" w:hAnsi="Calibri" w:cs="Calibri"/>
          <w:color w:val="auto"/>
        </w:rPr>
        <w:t>keeping Victorians safe</w:t>
      </w:r>
    </w:p>
    <w:p w14:paraId="5AC8FCFB" w14:textId="77777777" w:rsidR="00373ED9" w:rsidRPr="00CA2CC1" w:rsidRDefault="00373ED9" w:rsidP="0043303B">
      <w:pPr>
        <w:pStyle w:val="IVBodyText"/>
        <w:numPr>
          <w:ilvl w:val="0"/>
          <w:numId w:val="53"/>
        </w:numPr>
        <w:spacing w:line="240" w:lineRule="auto"/>
        <w:rPr>
          <w:rFonts w:ascii="Calibri" w:hAnsi="Calibri" w:cs="Calibri"/>
          <w:color w:val="auto"/>
        </w:rPr>
      </w:pPr>
      <w:r w:rsidRPr="00CA2CC1">
        <w:rPr>
          <w:rFonts w:ascii="Calibri" w:hAnsi="Calibri" w:cs="Calibri"/>
          <w:color w:val="auto"/>
        </w:rPr>
        <w:t>building the corrections and youth justice facilities we need</w:t>
      </w:r>
    </w:p>
    <w:p w14:paraId="6B9E1D65" w14:textId="77777777" w:rsidR="00373ED9" w:rsidRPr="00CA2CC1" w:rsidRDefault="00373ED9" w:rsidP="0043303B">
      <w:pPr>
        <w:pStyle w:val="IVBodyText"/>
        <w:numPr>
          <w:ilvl w:val="0"/>
          <w:numId w:val="53"/>
        </w:numPr>
        <w:spacing w:line="240" w:lineRule="auto"/>
        <w:rPr>
          <w:rFonts w:ascii="Calibri" w:hAnsi="Calibri" w:cs="Calibri"/>
          <w:color w:val="auto"/>
        </w:rPr>
      </w:pPr>
      <w:r w:rsidRPr="00CA2CC1">
        <w:rPr>
          <w:rFonts w:ascii="Calibri" w:hAnsi="Calibri" w:cs="Calibri"/>
          <w:color w:val="auto"/>
        </w:rPr>
        <w:t>new and improved court services</w:t>
      </w:r>
    </w:p>
    <w:p w14:paraId="2BDAA155" w14:textId="77777777" w:rsidR="00373ED9" w:rsidRPr="00CA2CC1" w:rsidRDefault="00373ED9" w:rsidP="0043303B">
      <w:pPr>
        <w:pStyle w:val="IVBodyText"/>
        <w:numPr>
          <w:ilvl w:val="0"/>
          <w:numId w:val="53"/>
        </w:numPr>
        <w:spacing w:line="240" w:lineRule="auto"/>
        <w:rPr>
          <w:rFonts w:ascii="Calibri" w:hAnsi="Calibri" w:cs="Calibri"/>
          <w:color w:val="auto"/>
        </w:rPr>
      </w:pPr>
      <w:r w:rsidRPr="00CA2CC1">
        <w:rPr>
          <w:rFonts w:ascii="Calibri" w:hAnsi="Calibri" w:cs="Calibri"/>
          <w:color w:val="auto"/>
        </w:rPr>
        <w:t>deploying ICT innovations</w:t>
      </w:r>
    </w:p>
    <w:p w14:paraId="7D6BF418" w14:textId="77777777" w:rsidR="00373ED9" w:rsidRPr="00CA2CC1" w:rsidRDefault="00373ED9" w:rsidP="0043303B">
      <w:pPr>
        <w:pStyle w:val="ListParagraph"/>
        <w:widowControl/>
        <w:numPr>
          <w:ilvl w:val="0"/>
          <w:numId w:val="53"/>
        </w:numPr>
        <w:autoSpaceDE/>
        <w:autoSpaceDN/>
        <w:spacing w:before="230" w:after="230"/>
        <w:contextualSpacing/>
        <w:rPr>
          <w:rFonts w:cs="Calibri"/>
          <w:color w:val="auto"/>
        </w:rPr>
      </w:pPr>
      <w:r w:rsidRPr="00CA2CC1">
        <w:rPr>
          <w:rFonts w:cs="Calibri"/>
          <w:color w:val="auto"/>
        </w:rPr>
        <w:t>enhancing public safety.</w:t>
      </w:r>
    </w:p>
    <w:p w14:paraId="2074527C" w14:textId="77777777" w:rsidR="00373ED9" w:rsidRPr="00CA2CC1" w:rsidRDefault="00373ED9" w:rsidP="0043303B">
      <w:pPr>
        <w:pStyle w:val="Heading2"/>
        <w:rPr>
          <w:rFonts w:cs="Calibri"/>
        </w:rPr>
      </w:pPr>
      <w:bookmarkStart w:id="95" w:name="_Toc109662761"/>
      <w:r w:rsidRPr="00CA2CC1">
        <w:rPr>
          <w:rFonts w:cs="Calibri"/>
        </w:rPr>
        <w:t>Keeping Victorians safe</w:t>
      </w:r>
      <w:bookmarkEnd w:id="95"/>
    </w:p>
    <w:p w14:paraId="298D28A1" w14:textId="77777777" w:rsidR="00373ED9" w:rsidRPr="00CA2CC1" w:rsidRDefault="00373ED9" w:rsidP="0043303B">
      <w:pPr>
        <w:pStyle w:val="Heading3"/>
        <w:rPr>
          <w:rFonts w:cs="Calibri"/>
        </w:rPr>
      </w:pPr>
      <w:r w:rsidRPr="00CA2CC1">
        <w:rPr>
          <w:rFonts w:cs="Calibri"/>
        </w:rPr>
        <w:t xml:space="preserve">Priority description from the </w:t>
      </w:r>
      <w:r w:rsidRPr="00CA2CC1">
        <w:rPr>
          <w:rFonts w:cs="Calibri"/>
          <w:i/>
          <w:iCs/>
        </w:rPr>
        <w:t>Victorian infrastructure plan 2021</w:t>
      </w:r>
    </w:p>
    <w:p w14:paraId="275C6A34" w14:textId="77777777" w:rsidR="00373ED9" w:rsidRPr="00CA2CC1" w:rsidRDefault="00373ED9" w:rsidP="0043303B">
      <w:pPr>
        <w:pStyle w:val="IVBodyText"/>
        <w:spacing w:line="240" w:lineRule="auto"/>
        <w:rPr>
          <w:rFonts w:ascii="Calibri" w:hAnsi="Calibri" w:cs="Calibri"/>
          <w:b/>
          <w:bCs/>
          <w:color w:val="auto"/>
        </w:rPr>
      </w:pPr>
      <w:r w:rsidRPr="00CA2CC1">
        <w:rPr>
          <w:rFonts w:ascii="Calibri" w:hAnsi="Calibri" w:cs="Calibri"/>
          <w:b/>
          <w:bCs/>
          <w:color w:val="auto"/>
        </w:rPr>
        <w:t>Victoria is implementing nation-leading family violence reforms, including significant investment in Specialist Family Violence Courts to keep women and children safer.</w:t>
      </w:r>
    </w:p>
    <w:p w14:paraId="1F630BD5" w14:textId="77777777" w:rsidR="00373ED9" w:rsidRPr="00CA2CC1" w:rsidRDefault="00373ED9" w:rsidP="0043303B">
      <w:pPr>
        <w:pStyle w:val="Heading3"/>
        <w:rPr>
          <w:rFonts w:cs="Calibri"/>
        </w:rPr>
      </w:pPr>
      <w:r w:rsidRPr="00CA2CC1">
        <w:rPr>
          <w:rFonts w:cs="Calibri"/>
        </w:rPr>
        <w:t>Victorian Government progress in 2022–23</w:t>
      </w:r>
    </w:p>
    <w:p w14:paraId="35C9B409" w14:textId="77777777" w:rsidR="00373ED9" w:rsidRPr="00CA2CC1" w:rsidRDefault="00373ED9" w:rsidP="0043303B">
      <w:pPr>
        <w:pStyle w:val="IVBodyText"/>
        <w:spacing w:line="240" w:lineRule="auto"/>
        <w:rPr>
          <w:rFonts w:ascii="Calibri" w:eastAsia="Calibri Light" w:hAnsi="Calibri" w:cs="Calibri"/>
        </w:rPr>
      </w:pPr>
      <w:r w:rsidRPr="00CA2CC1">
        <w:rPr>
          <w:rFonts w:ascii="Calibri" w:eastAsia="Calibri Light" w:hAnsi="Calibri" w:cs="Calibri"/>
        </w:rPr>
        <w:t xml:space="preserve">This priority aims to keep Victorians safe from experiencing family violence, primarily through delivering family violence reforms. It seeks to do this by investing in infrastructure such as specialist family violence courts to deliver a more integrated response to family violence, as recommended by the </w:t>
      </w:r>
      <w:r w:rsidRPr="00CA2CC1">
        <w:rPr>
          <w:rFonts w:ascii="Calibri" w:eastAsia="Calibri Light" w:hAnsi="Calibri" w:cs="Calibri"/>
          <w:i/>
        </w:rPr>
        <w:t>Royal Commission into family violence.</w:t>
      </w:r>
      <w:r w:rsidRPr="00CA2CC1">
        <w:rPr>
          <w:rStyle w:val="EndnoteReference"/>
          <w:rFonts w:ascii="Calibri" w:eastAsia="Calibri" w:hAnsi="Calibri" w:cs="Calibri"/>
          <w:sz w:val="21"/>
          <w:szCs w:val="21"/>
        </w:rPr>
        <w:endnoteReference w:id="538"/>
      </w:r>
      <w:r w:rsidRPr="00CA2CC1">
        <w:rPr>
          <w:rFonts w:ascii="Calibri" w:eastAsia="Calibri Light" w:hAnsi="Calibri" w:cs="Calibri"/>
        </w:rPr>
        <w:t xml:space="preserve"> COVID-19 and public health restrictions created new challenges, including a reported increase in family violence incidents.</w:t>
      </w:r>
      <w:r w:rsidRPr="00CA2CC1">
        <w:rPr>
          <w:rStyle w:val="EndnoteReference"/>
          <w:rFonts w:ascii="Calibri" w:eastAsia="Calibri" w:hAnsi="Calibri" w:cs="Calibri"/>
          <w:sz w:val="21"/>
          <w:szCs w:val="21"/>
        </w:rPr>
        <w:endnoteReference w:id="539"/>
      </w:r>
      <w:r w:rsidRPr="00CA2CC1">
        <w:rPr>
          <w:rFonts w:ascii="Calibri" w:eastAsia="Calibri Light" w:hAnsi="Calibri" w:cs="Calibri"/>
        </w:rPr>
        <w:t xml:space="preserve"> </w:t>
      </w:r>
    </w:p>
    <w:p w14:paraId="160C85F4" w14:textId="77777777" w:rsidR="00373ED9" w:rsidRPr="00CA2CC1" w:rsidRDefault="00373ED9" w:rsidP="0043303B">
      <w:pPr>
        <w:pStyle w:val="IVBodyText"/>
        <w:spacing w:line="240" w:lineRule="auto"/>
        <w:rPr>
          <w:rFonts w:ascii="Calibri" w:eastAsiaTheme="minorEastAsia" w:hAnsi="Calibri" w:cs="Calibri"/>
        </w:rPr>
      </w:pPr>
      <w:r w:rsidRPr="00CA2CC1">
        <w:rPr>
          <w:rFonts w:ascii="Calibri" w:eastAsia="Calibri Light" w:hAnsi="Calibri" w:cs="Calibri"/>
        </w:rPr>
        <w:t>We used case clearance rates for family violence intervention orders as an indicator for progress. The government set the 2022–23 target higher than previous years (at 104% rather than 100%) to reflect the anticipated benefits from 2022–23 Budget decisions. In particular, $11 million to increase capacity and manage demand on the court system after the COVID-19 pandemic.</w:t>
      </w:r>
      <w:r w:rsidRPr="00CA2CC1">
        <w:rPr>
          <w:rStyle w:val="EndnoteReference"/>
          <w:rFonts w:ascii="Calibri" w:eastAsia="Calibri Light" w:hAnsi="Calibri" w:cs="Calibri"/>
        </w:rPr>
        <w:endnoteReference w:id="540"/>
      </w:r>
      <w:r w:rsidRPr="00CA2CC1">
        <w:rPr>
          <w:rFonts w:ascii="Calibri" w:eastAsia="Calibri Light" w:hAnsi="Calibri" w:cs="Calibri"/>
        </w:rPr>
        <w:t xml:space="preserve"> However, the expected outcome for 2022–23 was 92%, which was substantially below target. The department indicated this is due to a rise in family violence intervention order applications in late 2022.</w:t>
      </w:r>
      <w:r w:rsidRPr="00CA2CC1">
        <w:rPr>
          <w:rStyle w:val="EndnoteReference"/>
          <w:rFonts w:ascii="Calibri" w:eastAsiaTheme="minorEastAsia" w:hAnsi="Calibri" w:cs="Calibri"/>
        </w:rPr>
        <w:endnoteReference w:id="541"/>
      </w:r>
    </w:p>
    <w:p w14:paraId="797B9C75" w14:textId="77777777" w:rsidR="00373ED9" w:rsidRPr="00CA2CC1" w:rsidRDefault="00373ED9" w:rsidP="0043303B">
      <w:pPr>
        <w:pStyle w:val="IVBodyText"/>
        <w:spacing w:line="240" w:lineRule="auto"/>
        <w:rPr>
          <w:rFonts w:ascii="Calibri" w:eastAsia="Calibri Light" w:hAnsi="Calibri" w:cs="Calibri"/>
        </w:rPr>
      </w:pPr>
      <w:r w:rsidRPr="00CA2CC1">
        <w:rPr>
          <w:rFonts w:ascii="Calibri" w:eastAsia="Calibri Light" w:hAnsi="Calibri" w:cs="Calibri"/>
        </w:rPr>
        <w:t>Specialist family violence courts are better equipped for early engagement because they are supported by purpose-built facilities, a skilled workforce and local service integration.</w:t>
      </w:r>
      <w:r w:rsidRPr="00CA2CC1">
        <w:rPr>
          <w:rStyle w:val="EndnoteReference"/>
          <w:rFonts w:ascii="Calibri" w:eastAsia="Calibri" w:hAnsi="Calibri" w:cs="Calibri"/>
          <w:sz w:val="21"/>
          <w:szCs w:val="21"/>
        </w:rPr>
        <w:endnoteReference w:id="542"/>
      </w:r>
      <w:r w:rsidRPr="00CA2CC1">
        <w:rPr>
          <w:rFonts w:ascii="Calibri" w:eastAsia="Calibri Light" w:hAnsi="Calibri" w:cs="Calibri"/>
        </w:rPr>
        <w:t xml:space="preserve"> Integrating local community organisations, legal services and Victoria Police to deliver a multidisciplinary response to family violence has supported greater collaboration.</w:t>
      </w:r>
      <w:r w:rsidRPr="00CA2CC1">
        <w:rPr>
          <w:rStyle w:val="EndnoteReference"/>
          <w:rFonts w:ascii="Calibri" w:eastAsia="Calibri" w:hAnsi="Calibri" w:cs="Calibri"/>
          <w:sz w:val="21"/>
          <w:szCs w:val="21"/>
        </w:rPr>
        <w:endnoteReference w:id="543"/>
      </w:r>
      <w:r w:rsidRPr="00CA2CC1">
        <w:rPr>
          <w:rFonts w:ascii="Calibri" w:eastAsia="Calibri Light" w:hAnsi="Calibri" w:cs="Calibri"/>
        </w:rPr>
        <w:t xml:space="preserve"> This collaboration has increased the rate of referrals to specialist services. These services can offer a safer and more cohesive experience than when people access multiple, individual support services.</w:t>
      </w:r>
      <w:r w:rsidRPr="00CA2CC1">
        <w:rPr>
          <w:rStyle w:val="EndnoteReference"/>
          <w:rFonts w:ascii="Calibri" w:eastAsia="Calibri" w:hAnsi="Calibri" w:cs="Calibri"/>
          <w:sz w:val="21"/>
          <w:szCs w:val="21"/>
        </w:rPr>
        <w:endnoteReference w:id="544"/>
      </w:r>
    </w:p>
    <w:p w14:paraId="162E24E6" w14:textId="77777777" w:rsidR="00373ED9" w:rsidRPr="00CA2CC1" w:rsidRDefault="00373ED9" w:rsidP="0043303B">
      <w:pPr>
        <w:pStyle w:val="IVBodyText"/>
        <w:spacing w:line="240" w:lineRule="auto"/>
        <w:rPr>
          <w:rFonts w:ascii="Calibri" w:eastAsia="Calibri Light" w:hAnsi="Calibri" w:cs="Calibri"/>
        </w:rPr>
      </w:pPr>
      <w:r w:rsidRPr="00CA2CC1">
        <w:rPr>
          <w:rFonts w:ascii="Calibri" w:eastAsia="Calibri Light" w:hAnsi="Calibri" w:cs="Calibri"/>
        </w:rPr>
        <w:t>The Victorian Government previously committed to ensuring that all specialist family violence courts and Magistrates’ Court of Victoria headquarter courts can function as family violence court division courts.</w:t>
      </w:r>
      <w:r w:rsidRPr="00CA2CC1">
        <w:rPr>
          <w:rStyle w:val="EndnoteReference"/>
          <w:rFonts w:ascii="Calibri" w:eastAsia="Calibri" w:hAnsi="Calibri" w:cs="Calibri"/>
        </w:rPr>
        <w:endnoteReference w:id="545"/>
      </w:r>
      <w:r w:rsidRPr="00CA2CC1">
        <w:rPr>
          <w:rFonts w:ascii="Calibri" w:eastAsia="Calibri Light" w:hAnsi="Calibri" w:cs="Calibri"/>
        </w:rPr>
        <w:t xml:space="preserve"> Victoria now has 12 specialist family violence courts, 7 of which were announced in October 2022.</w:t>
      </w:r>
      <w:r w:rsidRPr="00CA2CC1">
        <w:rPr>
          <w:rStyle w:val="EndnoteReference"/>
          <w:rFonts w:ascii="Calibri" w:eastAsia="Calibri" w:hAnsi="Calibri" w:cs="Calibri"/>
        </w:rPr>
        <w:endnoteReference w:id="546"/>
      </w:r>
      <w:r w:rsidRPr="00CA2CC1">
        <w:rPr>
          <w:rFonts w:ascii="Calibri" w:eastAsia="Calibri Light" w:hAnsi="Calibri" w:cs="Calibri"/>
        </w:rPr>
        <w:t xml:space="preserve"> New facilities feature improved processes and list management, remote hearing capabilities and more staff. This means they can provide a stronger, more specialised response to family violence.</w:t>
      </w:r>
      <w:r w:rsidRPr="00CA2CC1">
        <w:rPr>
          <w:rStyle w:val="EndnoteReference"/>
          <w:rFonts w:ascii="Calibri" w:eastAsia="Calibri" w:hAnsi="Calibri" w:cs="Calibri"/>
        </w:rPr>
        <w:endnoteReference w:id="547"/>
      </w:r>
    </w:p>
    <w:p w14:paraId="034A50B8" w14:textId="77777777" w:rsidR="00373ED9" w:rsidRPr="00CA2CC1" w:rsidRDefault="00373ED9" w:rsidP="0043303B">
      <w:pPr>
        <w:pStyle w:val="IVBodyText"/>
        <w:spacing w:line="240" w:lineRule="auto"/>
        <w:rPr>
          <w:rFonts w:ascii="Calibri" w:hAnsi="Calibri" w:cs="Calibri"/>
          <w:color w:val="auto"/>
        </w:rPr>
      </w:pPr>
      <w:r w:rsidRPr="00CA2CC1">
        <w:rPr>
          <w:rFonts w:ascii="Calibri" w:eastAsia="Calibri Light" w:hAnsi="Calibri" w:cs="Calibri"/>
        </w:rPr>
        <w:t xml:space="preserve">In </w:t>
      </w:r>
      <w:r w:rsidRPr="00CA2CC1">
        <w:rPr>
          <w:rFonts w:ascii="Calibri" w:eastAsia="Calibri Light" w:hAnsi="Calibri" w:cs="Calibri"/>
          <w:i/>
        </w:rPr>
        <w:t>Victoria’s infrastructure strategy 2021–2051</w:t>
      </w:r>
      <w:r w:rsidRPr="00CA2CC1">
        <w:rPr>
          <w:rFonts w:ascii="Calibri" w:eastAsia="Calibri Light" w:hAnsi="Calibri" w:cs="Calibri"/>
        </w:rPr>
        <w:t>, we recommend courts modernise through digitisation and contemporary shared facilities in accessible buildings.</w:t>
      </w:r>
      <w:r w:rsidRPr="00CA2CC1">
        <w:rPr>
          <w:rStyle w:val="EndnoteReference"/>
          <w:rFonts w:ascii="Calibri" w:eastAsia="Calibri" w:hAnsi="Calibri" w:cs="Calibri"/>
        </w:rPr>
        <w:endnoteReference w:id="548"/>
      </w:r>
      <w:r w:rsidRPr="00CA2CC1">
        <w:rPr>
          <w:rFonts w:ascii="Calibri" w:eastAsia="Calibri Light" w:hAnsi="Calibri" w:cs="Calibri"/>
        </w:rPr>
        <w:t xml:space="preserve"> Digitising court systems and upgrading accessibility standards can help meet demand, protect the safety of victims and support dignified access to services that help keep Victorians safe.</w:t>
      </w:r>
      <w:r w:rsidRPr="00CA2CC1">
        <w:rPr>
          <w:rStyle w:val="EndnoteReference"/>
          <w:rFonts w:ascii="Calibri" w:eastAsia="Calibri" w:hAnsi="Calibri" w:cs="Calibri"/>
        </w:rPr>
        <w:endnoteReference w:id="549"/>
      </w:r>
      <w:r w:rsidRPr="00CA2CC1">
        <w:rPr>
          <w:rFonts w:ascii="Calibri" w:eastAsia="Calibri Light" w:hAnsi="Calibri" w:cs="Calibri"/>
        </w:rPr>
        <w:t xml:space="preserve"> </w:t>
      </w:r>
    </w:p>
    <w:p w14:paraId="138A905B" w14:textId="77777777" w:rsidR="00373ED9" w:rsidRPr="00CA2CC1" w:rsidRDefault="00373ED9" w:rsidP="0043303B">
      <w:pPr>
        <w:pStyle w:val="Heading2"/>
        <w:rPr>
          <w:rFonts w:cs="Calibri"/>
        </w:rPr>
      </w:pPr>
      <w:bookmarkStart w:id="96" w:name="_Toc109662762"/>
      <w:r w:rsidRPr="00CA2CC1">
        <w:rPr>
          <w:rFonts w:cs="Calibri"/>
        </w:rPr>
        <w:t>Building the corrections and youth justice facilities we need</w:t>
      </w:r>
      <w:bookmarkEnd w:id="96"/>
    </w:p>
    <w:p w14:paraId="45D0BD9D" w14:textId="77777777" w:rsidR="00373ED9" w:rsidRPr="00CA2CC1" w:rsidRDefault="00373ED9" w:rsidP="0043303B">
      <w:pPr>
        <w:pStyle w:val="Heading3"/>
        <w:rPr>
          <w:rFonts w:cs="Calibri"/>
        </w:rPr>
      </w:pPr>
      <w:r w:rsidRPr="00CA2CC1">
        <w:rPr>
          <w:rFonts w:cs="Calibri"/>
        </w:rPr>
        <w:t xml:space="preserve">Priority description from the </w:t>
      </w:r>
      <w:r w:rsidRPr="00CA2CC1">
        <w:rPr>
          <w:rFonts w:cs="Calibri"/>
          <w:i/>
          <w:iCs/>
        </w:rPr>
        <w:t>Victorian infrastructure plan 2021</w:t>
      </w:r>
    </w:p>
    <w:p w14:paraId="7406FF9B" w14:textId="77777777" w:rsidR="00373ED9" w:rsidRPr="00CA2CC1" w:rsidRDefault="00373ED9" w:rsidP="0043303B">
      <w:pPr>
        <w:pStyle w:val="IVBodyText"/>
        <w:spacing w:line="240" w:lineRule="auto"/>
        <w:rPr>
          <w:rFonts w:ascii="Calibri" w:hAnsi="Calibri" w:cs="Calibri"/>
          <w:b/>
          <w:bCs/>
          <w:color w:val="auto"/>
        </w:rPr>
      </w:pPr>
      <w:r w:rsidRPr="00CA2CC1">
        <w:rPr>
          <w:rFonts w:ascii="Calibri" w:hAnsi="Calibri" w:cs="Calibri"/>
          <w:b/>
          <w:bCs/>
          <w:color w:val="auto"/>
        </w:rPr>
        <w:t>Victoria is upgrading and building new corrections and youth justice facilities to meet demand, improve system effectiveness, and increase community safety.</w:t>
      </w:r>
    </w:p>
    <w:p w14:paraId="4B88D9C4" w14:textId="77777777" w:rsidR="00373ED9" w:rsidRPr="00CA2CC1" w:rsidRDefault="00373ED9" w:rsidP="0043303B">
      <w:pPr>
        <w:pStyle w:val="Heading3"/>
        <w:rPr>
          <w:rFonts w:cs="Calibri"/>
        </w:rPr>
      </w:pPr>
      <w:r w:rsidRPr="00CA2CC1">
        <w:rPr>
          <w:rFonts w:cs="Calibri"/>
        </w:rPr>
        <w:t>Victorian Government progress in 2022–23</w:t>
      </w:r>
    </w:p>
    <w:p w14:paraId="5C1702CD"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 xml:space="preserve">This priority aims to upgrade and build new corrections and youth facilities infrastructure. This infrastructure can better meet demand, improve correction system effectiveness and increase community safety. </w:t>
      </w:r>
    </w:p>
    <w:p w14:paraId="79D36110" w14:textId="77777777" w:rsidR="00373ED9" w:rsidRPr="00CA2CC1" w:rsidRDefault="00373ED9" w:rsidP="0043303B">
      <w:pPr>
        <w:pStyle w:val="IVBodyText"/>
        <w:spacing w:line="240" w:lineRule="auto"/>
        <w:rPr>
          <w:rFonts w:ascii="Calibri" w:eastAsia="Calibri" w:hAnsi="Calibri" w:cs="Calibri"/>
        </w:rPr>
      </w:pPr>
      <w:r w:rsidRPr="00CA2CC1">
        <w:rPr>
          <w:rFonts w:ascii="Calibri" w:eastAsia="Calibri" w:hAnsi="Calibri" w:cs="Calibri"/>
          <w:lang w:val="en-GB"/>
        </w:rPr>
        <w:t>Victoria's prison population increased over the last 10 years, from 5,340 in June 2013 to 6,440 in June 2023.</w:t>
      </w:r>
      <w:r w:rsidRPr="00CA2CC1">
        <w:rPr>
          <w:rStyle w:val="EndnoteReference"/>
          <w:rFonts w:ascii="Calibri" w:eastAsia="Calibri" w:hAnsi="Calibri" w:cs="Calibri"/>
          <w:lang w:val="en-GB"/>
        </w:rPr>
        <w:endnoteReference w:id="550"/>
      </w:r>
      <w:r w:rsidRPr="00CA2CC1">
        <w:rPr>
          <w:rFonts w:ascii="Calibri" w:eastAsia="Calibri" w:hAnsi="Calibri" w:cs="Calibri"/>
          <w:lang w:val="en-GB"/>
        </w:rPr>
        <w:t xml:space="preserve"> This is despite the system-wide decrease in demand that took place during the COIVD-19 pandemic. In June 2019, the total prison population was 8,102.  Sufficient infrastructure and agile policy responses can help manage this changing demand.</w:t>
      </w:r>
      <w:r w:rsidRPr="00CA2CC1">
        <w:rPr>
          <w:rStyle w:val="EndnoteReference"/>
          <w:rFonts w:ascii="Calibri" w:eastAsia="Calibri" w:hAnsi="Calibri" w:cs="Calibri"/>
          <w:lang w:val="en-GB"/>
        </w:rPr>
        <w:endnoteReference w:id="551"/>
      </w:r>
    </w:p>
    <w:p w14:paraId="3D3FA6E9" w14:textId="77777777" w:rsidR="00373ED9" w:rsidRPr="00CA2CC1" w:rsidRDefault="00373ED9" w:rsidP="0043303B">
      <w:pPr>
        <w:pStyle w:val="IVBodyText"/>
        <w:spacing w:line="240" w:lineRule="auto"/>
        <w:rPr>
          <w:rFonts w:ascii="Calibri" w:eastAsia="Calibri" w:hAnsi="Calibri" w:cs="Calibri"/>
        </w:rPr>
      </w:pPr>
      <w:r w:rsidRPr="00CA2CC1">
        <w:rPr>
          <w:rFonts w:ascii="Calibri" w:hAnsi="Calibri" w:cs="Calibri"/>
        </w:rPr>
        <w:t xml:space="preserve">The Victorian Government is investing in facilities to help ensure the prison system is safe, secure and well-equipped to meet demand. It completed construction of </w:t>
      </w:r>
      <w:r w:rsidRPr="00CA2CC1">
        <w:rPr>
          <w:rFonts w:ascii="Calibri" w:eastAsia="Calibri Light" w:hAnsi="Calibri" w:cs="Calibri"/>
        </w:rPr>
        <w:t>t</w:t>
      </w:r>
      <w:r w:rsidRPr="00CA2CC1">
        <w:rPr>
          <w:rFonts w:ascii="Calibri" w:eastAsia="Calibri" w:hAnsi="Calibri" w:cs="Calibri"/>
        </w:rPr>
        <w:t>he Western Plains Correctional Centre, a 1,248-bed maximum security public prison, in November 2022.</w:t>
      </w:r>
      <w:r w:rsidRPr="00CA2CC1">
        <w:rPr>
          <w:rStyle w:val="EndnoteReference"/>
          <w:rFonts w:ascii="Calibri" w:eastAsia="Calibri" w:hAnsi="Calibri" w:cs="Calibri"/>
        </w:rPr>
        <w:endnoteReference w:id="552"/>
      </w:r>
      <w:r w:rsidRPr="00CA2CC1">
        <w:rPr>
          <w:rFonts w:ascii="Calibri" w:eastAsia="Calibri" w:hAnsi="Calibri" w:cs="Calibri"/>
        </w:rPr>
        <w:t xml:space="preserve"> The new facility includes infrastructure to improve staff safety and delivers programs to reduce </w:t>
      </w:r>
      <w:r w:rsidRPr="00CA2CC1">
        <w:rPr>
          <w:rFonts w:ascii="Calibri" w:eastAsia="Calibri" w:hAnsi="Calibri" w:cs="Calibri"/>
          <w:lang w:val="en-GB"/>
        </w:rPr>
        <w:t>recidivism and support prisoners to successfully reintegrate into society</w:t>
      </w:r>
      <w:r w:rsidRPr="00CA2CC1">
        <w:rPr>
          <w:rFonts w:ascii="Calibri" w:eastAsia="Calibri" w:hAnsi="Calibri" w:cs="Calibri"/>
        </w:rPr>
        <w:t>.</w:t>
      </w:r>
      <w:r w:rsidRPr="00CA2CC1">
        <w:rPr>
          <w:rStyle w:val="EndnoteReference"/>
          <w:rFonts w:ascii="Calibri" w:eastAsia="Calibri" w:hAnsi="Calibri" w:cs="Calibri"/>
        </w:rPr>
        <w:endnoteReference w:id="553"/>
      </w:r>
      <w:r w:rsidRPr="00CA2CC1">
        <w:rPr>
          <w:rFonts w:ascii="Calibri" w:eastAsia="Calibri" w:hAnsi="Calibri" w:cs="Calibri"/>
        </w:rPr>
        <w:t xml:space="preserve"> </w:t>
      </w:r>
    </w:p>
    <w:p w14:paraId="4DF31B79" w14:textId="77777777" w:rsidR="00373ED9" w:rsidRPr="00CA2CC1" w:rsidRDefault="00373ED9" w:rsidP="0043303B">
      <w:pPr>
        <w:pStyle w:val="IVBodyText"/>
        <w:spacing w:line="240" w:lineRule="auto"/>
        <w:rPr>
          <w:rFonts w:ascii="Calibri" w:eastAsia="Calibri" w:hAnsi="Calibri" w:cs="Calibri"/>
        </w:rPr>
      </w:pPr>
      <w:r w:rsidRPr="00CA2CC1">
        <w:rPr>
          <w:rFonts w:ascii="Calibri" w:eastAsia="Calibri" w:hAnsi="Calibri" w:cs="Calibri"/>
        </w:rPr>
        <w:t>The government upgraded and expanded the Dame Phyllis Frost Centre to deliver 106 new beds and other supporting infrastructure.</w:t>
      </w:r>
      <w:r w:rsidRPr="00CA2CC1">
        <w:rPr>
          <w:rStyle w:val="EndnoteReference"/>
          <w:rFonts w:ascii="Calibri" w:eastAsia="Calibri" w:hAnsi="Calibri" w:cs="Calibri"/>
        </w:rPr>
        <w:endnoteReference w:id="554"/>
      </w:r>
      <w:r w:rsidRPr="00CA2CC1">
        <w:rPr>
          <w:rFonts w:ascii="Calibri" w:eastAsia="Calibri" w:hAnsi="Calibri" w:cs="Calibri"/>
        </w:rPr>
        <w:t xml:space="preserve"> This allowed the government to improve prisoner safety and decommission other unsuitable beds and accommodation in Victoria’s women's prisons.</w:t>
      </w:r>
      <w:r w:rsidRPr="00CA2CC1">
        <w:rPr>
          <w:rStyle w:val="EndnoteReference"/>
          <w:rFonts w:ascii="Calibri" w:eastAsia="Calibri" w:hAnsi="Calibri" w:cs="Calibri"/>
        </w:rPr>
        <w:endnoteReference w:id="555"/>
      </w:r>
      <w:r w:rsidRPr="00CA2CC1">
        <w:rPr>
          <w:rFonts w:ascii="Calibri" w:eastAsia="Calibri" w:hAnsi="Calibri" w:cs="Calibri"/>
        </w:rPr>
        <w:t xml:space="preserve"> The new supporting infrastructure includes legal and telecourt facilities, multi-purpose buildings and a reception centre.</w:t>
      </w:r>
      <w:r w:rsidRPr="00CA2CC1">
        <w:rPr>
          <w:rStyle w:val="EndnoteReference"/>
          <w:rFonts w:ascii="Calibri" w:eastAsia="Calibri" w:hAnsi="Calibri" w:cs="Calibri"/>
        </w:rPr>
        <w:endnoteReference w:id="556"/>
      </w:r>
      <w:r w:rsidRPr="00CA2CC1">
        <w:rPr>
          <w:rFonts w:ascii="Calibri" w:eastAsia="Calibri" w:hAnsi="Calibri" w:cs="Calibri"/>
        </w:rPr>
        <w:t xml:space="preserve"> These facilities can help increase access to rehabilitation programs and support prisoners' transition after release.</w:t>
      </w:r>
      <w:r w:rsidRPr="00CA2CC1">
        <w:rPr>
          <w:rStyle w:val="EndnoteReference"/>
          <w:rFonts w:ascii="Calibri" w:eastAsia="Calibri" w:hAnsi="Calibri" w:cs="Calibri"/>
        </w:rPr>
        <w:endnoteReference w:id="557"/>
      </w:r>
    </w:p>
    <w:p w14:paraId="0271E134" w14:textId="77777777" w:rsidR="00373ED9" w:rsidRPr="00CA2CC1" w:rsidRDefault="00373ED9" w:rsidP="0043303B">
      <w:pPr>
        <w:pStyle w:val="IVBodyText"/>
        <w:spacing w:line="240" w:lineRule="auto"/>
        <w:rPr>
          <w:rFonts w:ascii="Calibri" w:eastAsia="Calibri" w:hAnsi="Calibri" w:cs="Calibri"/>
        </w:rPr>
      </w:pPr>
      <w:r w:rsidRPr="00CA2CC1">
        <w:rPr>
          <w:rFonts w:ascii="Calibri" w:eastAsia="Calibri" w:hAnsi="Calibri" w:cs="Calibri"/>
        </w:rPr>
        <w:t>The government also completed construction of the Cherry Creek Youth Justice Centre. The facility houses 140 beds and a mental health and intensive intervention unit.</w:t>
      </w:r>
      <w:r w:rsidRPr="00CA2CC1">
        <w:rPr>
          <w:rStyle w:val="EndnoteReference"/>
          <w:rFonts w:ascii="Calibri" w:eastAsia="Calibri" w:hAnsi="Calibri" w:cs="Calibri"/>
        </w:rPr>
        <w:endnoteReference w:id="558"/>
      </w:r>
      <w:r w:rsidRPr="00CA2CC1">
        <w:rPr>
          <w:rFonts w:ascii="Calibri" w:eastAsia="Calibri" w:hAnsi="Calibri" w:cs="Calibri"/>
        </w:rPr>
        <w:t xml:space="preserve"> This unit was recommended by experts, and is intended to improve rehabilitation outcomes for young people.</w:t>
      </w:r>
      <w:r w:rsidRPr="00CA2CC1">
        <w:rPr>
          <w:rStyle w:val="EndnoteReference"/>
          <w:rFonts w:ascii="Calibri" w:eastAsia="Calibri" w:hAnsi="Calibri" w:cs="Calibri"/>
        </w:rPr>
        <w:endnoteReference w:id="559"/>
      </w:r>
      <w:r w:rsidRPr="00CA2CC1">
        <w:rPr>
          <w:rFonts w:ascii="Calibri" w:eastAsia="Calibri" w:hAnsi="Calibri" w:cs="Calibri"/>
        </w:rPr>
        <w:t xml:space="preserve"> Delivering education and rehabilitation programs, and providing safe infrastructure, helps to keep the community safe and improves overall system effectiveness.</w:t>
      </w:r>
      <w:r w:rsidRPr="00CA2CC1">
        <w:rPr>
          <w:rStyle w:val="EndnoteReference"/>
          <w:rFonts w:ascii="Calibri" w:eastAsia="Calibri" w:hAnsi="Calibri" w:cs="Calibri"/>
        </w:rPr>
        <w:endnoteReference w:id="560"/>
      </w:r>
      <w:r w:rsidRPr="00CA2CC1">
        <w:rPr>
          <w:rFonts w:ascii="Calibri" w:eastAsia="Calibri" w:hAnsi="Calibri" w:cs="Calibri"/>
        </w:rPr>
        <w:t xml:space="preserve"> These initiatives might also support the current downward trend of recidivism. The number of offenders returning to corrective services within 2 years of discharge decreased by 11.8% between 2014–15 and 2020–21.</w:t>
      </w:r>
      <w:r w:rsidRPr="00CA2CC1">
        <w:rPr>
          <w:rStyle w:val="EndnoteReference"/>
          <w:rFonts w:ascii="Calibri" w:eastAsia="Calibri" w:hAnsi="Calibri" w:cs="Calibri"/>
        </w:rPr>
        <w:endnoteReference w:id="561"/>
      </w:r>
    </w:p>
    <w:p w14:paraId="65D93F1C" w14:textId="77777777" w:rsidR="00373ED9" w:rsidRPr="00CA2CC1" w:rsidRDefault="00373ED9" w:rsidP="0043303B">
      <w:pPr>
        <w:pStyle w:val="IVBodyText"/>
        <w:spacing w:line="240" w:lineRule="auto"/>
        <w:rPr>
          <w:rFonts w:ascii="Calibri" w:eastAsia="Calibri" w:hAnsi="Calibri" w:cs="Calibri"/>
        </w:rPr>
      </w:pPr>
      <w:r w:rsidRPr="00CA2CC1">
        <w:rPr>
          <w:rFonts w:ascii="Calibri" w:eastAsia="Calibri" w:hAnsi="Calibri" w:cs="Calibri"/>
        </w:rPr>
        <w:t xml:space="preserve">Overall, the Victorian Government keeps investing in upgrading and building new corrections and youth facilities to meet demand. However, building infrastructure is not the only way to address demand. In </w:t>
      </w:r>
      <w:r w:rsidRPr="00CA2CC1">
        <w:rPr>
          <w:rFonts w:ascii="Calibri" w:eastAsia="Calibri" w:hAnsi="Calibri" w:cs="Calibri"/>
          <w:i/>
          <w:iCs/>
        </w:rPr>
        <w:t>Victoria’s infrastructure strategy 2021–2051</w:t>
      </w:r>
      <w:r w:rsidRPr="00CA2CC1">
        <w:rPr>
          <w:rFonts w:ascii="Calibri" w:eastAsia="Calibri" w:hAnsi="Calibri" w:cs="Calibri"/>
        </w:rPr>
        <w:t>, we recommend planning and consistently delivering corrections and youth justice infrastructure while managing demand with policy settings.</w:t>
      </w:r>
      <w:r w:rsidRPr="00CA2CC1">
        <w:rPr>
          <w:rStyle w:val="EndnoteReference"/>
          <w:rFonts w:ascii="Calibri" w:eastAsia="Calibri" w:hAnsi="Calibri" w:cs="Calibri"/>
        </w:rPr>
        <w:endnoteReference w:id="562"/>
      </w:r>
      <w:r w:rsidRPr="00CA2CC1">
        <w:rPr>
          <w:rFonts w:ascii="Calibri" w:eastAsia="Calibri" w:hAnsi="Calibri" w:cs="Calibri"/>
        </w:rPr>
        <w:t xml:space="preserve"> A long-term approach to planning, alongside policy changes, can help reduce long-term demand, short-term volatility and slow the increase in Victoria’s prison population.</w:t>
      </w:r>
      <w:r w:rsidRPr="00CA2CC1">
        <w:rPr>
          <w:rStyle w:val="EndnoteReference"/>
          <w:rFonts w:ascii="Calibri" w:eastAsia="Calibri" w:hAnsi="Calibri" w:cs="Calibri"/>
        </w:rPr>
        <w:endnoteReference w:id="563"/>
      </w:r>
    </w:p>
    <w:p w14:paraId="591B5537" w14:textId="77777777" w:rsidR="00373ED9" w:rsidRPr="00CA2CC1" w:rsidRDefault="00373ED9" w:rsidP="0043303B">
      <w:pPr>
        <w:pStyle w:val="Heading2"/>
        <w:rPr>
          <w:rFonts w:cs="Calibri"/>
        </w:rPr>
      </w:pPr>
      <w:bookmarkStart w:id="97" w:name="_Toc109662763"/>
      <w:r w:rsidRPr="00CA2CC1">
        <w:rPr>
          <w:rFonts w:cs="Calibri"/>
        </w:rPr>
        <w:t>New and improved court services</w:t>
      </w:r>
      <w:bookmarkEnd w:id="97"/>
    </w:p>
    <w:p w14:paraId="08A0F6E0" w14:textId="77777777" w:rsidR="00373ED9" w:rsidRPr="00CA2CC1" w:rsidRDefault="00373ED9" w:rsidP="0043303B">
      <w:pPr>
        <w:pStyle w:val="Heading3"/>
        <w:rPr>
          <w:rFonts w:cs="Calibri"/>
        </w:rPr>
      </w:pPr>
      <w:r w:rsidRPr="00CA2CC1">
        <w:rPr>
          <w:rFonts w:cs="Calibri"/>
        </w:rPr>
        <w:t xml:space="preserve">Priority description from the </w:t>
      </w:r>
      <w:r w:rsidRPr="00CA2CC1">
        <w:rPr>
          <w:rFonts w:cs="Calibri"/>
          <w:i/>
          <w:iCs/>
        </w:rPr>
        <w:t>Victorian infrastructure plan 2021</w:t>
      </w:r>
    </w:p>
    <w:p w14:paraId="222BA553" w14:textId="77777777" w:rsidR="00373ED9" w:rsidRPr="00CA2CC1" w:rsidRDefault="00373ED9" w:rsidP="0043303B">
      <w:pPr>
        <w:pStyle w:val="IVBodyText"/>
        <w:spacing w:line="240" w:lineRule="auto"/>
        <w:rPr>
          <w:rFonts w:ascii="Calibri" w:hAnsi="Calibri" w:cs="Calibri"/>
          <w:b/>
          <w:bCs/>
          <w:color w:val="auto"/>
        </w:rPr>
      </w:pPr>
      <w:r w:rsidRPr="00CA2CC1">
        <w:rPr>
          <w:rFonts w:ascii="Calibri" w:hAnsi="Calibri" w:cs="Calibri"/>
          <w:b/>
          <w:bCs/>
          <w:color w:val="auto"/>
        </w:rPr>
        <w:t>Victoria is expanding and upgrading courts to ease demand pressures and improve our court system.</w:t>
      </w:r>
    </w:p>
    <w:p w14:paraId="7F723299" w14:textId="77777777" w:rsidR="00373ED9" w:rsidRPr="00CA2CC1" w:rsidRDefault="00373ED9" w:rsidP="0043303B">
      <w:pPr>
        <w:pStyle w:val="Heading3"/>
        <w:rPr>
          <w:rFonts w:cs="Calibri"/>
        </w:rPr>
      </w:pPr>
      <w:r w:rsidRPr="00CA2CC1">
        <w:rPr>
          <w:rFonts w:cs="Calibri"/>
        </w:rPr>
        <w:t>Victorian Government progress in 2022–23</w:t>
      </w:r>
    </w:p>
    <w:p w14:paraId="5B0C026E"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This priority aims to ease demand pressures and improve court services, primarily through expanding and upgrading court buildings. Courts need to be safe, fit-for-purpose and people-centred venues.</w:t>
      </w:r>
      <w:r w:rsidRPr="00CA2CC1">
        <w:rPr>
          <w:rStyle w:val="EndnoteReference"/>
          <w:rFonts w:ascii="Calibri" w:hAnsi="Calibri" w:cs="Calibri"/>
        </w:rPr>
        <w:endnoteReference w:id="564"/>
      </w:r>
      <w:r w:rsidRPr="00CA2CC1">
        <w:rPr>
          <w:rFonts w:ascii="Calibri" w:hAnsi="Calibri" w:cs="Calibri"/>
        </w:rPr>
        <w:t xml:space="preserve"> New court facilities should be adaptable and multijurisdictional.</w:t>
      </w:r>
      <w:r w:rsidRPr="00CA2CC1">
        <w:rPr>
          <w:rStyle w:val="EndnoteReference"/>
          <w:rFonts w:ascii="Calibri" w:hAnsi="Calibri" w:cs="Calibri"/>
        </w:rPr>
        <w:endnoteReference w:id="565"/>
      </w:r>
      <w:r w:rsidRPr="00CA2CC1">
        <w:rPr>
          <w:rFonts w:ascii="Calibri" w:hAnsi="Calibri" w:cs="Calibri"/>
        </w:rPr>
        <w:t xml:space="preserve"> Around two-thirds of court buildings do not meet contemporary requirements.</w:t>
      </w:r>
      <w:r w:rsidRPr="00CA2CC1">
        <w:rPr>
          <w:rStyle w:val="EndnoteReference"/>
          <w:rFonts w:ascii="Calibri" w:hAnsi="Calibri" w:cs="Calibri"/>
        </w:rPr>
        <w:endnoteReference w:id="566"/>
      </w:r>
      <w:r w:rsidRPr="00CA2CC1">
        <w:rPr>
          <w:rFonts w:ascii="Calibri" w:hAnsi="Calibri" w:cs="Calibri"/>
        </w:rPr>
        <w:t xml:space="preserve"> </w:t>
      </w:r>
    </w:p>
    <w:p w14:paraId="76C6108C"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Changing the physical environment of buildings can better reflect modern approaches of delivering justice.</w:t>
      </w:r>
      <w:r w:rsidRPr="00CA2CC1">
        <w:rPr>
          <w:rStyle w:val="EndnoteReference"/>
          <w:rFonts w:ascii="Calibri" w:hAnsi="Calibri" w:cs="Calibri"/>
        </w:rPr>
        <w:endnoteReference w:id="567"/>
      </w:r>
      <w:r w:rsidRPr="00CA2CC1">
        <w:rPr>
          <w:rFonts w:ascii="Calibri" w:hAnsi="Calibri" w:cs="Calibri"/>
        </w:rPr>
        <w:t xml:space="preserve"> The Koori Court, for example, usually has elders or respected persons participate and is set up differently to traditional courtrooms.</w:t>
      </w:r>
      <w:r w:rsidRPr="00CA2CC1">
        <w:rPr>
          <w:rStyle w:val="EndnoteReference"/>
          <w:rFonts w:ascii="Calibri" w:hAnsi="Calibri" w:cs="Calibri"/>
        </w:rPr>
        <w:endnoteReference w:id="568"/>
      </w:r>
      <w:r w:rsidRPr="00CA2CC1">
        <w:rPr>
          <w:rFonts w:ascii="Calibri" w:hAnsi="Calibri" w:cs="Calibri"/>
        </w:rPr>
        <w:t xml:space="preserve"> This includes having culturally appropriate artefacts in the room and using an oval table for sentencing.</w:t>
      </w:r>
      <w:r w:rsidRPr="00CA2CC1">
        <w:rPr>
          <w:rStyle w:val="EndnoteReference"/>
          <w:rFonts w:ascii="Calibri" w:hAnsi="Calibri" w:cs="Calibri"/>
        </w:rPr>
        <w:endnoteReference w:id="569"/>
      </w:r>
      <w:r w:rsidRPr="00CA2CC1">
        <w:rPr>
          <w:rFonts w:ascii="Calibri" w:hAnsi="Calibri" w:cs="Calibri"/>
        </w:rPr>
        <w:t xml:space="preserve"> Court programs can also help deliver justice in line with therapeutic services. For example, the assessment and referral court list aims to help people with a cognitive disability or mental illness address underlying factors that contribute to their offending.</w:t>
      </w:r>
      <w:r w:rsidRPr="00CA2CC1">
        <w:rPr>
          <w:rStyle w:val="EndnoteReference"/>
          <w:rFonts w:ascii="Calibri" w:hAnsi="Calibri" w:cs="Calibri"/>
        </w:rPr>
        <w:endnoteReference w:id="570"/>
      </w:r>
    </w:p>
    <w:p w14:paraId="2775BBDA"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New court facilities will be required to meet growing demand. Some estimates forecast that another 179 courtrooms might be required by 2036.</w:t>
      </w:r>
      <w:r w:rsidRPr="00CA2CC1">
        <w:rPr>
          <w:rStyle w:val="EndnoteReference"/>
          <w:rFonts w:ascii="Calibri" w:hAnsi="Calibri" w:cs="Calibri"/>
        </w:rPr>
        <w:endnoteReference w:id="571"/>
      </w:r>
      <w:r w:rsidRPr="00CA2CC1">
        <w:rPr>
          <w:rFonts w:ascii="Calibri" w:hAnsi="Calibri" w:cs="Calibri"/>
        </w:rPr>
        <w:t xml:space="preserve"> This equates to a 70% increase in capacity at some courts.</w:t>
      </w:r>
      <w:r w:rsidRPr="00CA2CC1">
        <w:rPr>
          <w:rStyle w:val="EndnoteReference"/>
          <w:rFonts w:ascii="Calibri" w:hAnsi="Calibri" w:cs="Calibri"/>
        </w:rPr>
        <w:endnoteReference w:id="572"/>
      </w:r>
      <w:r w:rsidRPr="00CA2CC1">
        <w:rPr>
          <w:rFonts w:ascii="Calibri" w:hAnsi="Calibri" w:cs="Calibri"/>
        </w:rPr>
        <w:t xml:space="preserve"> Some existing court buildings also need improvements. A 2019 review found that maintaining existing court facilities at standard condition would need $369 million within 5 years.</w:t>
      </w:r>
      <w:r w:rsidRPr="00CA2CC1">
        <w:rPr>
          <w:rStyle w:val="EndnoteReference"/>
          <w:rFonts w:ascii="Calibri" w:hAnsi="Calibri" w:cs="Calibri"/>
        </w:rPr>
        <w:endnoteReference w:id="573"/>
      </w:r>
    </w:p>
    <w:p w14:paraId="6AB470BC"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Infrastructure Victoria identified several initiatives that align with this priority including opening of the new Bendigo Law Courts in February 2023.</w:t>
      </w:r>
      <w:r w:rsidRPr="00CA2CC1">
        <w:rPr>
          <w:rStyle w:val="EndnoteReference"/>
          <w:rFonts w:ascii="Calibri" w:hAnsi="Calibri" w:cs="Calibri"/>
        </w:rPr>
        <w:endnoteReference w:id="574"/>
      </w:r>
      <w:r w:rsidRPr="00CA2CC1">
        <w:rPr>
          <w:rFonts w:ascii="Calibri" w:hAnsi="Calibri" w:cs="Calibri"/>
        </w:rPr>
        <w:t xml:space="preserve"> The new building includes a specialist family violence court designed to enable separation between parties and provide safe waiting areas.</w:t>
      </w:r>
      <w:r w:rsidRPr="00CA2CC1">
        <w:rPr>
          <w:rStyle w:val="EndnoteReference"/>
          <w:rFonts w:ascii="Calibri" w:hAnsi="Calibri" w:cs="Calibri"/>
        </w:rPr>
        <w:endnoteReference w:id="575"/>
      </w:r>
      <w:r w:rsidRPr="00CA2CC1">
        <w:rPr>
          <w:rFonts w:ascii="Calibri" w:hAnsi="Calibri" w:cs="Calibri"/>
        </w:rPr>
        <w:t xml:space="preserve"> The 2023–24 Budget allocated $13 million to support service delivery at the new Bendigo Law Courts.</w:t>
      </w:r>
      <w:r w:rsidRPr="00CA2CC1">
        <w:rPr>
          <w:rStyle w:val="EndnoteReference"/>
          <w:rFonts w:ascii="Calibri" w:hAnsi="Calibri" w:cs="Calibri"/>
        </w:rPr>
        <w:endnoteReference w:id="576"/>
      </w:r>
      <w:r w:rsidRPr="00CA2CC1">
        <w:rPr>
          <w:rFonts w:ascii="Calibri" w:hAnsi="Calibri" w:cs="Calibri"/>
        </w:rPr>
        <w:t xml:space="preserve"> This will fund security, maintenance, information technology, interpreters and transcription services.</w:t>
      </w:r>
      <w:r w:rsidRPr="00CA2CC1">
        <w:rPr>
          <w:rStyle w:val="EndnoteReference"/>
          <w:rFonts w:ascii="Calibri" w:hAnsi="Calibri" w:cs="Calibri"/>
        </w:rPr>
        <w:endnoteReference w:id="577"/>
      </w:r>
      <w:r w:rsidRPr="00CA2CC1">
        <w:rPr>
          <w:rFonts w:ascii="Calibri" w:hAnsi="Calibri" w:cs="Calibri"/>
        </w:rPr>
        <w:t xml:space="preserve"> The new Wodonga Koori Court also opened in July 2022.</w:t>
      </w:r>
      <w:r w:rsidRPr="00CA2CC1">
        <w:rPr>
          <w:rStyle w:val="EndnoteReference"/>
          <w:rFonts w:ascii="Calibri" w:hAnsi="Calibri" w:cs="Calibri"/>
        </w:rPr>
        <w:endnoteReference w:id="578"/>
      </w:r>
      <w:r w:rsidRPr="00CA2CC1">
        <w:rPr>
          <w:rFonts w:ascii="Calibri" w:hAnsi="Calibri" w:cs="Calibri"/>
        </w:rPr>
        <w:t xml:space="preserve"> It enables Aboriginal people from Wodonga and nearby areas to access a Koori court without travelling to Melbourne or Shepparton.</w:t>
      </w:r>
      <w:r w:rsidRPr="00CA2CC1">
        <w:rPr>
          <w:rStyle w:val="EndnoteReference"/>
          <w:rFonts w:ascii="Calibri" w:hAnsi="Calibri" w:cs="Calibri"/>
        </w:rPr>
        <w:endnoteReference w:id="579"/>
      </w:r>
    </w:p>
    <w:p w14:paraId="2755D4A2"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The 2023–24 Budget provided $2 million in capital funding to continue therapeutic court programs.</w:t>
      </w:r>
      <w:r w:rsidRPr="00CA2CC1">
        <w:rPr>
          <w:rStyle w:val="EndnoteReference"/>
          <w:rFonts w:ascii="Calibri" w:hAnsi="Calibri" w:cs="Calibri"/>
        </w:rPr>
        <w:endnoteReference w:id="580"/>
      </w:r>
      <w:r w:rsidRPr="00CA2CC1">
        <w:rPr>
          <w:rFonts w:ascii="Calibri" w:hAnsi="Calibri" w:cs="Calibri"/>
        </w:rPr>
        <w:t xml:space="preserve"> These programs address the drivers of offending and help participants with substance abuse. Therapeutic court programs include the drug court programs in Ballarat, Shepparton and the County Court of Victoria.</w:t>
      </w:r>
      <w:r w:rsidRPr="00CA2CC1">
        <w:rPr>
          <w:rStyle w:val="EndnoteReference"/>
          <w:rFonts w:ascii="Calibri" w:hAnsi="Calibri" w:cs="Calibri"/>
        </w:rPr>
        <w:endnoteReference w:id="581"/>
      </w:r>
      <w:r w:rsidRPr="00CA2CC1">
        <w:rPr>
          <w:rFonts w:ascii="Calibri" w:hAnsi="Calibri" w:cs="Calibri"/>
        </w:rPr>
        <w:t xml:space="preserve"> The Budget also funded continuing the transition to a new financial assistance scheme for victims of crime.</w:t>
      </w:r>
      <w:r w:rsidRPr="00CA2CC1">
        <w:rPr>
          <w:rStyle w:val="EndnoteReference"/>
          <w:rFonts w:ascii="Calibri" w:hAnsi="Calibri" w:cs="Calibri"/>
        </w:rPr>
        <w:endnoteReference w:id="582"/>
      </w:r>
      <w:r w:rsidRPr="00CA2CC1">
        <w:rPr>
          <w:rFonts w:ascii="Calibri" w:hAnsi="Calibri" w:cs="Calibri"/>
        </w:rPr>
        <w:t xml:space="preserve"> This implements a Victorian Law Reform Commission recommendation to establish a simpler system that minimises risks of re-traumatisation.</w:t>
      </w:r>
      <w:r w:rsidRPr="00CA2CC1">
        <w:rPr>
          <w:rStyle w:val="EndnoteReference"/>
          <w:rFonts w:ascii="Calibri" w:hAnsi="Calibri" w:cs="Calibri"/>
        </w:rPr>
        <w:endnoteReference w:id="583"/>
      </w:r>
    </w:p>
    <w:p w14:paraId="22CB19C1"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i/>
          <w:iCs/>
        </w:rPr>
        <w:t xml:space="preserve">Victoria’s infrastructure strategy 2021–2051 </w:t>
      </w:r>
      <w:r w:rsidRPr="00CA2CC1">
        <w:rPr>
          <w:rFonts w:ascii="Calibri" w:hAnsi="Calibri" w:cs="Calibri"/>
        </w:rPr>
        <w:t>recommends the Victorian Government modernise courts through digitisation and contemporary shared facilities.</w:t>
      </w:r>
      <w:r w:rsidRPr="00CA2CC1">
        <w:rPr>
          <w:rStyle w:val="EndnoteReference"/>
          <w:rFonts w:ascii="Calibri" w:hAnsi="Calibri" w:cs="Calibri"/>
        </w:rPr>
        <w:endnoteReference w:id="584"/>
      </w:r>
      <w:r w:rsidRPr="00CA2CC1">
        <w:rPr>
          <w:rFonts w:ascii="Calibri" w:hAnsi="Calibri" w:cs="Calibri"/>
        </w:rPr>
        <w:t xml:space="preserve"> Digitising court systems and procedures can increase court efficiency and help meet demand.</w:t>
      </w:r>
      <w:r w:rsidRPr="00CA2CC1">
        <w:rPr>
          <w:rStyle w:val="EndnoteReference"/>
          <w:rFonts w:ascii="Calibri" w:hAnsi="Calibri" w:cs="Calibri"/>
        </w:rPr>
        <w:endnoteReference w:id="585"/>
      </w:r>
      <w:r w:rsidRPr="00CA2CC1">
        <w:rPr>
          <w:rFonts w:ascii="Calibri" w:hAnsi="Calibri" w:cs="Calibri"/>
        </w:rPr>
        <w:t xml:space="preserve"> </w:t>
      </w:r>
    </w:p>
    <w:p w14:paraId="612C7D74" w14:textId="77777777" w:rsidR="00373ED9" w:rsidRPr="00CA2CC1" w:rsidRDefault="00373ED9" w:rsidP="0043303B">
      <w:pPr>
        <w:pStyle w:val="Heading2"/>
        <w:rPr>
          <w:rFonts w:cs="Calibri"/>
        </w:rPr>
      </w:pPr>
      <w:bookmarkStart w:id="100" w:name="_Toc109662764"/>
      <w:r w:rsidRPr="00CA2CC1">
        <w:rPr>
          <w:rFonts w:cs="Calibri"/>
        </w:rPr>
        <w:t>Deploying information and communication technology innovations</w:t>
      </w:r>
      <w:bookmarkEnd w:id="100"/>
    </w:p>
    <w:p w14:paraId="02D5A655" w14:textId="77777777" w:rsidR="00373ED9" w:rsidRPr="00CA2CC1" w:rsidRDefault="00373ED9" w:rsidP="0043303B">
      <w:pPr>
        <w:pStyle w:val="Heading3"/>
        <w:rPr>
          <w:rFonts w:cs="Calibri"/>
        </w:rPr>
      </w:pPr>
      <w:r w:rsidRPr="00CA2CC1">
        <w:rPr>
          <w:rFonts w:cs="Calibri"/>
        </w:rPr>
        <w:t xml:space="preserve">Priority description from the </w:t>
      </w:r>
      <w:r w:rsidRPr="00CA2CC1">
        <w:rPr>
          <w:rFonts w:cs="Calibri"/>
          <w:i/>
          <w:iCs/>
        </w:rPr>
        <w:t>Victorian infrastructure plan 2021</w:t>
      </w:r>
    </w:p>
    <w:p w14:paraId="595AC087" w14:textId="77777777" w:rsidR="00373ED9" w:rsidRPr="00CA2CC1" w:rsidRDefault="00373ED9" w:rsidP="0043303B">
      <w:pPr>
        <w:pStyle w:val="IVBodyText"/>
        <w:spacing w:line="240" w:lineRule="auto"/>
        <w:rPr>
          <w:rFonts w:ascii="Calibri" w:hAnsi="Calibri" w:cs="Calibri"/>
          <w:b/>
          <w:bCs/>
          <w:color w:val="auto"/>
        </w:rPr>
      </w:pPr>
      <w:r w:rsidRPr="00CA2CC1">
        <w:rPr>
          <w:rFonts w:ascii="Calibri" w:hAnsi="Calibri" w:cs="Calibri"/>
          <w:b/>
          <w:bCs/>
          <w:color w:val="auto"/>
        </w:rPr>
        <w:t>Adopting new technologies enables justice and emergency services to offer Victorians the best service possible.</w:t>
      </w:r>
    </w:p>
    <w:p w14:paraId="0998D6FC" w14:textId="77777777" w:rsidR="00373ED9" w:rsidRPr="00CA2CC1" w:rsidRDefault="00373ED9" w:rsidP="0043303B">
      <w:pPr>
        <w:pStyle w:val="Heading3"/>
        <w:rPr>
          <w:rFonts w:cs="Calibri"/>
        </w:rPr>
      </w:pPr>
      <w:r w:rsidRPr="00CA2CC1">
        <w:rPr>
          <w:rFonts w:cs="Calibri"/>
        </w:rPr>
        <w:t>Victorian Government progress in 2022–23</w:t>
      </w:r>
    </w:p>
    <w:p w14:paraId="477C4728" w14:textId="77777777" w:rsidR="00373ED9" w:rsidRPr="00CA2CC1" w:rsidRDefault="00373ED9" w:rsidP="0043303B">
      <w:pPr>
        <w:pStyle w:val="IVBodyText"/>
        <w:spacing w:line="240" w:lineRule="auto"/>
        <w:rPr>
          <w:rFonts w:ascii="Calibri" w:eastAsia="Calibri Light" w:hAnsi="Calibri" w:cs="Calibri"/>
        </w:rPr>
      </w:pPr>
      <w:r w:rsidRPr="00CA2CC1">
        <w:rPr>
          <w:rFonts w:ascii="Calibri" w:eastAsia="Calibri Light" w:hAnsi="Calibri" w:cs="Calibri"/>
        </w:rPr>
        <w:t>This priority aims to adopt new technology and digital solutions to modernise and improve services. It covers justice and emergency services, which includes police, fire, ambulance, emergency management, courts, and corrections services.</w:t>
      </w:r>
    </w:p>
    <w:p w14:paraId="05C2998F" w14:textId="77777777" w:rsidR="00373ED9" w:rsidRPr="00CA2CC1" w:rsidRDefault="00373ED9" w:rsidP="0043303B">
      <w:pPr>
        <w:pStyle w:val="IVBodyText"/>
        <w:spacing w:line="240" w:lineRule="auto"/>
        <w:rPr>
          <w:rFonts w:ascii="Calibri" w:eastAsia="Calibri Light" w:hAnsi="Calibri" w:cs="Calibri"/>
        </w:rPr>
      </w:pPr>
      <w:r w:rsidRPr="00CA2CC1">
        <w:rPr>
          <w:rFonts w:ascii="Calibri" w:eastAsia="Calibri Light" w:hAnsi="Calibri" w:cs="Calibri"/>
        </w:rPr>
        <w:t>Legacy systems and processes can sometimes inhibit reform and drive costs upwards.</w:t>
      </w:r>
      <w:r w:rsidRPr="00CA2CC1">
        <w:rPr>
          <w:rStyle w:val="EndnoteReference"/>
          <w:rFonts w:ascii="Calibri" w:eastAsia="Calibri" w:hAnsi="Calibri" w:cs="Calibri"/>
        </w:rPr>
        <w:endnoteReference w:id="586"/>
      </w:r>
      <w:r w:rsidRPr="00CA2CC1">
        <w:rPr>
          <w:rFonts w:ascii="Calibri" w:eastAsia="Calibri Light" w:hAnsi="Calibri" w:cs="Calibri"/>
        </w:rPr>
        <w:t xml:space="preserve"> Good information and communication technology (ICT) systems can help disseminate timely information and better coordinate emergency responders with public services. The </w:t>
      </w:r>
      <w:r w:rsidRPr="00CA2CC1">
        <w:rPr>
          <w:rFonts w:ascii="Calibri" w:eastAsia="Calibri Light" w:hAnsi="Calibri" w:cs="Calibri"/>
          <w:i/>
        </w:rPr>
        <w:t>Department of Justice and Community Safety corporate plan 2022–2026</w:t>
      </w:r>
      <w:r w:rsidRPr="00CA2CC1">
        <w:rPr>
          <w:rFonts w:ascii="Calibri" w:eastAsia="Calibri Light" w:hAnsi="Calibri" w:cs="Calibri"/>
        </w:rPr>
        <w:t xml:space="preserve"> identifies investing in evolving ICT capabilities as a key priority.</w:t>
      </w:r>
      <w:r w:rsidRPr="00CA2CC1">
        <w:rPr>
          <w:rStyle w:val="EndnoteReference"/>
          <w:rFonts w:ascii="Calibri" w:eastAsia="Calibri" w:hAnsi="Calibri" w:cs="Calibri"/>
        </w:rPr>
        <w:endnoteReference w:id="587"/>
      </w:r>
    </w:p>
    <w:p w14:paraId="1589B621" w14:textId="77777777" w:rsidR="00373ED9" w:rsidRPr="00CA2CC1" w:rsidRDefault="00373ED9" w:rsidP="0043303B">
      <w:pPr>
        <w:pStyle w:val="IVBodyText"/>
        <w:spacing w:line="240" w:lineRule="auto"/>
        <w:rPr>
          <w:rFonts w:ascii="Calibri" w:eastAsia="Calibri Light" w:hAnsi="Calibri" w:cs="Calibri"/>
        </w:rPr>
      </w:pPr>
      <w:r w:rsidRPr="00CA2CC1">
        <w:rPr>
          <w:rFonts w:ascii="Calibri" w:eastAsia="Calibri Light" w:hAnsi="Calibri" w:cs="Calibri"/>
        </w:rPr>
        <w:t>In the first quarter of 2022–23, the sector was starting or delivering 40 ICT projects.</w:t>
      </w:r>
      <w:r w:rsidRPr="00CA2CC1">
        <w:rPr>
          <w:rStyle w:val="EndnoteReference"/>
          <w:rFonts w:ascii="Calibri" w:eastAsia="Calibri" w:hAnsi="Calibri" w:cs="Calibri"/>
        </w:rPr>
        <w:endnoteReference w:id="588"/>
      </w:r>
      <w:r w:rsidRPr="00CA2CC1">
        <w:rPr>
          <w:rFonts w:ascii="Calibri" w:eastAsia="Calibri Light" w:hAnsi="Calibri" w:cs="Calibri"/>
        </w:rPr>
        <w:t xml:space="preserve"> It started 23 projects worth over $1 million in 2022.</w:t>
      </w:r>
      <w:r w:rsidRPr="00CA2CC1">
        <w:rPr>
          <w:rStyle w:val="EndnoteReference"/>
          <w:rFonts w:ascii="Calibri" w:eastAsia="Calibri" w:hAnsi="Calibri" w:cs="Calibri"/>
        </w:rPr>
        <w:endnoteReference w:id="589"/>
      </w:r>
      <w:r w:rsidRPr="00CA2CC1">
        <w:rPr>
          <w:rFonts w:ascii="Calibri" w:eastAsia="Calibri Light" w:hAnsi="Calibri" w:cs="Calibri"/>
        </w:rPr>
        <w:t xml:space="preserve"> </w:t>
      </w:r>
    </w:p>
    <w:p w14:paraId="5F1CC5C9" w14:textId="77777777" w:rsidR="00373ED9" w:rsidRPr="00CA2CC1" w:rsidRDefault="00373ED9" w:rsidP="0043303B">
      <w:pPr>
        <w:pStyle w:val="IVBodyText"/>
        <w:spacing w:line="240" w:lineRule="auto"/>
        <w:rPr>
          <w:rFonts w:ascii="Calibri" w:eastAsia="Calibri Light" w:hAnsi="Calibri" w:cs="Calibri"/>
        </w:rPr>
      </w:pPr>
      <w:r w:rsidRPr="00CA2CC1">
        <w:rPr>
          <w:rFonts w:ascii="Calibri" w:eastAsia="Calibri Light" w:hAnsi="Calibri" w:cs="Calibri"/>
        </w:rPr>
        <w:t>In April 2023, Victoria Police began operating new roadside cameras that can detect distracted drivers.</w:t>
      </w:r>
      <w:r w:rsidRPr="00CA2CC1">
        <w:rPr>
          <w:rStyle w:val="EndnoteReference"/>
          <w:rFonts w:ascii="Calibri" w:eastAsia="Calibri" w:hAnsi="Calibri" w:cs="Calibri"/>
        </w:rPr>
        <w:endnoteReference w:id="590"/>
      </w:r>
      <w:r w:rsidRPr="00CA2CC1">
        <w:rPr>
          <w:rFonts w:ascii="Calibri" w:eastAsia="Calibri Light" w:hAnsi="Calibri" w:cs="Calibri"/>
        </w:rPr>
        <w:t xml:space="preserve"> The new technology uses artificial intelligence to detect motorists using mobile phones or not wearing seatbelts. Successful detection can lead to motorists receiving a fine or losing drivers licence demerit points.</w:t>
      </w:r>
      <w:r w:rsidRPr="00CA2CC1">
        <w:rPr>
          <w:rStyle w:val="EndnoteReference"/>
          <w:rFonts w:ascii="Calibri" w:eastAsia="Calibri Light" w:hAnsi="Calibri" w:cs="Calibri"/>
        </w:rPr>
        <w:endnoteReference w:id="591"/>
      </w:r>
      <w:r w:rsidRPr="00CA2CC1">
        <w:rPr>
          <w:rFonts w:ascii="Calibri" w:eastAsia="Calibri Light" w:hAnsi="Calibri" w:cs="Calibri"/>
        </w:rPr>
        <w:t xml:space="preserve"> The government estimates the cameras will prevent 95 crashes that result in injury or death each year.</w:t>
      </w:r>
      <w:r w:rsidRPr="00CA2CC1">
        <w:rPr>
          <w:rStyle w:val="EndnoteReference"/>
          <w:rFonts w:ascii="Calibri" w:eastAsia="Calibri" w:hAnsi="Calibri" w:cs="Calibri"/>
        </w:rPr>
        <w:endnoteReference w:id="592"/>
      </w:r>
    </w:p>
    <w:p w14:paraId="6DDC99E4" w14:textId="77777777" w:rsidR="00373ED9" w:rsidRPr="00CA2CC1" w:rsidRDefault="00373ED9" w:rsidP="0043303B">
      <w:pPr>
        <w:pStyle w:val="IVBodyText"/>
        <w:spacing w:line="240" w:lineRule="auto"/>
        <w:rPr>
          <w:rFonts w:ascii="Calibri" w:eastAsia="Calibri Light" w:hAnsi="Calibri" w:cs="Calibri"/>
        </w:rPr>
      </w:pPr>
      <w:r w:rsidRPr="00CA2CC1">
        <w:rPr>
          <w:rFonts w:ascii="Calibri" w:eastAsia="Calibri Light" w:hAnsi="Calibri" w:cs="Calibri"/>
        </w:rPr>
        <w:t>The 2023–24 Budget funded a next generation computer aided dispatch system to improve call handling capacity response and faster response times for Triple Zero emergency calls.</w:t>
      </w:r>
      <w:r w:rsidRPr="00CA2CC1">
        <w:rPr>
          <w:rStyle w:val="EndnoteReference"/>
          <w:rFonts w:ascii="Calibri" w:eastAsia="Calibri" w:hAnsi="Calibri" w:cs="Calibri"/>
        </w:rPr>
        <w:endnoteReference w:id="593"/>
      </w:r>
      <w:r w:rsidRPr="00CA2CC1">
        <w:rPr>
          <w:rFonts w:ascii="Calibri" w:eastAsia="Calibri Light" w:hAnsi="Calibri" w:cs="Calibri"/>
        </w:rPr>
        <w:t xml:space="preserve"> This aligns with Infrastructure Victoria’s recommendation to improve technology and infrastructure for a responsive police service, and also supporting other emergency services.</w:t>
      </w:r>
    </w:p>
    <w:p w14:paraId="4308B2EB" w14:textId="77777777" w:rsidR="00373ED9" w:rsidRPr="00CA2CC1" w:rsidRDefault="00373ED9" w:rsidP="0043303B">
      <w:pPr>
        <w:pStyle w:val="IVBodyText"/>
        <w:spacing w:line="240" w:lineRule="auto"/>
        <w:rPr>
          <w:rFonts w:ascii="Calibri" w:eastAsia="Calibri Light" w:hAnsi="Calibri" w:cs="Calibri"/>
        </w:rPr>
      </w:pPr>
      <w:r w:rsidRPr="00CA2CC1">
        <w:rPr>
          <w:rFonts w:ascii="Calibri" w:eastAsia="Calibri Light" w:hAnsi="Calibri" w:cs="Calibri"/>
        </w:rPr>
        <w:t>Courts Victoria is installing a new</w:t>
      </w:r>
      <w:r w:rsidRPr="00CA2CC1" w:rsidDel="00642E25">
        <w:rPr>
          <w:rFonts w:ascii="Calibri" w:eastAsia="Calibri Light" w:hAnsi="Calibri" w:cs="Calibri"/>
        </w:rPr>
        <w:t xml:space="preserve"> </w:t>
      </w:r>
      <w:r w:rsidRPr="00CA2CC1">
        <w:rPr>
          <w:rFonts w:ascii="Calibri" w:eastAsia="Calibri Light" w:hAnsi="Calibri" w:cs="Calibri"/>
        </w:rPr>
        <w:t>courts case management system for the Magistrates Court of Victoria and Childrens’ Court of Victoria. This initiative is part of the government’s response to addressing family violence. The new system will support appropriate information sharing across courts and other relevant agencies.</w:t>
      </w:r>
      <w:r w:rsidRPr="00CA2CC1">
        <w:rPr>
          <w:rStyle w:val="EndnoteReference"/>
          <w:rFonts w:ascii="Calibri" w:eastAsia="Calibri" w:hAnsi="Calibri" w:cs="Calibri"/>
        </w:rPr>
        <w:endnoteReference w:id="594"/>
      </w:r>
      <w:r w:rsidRPr="00CA2CC1">
        <w:rPr>
          <w:rFonts w:ascii="Calibri" w:eastAsia="Calibri Light" w:hAnsi="Calibri" w:cs="Calibri"/>
        </w:rPr>
        <w:t xml:space="preserve"> The 2023–24 Budget provided another $</w:t>
      </w:r>
      <w:r w:rsidRPr="00CA2CC1">
        <w:rPr>
          <w:rFonts w:ascii="Calibri" w:eastAsiaTheme="majorEastAsia" w:hAnsi="Calibri" w:cs="Calibri"/>
        </w:rPr>
        <w:t xml:space="preserve">18 million of capital </w:t>
      </w:r>
      <w:r w:rsidRPr="00CA2CC1">
        <w:rPr>
          <w:rFonts w:ascii="Calibri" w:eastAsia="Calibri Light" w:hAnsi="Calibri" w:cs="Calibri"/>
        </w:rPr>
        <w:t xml:space="preserve">funding to finish the project. The project achieved its first milestone in October 2022 by launching the Court Management System Portal. The portal provides a single system to lodge and file case documents. However, overall, the project is reporting major delays compared to its original </w:t>
      </w:r>
      <w:bookmarkStart w:id="101" w:name="_Int_pjVOmEyA"/>
      <w:r w:rsidRPr="00CA2CC1">
        <w:rPr>
          <w:rFonts w:ascii="Calibri" w:eastAsia="Calibri Light" w:hAnsi="Calibri" w:cs="Calibri"/>
        </w:rPr>
        <w:t>timeframe</w:t>
      </w:r>
      <w:bookmarkEnd w:id="101"/>
      <w:r w:rsidRPr="00CA2CC1">
        <w:rPr>
          <w:rFonts w:ascii="Calibri" w:eastAsia="Calibri Light" w:hAnsi="Calibri" w:cs="Calibri"/>
        </w:rPr>
        <w:t>.</w:t>
      </w:r>
      <w:r w:rsidRPr="00CA2CC1">
        <w:rPr>
          <w:rStyle w:val="EndnoteReference"/>
          <w:rFonts w:ascii="Calibri" w:eastAsia="Calibri" w:hAnsi="Calibri" w:cs="Calibri"/>
        </w:rPr>
        <w:endnoteReference w:id="595"/>
      </w:r>
    </w:p>
    <w:p w14:paraId="3FC4BB36" w14:textId="77777777" w:rsidR="00373ED9" w:rsidRPr="00CA2CC1" w:rsidRDefault="00373ED9" w:rsidP="0043303B">
      <w:pPr>
        <w:pStyle w:val="IVBodyText"/>
        <w:spacing w:line="240" w:lineRule="auto"/>
        <w:rPr>
          <w:rFonts w:ascii="Calibri" w:eastAsia="Calibri Light" w:hAnsi="Calibri" w:cs="Calibri"/>
        </w:rPr>
      </w:pPr>
      <w:r w:rsidRPr="00CA2CC1">
        <w:rPr>
          <w:rFonts w:ascii="Calibri" w:eastAsia="Calibri Light" w:hAnsi="Calibri" w:cs="Calibri"/>
        </w:rPr>
        <w:t>The 2023–24 Budget also provided $3 million so survivors of family violence can appear in court remotely when seeking intervention orders.</w:t>
      </w:r>
      <w:r w:rsidRPr="00CA2CC1">
        <w:rPr>
          <w:rStyle w:val="EndnoteReference"/>
          <w:rFonts w:ascii="Calibri" w:eastAsia="Calibri" w:hAnsi="Calibri" w:cs="Calibri"/>
        </w:rPr>
        <w:endnoteReference w:id="596"/>
      </w:r>
      <w:r w:rsidRPr="00CA2CC1">
        <w:rPr>
          <w:rFonts w:ascii="Calibri" w:eastAsia="Calibri Light" w:hAnsi="Calibri" w:cs="Calibri"/>
        </w:rPr>
        <w:t xml:space="preserve"> The allocation will include funding for access to secure non-court locations equipped with remote witness technology and support services.</w:t>
      </w:r>
      <w:r w:rsidRPr="00CA2CC1">
        <w:rPr>
          <w:rStyle w:val="EndnoteReference"/>
          <w:rFonts w:ascii="Calibri" w:eastAsia="Calibri" w:hAnsi="Calibri" w:cs="Calibri"/>
        </w:rPr>
        <w:endnoteReference w:id="597"/>
      </w:r>
    </w:p>
    <w:p w14:paraId="544BE26A" w14:textId="7E39DDD6" w:rsidR="008A17B4" w:rsidRPr="00CA2CC1" w:rsidRDefault="00373ED9" w:rsidP="0043303B">
      <w:pPr>
        <w:pStyle w:val="IVBodyText"/>
        <w:spacing w:line="240" w:lineRule="auto"/>
        <w:rPr>
          <w:rFonts w:ascii="Calibri" w:hAnsi="Calibri" w:cs="Calibri"/>
          <w:color w:val="auto"/>
        </w:rPr>
      </w:pPr>
      <w:r w:rsidRPr="00CA2CC1">
        <w:rPr>
          <w:rFonts w:ascii="Calibri" w:eastAsia="Calibri Light" w:hAnsi="Calibri" w:cs="Calibri"/>
        </w:rPr>
        <w:t xml:space="preserve">In </w:t>
      </w:r>
      <w:r w:rsidRPr="00CA2CC1">
        <w:rPr>
          <w:rFonts w:ascii="Calibri" w:eastAsia="Calibri Light" w:hAnsi="Calibri" w:cs="Calibri"/>
          <w:i/>
        </w:rPr>
        <w:t>Victoria’s infrastructure strategy 2021–2051</w:t>
      </w:r>
      <w:r w:rsidRPr="00CA2CC1">
        <w:rPr>
          <w:rFonts w:ascii="Calibri" w:eastAsia="Calibri Light" w:hAnsi="Calibri" w:cs="Calibri"/>
        </w:rPr>
        <w:t>, we recommend investment in technological capacity to modernise courts through digitisation and to support a more responsive police force.</w:t>
      </w:r>
      <w:r w:rsidRPr="00CA2CC1">
        <w:rPr>
          <w:rStyle w:val="EndnoteReference"/>
          <w:rFonts w:ascii="Calibri" w:eastAsia="Calibri" w:hAnsi="Calibri" w:cs="Calibri"/>
        </w:rPr>
        <w:endnoteReference w:id="598"/>
      </w:r>
      <w:r w:rsidRPr="00CA2CC1">
        <w:rPr>
          <w:rFonts w:ascii="Calibri" w:eastAsia="Calibri Light" w:hAnsi="Calibri" w:cs="Calibri"/>
        </w:rPr>
        <w:t xml:space="preserve"> Further adoption of new technology and innovation can support alternative service delivery models that improve the effectiveness and accessibility of justice and emergency </w:t>
      </w:r>
      <w:r w:rsidRPr="008A17B4">
        <w:rPr>
          <w:rFonts w:eastAsia="Calibri Light"/>
        </w:rPr>
        <w:t>services.</w:t>
      </w:r>
    </w:p>
    <w:p w14:paraId="60CC6845" w14:textId="77777777" w:rsidR="00373ED9" w:rsidRPr="00CA2CC1" w:rsidRDefault="00373ED9" w:rsidP="0043303B">
      <w:pPr>
        <w:pStyle w:val="Heading2"/>
        <w:rPr>
          <w:rFonts w:cs="Calibri"/>
        </w:rPr>
      </w:pPr>
      <w:bookmarkStart w:id="102" w:name="_Toc109662765"/>
      <w:r w:rsidRPr="00CA2CC1">
        <w:rPr>
          <w:rFonts w:cs="Calibri"/>
        </w:rPr>
        <w:t>Enhancing public safety</w:t>
      </w:r>
      <w:bookmarkEnd w:id="102"/>
    </w:p>
    <w:p w14:paraId="1CC913BB" w14:textId="77777777" w:rsidR="00373ED9" w:rsidRPr="00CA2CC1" w:rsidRDefault="00373ED9" w:rsidP="0043303B">
      <w:pPr>
        <w:pStyle w:val="Heading3"/>
        <w:rPr>
          <w:rFonts w:cs="Calibri"/>
        </w:rPr>
      </w:pPr>
      <w:r w:rsidRPr="00CA2CC1">
        <w:rPr>
          <w:rFonts w:cs="Calibri"/>
        </w:rPr>
        <w:t xml:space="preserve">Priority description from the </w:t>
      </w:r>
      <w:r w:rsidRPr="00CA2CC1">
        <w:rPr>
          <w:rFonts w:cs="Calibri"/>
          <w:i/>
          <w:iCs/>
        </w:rPr>
        <w:t>Victorian infrastructure plan 2021</w:t>
      </w:r>
    </w:p>
    <w:p w14:paraId="6906BFA7" w14:textId="77777777" w:rsidR="00373ED9" w:rsidRPr="00CA2CC1" w:rsidRDefault="00373ED9" w:rsidP="0043303B">
      <w:pPr>
        <w:pStyle w:val="IVBodyText"/>
        <w:spacing w:line="240" w:lineRule="auto"/>
        <w:rPr>
          <w:rFonts w:ascii="Calibri" w:hAnsi="Calibri" w:cs="Calibri"/>
          <w:b/>
          <w:bCs/>
          <w:color w:val="auto"/>
        </w:rPr>
      </w:pPr>
      <w:r w:rsidRPr="00CA2CC1">
        <w:rPr>
          <w:rFonts w:ascii="Calibri" w:hAnsi="Calibri" w:cs="Calibri"/>
          <w:b/>
          <w:bCs/>
          <w:color w:val="auto"/>
        </w:rPr>
        <w:t>Updating and developing facilities, plus better management processes, will ensure Victorians feel supported in emergencies.</w:t>
      </w:r>
    </w:p>
    <w:p w14:paraId="42F357E3" w14:textId="77777777" w:rsidR="00373ED9" w:rsidRPr="00CA2CC1" w:rsidRDefault="00373ED9" w:rsidP="0043303B">
      <w:pPr>
        <w:pStyle w:val="Heading3"/>
        <w:rPr>
          <w:rFonts w:cs="Calibri"/>
        </w:rPr>
      </w:pPr>
      <w:r w:rsidRPr="00CA2CC1">
        <w:rPr>
          <w:rFonts w:cs="Calibri"/>
        </w:rPr>
        <w:t>Victorian Government progress in 2022–23</w:t>
      </w:r>
    </w:p>
    <w:p w14:paraId="0C7F80BA"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The priority seeks to ensure that Victorians can access assistance and feel supported in emergencies. Emergency services infrastructure assessment includes police, fire, state emergency services and lifesaving facilities, and other supporting infrastructure that helps manage emergency responses. This priority is about improving existing infrastructure, building new facilities and improving emergency management processes. The Emergency Management Commissioner, supported by Emergency Management Victoria, leads and coordinates emergency preparedness, response and recovery.</w:t>
      </w:r>
      <w:r w:rsidRPr="00CA2CC1">
        <w:rPr>
          <w:rStyle w:val="EndnoteReference"/>
          <w:rFonts w:ascii="Calibri" w:hAnsi="Calibri" w:cs="Calibri"/>
        </w:rPr>
        <w:endnoteReference w:id="599"/>
      </w:r>
    </w:p>
    <w:p w14:paraId="127A0A35"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Victoria experienced significant flooding in October 2022.</w:t>
      </w:r>
      <w:r w:rsidRPr="00CA2CC1">
        <w:rPr>
          <w:rStyle w:val="EndnoteReference"/>
          <w:rFonts w:ascii="Calibri" w:hAnsi="Calibri" w:cs="Calibri"/>
        </w:rPr>
        <w:endnoteReference w:id="600"/>
      </w:r>
      <w:r w:rsidRPr="00CA2CC1">
        <w:rPr>
          <w:rFonts w:ascii="Calibri" w:hAnsi="Calibri" w:cs="Calibri"/>
        </w:rPr>
        <w:t xml:space="preserve"> Parts of Victorian towns and cities were evacuated, including in Shepparton, Echuca, Rochester, Melbourne.</w:t>
      </w:r>
      <w:r w:rsidRPr="00CA2CC1">
        <w:rPr>
          <w:rStyle w:val="EndnoteReference"/>
          <w:rFonts w:ascii="Calibri" w:hAnsi="Calibri" w:cs="Calibri"/>
        </w:rPr>
        <w:endnoteReference w:id="601"/>
      </w:r>
      <w:r w:rsidRPr="00CA2CC1">
        <w:rPr>
          <w:rFonts w:ascii="Calibri" w:hAnsi="Calibri" w:cs="Calibri"/>
        </w:rPr>
        <w:t xml:space="preserve"> The flooding damaged roads, infrastructure, homes, businesses and crops.</w:t>
      </w:r>
      <w:r w:rsidRPr="00CA2CC1">
        <w:rPr>
          <w:rStyle w:val="EndnoteReference"/>
          <w:rFonts w:ascii="Calibri" w:hAnsi="Calibri" w:cs="Calibri"/>
        </w:rPr>
        <w:endnoteReference w:id="602"/>
      </w:r>
      <w:r w:rsidRPr="00CA2CC1">
        <w:rPr>
          <w:rFonts w:ascii="Calibri" w:hAnsi="Calibri" w:cs="Calibri"/>
        </w:rPr>
        <w:t xml:space="preserve"> The Victoria State Emergency Service responded to more than 13,000 requests for assistance and conducted more than 800 rescues from floodwater during October 2022.</w:t>
      </w:r>
      <w:r w:rsidRPr="00CA2CC1">
        <w:rPr>
          <w:rStyle w:val="EndnoteReference"/>
          <w:rFonts w:ascii="Calibri" w:hAnsi="Calibri" w:cs="Calibri"/>
        </w:rPr>
        <w:endnoteReference w:id="603"/>
      </w:r>
    </w:p>
    <w:p w14:paraId="6EE6544A"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The Victorian Government delivered flood recovery assistance during the 2022–23 financial year. It delivered temporary units to households in the Greater Shepparton region to allow homeowners to live on their properties during home repairs.</w:t>
      </w:r>
      <w:r w:rsidRPr="00CA2CC1">
        <w:rPr>
          <w:rStyle w:val="EndnoteReference"/>
          <w:rFonts w:ascii="Calibri" w:hAnsi="Calibri" w:cs="Calibri"/>
        </w:rPr>
        <w:endnoteReference w:id="604"/>
      </w:r>
      <w:r w:rsidRPr="00CA2CC1">
        <w:rPr>
          <w:rFonts w:ascii="Calibri" w:hAnsi="Calibri" w:cs="Calibri"/>
        </w:rPr>
        <w:t xml:space="preserve"> It also provided funds for the immediate needs of flood-affected communities and to support the emergency response.</w:t>
      </w:r>
      <w:r w:rsidRPr="00CA2CC1">
        <w:rPr>
          <w:rStyle w:val="EndnoteReference"/>
          <w:rFonts w:ascii="Calibri" w:hAnsi="Calibri" w:cs="Calibri"/>
        </w:rPr>
        <w:endnoteReference w:id="605"/>
      </w:r>
      <w:r w:rsidRPr="00CA2CC1">
        <w:rPr>
          <w:rFonts w:ascii="Calibri" w:hAnsi="Calibri" w:cs="Calibri"/>
        </w:rPr>
        <w:t xml:space="preserve"> This included for emergency road repairs and reconstructing roads, bridges and culverts.</w:t>
      </w:r>
      <w:r w:rsidRPr="00CA2CC1">
        <w:rPr>
          <w:rStyle w:val="EndnoteReference"/>
          <w:rFonts w:ascii="Calibri" w:hAnsi="Calibri" w:cs="Calibri"/>
        </w:rPr>
        <w:endnoteReference w:id="606"/>
      </w:r>
      <w:r w:rsidRPr="00CA2CC1">
        <w:rPr>
          <w:rFonts w:ascii="Calibri" w:hAnsi="Calibri" w:cs="Calibri"/>
        </w:rPr>
        <w:t xml:space="preserve"> The 2023–24 Budget provided funding to repair Victoria State Emergency Service emergency hubs in Rochester and Heathcote</w:t>
      </w:r>
      <w:r w:rsidRPr="00CA2CC1">
        <w:rPr>
          <w:rStyle w:val="EndnoteReference"/>
          <w:rFonts w:ascii="Calibri" w:hAnsi="Calibri" w:cs="Calibri"/>
        </w:rPr>
        <w:endnoteReference w:id="607"/>
      </w:r>
      <w:r w:rsidRPr="00CA2CC1">
        <w:rPr>
          <w:rFonts w:ascii="Calibri" w:hAnsi="Calibri" w:cs="Calibri"/>
        </w:rPr>
        <w:t xml:space="preserve"> and replace the Rochester Police Station.</w:t>
      </w:r>
      <w:r w:rsidRPr="00CA2CC1">
        <w:rPr>
          <w:rStyle w:val="EndnoteReference"/>
          <w:rFonts w:ascii="Calibri" w:hAnsi="Calibri" w:cs="Calibri"/>
        </w:rPr>
        <w:endnoteReference w:id="608"/>
      </w:r>
      <w:r w:rsidRPr="00CA2CC1">
        <w:rPr>
          <w:rFonts w:ascii="Calibri" w:hAnsi="Calibri" w:cs="Calibri"/>
        </w:rPr>
        <w:t xml:space="preserve"> </w:t>
      </w:r>
    </w:p>
    <w:p w14:paraId="153C8E33"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The Victorian Government also kept supporting communities affected by the 2019–20 bushfires. It announced the recipients of Bushfire Recovery Grants for Community Facilities in September 2022 and January 2023.</w:t>
      </w:r>
      <w:r w:rsidRPr="00CA2CC1">
        <w:rPr>
          <w:rStyle w:val="EndnoteReference"/>
          <w:rFonts w:ascii="Calibri" w:hAnsi="Calibri" w:cs="Calibri"/>
        </w:rPr>
        <w:endnoteReference w:id="609"/>
      </w:r>
      <w:r w:rsidRPr="00CA2CC1">
        <w:rPr>
          <w:rFonts w:ascii="Calibri" w:hAnsi="Calibri" w:cs="Calibri"/>
        </w:rPr>
        <w:t xml:space="preserve"> These grants support community groups to build, upgrade or repair local facilities.</w:t>
      </w:r>
      <w:r w:rsidRPr="00CA2CC1">
        <w:rPr>
          <w:rStyle w:val="EndnoteReference"/>
          <w:rFonts w:ascii="Calibri" w:hAnsi="Calibri" w:cs="Calibri"/>
        </w:rPr>
        <w:endnoteReference w:id="610"/>
      </w:r>
      <w:r w:rsidRPr="00CA2CC1">
        <w:rPr>
          <w:rFonts w:ascii="Calibri" w:hAnsi="Calibri" w:cs="Calibri"/>
        </w:rPr>
        <w:t xml:space="preserve"> The government also announced funds for the Lake Tyers Emergency Relief Centre project in September 2022.</w:t>
      </w:r>
      <w:r w:rsidRPr="00CA2CC1">
        <w:rPr>
          <w:rStyle w:val="EndnoteReference"/>
          <w:rFonts w:ascii="Calibri" w:hAnsi="Calibri" w:cs="Calibri"/>
        </w:rPr>
        <w:endnoteReference w:id="611"/>
      </w:r>
      <w:r w:rsidRPr="00CA2CC1">
        <w:rPr>
          <w:rFonts w:ascii="Calibri" w:hAnsi="Calibri" w:cs="Calibri"/>
        </w:rPr>
        <w:t xml:space="preserve"> The centre aims to provide a safe and secure space for Aboriginal communities during and after bushfires, and bring the community together for activities and meetings at other times.</w:t>
      </w:r>
      <w:r w:rsidRPr="00CA2CC1">
        <w:rPr>
          <w:rStyle w:val="EndnoteReference"/>
          <w:rFonts w:ascii="Calibri" w:hAnsi="Calibri" w:cs="Calibri"/>
        </w:rPr>
        <w:endnoteReference w:id="612"/>
      </w:r>
    </w:p>
    <w:p w14:paraId="4F2802FB"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The government also completed remediation works for Fiskville and Regional Victorian Emergency Management Training Centres during the 2022–23 financial year.</w:t>
      </w:r>
      <w:r w:rsidRPr="00CA2CC1">
        <w:rPr>
          <w:rStyle w:val="EndnoteReference"/>
          <w:rFonts w:ascii="Calibri" w:hAnsi="Calibri" w:cs="Calibri"/>
        </w:rPr>
        <w:endnoteReference w:id="613"/>
      </w:r>
      <w:r w:rsidRPr="00CA2CC1">
        <w:rPr>
          <w:rFonts w:ascii="Calibri" w:hAnsi="Calibri" w:cs="Calibri"/>
        </w:rPr>
        <w:t xml:space="preserve"> The 2023–24 Budget provided funds to redevelop local emergency services infrastructure. This includes Country Fire Authority stations in Raywood and Kinglake West and Victoria State Emergency Service facilities at Bannockburn and Kilmore.</w:t>
      </w:r>
      <w:r w:rsidRPr="00CA2CC1">
        <w:rPr>
          <w:rStyle w:val="EndnoteReference"/>
          <w:rFonts w:ascii="Calibri" w:hAnsi="Calibri" w:cs="Calibri"/>
        </w:rPr>
        <w:endnoteReference w:id="614"/>
      </w:r>
      <w:r w:rsidRPr="00CA2CC1">
        <w:rPr>
          <w:rFonts w:ascii="Calibri" w:hAnsi="Calibri" w:cs="Calibri"/>
        </w:rPr>
        <w:t xml:space="preserve"> It also funded replacing heavy-duty Victoria State Emergency Service rescue trucks.</w:t>
      </w:r>
      <w:r w:rsidRPr="00CA2CC1">
        <w:rPr>
          <w:rStyle w:val="EndnoteReference"/>
          <w:rFonts w:ascii="Calibri" w:hAnsi="Calibri" w:cs="Calibri"/>
        </w:rPr>
        <w:endnoteReference w:id="615"/>
      </w:r>
      <w:r w:rsidRPr="00CA2CC1">
        <w:rPr>
          <w:rFonts w:ascii="Calibri" w:hAnsi="Calibri" w:cs="Calibri"/>
        </w:rPr>
        <w:t xml:space="preserve"> The government announced more firefighting aircraft</w:t>
      </w:r>
      <w:r w:rsidRPr="00CA2CC1">
        <w:rPr>
          <w:rStyle w:val="EndnoteReference"/>
          <w:rFonts w:ascii="Calibri" w:hAnsi="Calibri" w:cs="Calibri"/>
        </w:rPr>
        <w:endnoteReference w:id="616"/>
      </w:r>
      <w:r w:rsidRPr="00CA2CC1">
        <w:rPr>
          <w:rFonts w:ascii="Calibri" w:hAnsi="Calibri" w:cs="Calibri"/>
        </w:rPr>
        <w:t xml:space="preserve"> and new heavy tankers</w:t>
      </w:r>
      <w:r w:rsidRPr="00CA2CC1">
        <w:rPr>
          <w:rStyle w:val="EndnoteReference"/>
          <w:rFonts w:ascii="Calibri" w:hAnsi="Calibri" w:cs="Calibri"/>
        </w:rPr>
        <w:endnoteReference w:id="617"/>
      </w:r>
      <w:r w:rsidRPr="00CA2CC1">
        <w:rPr>
          <w:rFonts w:ascii="Calibri" w:hAnsi="Calibri" w:cs="Calibri"/>
        </w:rPr>
        <w:t xml:space="preserve"> in the 2022–23 financial year. The Volunteer Emergency Services Equipment Program also funded better equipment and facilities.</w:t>
      </w:r>
      <w:r w:rsidRPr="00CA2CC1">
        <w:rPr>
          <w:rStyle w:val="EndnoteReference"/>
          <w:rFonts w:ascii="Calibri" w:hAnsi="Calibri" w:cs="Calibri"/>
        </w:rPr>
        <w:endnoteReference w:id="618"/>
      </w:r>
      <w:r w:rsidRPr="00CA2CC1">
        <w:rPr>
          <w:rFonts w:ascii="Calibri" w:hAnsi="Calibri" w:cs="Calibri"/>
        </w:rPr>
        <w:t xml:space="preserve"> The government announced the program’s grants in October 2022.</w:t>
      </w:r>
      <w:r w:rsidRPr="00CA2CC1">
        <w:rPr>
          <w:rStyle w:val="EndnoteReference"/>
          <w:rFonts w:ascii="Calibri" w:hAnsi="Calibri" w:cs="Calibri"/>
        </w:rPr>
        <w:endnoteReference w:id="619"/>
      </w:r>
      <w:r w:rsidRPr="00CA2CC1">
        <w:rPr>
          <w:rFonts w:ascii="Calibri" w:hAnsi="Calibri" w:cs="Calibri"/>
        </w:rPr>
        <w:t xml:space="preserve"> </w:t>
      </w:r>
    </w:p>
    <w:p w14:paraId="4D0749D3"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 xml:space="preserve">Improving emergency management processes can enhance public safety. The </w:t>
      </w:r>
      <w:r w:rsidRPr="00CA2CC1">
        <w:rPr>
          <w:rFonts w:ascii="Calibri" w:hAnsi="Calibri" w:cs="Calibri"/>
          <w:i/>
          <w:iCs/>
        </w:rPr>
        <w:t xml:space="preserve">Safer and More Resilient Communities - Strategic Roadmap for Emergency Management in Victoria 2022–28 </w:t>
      </w:r>
      <w:r w:rsidRPr="00CA2CC1">
        <w:rPr>
          <w:rFonts w:ascii="Calibri" w:hAnsi="Calibri" w:cs="Calibri"/>
        </w:rPr>
        <w:t>was published in July 2022.</w:t>
      </w:r>
      <w:r w:rsidRPr="00CA2CC1">
        <w:rPr>
          <w:rStyle w:val="EndnoteReference"/>
          <w:rFonts w:ascii="Calibri" w:hAnsi="Calibri" w:cs="Calibri"/>
        </w:rPr>
        <w:endnoteReference w:id="620"/>
      </w:r>
      <w:r w:rsidRPr="00CA2CC1">
        <w:rPr>
          <w:rFonts w:ascii="Calibri" w:hAnsi="Calibri" w:cs="Calibri"/>
        </w:rPr>
        <w:t xml:space="preserve"> It includes priorities to guide the emergency management sector for the next 6 years</w:t>
      </w:r>
      <w:r w:rsidRPr="00CA2CC1">
        <w:rPr>
          <w:rStyle w:val="EndnoteReference"/>
          <w:rFonts w:ascii="Calibri" w:hAnsi="Calibri" w:cs="Calibri"/>
        </w:rPr>
        <w:endnoteReference w:id="621"/>
      </w:r>
      <w:r w:rsidRPr="00CA2CC1">
        <w:rPr>
          <w:rFonts w:ascii="Calibri" w:hAnsi="Calibri" w:cs="Calibri"/>
        </w:rPr>
        <w:t xml:space="preserve"> and is supported by a rolling 3-year Strategic Action Plan.</w:t>
      </w:r>
      <w:r w:rsidRPr="00CA2CC1">
        <w:rPr>
          <w:rStyle w:val="EndnoteReference"/>
          <w:rFonts w:ascii="Calibri" w:hAnsi="Calibri" w:cs="Calibri"/>
        </w:rPr>
        <w:endnoteReference w:id="622"/>
      </w:r>
      <w:r w:rsidRPr="00CA2CC1">
        <w:rPr>
          <w:rFonts w:ascii="Calibri" w:hAnsi="Calibri" w:cs="Calibri"/>
        </w:rPr>
        <w:t xml:space="preserve"> An updated </w:t>
      </w:r>
      <w:r w:rsidRPr="00CA2CC1">
        <w:rPr>
          <w:rFonts w:ascii="Calibri" w:hAnsi="Calibri" w:cs="Calibri"/>
          <w:i/>
          <w:iCs/>
        </w:rPr>
        <w:t>Year Two to Five Fire Services Reform Implementation Plan</w:t>
      </w:r>
      <w:r w:rsidRPr="00CA2CC1">
        <w:rPr>
          <w:rFonts w:ascii="Calibri" w:hAnsi="Calibri" w:cs="Calibri"/>
        </w:rPr>
        <w:t xml:space="preserve"> was published in May 2023.</w:t>
      </w:r>
      <w:r w:rsidRPr="00CA2CC1">
        <w:rPr>
          <w:rStyle w:val="EndnoteReference"/>
          <w:rFonts w:ascii="Calibri" w:hAnsi="Calibri" w:cs="Calibri"/>
        </w:rPr>
        <w:endnoteReference w:id="623"/>
      </w:r>
      <w:r w:rsidRPr="00CA2CC1">
        <w:rPr>
          <w:rFonts w:ascii="Calibri" w:hAnsi="Calibri" w:cs="Calibri"/>
        </w:rPr>
        <w:t xml:space="preserve"> It contains actions across 5 priority areas.</w:t>
      </w:r>
      <w:r w:rsidRPr="00CA2CC1">
        <w:rPr>
          <w:rStyle w:val="EndnoteReference"/>
          <w:rFonts w:ascii="Calibri" w:hAnsi="Calibri" w:cs="Calibri"/>
        </w:rPr>
        <w:endnoteReference w:id="624"/>
      </w:r>
      <w:r w:rsidRPr="00CA2CC1">
        <w:rPr>
          <w:rFonts w:ascii="Calibri" w:hAnsi="Calibri" w:cs="Calibri"/>
        </w:rPr>
        <w:t xml:space="preserve"> The 2023–24 Budget allocated funds to reform the Emergency Services Telecommunications Authority</w:t>
      </w:r>
      <w:r w:rsidRPr="00CA2CC1">
        <w:rPr>
          <w:rStyle w:val="EndnoteReference"/>
          <w:rFonts w:ascii="Calibri" w:hAnsi="Calibri" w:cs="Calibri"/>
        </w:rPr>
        <w:endnoteReference w:id="625"/>
      </w:r>
      <w:r w:rsidRPr="00CA2CC1">
        <w:rPr>
          <w:rFonts w:ascii="Calibri" w:hAnsi="Calibri" w:cs="Calibri"/>
        </w:rPr>
        <w:t xml:space="preserve"> and to keep delivering emergency management information services.</w:t>
      </w:r>
      <w:r w:rsidRPr="00CA2CC1">
        <w:rPr>
          <w:rStyle w:val="EndnoteReference"/>
          <w:rFonts w:ascii="Calibri" w:hAnsi="Calibri" w:cs="Calibri"/>
        </w:rPr>
        <w:endnoteReference w:id="626"/>
      </w:r>
    </w:p>
    <w:p w14:paraId="2BA7FA0C" w14:textId="7B2D96A0" w:rsidR="00373ED9" w:rsidRPr="00CA2CC1" w:rsidRDefault="00373ED9" w:rsidP="0043303B">
      <w:pPr>
        <w:pStyle w:val="IVBodyText"/>
        <w:spacing w:line="240" w:lineRule="auto"/>
        <w:rPr>
          <w:rFonts w:ascii="Calibri" w:hAnsi="Calibri" w:cs="Calibri"/>
          <w:color w:val="auto"/>
        </w:rPr>
      </w:pPr>
      <w:r w:rsidRPr="00CA2CC1">
        <w:rPr>
          <w:rFonts w:ascii="Calibri" w:hAnsi="Calibri" w:cs="Calibri"/>
        </w:rPr>
        <w:t xml:space="preserve">In </w:t>
      </w:r>
      <w:r w:rsidRPr="00CA2CC1">
        <w:rPr>
          <w:rFonts w:ascii="Calibri" w:hAnsi="Calibri" w:cs="Calibri"/>
          <w:i/>
          <w:iCs/>
        </w:rPr>
        <w:t>Victoria’s infrastructure strategy 2021–2051</w:t>
      </w:r>
      <w:r w:rsidRPr="00CA2CC1">
        <w:rPr>
          <w:rFonts w:ascii="Calibri" w:hAnsi="Calibri" w:cs="Calibri"/>
        </w:rPr>
        <w:t>, we recommend the Victorian Government build back better after emergencies.</w:t>
      </w:r>
      <w:r w:rsidRPr="00CA2CC1">
        <w:rPr>
          <w:rStyle w:val="EndnoteReference"/>
          <w:rFonts w:ascii="Calibri" w:hAnsi="Calibri" w:cs="Calibri"/>
        </w:rPr>
        <w:endnoteReference w:id="627"/>
      </w:r>
      <w:r w:rsidRPr="00CA2CC1">
        <w:rPr>
          <w:rFonts w:ascii="Calibri" w:hAnsi="Calibri" w:cs="Calibri"/>
        </w:rPr>
        <w:t xml:space="preserve"> This involves considering policy changes and funding mechanisms so public infrastructure destroyed by emergencies is rebuilt in less vulnerable locations or to a more resilient standard.</w:t>
      </w:r>
      <w:r w:rsidRPr="00CA2CC1">
        <w:rPr>
          <w:rStyle w:val="EndnoteReference"/>
          <w:rFonts w:ascii="Calibri" w:hAnsi="Calibri" w:cs="Calibri"/>
        </w:rPr>
        <w:endnoteReference w:id="628"/>
      </w:r>
      <w:r w:rsidRPr="00CA2CC1">
        <w:rPr>
          <w:rFonts w:ascii="Calibri" w:hAnsi="Calibri" w:cs="Calibri"/>
        </w:rPr>
        <w:t xml:space="preserve"> We also recommended developing more resilient regional telecommunications infrastructure so communities can stay safe during emergencies.</w:t>
      </w:r>
      <w:r w:rsidRPr="00CA2CC1">
        <w:rPr>
          <w:rStyle w:val="EndnoteReference"/>
          <w:rFonts w:ascii="Calibri" w:hAnsi="Calibri" w:cs="Calibri"/>
        </w:rPr>
        <w:endnoteReference w:id="629"/>
      </w:r>
    </w:p>
    <w:p w14:paraId="693B93D5" w14:textId="7A4410DB" w:rsidR="00373ED9" w:rsidRPr="00CA2CC1" w:rsidRDefault="00373ED9" w:rsidP="0043303B">
      <w:pPr>
        <w:pStyle w:val="Heading1"/>
        <w:rPr>
          <w:rFonts w:cs="Calibri"/>
        </w:rPr>
      </w:pPr>
      <w:bookmarkStart w:id="111" w:name="_Toc109662766"/>
      <w:r w:rsidRPr="00CA2CC1">
        <w:rPr>
          <w:rFonts w:cs="Calibri"/>
        </w:rPr>
        <w:t>Water</w:t>
      </w:r>
      <w:bookmarkEnd w:id="111"/>
    </w:p>
    <w:p w14:paraId="2DA335BC" w14:textId="77777777" w:rsidR="00373ED9" w:rsidRPr="00CA2CC1" w:rsidRDefault="00373ED9" w:rsidP="0043303B">
      <w:pPr>
        <w:pStyle w:val="IVIntrotext"/>
        <w:spacing w:line="240" w:lineRule="auto"/>
        <w:rPr>
          <w:rFonts w:cs="Calibri"/>
          <w:color w:val="auto"/>
        </w:rPr>
      </w:pPr>
      <w:r w:rsidRPr="00CA2CC1">
        <w:rPr>
          <w:rFonts w:cs="Calibri"/>
          <w:color w:val="auto"/>
        </w:rPr>
        <w:t xml:space="preserve">Victoria’s water sector has many different public entities, including Victorian Government departments and agencies, local governments, and multiple water corporations and catchment management authorities. </w:t>
      </w:r>
    </w:p>
    <w:p w14:paraId="69514197" w14:textId="77777777" w:rsidR="00373ED9" w:rsidRPr="00CA2CC1" w:rsidRDefault="00373ED9" w:rsidP="0043303B">
      <w:pPr>
        <w:pStyle w:val="IVBodyText"/>
        <w:spacing w:line="240" w:lineRule="auto"/>
        <w:rPr>
          <w:rFonts w:ascii="Calibri" w:hAnsi="Calibri" w:cs="Calibri"/>
          <w:color w:val="auto"/>
        </w:rPr>
      </w:pPr>
      <w:r w:rsidRPr="00CA2CC1">
        <w:rPr>
          <w:rFonts w:ascii="Calibri" w:hAnsi="Calibri" w:cs="Calibri"/>
          <w:color w:val="auto"/>
        </w:rPr>
        <w:t xml:space="preserve">The </w:t>
      </w:r>
      <w:r w:rsidRPr="00CA2CC1">
        <w:rPr>
          <w:rFonts w:ascii="Calibri" w:hAnsi="Calibri" w:cs="Calibri"/>
          <w:i/>
          <w:iCs/>
          <w:color w:val="auto"/>
        </w:rPr>
        <w:t>Victorian infrastructure plan 2021</w:t>
      </w:r>
      <w:r w:rsidRPr="00CA2CC1">
        <w:rPr>
          <w:rFonts w:ascii="Calibri" w:hAnsi="Calibri" w:cs="Calibri"/>
          <w:color w:val="auto"/>
        </w:rPr>
        <w:t xml:space="preserve"> contains 3 long-term priorities for the water sector. Achieving them requires long-term water planning, such as by revising and developing sustainable water strategies and urban water strategies. The </w:t>
      </w:r>
      <w:r w:rsidRPr="00CA2CC1">
        <w:rPr>
          <w:rFonts w:ascii="Calibri" w:hAnsi="Calibri" w:cs="Calibri"/>
          <w:i/>
          <w:color w:val="auto"/>
        </w:rPr>
        <w:t>Water Act 1989</w:t>
      </w:r>
      <w:r w:rsidRPr="00CA2CC1">
        <w:rPr>
          <w:rFonts w:ascii="Calibri" w:hAnsi="Calibri" w:cs="Calibri"/>
          <w:color w:val="auto"/>
        </w:rPr>
        <w:t xml:space="preserve"> requires the government to update the sustainable water strategies every 10 years.</w:t>
      </w:r>
      <w:r w:rsidRPr="00CA2CC1">
        <w:rPr>
          <w:rStyle w:val="EndnoteReference"/>
          <w:rFonts w:ascii="Calibri" w:hAnsi="Calibri" w:cs="Calibri"/>
          <w:color w:val="auto"/>
        </w:rPr>
        <w:t xml:space="preserve"> </w:t>
      </w:r>
      <w:r w:rsidRPr="00CA2CC1">
        <w:rPr>
          <w:rStyle w:val="EndnoteReference"/>
          <w:rFonts w:ascii="Calibri" w:hAnsi="Calibri" w:cs="Calibri"/>
          <w:color w:val="auto"/>
        </w:rPr>
        <w:endnoteReference w:id="630"/>
      </w:r>
      <w:r w:rsidRPr="00CA2CC1">
        <w:rPr>
          <w:rFonts w:ascii="Calibri" w:hAnsi="Calibri" w:cs="Calibri"/>
          <w:color w:val="auto"/>
        </w:rPr>
        <w:t xml:space="preserve"> At the time of writing, the Victorian Government had released the </w:t>
      </w:r>
      <w:r w:rsidRPr="00CA2CC1">
        <w:rPr>
          <w:rFonts w:ascii="Calibri" w:hAnsi="Calibri" w:cs="Calibri"/>
          <w:i/>
          <w:iCs/>
          <w:color w:val="auto"/>
        </w:rPr>
        <w:t>Central and Gippsland region sustainable water strategy</w:t>
      </w:r>
      <w:r w:rsidRPr="00CA2CC1">
        <w:rPr>
          <w:rFonts w:ascii="Calibri" w:hAnsi="Calibri" w:cs="Calibri"/>
          <w:color w:val="auto"/>
        </w:rPr>
        <w:t>, but not the updated strategies for Victoria’s northern and western regions.</w:t>
      </w:r>
      <w:r w:rsidRPr="00CA2CC1">
        <w:rPr>
          <w:rStyle w:val="EndnoteReference"/>
          <w:rFonts w:ascii="Calibri" w:hAnsi="Calibri" w:cs="Calibri"/>
          <w:color w:val="auto"/>
        </w:rPr>
        <w:endnoteReference w:id="631"/>
      </w:r>
    </w:p>
    <w:p w14:paraId="6D4E24F4" w14:textId="77777777" w:rsidR="00373ED9" w:rsidRPr="00CA2CC1" w:rsidRDefault="00373ED9" w:rsidP="0043303B">
      <w:pPr>
        <w:pStyle w:val="IVBodyText"/>
        <w:spacing w:line="240" w:lineRule="auto"/>
        <w:rPr>
          <w:rFonts w:ascii="Calibri" w:hAnsi="Calibri" w:cs="Calibri"/>
          <w:color w:val="auto"/>
        </w:rPr>
      </w:pPr>
      <w:bookmarkStart w:id="112" w:name="_Hlk109309185"/>
      <w:r w:rsidRPr="00CA2CC1">
        <w:rPr>
          <w:rFonts w:ascii="Calibri" w:hAnsi="Calibri" w:cs="Calibri"/>
          <w:color w:val="auto"/>
        </w:rPr>
        <w:t xml:space="preserve">The government also released </w:t>
      </w:r>
      <w:r w:rsidRPr="00CA2CC1">
        <w:rPr>
          <w:rFonts w:ascii="Calibri" w:hAnsi="Calibri" w:cs="Calibri"/>
          <w:i/>
          <w:iCs/>
          <w:color w:val="auto"/>
        </w:rPr>
        <w:t>Water is life: Traditional Owner access to water roadmap</w:t>
      </w:r>
      <w:r w:rsidRPr="00CA2CC1">
        <w:rPr>
          <w:rFonts w:ascii="Calibri" w:hAnsi="Calibri" w:cs="Calibri"/>
          <w:color w:val="auto"/>
        </w:rPr>
        <w:t xml:space="preserve"> in September 2022.</w:t>
      </w:r>
      <w:r w:rsidRPr="00CA2CC1">
        <w:rPr>
          <w:rStyle w:val="EndnoteReference"/>
          <w:rFonts w:ascii="Calibri" w:hAnsi="Calibri" w:cs="Calibri"/>
          <w:color w:val="auto"/>
        </w:rPr>
        <w:endnoteReference w:id="632"/>
      </w:r>
      <w:r w:rsidRPr="00CA2CC1">
        <w:rPr>
          <w:rFonts w:ascii="Calibri" w:hAnsi="Calibri" w:cs="Calibri"/>
          <w:color w:val="auto"/>
        </w:rPr>
        <w:t xml:space="preserve"> It takes a ‘restorative justice’ approach to Traditional Owner water rights and protects existing entitlements to water.</w:t>
      </w:r>
      <w:r w:rsidRPr="00CA2CC1">
        <w:rPr>
          <w:rStyle w:val="EndnoteReference"/>
          <w:rFonts w:ascii="Calibri" w:hAnsi="Calibri" w:cs="Calibri"/>
          <w:color w:val="auto"/>
        </w:rPr>
        <w:t xml:space="preserve"> </w:t>
      </w:r>
      <w:r w:rsidRPr="00CA2CC1">
        <w:rPr>
          <w:rStyle w:val="EndnoteReference"/>
          <w:rFonts w:ascii="Calibri" w:hAnsi="Calibri" w:cs="Calibri"/>
          <w:color w:val="auto"/>
        </w:rPr>
        <w:endnoteReference w:id="633"/>
      </w:r>
      <w:r w:rsidRPr="00CA2CC1">
        <w:rPr>
          <w:rFonts w:ascii="Calibri" w:hAnsi="Calibri" w:cs="Calibri"/>
          <w:color w:val="auto"/>
        </w:rPr>
        <w:t xml:space="preserve"> The Victorian Government committed that Traditional Owners will have access to more water, have more resources, and make more decisions to manage water landscapes.</w:t>
      </w:r>
      <w:r w:rsidRPr="00CA2CC1">
        <w:rPr>
          <w:rStyle w:val="EndnoteReference"/>
          <w:rFonts w:ascii="Calibri" w:hAnsi="Calibri" w:cs="Calibri"/>
          <w:color w:val="auto"/>
        </w:rPr>
        <w:t xml:space="preserve"> </w:t>
      </w:r>
      <w:r w:rsidRPr="00CA2CC1">
        <w:rPr>
          <w:rStyle w:val="EndnoteReference"/>
          <w:rFonts w:ascii="Calibri" w:hAnsi="Calibri" w:cs="Calibri"/>
          <w:color w:val="auto"/>
        </w:rPr>
        <w:endnoteReference w:id="634"/>
      </w:r>
      <w:r w:rsidRPr="00CA2CC1">
        <w:rPr>
          <w:rFonts w:ascii="Calibri" w:hAnsi="Calibri" w:cs="Calibri"/>
          <w:color w:val="auto"/>
        </w:rPr>
        <w:t xml:space="preserve"> The roadmap includes targeted outcomes and specific government commitments over the short, medium and long term.</w:t>
      </w:r>
      <w:r w:rsidRPr="00CA2CC1">
        <w:rPr>
          <w:rStyle w:val="EndnoteReference"/>
          <w:rFonts w:ascii="Calibri" w:hAnsi="Calibri" w:cs="Calibri"/>
          <w:color w:val="auto"/>
        </w:rPr>
        <w:endnoteReference w:id="635"/>
      </w:r>
      <w:r w:rsidRPr="00CA2CC1">
        <w:rPr>
          <w:rFonts w:ascii="Calibri" w:hAnsi="Calibri" w:cs="Calibri"/>
          <w:color w:val="auto"/>
        </w:rPr>
        <w:t xml:space="preserve"> </w:t>
      </w:r>
      <w:bookmarkEnd w:id="112"/>
    </w:p>
    <w:p w14:paraId="69ECA271" w14:textId="77777777" w:rsidR="00373ED9" w:rsidRPr="00CA2CC1" w:rsidRDefault="00373ED9" w:rsidP="0043303B">
      <w:pPr>
        <w:pStyle w:val="IVBodyText"/>
        <w:spacing w:line="240" w:lineRule="auto"/>
        <w:rPr>
          <w:rFonts w:ascii="Calibri" w:hAnsi="Calibri" w:cs="Calibri"/>
          <w:color w:val="auto"/>
        </w:rPr>
      </w:pPr>
      <w:r w:rsidRPr="00CA2CC1">
        <w:rPr>
          <w:rFonts w:ascii="Calibri" w:hAnsi="Calibri" w:cs="Calibri"/>
          <w:color w:val="auto"/>
        </w:rPr>
        <w:t>The state’s water priorities are:</w:t>
      </w:r>
    </w:p>
    <w:p w14:paraId="3620C85B" w14:textId="77777777" w:rsidR="00373ED9" w:rsidRPr="00CA2CC1" w:rsidRDefault="00373ED9" w:rsidP="0043303B">
      <w:pPr>
        <w:pStyle w:val="IVBodyText"/>
        <w:numPr>
          <w:ilvl w:val="0"/>
          <w:numId w:val="52"/>
        </w:numPr>
        <w:spacing w:line="240" w:lineRule="auto"/>
        <w:rPr>
          <w:rFonts w:ascii="Calibri" w:hAnsi="Calibri" w:cs="Calibri"/>
          <w:color w:val="auto"/>
        </w:rPr>
      </w:pPr>
      <w:r w:rsidRPr="00CA2CC1">
        <w:rPr>
          <w:rFonts w:ascii="Calibri" w:hAnsi="Calibri" w:cs="Calibri"/>
          <w:color w:val="auto"/>
        </w:rPr>
        <w:t>extending and using our water grid better</w:t>
      </w:r>
    </w:p>
    <w:p w14:paraId="22B315D7" w14:textId="77777777" w:rsidR="00373ED9" w:rsidRPr="00CA2CC1" w:rsidRDefault="00373ED9" w:rsidP="0043303B">
      <w:pPr>
        <w:pStyle w:val="IVBodyText"/>
        <w:numPr>
          <w:ilvl w:val="0"/>
          <w:numId w:val="52"/>
        </w:numPr>
        <w:spacing w:line="240" w:lineRule="auto"/>
        <w:rPr>
          <w:rFonts w:ascii="Calibri" w:hAnsi="Calibri" w:cs="Calibri"/>
          <w:color w:val="auto"/>
        </w:rPr>
      </w:pPr>
      <w:r w:rsidRPr="00CA2CC1">
        <w:rPr>
          <w:rFonts w:ascii="Calibri" w:hAnsi="Calibri" w:cs="Calibri"/>
          <w:color w:val="auto"/>
        </w:rPr>
        <w:t>building resilience to climate change</w:t>
      </w:r>
    </w:p>
    <w:p w14:paraId="4B599738" w14:textId="4107BC4F" w:rsidR="00373ED9" w:rsidRPr="00CA2CC1" w:rsidRDefault="00373ED9" w:rsidP="0043303B">
      <w:pPr>
        <w:pStyle w:val="ListParagraph"/>
        <w:widowControl/>
        <w:numPr>
          <w:ilvl w:val="0"/>
          <w:numId w:val="52"/>
        </w:numPr>
        <w:autoSpaceDE/>
        <w:autoSpaceDN/>
        <w:spacing w:before="0" w:after="160"/>
        <w:contextualSpacing/>
        <w:rPr>
          <w:rFonts w:cs="Calibri"/>
          <w:color w:val="auto"/>
        </w:rPr>
      </w:pPr>
      <w:r w:rsidRPr="00CA2CC1">
        <w:rPr>
          <w:rFonts w:cs="Calibri"/>
          <w:color w:val="auto"/>
        </w:rPr>
        <w:t>improving the health of waterways and catchments.</w:t>
      </w:r>
    </w:p>
    <w:p w14:paraId="470B2F70" w14:textId="77777777" w:rsidR="00373ED9" w:rsidRPr="00CA2CC1" w:rsidRDefault="00373ED9" w:rsidP="0043303B">
      <w:pPr>
        <w:pStyle w:val="Heading2"/>
        <w:rPr>
          <w:rFonts w:cs="Calibri"/>
        </w:rPr>
      </w:pPr>
      <w:bookmarkStart w:id="115" w:name="_Toc105687415"/>
      <w:bookmarkStart w:id="116" w:name="_Toc109662767"/>
      <w:r w:rsidRPr="00CA2CC1">
        <w:rPr>
          <w:rFonts w:cs="Calibri"/>
        </w:rPr>
        <w:t>Extending and using our water grid better</w:t>
      </w:r>
      <w:bookmarkEnd w:id="115"/>
      <w:bookmarkEnd w:id="116"/>
    </w:p>
    <w:p w14:paraId="1327AB57" w14:textId="77777777" w:rsidR="00373ED9" w:rsidRPr="00CA2CC1" w:rsidRDefault="00373ED9" w:rsidP="0043303B">
      <w:pPr>
        <w:pStyle w:val="Heading3"/>
        <w:rPr>
          <w:rFonts w:cs="Calibri"/>
        </w:rPr>
      </w:pPr>
      <w:r w:rsidRPr="00CA2CC1">
        <w:rPr>
          <w:rFonts w:cs="Calibri"/>
        </w:rPr>
        <w:t xml:space="preserve">Priority description from the </w:t>
      </w:r>
      <w:r w:rsidRPr="00CA2CC1">
        <w:rPr>
          <w:rFonts w:cs="Calibri"/>
          <w:i/>
          <w:iCs/>
        </w:rPr>
        <w:t>Victorian infrastructure plan 2021</w:t>
      </w:r>
    </w:p>
    <w:p w14:paraId="73E4DF4D" w14:textId="77777777" w:rsidR="00373ED9" w:rsidRPr="00CA2CC1" w:rsidRDefault="00373ED9" w:rsidP="0043303B">
      <w:pPr>
        <w:pStyle w:val="IVBodyText"/>
        <w:spacing w:line="240" w:lineRule="auto"/>
        <w:rPr>
          <w:rFonts w:ascii="Calibri" w:hAnsi="Calibri" w:cs="Calibri"/>
          <w:b/>
          <w:bCs/>
          <w:color w:val="auto"/>
        </w:rPr>
      </w:pPr>
      <w:r w:rsidRPr="00CA2CC1">
        <w:rPr>
          <w:rFonts w:ascii="Calibri" w:hAnsi="Calibri" w:cs="Calibri"/>
          <w:b/>
          <w:bCs/>
          <w:color w:val="auto"/>
        </w:rPr>
        <w:t>Good water management means modernising our water grid, making sure we’re using water efficiently, and securing additional water resources.</w:t>
      </w:r>
    </w:p>
    <w:p w14:paraId="2E577DBE" w14:textId="77777777" w:rsidR="00373ED9" w:rsidRPr="00CA2CC1" w:rsidRDefault="00373ED9" w:rsidP="0043303B">
      <w:pPr>
        <w:pStyle w:val="Heading3"/>
        <w:rPr>
          <w:rFonts w:cs="Calibri"/>
        </w:rPr>
      </w:pPr>
      <w:r w:rsidRPr="00CA2CC1">
        <w:rPr>
          <w:rFonts w:cs="Calibri"/>
        </w:rPr>
        <w:t>Victorian Government progress in 2022–23</w:t>
      </w:r>
    </w:p>
    <w:p w14:paraId="6D7FA3BC"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 xml:space="preserve">This priority seeks to ensure Victorians can access water. Victoria can achieve it by using water more efficiently. The Victorian Government can also modernise the water grid, such as by upgrading water meters and replacing irrigation channels with pipelines to reduce water losses. It can also secure more water resources, particularly in places that have inefficient water networks or sparse access to water. </w:t>
      </w:r>
    </w:p>
    <w:p w14:paraId="54B94899"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In January 2023, Melbourne’s water storages were above 95% capacity – the highest level in more than a quarter of a century.</w:t>
      </w:r>
      <w:r w:rsidRPr="00CA2CC1">
        <w:rPr>
          <w:rStyle w:val="EndnoteReference"/>
          <w:rFonts w:ascii="Calibri" w:hAnsi="Calibri" w:cs="Calibri"/>
        </w:rPr>
        <w:endnoteReference w:id="636"/>
      </w:r>
      <w:r w:rsidRPr="00CA2CC1">
        <w:rPr>
          <w:rFonts w:ascii="Calibri" w:hAnsi="Calibri" w:cs="Calibri"/>
        </w:rPr>
        <w:t xml:space="preserve"> This is because Victoria received 3 consecutive years of above average rainfall, supplemented by desalinated water.</w:t>
      </w:r>
      <w:r w:rsidRPr="00CA2CC1">
        <w:rPr>
          <w:rStyle w:val="EndnoteReference"/>
          <w:rFonts w:ascii="Calibri" w:hAnsi="Calibri" w:cs="Calibri"/>
        </w:rPr>
        <w:endnoteReference w:id="637"/>
      </w:r>
      <w:r w:rsidRPr="00CA2CC1">
        <w:rPr>
          <w:rFonts w:ascii="Calibri" w:hAnsi="Calibri" w:cs="Calibri"/>
        </w:rPr>
        <w:t xml:space="preserve"> Victoria’s regional storage levels are also above 95%, meaning that the government will not need to impose water restrictions for any regional city or town this summer and autumn.</w:t>
      </w:r>
    </w:p>
    <w:p w14:paraId="63230599"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But water shortages might emerge during this decade as long-term patterns of lower rainfall persists. Shortages also result from more demand for water from population growth, and a drier climate.</w:t>
      </w:r>
      <w:r w:rsidRPr="00CA2CC1">
        <w:rPr>
          <w:rStyle w:val="EndnoteReference"/>
          <w:rFonts w:ascii="Calibri" w:hAnsi="Calibri" w:cs="Calibri"/>
        </w:rPr>
        <w:endnoteReference w:id="638"/>
      </w:r>
      <w:r w:rsidRPr="00CA2CC1">
        <w:rPr>
          <w:rFonts w:ascii="Calibri" w:hAnsi="Calibri" w:cs="Calibri"/>
        </w:rPr>
        <w:t xml:space="preserve"> </w:t>
      </w:r>
      <w:r w:rsidRPr="00CA2CC1">
        <w:rPr>
          <w:rFonts w:ascii="Calibri" w:hAnsi="Calibri" w:cs="Calibri"/>
          <w:color w:val="auto"/>
        </w:rPr>
        <w:t>Sustained pressure on water resources means the government must invest in more infrastructure for a more efficient water grid and to secure more water sources.</w:t>
      </w:r>
    </w:p>
    <w:p w14:paraId="519AADA0" w14:textId="77777777" w:rsidR="00373ED9" w:rsidRPr="00CA2CC1" w:rsidRDefault="00373ED9" w:rsidP="0043303B">
      <w:pPr>
        <w:pStyle w:val="IVBodyText"/>
        <w:spacing w:line="240" w:lineRule="auto"/>
        <w:rPr>
          <w:rFonts w:ascii="Calibri" w:hAnsi="Calibri" w:cs="Calibri"/>
          <w:color w:val="auto"/>
        </w:rPr>
      </w:pPr>
      <w:r w:rsidRPr="00CA2CC1">
        <w:rPr>
          <w:rFonts w:ascii="Calibri" w:hAnsi="Calibri" w:cs="Calibri"/>
          <w:color w:val="auto"/>
        </w:rPr>
        <w:t>Victoria built a slightly larger water grid, increasing from 51,416 km in 2020–21 to 52,030 km in 2021–22. In the same timeframe, the water supply experienced interruptions more often.</w:t>
      </w:r>
      <w:r w:rsidRPr="00CA2CC1">
        <w:rPr>
          <w:rStyle w:val="EndnoteReference"/>
          <w:rFonts w:ascii="Calibri" w:hAnsi="Calibri" w:cs="Calibri"/>
          <w:color w:val="auto"/>
        </w:rPr>
        <w:endnoteReference w:id="639"/>
      </w:r>
      <w:r w:rsidRPr="00CA2CC1">
        <w:rPr>
          <w:rFonts w:ascii="Calibri" w:hAnsi="Calibri" w:cs="Calibri"/>
          <w:color w:val="auto"/>
        </w:rPr>
        <w:t xml:space="preserve"> The health department made fewer </w:t>
      </w:r>
      <w:r w:rsidRPr="00CA2CC1">
        <w:rPr>
          <w:rFonts w:ascii="Calibri" w:hAnsi="Calibri" w:cs="Calibri"/>
        </w:rPr>
        <w:t>notifications of below standard drinking water. It made 8 notifications 2021</w:t>
      </w:r>
      <w:r w:rsidRPr="00CA2CC1">
        <w:rPr>
          <w:rFonts w:ascii="Calibri" w:hAnsi="Calibri" w:cs="Calibri"/>
          <w:color w:val="auto"/>
        </w:rPr>
        <w:t>–</w:t>
      </w:r>
      <w:r w:rsidRPr="00CA2CC1">
        <w:rPr>
          <w:rFonts w:ascii="Calibri" w:hAnsi="Calibri" w:cs="Calibri"/>
        </w:rPr>
        <w:t>22, compared with 13 the year before.</w:t>
      </w:r>
      <w:r w:rsidRPr="00CA2CC1">
        <w:rPr>
          <w:rStyle w:val="EndnoteReference"/>
          <w:rFonts w:ascii="Calibri" w:hAnsi="Calibri" w:cs="Calibri"/>
        </w:rPr>
        <w:endnoteReference w:id="640"/>
      </w:r>
    </w:p>
    <w:p w14:paraId="3603B44F"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 xml:space="preserve">Maintaining a reliable urban water supply is becoming riskier, more complex and more uncertain. The Victorian Government must secure more water resources as Victoria’s population grows, the climate dries and seasonal variability increases. </w:t>
      </w:r>
    </w:p>
    <w:p w14:paraId="472904BA"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The Victorian Government is delivering projects to modernise and use the water grid better for both urban and rural areas. In rural areas, for example, it commenced Macalister Irrigation District Modernisation Project - Phase 2 in 2020, and expects to complete it in 2024. This project achieved its first 4 milestones during the 2022–23 financial year. This includes completing approximately 30 km of channel modernisation in the Stratford and Main Northern supply channel systems.</w:t>
      </w:r>
      <w:r w:rsidRPr="00CA2CC1">
        <w:rPr>
          <w:rStyle w:val="EndnoteReference"/>
          <w:rFonts w:ascii="Calibri" w:hAnsi="Calibri" w:cs="Calibri"/>
        </w:rPr>
        <w:endnoteReference w:id="641"/>
      </w:r>
    </w:p>
    <w:p w14:paraId="0BA73F19"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Water grid extensions can deliver more water resources. For example, the East Grampians Rural Pipeline Project will supply 1,700 megalitres of reticulated water</w:t>
      </w:r>
      <w:r w:rsidRPr="00CA2CC1" w:rsidDel="0014502E">
        <w:rPr>
          <w:rFonts w:ascii="Calibri" w:hAnsi="Calibri" w:cs="Calibri"/>
        </w:rPr>
        <w:t xml:space="preserve"> </w:t>
      </w:r>
      <w:r w:rsidRPr="00CA2CC1">
        <w:rPr>
          <w:rFonts w:ascii="Calibri" w:hAnsi="Calibri" w:cs="Calibri"/>
        </w:rPr>
        <w:t>each year to around 1,500 farms covering 530,000 hectares. The government planned to complete the project in 2022, but it has been delayed. In March 2023, the Department of Energy, Environment and Climate Action revised the project’s scope and staging.</w:t>
      </w:r>
      <w:r w:rsidRPr="00CA2CC1">
        <w:rPr>
          <w:rStyle w:val="EndnoteReference"/>
          <w:rFonts w:ascii="Calibri" w:hAnsi="Calibri" w:cs="Calibri"/>
        </w:rPr>
        <w:endnoteReference w:id="642"/>
      </w:r>
    </w:p>
    <w:p w14:paraId="2A2C484C"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Goulburn-Murray Water’s Water Efficiency Project will deliver modernisation and rationalisation works across the Goulburn-Murray Irrigation District. During the 2022–23 financial year, the project reached a milestone by saving 8 gigalitres of water in that year. This is around half the project’s estimated yearly water savings after completion, due in the 2023–24 financial year.</w:t>
      </w:r>
      <w:r w:rsidRPr="00CA2CC1">
        <w:rPr>
          <w:rStyle w:val="EndnoteReference"/>
          <w:rFonts w:ascii="Calibri" w:hAnsi="Calibri" w:cs="Calibri"/>
        </w:rPr>
        <w:endnoteReference w:id="643"/>
      </w:r>
      <w:r w:rsidRPr="00CA2CC1">
        <w:rPr>
          <w:rFonts w:ascii="Calibri" w:hAnsi="Calibri" w:cs="Calibri"/>
        </w:rPr>
        <w:t xml:space="preserve"> </w:t>
      </w:r>
    </w:p>
    <w:p w14:paraId="7FDE5782" w14:textId="77777777" w:rsidR="00373ED9" w:rsidRPr="00CA2CC1" w:rsidRDefault="00373ED9" w:rsidP="0043303B">
      <w:pPr>
        <w:pStyle w:val="IVBodyText"/>
        <w:spacing w:line="240" w:lineRule="auto"/>
        <w:rPr>
          <w:rFonts w:ascii="Calibri" w:hAnsi="Calibri" w:cs="Calibri"/>
          <w:color w:val="auto"/>
        </w:rPr>
      </w:pPr>
      <w:r w:rsidRPr="00CA2CC1">
        <w:rPr>
          <w:rFonts w:ascii="Calibri" w:hAnsi="Calibri" w:cs="Calibri"/>
        </w:rPr>
        <w:t xml:space="preserve">We made recommendations for the Victorian Government to improve water infrastructure efficiency and consider all water supply sources, including recycled drinking water in </w:t>
      </w:r>
      <w:r w:rsidRPr="00CA2CC1">
        <w:rPr>
          <w:rFonts w:ascii="Calibri" w:hAnsi="Calibri" w:cs="Calibri"/>
          <w:i/>
        </w:rPr>
        <w:t>Victoria’s infrastructure strategy 2021</w:t>
      </w:r>
      <w:r w:rsidRPr="00CA2CC1">
        <w:rPr>
          <w:rFonts w:ascii="Calibri" w:hAnsi="Calibri" w:cs="Calibri"/>
          <w:color w:val="auto"/>
        </w:rPr>
        <w:t>–</w:t>
      </w:r>
      <w:r w:rsidRPr="00CA2CC1">
        <w:rPr>
          <w:rFonts w:ascii="Calibri" w:hAnsi="Calibri" w:cs="Calibri"/>
          <w:i/>
        </w:rPr>
        <w:t xml:space="preserve">2051 </w:t>
      </w:r>
      <w:r w:rsidRPr="00CA2CC1">
        <w:rPr>
          <w:rFonts w:ascii="Calibri" w:hAnsi="Calibri" w:cs="Calibri"/>
          <w:iCs/>
        </w:rPr>
        <w:t>which</w:t>
      </w:r>
      <w:r w:rsidRPr="00CA2CC1">
        <w:rPr>
          <w:rFonts w:ascii="Calibri" w:hAnsi="Calibri" w:cs="Calibri"/>
        </w:rPr>
        <w:t xml:space="preserve"> </w:t>
      </w:r>
      <w:r w:rsidRPr="00CA2CC1">
        <w:rPr>
          <w:rFonts w:ascii="Calibri" w:hAnsi="Calibri" w:cs="Calibri"/>
          <w:iCs/>
        </w:rPr>
        <w:t>can deliver more progress on this priority</w:t>
      </w:r>
      <w:r w:rsidRPr="00CA2CC1">
        <w:rPr>
          <w:rFonts w:ascii="Calibri" w:hAnsi="Calibri" w:cs="Calibri"/>
        </w:rPr>
        <w:t>.</w:t>
      </w:r>
      <w:r w:rsidRPr="00CA2CC1">
        <w:rPr>
          <w:rStyle w:val="EndnoteReference"/>
          <w:rFonts w:ascii="Calibri" w:hAnsi="Calibri" w:cs="Calibri"/>
        </w:rPr>
        <w:endnoteReference w:id="644"/>
      </w:r>
    </w:p>
    <w:p w14:paraId="3CFC2B81" w14:textId="77777777" w:rsidR="00373ED9" w:rsidRPr="00CA2CC1" w:rsidRDefault="00373ED9" w:rsidP="0043303B">
      <w:pPr>
        <w:pStyle w:val="Heading2"/>
        <w:rPr>
          <w:rFonts w:cs="Calibri"/>
        </w:rPr>
      </w:pPr>
      <w:bookmarkStart w:id="117" w:name="_Toc109662768"/>
      <w:r w:rsidRPr="00CA2CC1">
        <w:rPr>
          <w:rFonts w:cs="Calibri"/>
        </w:rPr>
        <w:t>Building resilience to climate change</w:t>
      </w:r>
      <w:bookmarkEnd w:id="117"/>
    </w:p>
    <w:p w14:paraId="311DC922" w14:textId="77777777" w:rsidR="00373ED9" w:rsidRPr="00CA2CC1" w:rsidRDefault="00373ED9" w:rsidP="0043303B">
      <w:pPr>
        <w:pStyle w:val="Heading3"/>
        <w:rPr>
          <w:rFonts w:cs="Calibri"/>
        </w:rPr>
      </w:pPr>
      <w:r w:rsidRPr="00CA2CC1">
        <w:rPr>
          <w:rFonts w:cs="Calibri"/>
        </w:rPr>
        <w:t xml:space="preserve">Priority description from the </w:t>
      </w:r>
      <w:r w:rsidRPr="00CA2CC1">
        <w:rPr>
          <w:rFonts w:cs="Calibri"/>
          <w:i/>
          <w:iCs/>
        </w:rPr>
        <w:t>Victorian infrastructure plan 2021</w:t>
      </w:r>
    </w:p>
    <w:p w14:paraId="5EB9EBF3" w14:textId="77777777" w:rsidR="00373ED9" w:rsidRPr="00CA2CC1" w:rsidRDefault="00373ED9" w:rsidP="0043303B">
      <w:pPr>
        <w:pStyle w:val="IVBodyText"/>
        <w:spacing w:line="240" w:lineRule="auto"/>
        <w:rPr>
          <w:rFonts w:ascii="Calibri" w:hAnsi="Calibri" w:cs="Calibri"/>
          <w:b/>
          <w:bCs/>
          <w:color w:val="auto"/>
        </w:rPr>
      </w:pPr>
      <w:r w:rsidRPr="00CA2CC1">
        <w:rPr>
          <w:rFonts w:ascii="Calibri" w:hAnsi="Calibri" w:cs="Calibri"/>
          <w:b/>
          <w:bCs/>
          <w:color w:val="auto"/>
        </w:rPr>
        <w:t>We will continue to enhance Victoria’s water security by enabling access to all sources of water (including manufactured water), increasing resilience of urban, regional, and rural areas to manage the risks of climate change and droughts, as well as considering longer term options and investments to secure our water supply.</w:t>
      </w:r>
    </w:p>
    <w:p w14:paraId="1D9DB7E0" w14:textId="77777777" w:rsidR="00373ED9" w:rsidRPr="00CA2CC1" w:rsidRDefault="00373ED9" w:rsidP="0043303B">
      <w:pPr>
        <w:pStyle w:val="Heading3"/>
        <w:rPr>
          <w:rFonts w:cs="Calibri"/>
        </w:rPr>
      </w:pPr>
      <w:r w:rsidRPr="00CA2CC1">
        <w:rPr>
          <w:rFonts w:cs="Calibri"/>
        </w:rPr>
        <w:t>Victorian Government progress in 2022–23</w:t>
      </w:r>
    </w:p>
    <w:p w14:paraId="46A3C3BF"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This priority seeks to achieve water security, mainly by using more diverse water sources to prepare for a warmer, drier climate. The government intends the water system to be more resilient in different places, including urban, regional and rural areas.</w:t>
      </w:r>
    </w:p>
    <w:p w14:paraId="13995925"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Alternative water sources, like recycled water or desalinated water, do not depend on rainfall and so are more resilient to climate change. But they cost more than water corporations typically charge. Switching to alternative water sources is not urgent in places with plentiful water. But where water is scarce, the Victorian Government can consider and plan to use alternative water sources.</w:t>
      </w:r>
      <w:r w:rsidRPr="00CA2CC1">
        <w:rPr>
          <w:rFonts w:ascii="Calibri" w:hAnsi="Calibri" w:cs="Calibri"/>
          <w:vertAlign w:val="superscript"/>
        </w:rPr>
        <w:endnoteReference w:id="645"/>
      </w:r>
      <w:r w:rsidRPr="00CA2CC1">
        <w:rPr>
          <w:rFonts w:ascii="Calibri" w:hAnsi="Calibri" w:cs="Calibri"/>
          <w:vertAlign w:val="superscript"/>
        </w:rPr>
        <w:t xml:space="preserve"> </w:t>
      </w:r>
    </w:p>
    <w:p w14:paraId="7CFDA359"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Government initiatives to build resilience to climate change by enhancing water security include the Integrated Water Management Program and policy,</w:t>
      </w:r>
      <w:r w:rsidRPr="00CA2CC1">
        <w:rPr>
          <w:rFonts w:ascii="Calibri" w:hAnsi="Calibri" w:cs="Calibri"/>
          <w:vertAlign w:val="superscript"/>
        </w:rPr>
        <w:endnoteReference w:id="646"/>
      </w:r>
      <w:r w:rsidRPr="00CA2CC1">
        <w:rPr>
          <w:rFonts w:ascii="Calibri" w:hAnsi="Calibri" w:cs="Calibri"/>
        </w:rPr>
        <w:t xml:space="preserve"> and funding </w:t>
      </w:r>
      <w:r w:rsidRPr="00CA2CC1" w:rsidDel="009126E9">
        <w:rPr>
          <w:rFonts w:ascii="Calibri" w:hAnsi="Calibri" w:cs="Calibri"/>
        </w:rPr>
        <w:t>and grants for integrated water management projects</w:t>
      </w:r>
      <w:r w:rsidRPr="00CA2CC1">
        <w:rPr>
          <w:rFonts w:ascii="Calibri" w:hAnsi="Calibri" w:cs="Calibri"/>
        </w:rPr>
        <w:t>.</w:t>
      </w:r>
      <w:r w:rsidRPr="00CA2CC1">
        <w:rPr>
          <w:rFonts w:ascii="Calibri" w:hAnsi="Calibri" w:cs="Calibri"/>
          <w:vertAlign w:val="superscript"/>
        </w:rPr>
        <w:endnoteReference w:id="647"/>
      </w:r>
      <w:r w:rsidRPr="00CA2CC1">
        <w:rPr>
          <w:rFonts w:ascii="Calibri" w:hAnsi="Calibri" w:cs="Calibri"/>
        </w:rPr>
        <w:t xml:space="preserve"> Based on the 2022 update, the Integrated Water Management Program brought together over 100 organisations to collaboratively plan and deliver water-related outcomes, and improve the water system’s resilience. This program saves around 1 billion litres of drinking water each year.</w:t>
      </w:r>
      <w:r w:rsidRPr="00CA2CC1">
        <w:rPr>
          <w:rStyle w:val="EndnoteReference"/>
          <w:rFonts w:ascii="Calibri" w:hAnsi="Calibri" w:cs="Calibri"/>
        </w:rPr>
        <w:endnoteReference w:id="648"/>
      </w:r>
    </w:p>
    <w:p w14:paraId="29709567"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Integrated Water Management Grants aim to enhance Victoria’s water security by funding projects that seek to make the best use of all water sources, such as stormwater, rainwater, and recycled water.</w:t>
      </w:r>
      <w:r w:rsidRPr="00CA2CC1">
        <w:rPr>
          <w:rStyle w:val="EndnoteReference"/>
          <w:rFonts w:ascii="Calibri" w:hAnsi="Calibri" w:cs="Calibri"/>
        </w:rPr>
        <w:endnoteReference w:id="649"/>
      </w:r>
      <w:r w:rsidRPr="00CA2CC1">
        <w:rPr>
          <w:rFonts w:ascii="Calibri" w:hAnsi="Calibri" w:cs="Calibri"/>
        </w:rPr>
        <w:t xml:space="preserve"> In the 2022–23 financial year, the government announced multiple grant recipients, including the Kilmore Recycled Water Scheme, Horsham Integrated Water Supply Connections, and Adaptive Wastewater Pilot Project in Penshurst.</w:t>
      </w:r>
      <w:r w:rsidRPr="00CA2CC1">
        <w:rPr>
          <w:rStyle w:val="EndnoteReference"/>
          <w:rFonts w:ascii="Calibri" w:hAnsi="Calibri" w:cs="Calibri"/>
        </w:rPr>
        <w:endnoteReference w:id="650"/>
      </w:r>
    </w:p>
    <w:p w14:paraId="5F2064DC" w14:textId="77777777" w:rsidR="00373ED9" w:rsidRPr="00CA2CC1" w:rsidRDefault="00373ED9" w:rsidP="0043303B">
      <w:pPr>
        <w:pStyle w:val="IVBodyText"/>
        <w:spacing w:line="240" w:lineRule="auto"/>
        <w:rPr>
          <w:rFonts w:ascii="Calibri" w:hAnsi="Calibri" w:cs="Calibri"/>
          <w:color w:val="auto"/>
        </w:rPr>
      </w:pPr>
      <w:r w:rsidRPr="00CA2CC1">
        <w:rPr>
          <w:rFonts w:ascii="Calibri" w:hAnsi="Calibri" w:cs="Calibri"/>
          <w:color w:val="auto"/>
        </w:rPr>
        <w:t xml:space="preserve">These initiatives aim to build climate change resilience. The government can keep progressing integrated water management and efforts to use more diverse water sources. This aligns with our recommendations in </w:t>
      </w:r>
      <w:r w:rsidRPr="00CA2CC1">
        <w:rPr>
          <w:rFonts w:ascii="Calibri" w:hAnsi="Calibri" w:cs="Calibri"/>
          <w:i/>
          <w:iCs/>
          <w:color w:val="auto"/>
        </w:rPr>
        <w:t>Victoria’s infrastructure strategy 2021–2051</w:t>
      </w:r>
      <w:r w:rsidRPr="00CA2CC1">
        <w:rPr>
          <w:rFonts w:ascii="Calibri" w:hAnsi="Calibri" w:cs="Calibri"/>
          <w:color w:val="auto"/>
        </w:rPr>
        <w:t>.</w:t>
      </w:r>
      <w:r w:rsidRPr="00CA2CC1">
        <w:rPr>
          <w:rStyle w:val="EndnoteReference"/>
          <w:rFonts w:ascii="Calibri" w:hAnsi="Calibri" w:cs="Calibri"/>
          <w:color w:val="auto"/>
        </w:rPr>
        <w:endnoteReference w:id="651"/>
      </w:r>
    </w:p>
    <w:p w14:paraId="022AEC92" w14:textId="77777777" w:rsidR="00373ED9" w:rsidRPr="00CA2CC1" w:rsidRDefault="00373ED9" w:rsidP="0043303B">
      <w:pPr>
        <w:pStyle w:val="Heading2"/>
        <w:rPr>
          <w:rFonts w:cs="Calibri"/>
        </w:rPr>
      </w:pPr>
      <w:bookmarkStart w:id="118" w:name="_Toc105687417"/>
      <w:bookmarkStart w:id="119" w:name="_Toc109662769"/>
      <w:r w:rsidRPr="00CA2CC1">
        <w:rPr>
          <w:rFonts w:cs="Calibri"/>
        </w:rPr>
        <w:t>Improving the health of waterways and catchments</w:t>
      </w:r>
      <w:bookmarkEnd w:id="118"/>
      <w:bookmarkEnd w:id="119"/>
    </w:p>
    <w:p w14:paraId="43C2505D" w14:textId="77777777" w:rsidR="00373ED9" w:rsidRPr="00CA2CC1" w:rsidRDefault="00373ED9" w:rsidP="0043303B">
      <w:pPr>
        <w:pStyle w:val="Heading3"/>
        <w:rPr>
          <w:rFonts w:cs="Calibri"/>
        </w:rPr>
      </w:pPr>
      <w:r w:rsidRPr="00CA2CC1">
        <w:rPr>
          <w:rFonts w:cs="Calibri"/>
        </w:rPr>
        <w:t xml:space="preserve">Priority description from the </w:t>
      </w:r>
      <w:r w:rsidRPr="00CA2CC1">
        <w:rPr>
          <w:rFonts w:cs="Calibri"/>
          <w:i/>
          <w:iCs/>
        </w:rPr>
        <w:t>Victorian infrastructure plan 2021</w:t>
      </w:r>
    </w:p>
    <w:p w14:paraId="1091E9E4" w14:textId="77777777" w:rsidR="00373ED9" w:rsidRPr="00CA2CC1" w:rsidRDefault="00373ED9" w:rsidP="0043303B">
      <w:pPr>
        <w:pStyle w:val="IVBodyText"/>
        <w:spacing w:line="240" w:lineRule="auto"/>
        <w:rPr>
          <w:rFonts w:ascii="Calibri" w:hAnsi="Calibri" w:cs="Calibri"/>
          <w:b/>
          <w:bCs/>
          <w:color w:val="auto"/>
        </w:rPr>
      </w:pPr>
      <w:r w:rsidRPr="00CA2CC1">
        <w:rPr>
          <w:rFonts w:ascii="Calibri" w:hAnsi="Calibri" w:cs="Calibri"/>
          <w:b/>
          <w:bCs/>
          <w:color w:val="auto"/>
        </w:rPr>
        <w:t>We’re investing in infrastructure, developing preservation plans, and working with local communities to protect our rivers and catchments.</w:t>
      </w:r>
    </w:p>
    <w:p w14:paraId="48C67BBC" w14:textId="77777777" w:rsidR="00373ED9" w:rsidRPr="00CA2CC1" w:rsidRDefault="00373ED9" w:rsidP="0043303B">
      <w:pPr>
        <w:pStyle w:val="Heading3"/>
        <w:rPr>
          <w:rFonts w:cs="Calibri"/>
        </w:rPr>
      </w:pPr>
      <w:r w:rsidRPr="00CA2CC1">
        <w:rPr>
          <w:rFonts w:cs="Calibri"/>
        </w:rPr>
        <w:t>Victorian Government progress in 2022–23</w:t>
      </w:r>
    </w:p>
    <w:p w14:paraId="0185C613"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Changes in land use, urbanisation, and climate change</w:t>
      </w:r>
      <w:r w:rsidRPr="00CA2CC1" w:rsidDel="00282B80">
        <w:rPr>
          <w:rFonts w:ascii="Calibri" w:hAnsi="Calibri" w:cs="Calibri"/>
        </w:rPr>
        <w:t xml:space="preserve"> </w:t>
      </w:r>
      <w:r w:rsidRPr="00CA2CC1">
        <w:rPr>
          <w:rFonts w:ascii="Calibri" w:hAnsi="Calibri" w:cs="Calibri"/>
        </w:rPr>
        <w:t>are placing more pressure on Victoria’s waterways and catchments.</w:t>
      </w:r>
      <w:r w:rsidRPr="00CA2CC1">
        <w:rPr>
          <w:rFonts w:ascii="Calibri" w:eastAsia="Calibri Light" w:hAnsi="Calibri" w:cs="Calibri"/>
          <w:vertAlign w:val="superscript"/>
        </w:rPr>
        <w:endnoteReference w:id="652"/>
      </w:r>
      <w:r w:rsidRPr="00CA2CC1">
        <w:rPr>
          <w:rFonts w:ascii="Calibri" w:eastAsia="Calibri Light" w:hAnsi="Calibri" w:cs="Calibri"/>
          <w:vertAlign w:val="superscript"/>
        </w:rPr>
        <w:t xml:space="preserve"> </w:t>
      </w:r>
      <w:r w:rsidRPr="00CA2CC1">
        <w:rPr>
          <w:rFonts w:ascii="Calibri" w:hAnsi="Calibri" w:cs="Calibri"/>
        </w:rPr>
        <w:t>This priority seeks to create healthier waterways and catchments, including by writing preservation plans, working with local communities and investing in infrastructure.</w:t>
      </w:r>
    </w:p>
    <w:p w14:paraId="040C742A" w14:textId="77777777" w:rsidR="00373ED9" w:rsidRPr="00CA2CC1" w:rsidRDefault="00373ED9" w:rsidP="0043303B">
      <w:pPr>
        <w:pStyle w:val="IVBodyText"/>
        <w:spacing w:line="240" w:lineRule="auto"/>
        <w:rPr>
          <w:rFonts w:ascii="Calibri" w:hAnsi="Calibri" w:cs="Calibri"/>
          <w:color w:val="auto"/>
        </w:rPr>
      </w:pPr>
      <w:r w:rsidRPr="00CA2CC1">
        <w:rPr>
          <w:rFonts w:ascii="Calibri" w:hAnsi="Calibri" w:cs="Calibri"/>
          <w:color w:val="auto"/>
        </w:rPr>
        <w:t>Tracking the health of Victoria’s waterways and catchments can be difficult, because agencies do not always collect or publish enough data, and change occurs over long periods of time. We looked at the area of waterway vegetation works. This increased from 7,713 hectares in 2016–17 to 9,000 hectares in 2021–22. The government released less water for the environment in 2021–22,</w:t>
      </w:r>
      <w:r w:rsidRPr="00CA2CC1">
        <w:rPr>
          <w:rStyle w:val="EndnoteReference"/>
          <w:rFonts w:ascii="Calibri" w:hAnsi="Calibri" w:cs="Calibri"/>
          <w:color w:val="auto"/>
        </w:rPr>
        <w:endnoteReference w:id="653"/>
      </w:r>
      <w:r w:rsidRPr="00CA2CC1">
        <w:rPr>
          <w:rFonts w:ascii="Calibri" w:hAnsi="Calibri" w:cs="Calibri"/>
          <w:color w:val="auto"/>
        </w:rPr>
        <w:t xml:space="preserve"> although this might be because rainfall was high that year.</w:t>
      </w:r>
    </w:p>
    <w:p w14:paraId="6CD117A5"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rPr>
        <w:t xml:space="preserve">The Victorian Government first released the </w:t>
      </w:r>
      <w:r w:rsidRPr="00CA2CC1">
        <w:rPr>
          <w:rFonts w:ascii="Calibri" w:hAnsi="Calibri" w:cs="Calibri"/>
          <w:i/>
        </w:rPr>
        <w:t xml:space="preserve">Victorian </w:t>
      </w:r>
      <w:r w:rsidRPr="00CA2CC1">
        <w:rPr>
          <w:rFonts w:ascii="Calibri" w:hAnsi="Calibri" w:cs="Calibri"/>
          <w:i/>
          <w:iCs/>
        </w:rPr>
        <w:t>waterway management s</w:t>
      </w:r>
      <w:r w:rsidRPr="00CA2CC1">
        <w:rPr>
          <w:rFonts w:ascii="Calibri" w:hAnsi="Calibri" w:cs="Calibri"/>
          <w:i/>
        </w:rPr>
        <w:t>trategy</w:t>
      </w:r>
      <w:r w:rsidRPr="00CA2CC1">
        <w:rPr>
          <w:rFonts w:ascii="Calibri" w:hAnsi="Calibri" w:cs="Calibri"/>
        </w:rPr>
        <w:t xml:space="preserve"> in 2013. The 8-year strategy is a detailed policy framework for managing the health of Victoria’s rivers, wetlands, estuaries, and floodplains. This strategy reached the end of its lifespan. The government conducted community consultation on a new Victorian waterway management strategy in July and August 2022.</w:t>
      </w:r>
      <w:r w:rsidRPr="00CA2CC1">
        <w:rPr>
          <w:rStyle w:val="EndnoteReference"/>
          <w:rFonts w:ascii="Calibri" w:hAnsi="Calibri" w:cs="Calibri"/>
        </w:rPr>
        <w:endnoteReference w:id="654"/>
      </w:r>
    </w:p>
    <w:p w14:paraId="2C84F69D" w14:textId="77777777" w:rsidR="00373ED9" w:rsidRPr="00CA2CC1" w:rsidRDefault="00373ED9" w:rsidP="0043303B">
      <w:pPr>
        <w:pStyle w:val="IVBodyText"/>
        <w:spacing w:line="240" w:lineRule="auto"/>
        <w:rPr>
          <w:rFonts w:ascii="Calibri" w:hAnsi="Calibri" w:cs="Calibri"/>
        </w:rPr>
      </w:pPr>
      <w:r w:rsidRPr="00CA2CC1">
        <w:rPr>
          <w:rFonts w:ascii="Calibri" w:hAnsi="Calibri" w:cs="Calibri"/>
          <w:color w:val="auto"/>
        </w:rPr>
        <w:t>The Victorian Government is delivering 19 flagship waterway projects to improve waterway and catchment health. Based on the update in early 2023, the government has implemented the first 10 flagship projects since 2016. Projects at 9 new flagship waterway sites are underway.</w:t>
      </w:r>
      <w:r w:rsidRPr="00CA2CC1">
        <w:rPr>
          <w:rFonts w:ascii="Calibri" w:hAnsi="Calibri" w:cs="Calibri"/>
        </w:rPr>
        <w:t xml:space="preserve"> </w:t>
      </w:r>
      <w:r w:rsidRPr="00CA2CC1">
        <w:rPr>
          <w:rStyle w:val="EndnoteReference"/>
          <w:rFonts w:ascii="Calibri" w:hAnsi="Calibri" w:cs="Calibri"/>
        </w:rPr>
        <w:endnoteReference w:id="655"/>
      </w:r>
    </w:p>
    <w:p w14:paraId="03F5A2DB" w14:textId="77777777" w:rsidR="00373ED9" w:rsidRPr="00CA2CC1" w:rsidRDefault="00373ED9" w:rsidP="0043303B">
      <w:pPr>
        <w:pStyle w:val="IVBodyText"/>
        <w:spacing w:line="240" w:lineRule="auto"/>
        <w:rPr>
          <w:rFonts w:ascii="Calibri" w:eastAsiaTheme="minorEastAsia" w:hAnsi="Calibri" w:cs="Calibri"/>
        </w:rPr>
      </w:pPr>
      <w:r w:rsidRPr="00CA2CC1">
        <w:rPr>
          <w:rFonts w:ascii="Calibri" w:hAnsi="Calibri" w:cs="Calibri"/>
        </w:rPr>
        <w:t xml:space="preserve">In 2022, the government released the </w:t>
      </w:r>
      <w:r w:rsidRPr="00CA2CC1">
        <w:rPr>
          <w:rFonts w:ascii="Calibri" w:hAnsi="Calibri" w:cs="Calibri"/>
          <w:i/>
          <w:iCs/>
        </w:rPr>
        <w:t>Central and Gippsland region sustainable water strategy</w:t>
      </w:r>
      <w:r w:rsidRPr="00CA2CC1">
        <w:rPr>
          <w:rFonts w:ascii="Calibri" w:hAnsi="Calibri" w:cs="Calibri"/>
        </w:rPr>
        <w:t>.</w:t>
      </w:r>
      <w:r w:rsidRPr="00CA2CC1">
        <w:rPr>
          <w:rStyle w:val="EndnoteReference"/>
          <w:rFonts w:ascii="Calibri" w:hAnsi="Calibri" w:cs="Calibri"/>
        </w:rPr>
        <w:endnoteReference w:id="656"/>
      </w:r>
      <w:r w:rsidRPr="00CA2CC1">
        <w:rPr>
          <w:rFonts w:ascii="Calibri" w:hAnsi="Calibri" w:cs="Calibri"/>
        </w:rPr>
        <w:t xml:space="preserve"> The strategy sets policy directions and outlines actions for securing the region’s long-term water supplies. It aims to protect and supply water for jobs, farms, ecosystems, communities and Traditional Owners.</w:t>
      </w:r>
      <w:r w:rsidRPr="00CA2CC1">
        <w:rPr>
          <w:rStyle w:val="EndnoteReference"/>
          <w:rFonts w:ascii="Calibri" w:hAnsi="Calibri" w:cs="Calibri"/>
        </w:rPr>
        <w:endnoteReference w:id="657"/>
      </w:r>
      <w:r w:rsidRPr="00CA2CC1">
        <w:rPr>
          <w:rFonts w:ascii="Calibri" w:hAnsi="Calibri" w:cs="Calibri"/>
        </w:rPr>
        <w:t xml:space="preserve"> </w:t>
      </w:r>
      <w:r w:rsidRPr="00CA2CC1">
        <w:rPr>
          <w:rFonts w:ascii="Calibri" w:eastAsia="Calibri Light" w:hAnsi="Calibri" w:cs="Calibri"/>
        </w:rPr>
        <w:t>The 2023–24 Budget allocated $1 million to implement the Central and Gippsland region sustainable water strategy. T</w:t>
      </w:r>
      <w:r w:rsidRPr="00CA2CC1">
        <w:rPr>
          <w:rFonts w:ascii="Calibri" w:hAnsi="Calibri" w:cs="Calibri"/>
        </w:rPr>
        <w:t>he government had not yet released updated sustainable water strategies for the northern and western regions by</w:t>
      </w:r>
      <w:r w:rsidRPr="00CA2CC1">
        <w:rPr>
          <w:rFonts w:ascii="Calibri" w:eastAsia="Calibri Light" w:hAnsi="Calibri" w:cs="Calibri"/>
        </w:rPr>
        <w:t xml:space="preserve"> 30 June 2023.</w:t>
      </w:r>
    </w:p>
    <w:p w14:paraId="22C92E36" w14:textId="0ABEC5FE" w:rsidR="00FA4226" w:rsidRPr="00CA2CC1" w:rsidRDefault="00373ED9" w:rsidP="0043303B">
      <w:pPr>
        <w:pStyle w:val="IVBodyText"/>
        <w:spacing w:line="240" w:lineRule="auto"/>
        <w:rPr>
          <w:rFonts w:ascii="Calibri" w:hAnsi="Calibri" w:cs="Calibri"/>
          <w:sz w:val="16"/>
        </w:rPr>
        <w:sectPr w:rsidR="00FA4226" w:rsidRPr="00CA2CC1" w:rsidSect="00E941A5">
          <w:footnotePr>
            <w:numFmt w:val="lowerRoman"/>
          </w:footnotePr>
          <w:endnotePr>
            <w:numFmt w:val="decimal"/>
          </w:endnotePr>
          <w:pgSz w:w="11910" w:h="16840"/>
          <w:pgMar w:top="1134" w:right="1278" w:bottom="1134" w:left="1134" w:header="720" w:footer="720" w:gutter="0"/>
          <w:cols w:space="720"/>
        </w:sectPr>
      </w:pPr>
      <w:r w:rsidRPr="00CA2CC1">
        <w:rPr>
          <w:rFonts w:ascii="Calibri" w:eastAsia="Calibri Light" w:hAnsi="Calibri" w:cs="Calibri"/>
        </w:rPr>
        <w:t xml:space="preserve">The 2023–24 Budget also allocated $10 million to establish a Green Links Fund. The fund will give grants to revegetate and regenerate waterways. </w:t>
      </w:r>
      <w:r w:rsidR="004311CB" w:rsidRPr="00CA2CC1">
        <w:rPr>
          <w:rStyle w:val="EndnoteReference"/>
          <w:rFonts w:ascii="Calibri" w:eastAsia="Calibri Light" w:hAnsi="Calibri" w:cs="Calibri"/>
        </w:rPr>
        <w:endnoteReference w:id="658"/>
      </w:r>
    </w:p>
    <w:p w14:paraId="3BE3CBAF" w14:textId="77777777" w:rsidR="00FA4226" w:rsidRPr="00CA2CC1" w:rsidRDefault="00000000" w:rsidP="0043303B">
      <w:pPr>
        <w:pStyle w:val="Heading1"/>
        <w:spacing w:before="134"/>
        <w:rPr>
          <w:rFonts w:cs="Calibri"/>
          <w:color w:val="000000" w:themeColor="text1"/>
        </w:rPr>
      </w:pPr>
      <w:bookmarkStart w:id="120" w:name="Financial_statements_"/>
      <w:bookmarkStart w:id="121" w:name="_bookmark66"/>
      <w:bookmarkEnd w:id="120"/>
      <w:bookmarkEnd w:id="121"/>
      <w:r w:rsidRPr="00CA2CC1">
        <w:rPr>
          <w:rFonts w:cs="Calibri"/>
          <w:color w:val="000000" w:themeColor="text1"/>
          <w:spacing w:val="-2"/>
          <w:w w:val="110"/>
        </w:rPr>
        <w:t xml:space="preserve">Financial </w:t>
      </w:r>
      <w:r w:rsidRPr="00CA2CC1">
        <w:rPr>
          <w:rFonts w:cs="Calibri"/>
          <w:color w:val="000000" w:themeColor="text1"/>
          <w:spacing w:val="-6"/>
          <w:w w:val="110"/>
        </w:rPr>
        <w:t>statements</w:t>
      </w:r>
    </w:p>
    <w:p w14:paraId="1741AF12" w14:textId="7CDC7014" w:rsidR="00FA4226" w:rsidRPr="00CA2CC1" w:rsidRDefault="00000000" w:rsidP="0043303B">
      <w:pPr>
        <w:pStyle w:val="Heading3"/>
        <w:spacing w:before="159"/>
        <w:rPr>
          <w:rFonts w:cs="Calibri"/>
          <w:color w:val="000000" w:themeColor="text1"/>
          <w:sz w:val="16"/>
        </w:rPr>
      </w:pPr>
      <w:r w:rsidRPr="00CA2CC1">
        <w:rPr>
          <w:rFonts w:cs="Calibri"/>
          <w:color w:val="000000" w:themeColor="text1"/>
        </w:rPr>
        <w:t>for</w:t>
      </w:r>
      <w:r w:rsidRPr="00CA2CC1">
        <w:rPr>
          <w:rFonts w:cs="Calibri"/>
          <w:color w:val="000000" w:themeColor="text1"/>
          <w:spacing w:val="-11"/>
        </w:rPr>
        <w:t xml:space="preserve"> </w:t>
      </w:r>
      <w:r w:rsidRPr="00CA2CC1">
        <w:rPr>
          <w:rFonts w:cs="Calibri"/>
          <w:color w:val="000000" w:themeColor="text1"/>
        </w:rPr>
        <w:t>the</w:t>
      </w:r>
      <w:r w:rsidRPr="00CA2CC1">
        <w:rPr>
          <w:rFonts w:cs="Calibri"/>
          <w:color w:val="000000" w:themeColor="text1"/>
          <w:spacing w:val="-11"/>
        </w:rPr>
        <w:t xml:space="preserve"> </w:t>
      </w:r>
      <w:r w:rsidRPr="00CA2CC1">
        <w:rPr>
          <w:rFonts w:cs="Calibri"/>
          <w:color w:val="000000" w:themeColor="text1"/>
        </w:rPr>
        <w:t>year</w:t>
      </w:r>
      <w:r w:rsidRPr="00CA2CC1">
        <w:rPr>
          <w:rFonts w:cs="Calibri"/>
          <w:color w:val="000000" w:themeColor="text1"/>
          <w:spacing w:val="-11"/>
        </w:rPr>
        <w:t xml:space="preserve"> </w:t>
      </w:r>
      <w:r w:rsidRPr="00CA2CC1">
        <w:rPr>
          <w:rFonts w:cs="Calibri"/>
          <w:color w:val="000000" w:themeColor="text1"/>
        </w:rPr>
        <w:t>ended 30 June 2023</w:t>
      </w:r>
    </w:p>
    <w:p w14:paraId="4DE61137" w14:textId="77777777" w:rsidR="00FA4226" w:rsidRPr="00CA2CC1" w:rsidRDefault="00FA4226" w:rsidP="0043303B">
      <w:pPr>
        <w:rPr>
          <w:rFonts w:cs="Calibri"/>
          <w:color w:val="000000" w:themeColor="text1"/>
          <w:sz w:val="16"/>
        </w:rPr>
        <w:sectPr w:rsidR="00FA4226" w:rsidRPr="00CA2CC1" w:rsidSect="00E941A5">
          <w:pgSz w:w="11910" w:h="16840"/>
          <w:pgMar w:top="1134" w:right="1278" w:bottom="1134" w:left="1134" w:header="720" w:footer="720" w:gutter="0"/>
          <w:cols w:space="720"/>
        </w:sectPr>
      </w:pPr>
    </w:p>
    <w:p w14:paraId="0E2F565B" w14:textId="1DF958AB" w:rsidR="00FA4226" w:rsidRPr="00CA2CC1" w:rsidRDefault="00000000" w:rsidP="0043303B">
      <w:pPr>
        <w:pStyle w:val="Heading1"/>
        <w:rPr>
          <w:rFonts w:cs="Calibri"/>
          <w:color w:val="000000" w:themeColor="text1"/>
        </w:rPr>
      </w:pPr>
      <w:r w:rsidRPr="00CA2CC1">
        <w:rPr>
          <w:rFonts w:cs="Calibri"/>
          <w:color w:val="000000" w:themeColor="text1"/>
          <w:spacing w:val="-2"/>
          <w:w w:val="110"/>
        </w:rPr>
        <w:t>Contents</w:t>
      </w:r>
    </w:p>
    <w:p w14:paraId="5BC5290E" w14:textId="6FF7948D" w:rsidR="00FA4226" w:rsidRPr="00CA2CC1" w:rsidRDefault="00FA4226" w:rsidP="0043303B">
      <w:pPr>
        <w:pStyle w:val="BodyText"/>
        <w:spacing w:before="2"/>
        <w:rPr>
          <w:rFonts w:cs="Calibri"/>
        </w:rPr>
      </w:pPr>
    </w:p>
    <w:p w14:paraId="35C4F05A" w14:textId="77777777" w:rsidR="00FA4226" w:rsidRPr="00CA2CC1" w:rsidRDefault="00000000" w:rsidP="0043303B">
      <w:pPr>
        <w:pStyle w:val="Heading7"/>
        <w:tabs>
          <w:tab w:val="right" w:pos="7433"/>
        </w:tabs>
        <w:spacing w:before="60"/>
        <w:rPr>
          <w:rFonts w:cs="Calibri"/>
          <w:color w:val="000000" w:themeColor="text1"/>
        </w:rPr>
      </w:pPr>
      <w:hyperlink w:anchor="_bookmark66" w:history="1">
        <w:r w:rsidRPr="00CA2CC1">
          <w:rPr>
            <w:rFonts w:cs="Calibri"/>
            <w:color w:val="000000" w:themeColor="text1"/>
          </w:rPr>
          <w:t xml:space="preserve">Financial </w:t>
        </w:r>
        <w:r w:rsidRPr="00CA2CC1">
          <w:rPr>
            <w:rFonts w:cs="Calibri"/>
            <w:color w:val="000000" w:themeColor="text1"/>
            <w:spacing w:val="-2"/>
          </w:rPr>
          <w:t>statements</w:t>
        </w:r>
        <w:r w:rsidRPr="00CA2CC1">
          <w:rPr>
            <w:rFonts w:cs="Calibri"/>
            <w:color w:val="000000" w:themeColor="text1"/>
          </w:rPr>
          <w:tab/>
        </w:r>
        <w:r w:rsidRPr="00CA2CC1">
          <w:rPr>
            <w:rFonts w:cs="Calibri"/>
            <w:color w:val="000000" w:themeColor="text1"/>
            <w:spacing w:val="-5"/>
          </w:rPr>
          <w:t>94</w:t>
        </w:r>
      </w:hyperlink>
    </w:p>
    <w:p w14:paraId="5F45869C" w14:textId="77777777" w:rsidR="00FA4226" w:rsidRPr="00CA2CC1" w:rsidRDefault="00000000" w:rsidP="0043303B">
      <w:pPr>
        <w:pStyle w:val="Heading7"/>
        <w:tabs>
          <w:tab w:val="right" w:pos="7433"/>
        </w:tabs>
        <w:spacing w:before="84"/>
        <w:rPr>
          <w:rFonts w:cs="Calibri"/>
          <w:color w:val="000000" w:themeColor="text1"/>
        </w:rPr>
      </w:pPr>
      <w:hyperlink w:anchor="_bookmark67" w:history="1">
        <w:r w:rsidRPr="00CA2CC1">
          <w:rPr>
            <w:rFonts w:cs="Calibri"/>
            <w:color w:val="000000" w:themeColor="text1"/>
          </w:rPr>
          <w:t>Comprehensive</w:t>
        </w:r>
        <w:r w:rsidRPr="00CA2CC1">
          <w:rPr>
            <w:rFonts w:cs="Calibri"/>
            <w:color w:val="000000" w:themeColor="text1"/>
            <w:spacing w:val="-2"/>
          </w:rPr>
          <w:t xml:space="preserve"> </w:t>
        </w:r>
        <w:r w:rsidRPr="00CA2CC1">
          <w:rPr>
            <w:rFonts w:cs="Calibri"/>
            <w:color w:val="000000" w:themeColor="text1"/>
          </w:rPr>
          <w:t>operating</w:t>
        </w:r>
        <w:r w:rsidRPr="00CA2CC1">
          <w:rPr>
            <w:rFonts w:cs="Calibri"/>
            <w:color w:val="000000" w:themeColor="text1"/>
            <w:spacing w:val="-2"/>
          </w:rPr>
          <w:t xml:space="preserve"> statement</w:t>
        </w:r>
        <w:r w:rsidRPr="00CA2CC1">
          <w:rPr>
            <w:rFonts w:cs="Calibri"/>
            <w:color w:val="000000" w:themeColor="text1"/>
          </w:rPr>
          <w:tab/>
        </w:r>
        <w:r w:rsidRPr="00CA2CC1">
          <w:rPr>
            <w:rFonts w:cs="Calibri"/>
            <w:color w:val="000000" w:themeColor="text1"/>
            <w:spacing w:val="-5"/>
          </w:rPr>
          <w:t>98</w:t>
        </w:r>
      </w:hyperlink>
    </w:p>
    <w:p w14:paraId="0949E751" w14:textId="77777777" w:rsidR="00FA4226" w:rsidRPr="00CA2CC1" w:rsidRDefault="00000000" w:rsidP="0043303B">
      <w:pPr>
        <w:pStyle w:val="Heading7"/>
        <w:tabs>
          <w:tab w:val="right" w:pos="7433"/>
        </w:tabs>
        <w:spacing w:before="86"/>
        <w:rPr>
          <w:rFonts w:cs="Calibri"/>
          <w:color w:val="000000" w:themeColor="text1"/>
        </w:rPr>
      </w:pPr>
      <w:hyperlink w:anchor="_bookmark68" w:history="1">
        <w:r w:rsidRPr="00CA2CC1">
          <w:rPr>
            <w:rFonts w:cs="Calibri"/>
            <w:color w:val="000000" w:themeColor="text1"/>
          </w:rPr>
          <w:t>Balance</w:t>
        </w:r>
        <w:r w:rsidRPr="00CA2CC1">
          <w:rPr>
            <w:rFonts w:cs="Calibri"/>
            <w:color w:val="000000" w:themeColor="text1"/>
            <w:spacing w:val="-2"/>
          </w:rPr>
          <w:t xml:space="preserve"> sheet</w:t>
        </w:r>
        <w:r w:rsidRPr="00CA2CC1">
          <w:rPr>
            <w:rFonts w:cs="Calibri"/>
            <w:color w:val="000000" w:themeColor="text1"/>
          </w:rPr>
          <w:tab/>
        </w:r>
        <w:r w:rsidRPr="00CA2CC1">
          <w:rPr>
            <w:rFonts w:cs="Calibri"/>
            <w:color w:val="000000" w:themeColor="text1"/>
            <w:spacing w:val="-5"/>
          </w:rPr>
          <w:t>99</w:t>
        </w:r>
      </w:hyperlink>
    </w:p>
    <w:p w14:paraId="733BBD54" w14:textId="77777777" w:rsidR="00FA4226" w:rsidRPr="00CA2CC1" w:rsidRDefault="00000000" w:rsidP="0043303B">
      <w:pPr>
        <w:pStyle w:val="Heading7"/>
        <w:tabs>
          <w:tab w:val="right" w:pos="7433"/>
        </w:tabs>
        <w:spacing w:before="86"/>
        <w:rPr>
          <w:rFonts w:cs="Calibri"/>
          <w:color w:val="000000" w:themeColor="text1"/>
        </w:rPr>
      </w:pPr>
      <w:hyperlink w:anchor="_bookmark69" w:history="1">
        <w:r w:rsidRPr="00CA2CC1">
          <w:rPr>
            <w:rFonts w:cs="Calibri"/>
            <w:color w:val="000000" w:themeColor="text1"/>
          </w:rPr>
          <w:t xml:space="preserve">Cash flow </w:t>
        </w:r>
        <w:r w:rsidRPr="00CA2CC1">
          <w:rPr>
            <w:rFonts w:cs="Calibri"/>
            <w:color w:val="000000" w:themeColor="text1"/>
            <w:spacing w:val="-2"/>
          </w:rPr>
          <w:t>statement</w:t>
        </w:r>
        <w:r w:rsidRPr="00CA2CC1">
          <w:rPr>
            <w:rFonts w:cs="Calibri"/>
            <w:color w:val="000000" w:themeColor="text1"/>
          </w:rPr>
          <w:tab/>
        </w:r>
        <w:r w:rsidRPr="00CA2CC1">
          <w:rPr>
            <w:rFonts w:cs="Calibri"/>
            <w:color w:val="000000" w:themeColor="text1"/>
            <w:spacing w:val="-5"/>
          </w:rPr>
          <w:t>100</w:t>
        </w:r>
      </w:hyperlink>
    </w:p>
    <w:p w14:paraId="55DB347A" w14:textId="77777777" w:rsidR="00FA4226" w:rsidRPr="00CA2CC1" w:rsidRDefault="00000000" w:rsidP="0043303B">
      <w:pPr>
        <w:pStyle w:val="Heading7"/>
        <w:tabs>
          <w:tab w:val="right" w:pos="7433"/>
        </w:tabs>
        <w:spacing w:before="86"/>
        <w:rPr>
          <w:rFonts w:cs="Calibri"/>
          <w:color w:val="000000" w:themeColor="text1"/>
        </w:rPr>
      </w:pPr>
      <w:hyperlink w:anchor="_bookmark70" w:history="1">
        <w:r w:rsidRPr="00CA2CC1">
          <w:rPr>
            <w:rFonts w:cs="Calibri"/>
            <w:color w:val="000000" w:themeColor="text1"/>
          </w:rPr>
          <w:t xml:space="preserve">Statement of changes in </w:t>
        </w:r>
        <w:r w:rsidRPr="00CA2CC1">
          <w:rPr>
            <w:rFonts w:cs="Calibri"/>
            <w:color w:val="000000" w:themeColor="text1"/>
            <w:spacing w:val="-2"/>
          </w:rPr>
          <w:t>equity</w:t>
        </w:r>
        <w:r w:rsidRPr="00CA2CC1">
          <w:rPr>
            <w:rFonts w:cs="Calibri"/>
            <w:color w:val="000000" w:themeColor="text1"/>
          </w:rPr>
          <w:tab/>
        </w:r>
        <w:r w:rsidRPr="00CA2CC1">
          <w:rPr>
            <w:rFonts w:cs="Calibri"/>
            <w:color w:val="000000" w:themeColor="text1"/>
            <w:spacing w:val="-5"/>
          </w:rPr>
          <w:t>101</w:t>
        </w:r>
      </w:hyperlink>
    </w:p>
    <w:p w14:paraId="55791AFD" w14:textId="77777777" w:rsidR="00FA4226" w:rsidRPr="00CA2CC1" w:rsidRDefault="00000000" w:rsidP="0043303B">
      <w:pPr>
        <w:pStyle w:val="Heading7"/>
        <w:tabs>
          <w:tab w:val="right" w:pos="7433"/>
        </w:tabs>
        <w:spacing w:before="89"/>
        <w:rPr>
          <w:rFonts w:cs="Calibri"/>
          <w:color w:val="000000" w:themeColor="text1"/>
        </w:rPr>
      </w:pPr>
      <w:hyperlink w:anchor="_bookmark71" w:history="1">
        <w:r w:rsidRPr="00CA2CC1">
          <w:rPr>
            <w:rFonts w:cs="Calibri"/>
            <w:color w:val="000000" w:themeColor="text1"/>
          </w:rPr>
          <w:t>Notes</w:t>
        </w:r>
        <w:r w:rsidRPr="00CA2CC1">
          <w:rPr>
            <w:rFonts w:cs="Calibri"/>
            <w:color w:val="000000" w:themeColor="text1"/>
            <w:spacing w:val="-2"/>
          </w:rPr>
          <w:t xml:space="preserve"> </w:t>
        </w:r>
        <w:r w:rsidRPr="00CA2CC1">
          <w:rPr>
            <w:rFonts w:cs="Calibri"/>
            <w:color w:val="000000" w:themeColor="text1"/>
          </w:rPr>
          <w:t xml:space="preserve">to the financial </w:t>
        </w:r>
        <w:r w:rsidRPr="00CA2CC1">
          <w:rPr>
            <w:rFonts w:cs="Calibri"/>
            <w:color w:val="000000" w:themeColor="text1"/>
            <w:spacing w:val="-2"/>
          </w:rPr>
          <w:t>statements</w:t>
        </w:r>
        <w:r w:rsidRPr="00CA2CC1">
          <w:rPr>
            <w:rFonts w:cs="Calibri"/>
            <w:color w:val="000000" w:themeColor="text1"/>
          </w:rPr>
          <w:tab/>
        </w:r>
        <w:r w:rsidRPr="00CA2CC1">
          <w:rPr>
            <w:rFonts w:cs="Calibri"/>
            <w:color w:val="000000" w:themeColor="text1"/>
            <w:spacing w:val="-5"/>
          </w:rPr>
          <w:t>102</w:t>
        </w:r>
      </w:hyperlink>
    </w:p>
    <w:p w14:paraId="220D409E" w14:textId="77777777" w:rsidR="00FA4226" w:rsidRPr="00CA2CC1" w:rsidRDefault="00000000" w:rsidP="009F19EA">
      <w:pPr>
        <w:pStyle w:val="Heading7"/>
        <w:numPr>
          <w:ilvl w:val="0"/>
          <w:numId w:val="18"/>
        </w:numPr>
        <w:tabs>
          <w:tab w:val="left" w:pos="1355"/>
          <w:tab w:val="right" w:pos="7433"/>
        </w:tabs>
        <w:spacing w:before="84"/>
        <w:ind w:left="0" w:firstLine="0"/>
        <w:rPr>
          <w:rFonts w:cs="Calibri"/>
          <w:color w:val="000000" w:themeColor="text1"/>
        </w:rPr>
      </w:pPr>
      <w:hyperlink w:anchor="_bookmark71" w:history="1">
        <w:r w:rsidRPr="00CA2CC1">
          <w:rPr>
            <w:rFonts w:cs="Calibri"/>
            <w:color w:val="000000" w:themeColor="text1"/>
          </w:rPr>
          <w:t xml:space="preserve">About this </w:t>
        </w:r>
        <w:r w:rsidRPr="00CA2CC1">
          <w:rPr>
            <w:rFonts w:cs="Calibri"/>
            <w:color w:val="000000" w:themeColor="text1"/>
            <w:spacing w:val="-2"/>
          </w:rPr>
          <w:t>report</w:t>
        </w:r>
        <w:r w:rsidRPr="00CA2CC1">
          <w:rPr>
            <w:rFonts w:cs="Calibri"/>
            <w:color w:val="000000" w:themeColor="text1"/>
          </w:rPr>
          <w:tab/>
        </w:r>
        <w:r w:rsidRPr="00CA2CC1">
          <w:rPr>
            <w:rFonts w:cs="Calibri"/>
            <w:color w:val="000000" w:themeColor="text1"/>
            <w:spacing w:val="-5"/>
          </w:rPr>
          <w:t>102</w:t>
        </w:r>
      </w:hyperlink>
    </w:p>
    <w:p w14:paraId="7174A5AB" w14:textId="77777777" w:rsidR="00FA4226" w:rsidRPr="00CA2CC1" w:rsidRDefault="00000000" w:rsidP="009F19EA">
      <w:pPr>
        <w:pStyle w:val="Heading7"/>
        <w:numPr>
          <w:ilvl w:val="0"/>
          <w:numId w:val="18"/>
        </w:numPr>
        <w:tabs>
          <w:tab w:val="left" w:pos="1355"/>
          <w:tab w:val="right" w:pos="7433"/>
        </w:tabs>
        <w:spacing w:before="86"/>
        <w:ind w:left="0" w:firstLine="0"/>
        <w:rPr>
          <w:rFonts w:cs="Calibri"/>
          <w:color w:val="000000" w:themeColor="text1"/>
        </w:rPr>
      </w:pPr>
      <w:hyperlink w:anchor="_bookmark72" w:history="1">
        <w:r w:rsidRPr="00CA2CC1">
          <w:rPr>
            <w:rFonts w:cs="Calibri"/>
            <w:color w:val="000000" w:themeColor="text1"/>
          </w:rPr>
          <w:t xml:space="preserve">Funding of our </w:t>
        </w:r>
        <w:r w:rsidRPr="00CA2CC1">
          <w:rPr>
            <w:rFonts w:cs="Calibri"/>
            <w:color w:val="000000" w:themeColor="text1"/>
            <w:spacing w:val="-2"/>
          </w:rPr>
          <w:t>services</w:t>
        </w:r>
        <w:r w:rsidRPr="00CA2CC1">
          <w:rPr>
            <w:rFonts w:cs="Calibri"/>
            <w:color w:val="000000" w:themeColor="text1"/>
          </w:rPr>
          <w:tab/>
        </w:r>
        <w:r w:rsidRPr="00CA2CC1">
          <w:rPr>
            <w:rFonts w:cs="Calibri"/>
            <w:color w:val="000000" w:themeColor="text1"/>
            <w:spacing w:val="-5"/>
          </w:rPr>
          <w:t>103</w:t>
        </w:r>
      </w:hyperlink>
    </w:p>
    <w:p w14:paraId="23047AC6" w14:textId="77777777" w:rsidR="00FA4226" w:rsidRPr="00CA2CC1" w:rsidRDefault="00000000" w:rsidP="009F19EA">
      <w:pPr>
        <w:pStyle w:val="Heading7"/>
        <w:numPr>
          <w:ilvl w:val="0"/>
          <w:numId w:val="18"/>
        </w:numPr>
        <w:tabs>
          <w:tab w:val="left" w:pos="1355"/>
          <w:tab w:val="right" w:pos="7433"/>
        </w:tabs>
        <w:spacing w:before="86"/>
        <w:ind w:left="0" w:firstLine="0"/>
        <w:rPr>
          <w:rFonts w:cs="Calibri"/>
          <w:color w:val="000000" w:themeColor="text1"/>
        </w:rPr>
      </w:pPr>
      <w:hyperlink w:anchor="_bookmark73" w:history="1">
        <w:r w:rsidRPr="00CA2CC1">
          <w:rPr>
            <w:rFonts w:cs="Calibri"/>
            <w:color w:val="000000" w:themeColor="text1"/>
          </w:rPr>
          <w:t xml:space="preserve">Cost of delivering our </w:t>
        </w:r>
        <w:r w:rsidRPr="00CA2CC1">
          <w:rPr>
            <w:rFonts w:cs="Calibri"/>
            <w:color w:val="000000" w:themeColor="text1"/>
            <w:spacing w:val="-2"/>
          </w:rPr>
          <w:t>services</w:t>
        </w:r>
        <w:r w:rsidRPr="00CA2CC1">
          <w:rPr>
            <w:rFonts w:cs="Calibri"/>
            <w:color w:val="000000" w:themeColor="text1"/>
          </w:rPr>
          <w:tab/>
        </w:r>
        <w:r w:rsidRPr="00CA2CC1">
          <w:rPr>
            <w:rFonts w:cs="Calibri"/>
            <w:color w:val="000000" w:themeColor="text1"/>
            <w:spacing w:val="-5"/>
          </w:rPr>
          <w:t>104</w:t>
        </w:r>
      </w:hyperlink>
    </w:p>
    <w:p w14:paraId="7DE6B5BF" w14:textId="77777777" w:rsidR="00FA4226" w:rsidRPr="00CA2CC1" w:rsidRDefault="00000000" w:rsidP="009F19EA">
      <w:pPr>
        <w:pStyle w:val="Heading7"/>
        <w:numPr>
          <w:ilvl w:val="0"/>
          <w:numId w:val="18"/>
        </w:numPr>
        <w:tabs>
          <w:tab w:val="left" w:pos="1355"/>
          <w:tab w:val="right" w:pos="7433"/>
        </w:tabs>
        <w:spacing w:before="86"/>
        <w:ind w:left="0" w:firstLine="0"/>
        <w:rPr>
          <w:rFonts w:cs="Calibri"/>
          <w:color w:val="000000" w:themeColor="text1"/>
        </w:rPr>
      </w:pPr>
      <w:hyperlink w:anchor="_bookmark74" w:history="1">
        <w:r w:rsidRPr="00CA2CC1">
          <w:rPr>
            <w:rFonts w:cs="Calibri"/>
            <w:color w:val="000000" w:themeColor="text1"/>
          </w:rPr>
          <w:t xml:space="preserve">Key assets available to support output </w:t>
        </w:r>
        <w:r w:rsidRPr="00CA2CC1">
          <w:rPr>
            <w:rFonts w:cs="Calibri"/>
            <w:color w:val="000000" w:themeColor="text1"/>
            <w:spacing w:val="-2"/>
          </w:rPr>
          <w:t>delivery</w:t>
        </w:r>
        <w:r w:rsidRPr="00CA2CC1">
          <w:rPr>
            <w:rFonts w:cs="Calibri"/>
            <w:color w:val="000000" w:themeColor="text1"/>
          </w:rPr>
          <w:tab/>
        </w:r>
        <w:r w:rsidRPr="00CA2CC1">
          <w:rPr>
            <w:rFonts w:cs="Calibri"/>
            <w:color w:val="000000" w:themeColor="text1"/>
            <w:spacing w:val="-5"/>
          </w:rPr>
          <w:t>107</w:t>
        </w:r>
      </w:hyperlink>
    </w:p>
    <w:p w14:paraId="16D76CF4" w14:textId="77777777" w:rsidR="00FA4226" w:rsidRPr="00CA2CC1" w:rsidRDefault="00000000" w:rsidP="009F19EA">
      <w:pPr>
        <w:pStyle w:val="Heading7"/>
        <w:numPr>
          <w:ilvl w:val="0"/>
          <w:numId w:val="18"/>
        </w:numPr>
        <w:tabs>
          <w:tab w:val="left" w:pos="1355"/>
          <w:tab w:val="right" w:pos="7433"/>
        </w:tabs>
        <w:spacing w:before="86"/>
        <w:ind w:left="0" w:firstLine="0"/>
        <w:rPr>
          <w:rFonts w:cs="Calibri"/>
          <w:color w:val="000000" w:themeColor="text1"/>
        </w:rPr>
      </w:pPr>
      <w:hyperlink w:anchor="_bookmark75" w:history="1">
        <w:r w:rsidRPr="00CA2CC1">
          <w:rPr>
            <w:rFonts w:cs="Calibri"/>
            <w:color w:val="000000" w:themeColor="text1"/>
          </w:rPr>
          <w:t xml:space="preserve">Other assets and </w:t>
        </w:r>
        <w:r w:rsidRPr="00CA2CC1">
          <w:rPr>
            <w:rFonts w:cs="Calibri"/>
            <w:color w:val="000000" w:themeColor="text1"/>
            <w:spacing w:val="-2"/>
          </w:rPr>
          <w:t>liabilities</w:t>
        </w:r>
        <w:r w:rsidRPr="00CA2CC1">
          <w:rPr>
            <w:rFonts w:cs="Calibri"/>
            <w:color w:val="000000" w:themeColor="text1"/>
          </w:rPr>
          <w:tab/>
        </w:r>
        <w:r w:rsidRPr="00CA2CC1">
          <w:rPr>
            <w:rFonts w:cs="Calibri"/>
            <w:color w:val="000000" w:themeColor="text1"/>
            <w:spacing w:val="-5"/>
          </w:rPr>
          <w:t>110</w:t>
        </w:r>
      </w:hyperlink>
    </w:p>
    <w:p w14:paraId="617B9D30" w14:textId="77777777" w:rsidR="00FA4226" w:rsidRPr="00CA2CC1" w:rsidRDefault="00000000" w:rsidP="009F19EA">
      <w:pPr>
        <w:pStyle w:val="Heading7"/>
        <w:numPr>
          <w:ilvl w:val="0"/>
          <w:numId w:val="18"/>
        </w:numPr>
        <w:tabs>
          <w:tab w:val="left" w:pos="1355"/>
          <w:tab w:val="right" w:pos="7433"/>
        </w:tabs>
        <w:spacing w:before="85"/>
        <w:ind w:left="0" w:firstLine="0"/>
        <w:rPr>
          <w:rFonts w:cs="Calibri"/>
          <w:color w:val="000000" w:themeColor="text1"/>
        </w:rPr>
      </w:pPr>
      <w:hyperlink w:anchor="_bookmark76" w:history="1">
        <w:r w:rsidRPr="00CA2CC1">
          <w:rPr>
            <w:rFonts w:cs="Calibri"/>
            <w:color w:val="000000" w:themeColor="text1"/>
          </w:rPr>
          <w:t xml:space="preserve">Financing our </w:t>
        </w:r>
        <w:r w:rsidRPr="00CA2CC1">
          <w:rPr>
            <w:rFonts w:cs="Calibri"/>
            <w:color w:val="000000" w:themeColor="text1"/>
            <w:spacing w:val="-2"/>
          </w:rPr>
          <w:t>operations</w:t>
        </w:r>
        <w:r w:rsidRPr="00CA2CC1">
          <w:rPr>
            <w:rFonts w:cs="Calibri"/>
            <w:color w:val="000000" w:themeColor="text1"/>
          </w:rPr>
          <w:tab/>
        </w:r>
        <w:r w:rsidRPr="00CA2CC1">
          <w:rPr>
            <w:rFonts w:cs="Calibri"/>
            <w:color w:val="000000" w:themeColor="text1"/>
            <w:spacing w:val="-5"/>
          </w:rPr>
          <w:t>112</w:t>
        </w:r>
      </w:hyperlink>
    </w:p>
    <w:p w14:paraId="5E4A1E64" w14:textId="77777777" w:rsidR="00FA4226" w:rsidRPr="00CA2CC1" w:rsidRDefault="00000000" w:rsidP="009F19EA">
      <w:pPr>
        <w:pStyle w:val="Heading7"/>
        <w:numPr>
          <w:ilvl w:val="0"/>
          <w:numId w:val="18"/>
        </w:numPr>
        <w:tabs>
          <w:tab w:val="left" w:pos="1355"/>
          <w:tab w:val="right" w:pos="7433"/>
        </w:tabs>
        <w:spacing w:before="86"/>
        <w:ind w:left="0" w:firstLine="0"/>
        <w:rPr>
          <w:rFonts w:cs="Calibri"/>
          <w:color w:val="000000" w:themeColor="text1"/>
        </w:rPr>
      </w:pPr>
      <w:hyperlink w:anchor="_bookmark77" w:history="1">
        <w:r w:rsidRPr="00CA2CC1">
          <w:rPr>
            <w:rFonts w:cs="Calibri"/>
            <w:color w:val="000000" w:themeColor="text1"/>
          </w:rPr>
          <w:t xml:space="preserve">Risks, contingencies and valuation </w:t>
        </w:r>
        <w:r w:rsidRPr="00CA2CC1">
          <w:rPr>
            <w:rFonts w:cs="Calibri"/>
            <w:color w:val="000000" w:themeColor="text1"/>
            <w:spacing w:val="-2"/>
          </w:rPr>
          <w:t>judgements</w:t>
        </w:r>
        <w:r w:rsidRPr="00CA2CC1">
          <w:rPr>
            <w:rFonts w:cs="Calibri"/>
            <w:color w:val="000000" w:themeColor="text1"/>
          </w:rPr>
          <w:tab/>
        </w:r>
        <w:r w:rsidRPr="00CA2CC1">
          <w:rPr>
            <w:rFonts w:cs="Calibri"/>
            <w:color w:val="000000" w:themeColor="text1"/>
            <w:spacing w:val="-5"/>
          </w:rPr>
          <w:t>115</w:t>
        </w:r>
      </w:hyperlink>
    </w:p>
    <w:p w14:paraId="5C7CC801" w14:textId="77777777" w:rsidR="00FA4226" w:rsidRPr="00CA2CC1" w:rsidRDefault="00000000" w:rsidP="009F19EA">
      <w:pPr>
        <w:pStyle w:val="Heading7"/>
        <w:numPr>
          <w:ilvl w:val="0"/>
          <w:numId w:val="18"/>
        </w:numPr>
        <w:tabs>
          <w:tab w:val="left" w:pos="1355"/>
          <w:tab w:val="right" w:pos="7433"/>
        </w:tabs>
        <w:spacing w:before="86"/>
        <w:ind w:left="0" w:firstLine="0"/>
        <w:rPr>
          <w:rFonts w:cs="Calibri"/>
          <w:color w:val="000000" w:themeColor="text1"/>
        </w:rPr>
      </w:pPr>
      <w:hyperlink w:anchor="_bookmark78" w:history="1">
        <w:r w:rsidRPr="00CA2CC1">
          <w:rPr>
            <w:rFonts w:cs="Calibri"/>
            <w:color w:val="000000" w:themeColor="text1"/>
          </w:rPr>
          <w:t>Other</w:t>
        </w:r>
        <w:r w:rsidRPr="00CA2CC1">
          <w:rPr>
            <w:rFonts w:cs="Calibri"/>
            <w:color w:val="000000" w:themeColor="text1"/>
            <w:spacing w:val="-2"/>
          </w:rPr>
          <w:t xml:space="preserve"> Disclosures</w:t>
        </w:r>
        <w:r w:rsidRPr="00CA2CC1">
          <w:rPr>
            <w:rFonts w:cs="Calibri"/>
            <w:color w:val="000000" w:themeColor="text1"/>
          </w:rPr>
          <w:tab/>
        </w:r>
        <w:r w:rsidRPr="00CA2CC1">
          <w:rPr>
            <w:rFonts w:cs="Calibri"/>
            <w:color w:val="000000" w:themeColor="text1"/>
            <w:spacing w:val="-5"/>
          </w:rPr>
          <w:t>118</w:t>
        </w:r>
      </w:hyperlink>
    </w:p>
    <w:p w14:paraId="184D94E3" w14:textId="77777777" w:rsidR="00EE566D" w:rsidRPr="00CA2CC1" w:rsidRDefault="00EE566D" w:rsidP="0043303B">
      <w:pPr>
        <w:spacing w:before="185"/>
        <w:rPr>
          <w:rFonts w:cs="Calibri"/>
          <w:color w:val="F68C59"/>
          <w:sz w:val="28"/>
        </w:rPr>
      </w:pPr>
    </w:p>
    <w:p w14:paraId="0A09F0DA" w14:textId="0B996F40" w:rsidR="00FA4226" w:rsidRPr="000F6FD3" w:rsidRDefault="00000000" w:rsidP="000F6FD3">
      <w:pPr>
        <w:pStyle w:val="Heading3"/>
      </w:pPr>
      <w:r w:rsidRPr="000F6FD3">
        <w:t>Accountable</w:t>
      </w:r>
      <w:r w:rsidRPr="000F6FD3">
        <w:rPr>
          <w:spacing w:val="-13"/>
        </w:rPr>
        <w:t xml:space="preserve"> </w:t>
      </w:r>
      <w:r w:rsidRPr="000F6FD3">
        <w:t>Officer’s</w:t>
      </w:r>
      <w:r w:rsidRPr="000F6FD3">
        <w:rPr>
          <w:spacing w:val="-11"/>
        </w:rPr>
        <w:t xml:space="preserve"> </w:t>
      </w:r>
      <w:r w:rsidRPr="000F6FD3">
        <w:t>and</w:t>
      </w:r>
      <w:r w:rsidRPr="000F6FD3">
        <w:rPr>
          <w:spacing w:val="-10"/>
        </w:rPr>
        <w:t xml:space="preserve"> </w:t>
      </w:r>
      <w:r w:rsidRPr="000F6FD3">
        <w:t>Chief</w:t>
      </w:r>
      <w:r w:rsidRPr="000F6FD3">
        <w:rPr>
          <w:spacing w:val="-11"/>
        </w:rPr>
        <w:t xml:space="preserve"> </w:t>
      </w:r>
      <w:r w:rsidRPr="000F6FD3">
        <w:t>Financial</w:t>
      </w:r>
      <w:r w:rsidRPr="000F6FD3">
        <w:rPr>
          <w:spacing w:val="-11"/>
        </w:rPr>
        <w:t xml:space="preserve"> </w:t>
      </w:r>
      <w:r w:rsidRPr="000F6FD3">
        <w:t>Officer’s</w:t>
      </w:r>
      <w:r w:rsidRPr="000F6FD3">
        <w:rPr>
          <w:spacing w:val="-10"/>
        </w:rPr>
        <w:t xml:space="preserve"> </w:t>
      </w:r>
      <w:r w:rsidRPr="000F6FD3">
        <w:rPr>
          <w:spacing w:val="-2"/>
        </w:rPr>
        <w:t>declaration</w:t>
      </w:r>
    </w:p>
    <w:p w14:paraId="3A699BC9" w14:textId="77777777" w:rsidR="00FA4226" w:rsidRPr="000F6FD3" w:rsidRDefault="00000000" w:rsidP="0043303B">
      <w:pPr>
        <w:pStyle w:val="BodyText"/>
        <w:rPr>
          <w:rFonts w:cs="Calibri"/>
        </w:rPr>
      </w:pPr>
      <w:r w:rsidRPr="000F6FD3">
        <w:rPr>
          <w:rFonts w:cs="Calibri"/>
        </w:rPr>
        <w:t>The</w:t>
      </w:r>
      <w:r w:rsidRPr="000F6FD3">
        <w:rPr>
          <w:rFonts w:cs="Calibri"/>
          <w:spacing w:val="-4"/>
        </w:rPr>
        <w:t xml:space="preserve"> </w:t>
      </w:r>
      <w:r w:rsidRPr="000F6FD3">
        <w:rPr>
          <w:rFonts w:cs="Calibri"/>
        </w:rPr>
        <w:t>attached</w:t>
      </w:r>
      <w:r w:rsidRPr="000F6FD3">
        <w:rPr>
          <w:rFonts w:cs="Calibri"/>
          <w:spacing w:val="-4"/>
        </w:rPr>
        <w:t xml:space="preserve"> </w:t>
      </w:r>
      <w:r w:rsidRPr="000F6FD3">
        <w:rPr>
          <w:rFonts w:cs="Calibri"/>
        </w:rPr>
        <w:t>financial</w:t>
      </w:r>
      <w:r w:rsidRPr="000F6FD3">
        <w:rPr>
          <w:rFonts w:cs="Calibri"/>
          <w:spacing w:val="-4"/>
        </w:rPr>
        <w:t xml:space="preserve"> </w:t>
      </w:r>
      <w:r w:rsidRPr="000F6FD3">
        <w:rPr>
          <w:rFonts w:cs="Calibri"/>
        </w:rPr>
        <w:t>statements</w:t>
      </w:r>
      <w:r w:rsidRPr="000F6FD3">
        <w:rPr>
          <w:rFonts w:cs="Calibri"/>
          <w:spacing w:val="-4"/>
        </w:rPr>
        <w:t xml:space="preserve"> </w:t>
      </w:r>
      <w:r w:rsidRPr="000F6FD3">
        <w:rPr>
          <w:rFonts w:cs="Calibri"/>
        </w:rPr>
        <w:t>for</w:t>
      </w:r>
      <w:r w:rsidRPr="000F6FD3">
        <w:rPr>
          <w:rFonts w:cs="Calibri"/>
          <w:spacing w:val="-4"/>
        </w:rPr>
        <w:t xml:space="preserve"> </w:t>
      </w:r>
      <w:r w:rsidRPr="000F6FD3">
        <w:rPr>
          <w:rFonts w:cs="Calibri"/>
        </w:rPr>
        <w:t>Infrastructure</w:t>
      </w:r>
      <w:r w:rsidRPr="000F6FD3">
        <w:rPr>
          <w:rFonts w:cs="Calibri"/>
          <w:spacing w:val="-4"/>
        </w:rPr>
        <w:t xml:space="preserve"> </w:t>
      </w:r>
      <w:r w:rsidRPr="000F6FD3">
        <w:rPr>
          <w:rFonts w:cs="Calibri"/>
        </w:rPr>
        <w:t>Victoria</w:t>
      </w:r>
      <w:r w:rsidRPr="000F6FD3">
        <w:rPr>
          <w:rFonts w:cs="Calibri"/>
          <w:spacing w:val="-4"/>
        </w:rPr>
        <w:t xml:space="preserve"> </w:t>
      </w:r>
      <w:r w:rsidRPr="000F6FD3">
        <w:rPr>
          <w:rFonts w:cs="Calibri"/>
        </w:rPr>
        <w:t>have</w:t>
      </w:r>
      <w:r w:rsidRPr="000F6FD3">
        <w:rPr>
          <w:rFonts w:cs="Calibri"/>
          <w:spacing w:val="-4"/>
        </w:rPr>
        <w:t xml:space="preserve"> </w:t>
      </w:r>
      <w:r w:rsidRPr="000F6FD3">
        <w:rPr>
          <w:rFonts w:cs="Calibri"/>
        </w:rPr>
        <w:t>been</w:t>
      </w:r>
      <w:r w:rsidRPr="000F6FD3">
        <w:rPr>
          <w:rFonts w:cs="Calibri"/>
          <w:spacing w:val="-4"/>
        </w:rPr>
        <w:t xml:space="preserve"> </w:t>
      </w:r>
      <w:r w:rsidRPr="000F6FD3">
        <w:rPr>
          <w:rFonts w:cs="Calibri"/>
        </w:rPr>
        <w:t>prepared</w:t>
      </w:r>
      <w:r w:rsidRPr="000F6FD3">
        <w:rPr>
          <w:rFonts w:cs="Calibri"/>
          <w:spacing w:val="-4"/>
        </w:rPr>
        <w:t xml:space="preserve"> </w:t>
      </w:r>
      <w:r w:rsidRPr="000F6FD3">
        <w:rPr>
          <w:rFonts w:cs="Calibri"/>
        </w:rPr>
        <w:t>in</w:t>
      </w:r>
      <w:r w:rsidRPr="000F6FD3">
        <w:rPr>
          <w:rFonts w:cs="Calibri"/>
          <w:spacing w:val="-4"/>
        </w:rPr>
        <w:t xml:space="preserve"> </w:t>
      </w:r>
      <w:r w:rsidRPr="000F6FD3">
        <w:rPr>
          <w:rFonts w:cs="Calibri"/>
        </w:rPr>
        <w:t>accordance</w:t>
      </w:r>
      <w:r w:rsidRPr="000F6FD3">
        <w:rPr>
          <w:rFonts w:cs="Calibri"/>
          <w:spacing w:val="-4"/>
        </w:rPr>
        <w:t xml:space="preserve"> </w:t>
      </w:r>
      <w:r w:rsidRPr="000F6FD3">
        <w:rPr>
          <w:rFonts w:cs="Calibri"/>
        </w:rPr>
        <w:t>with Direction</w:t>
      </w:r>
      <w:r w:rsidRPr="000F6FD3">
        <w:rPr>
          <w:rFonts w:cs="Calibri"/>
          <w:spacing w:val="-2"/>
        </w:rPr>
        <w:t xml:space="preserve"> </w:t>
      </w:r>
      <w:r w:rsidRPr="000F6FD3">
        <w:rPr>
          <w:rFonts w:cs="Calibri"/>
        </w:rPr>
        <w:t>5.2</w:t>
      </w:r>
      <w:r w:rsidRPr="000F6FD3">
        <w:rPr>
          <w:rFonts w:cs="Calibri"/>
          <w:spacing w:val="-2"/>
        </w:rPr>
        <w:t xml:space="preserve"> </w:t>
      </w:r>
      <w:r w:rsidRPr="000F6FD3">
        <w:rPr>
          <w:rFonts w:cs="Calibri"/>
        </w:rPr>
        <w:t>of</w:t>
      </w:r>
      <w:r w:rsidRPr="000F6FD3">
        <w:rPr>
          <w:rFonts w:cs="Calibri"/>
          <w:spacing w:val="-2"/>
        </w:rPr>
        <w:t xml:space="preserve"> </w:t>
      </w:r>
      <w:r w:rsidRPr="000F6FD3">
        <w:rPr>
          <w:rFonts w:cs="Calibri"/>
        </w:rPr>
        <w:t>the</w:t>
      </w:r>
      <w:r w:rsidRPr="000F6FD3">
        <w:rPr>
          <w:rFonts w:cs="Calibri"/>
          <w:spacing w:val="-2"/>
        </w:rPr>
        <w:t xml:space="preserve"> </w:t>
      </w:r>
      <w:r w:rsidRPr="000F6FD3">
        <w:rPr>
          <w:rFonts w:cs="Calibri"/>
        </w:rPr>
        <w:t>Standing</w:t>
      </w:r>
      <w:r w:rsidRPr="000F6FD3">
        <w:rPr>
          <w:rFonts w:cs="Calibri"/>
          <w:spacing w:val="-2"/>
        </w:rPr>
        <w:t xml:space="preserve"> </w:t>
      </w:r>
      <w:r w:rsidRPr="000F6FD3">
        <w:rPr>
          <w:rFonts w:cs="Calibri"/>
        </w:rPr>
        <w:t>Directions</w:t>
      </w:r>
      <w:r w:rsidRPr="000F6FD3">
        <w:rPr>
          <w:rFonts w:cs="Calibri"/>
          <w:spacing w:val="-2"/>
        </w:rPr>
        <w:t xml:space="preserve"> </w:t>
      </w:r>
      <w:r w:rsidRPr="000F6FD3">
        <w:rPr>
          <w:rFonts w:cs="Calibri"/>
        </w:rPr>
        <w:t>of</w:t>
      </w:r>
      <w:r w:rsidRPr="000F6FD3">
        <w:rPr>
          <w:rFonts w:cs="Calibri"/>
          <w:spacing w:val="-2"/>
        </w:rPr>
        <w:t xml:space="preserve"> </w:t>
      </w:r>
      <w:r w:rsidRPr="000F6FD3">
        <w:rPr>
          <w:rFonts w:cs="Calibri"/>
        </w:rPr>
        <w:t>the</w:t>
      </w:r>
      <w:r w:rsidRPr="000F6FD3">
        <w:rPr>
          <w:rFonts w:cs="Calibri"/>
          <w:spacing w:val="-2"/>
        </w:rPr>
        <w:t xml:space="preserve"> </w:t>
      </w:r>
      <w:r w:rsidRPr="000F6FD3">
        <w:rPr>
          <w:rFonts w:cs="Calibri"/>
        </w:rPr>
        <w:t>Assistant</w:t>
      </w:r>
      <w:r w:rsidRPr="000F6FD3">
        <w:rPr>
          <w:rFonts w:cs="Calibri"/>
          <w:spacing w:val="-2"/>
        </w:rPr>
        <w:t xml:space="preserve"> </w:t>
      </w:r>
      <w:r w:rsidRPr="000F6FD3">
        <w:rPr>
          <w:rFonts w:cs="Calibri"/>
        </w:rPr>
        <w:t>Treasurer</w:t>
      </w:r>
      <w:r w:rsidRPr="000F6FD3">
        <w:rPr>
          <w:rFonts w:cs="Calibri"/>
          <w:spacing w:val="-2"/>
        </w:rPr>
        <w:t xml:space="preserve"> </w:t>
      </w:r>
      <w:r w:rsidRPr="000F6FD3">
        <w:rPr>
          <w:rFonts w:cs="Calibri"/>
        </w:rPr>
        <w:t>under</w:t>
      </w:r>
      <w:r w:rsidRPr="000F6FD3">
        <w:rPr>
          <w:rFonts w:cs="Calibri"/>
          <w:spacing w:val="-2"/>
        </w:rPr>
        <w:t xml:space="preserve"> </w:t>
      </w:r>
      <w:r w:rsidRPr="000F6FD3">
        <w:rPr>
          <w:rFonts w:cs="Calibri"/>
        </w:rPr>
        <w:t>the</w:t>
      </w:r>
      <w:r w:rsidRPr="000F6FD3">
        <w:rPr>
          <w:rFonts w:cs="Calibri"/>
          <w:spacing w:val="-2"/>
        </w:rPr>
        <w:t xml:space="preserve"> </w:t>
      </w:r>
      <w:r w:rsidRPr="000F6FD3">
        <w:rPr>
          <w:rFonts w:cs="Calibri"/>
          <w:i/>
        </w:rPr>
        <w:t>Financial</w:t>
      </w:r>
      <w:r w:rsidRPr="000F6FD3">
        <w:rPr>
          <w:rFonts w:cs="Calibri"/>
          <w:i/>
          <w:spacing w:val="-2"/>
        </w:rPr>
        <w:t xml:space="preserve"> </w:t>
      </w:r>
      <w:r w:rsidRPr="000F6FD3">
        <w:rPr>
          <w:rFonts w:cs="Calibri"/>
          <w:i/>
        </w:rPr>
        <w:t>Management Act 1994</w:t>
      </w:r>
      <w:r w:rsidRPr="000F6FD3">
        <w:rPr>
          <w:rFonts w:cs="Calibri"/>
        </w:rPr>
        <w:t>, applicable Financial Reporting Directions, Australian Accounting Standards, including interpretations, and other mandatory professional reporting requirements.</w:t>
      </w:r>
    </w:p>
    <w:p w14:paraId="5180F0C9" w14:textId="3855D5F2" w:rsidR="00FA4226" w:rsidRPr="000F6FD3" w:rsidRDefault="00000000" w:rsidP="0043303B">
      <w:pPr>
        <w:pStyle w:val="BodyText"/>
        <w:spacing w:before="115"/>
        <w:rPr>
          <w:rFonts w:cs="Calibri"/>
        </w:rPr>
      </w:pPr>
      <w:r w:rsidRPr="000F6FD3">
        <w:rPr>
          <w:rFonts w:cs="Calibri"/>
        </w:rPr>
        <w:t>We</w:t>
      </w:r>
      <w:r w:rsidRPr="000F6FD3">
        <w:rPr>
          <w:rFonts w:cs="Calibri"/>
          <w:spacing w:val="-3"/>
        </w:rPr>
        <w:t xml:space="preserve"> </w:t>
      </w:r>
      <w:r w:rsidRPr="000F6FD3">
        <w:rPr>
          <w:rFonts w:cs="Calibri"/>
        </w:rPr>
        <w:t>further</w:t>
      </w:r>
      <w:r w:rsidRPr="000F6FD3">
        <w:rPr>
          <w:rFonts w:cs="Calibri"/>
          <w:spacing w:val="-3"/>
        </w:rPr>
        <w:t xml:space="preserve"> </w:t>
      </w:r>
      <w:r w:rsidRPr="000F6FD3">
        <w:rPr>
          <w:rFonts w:cs="Calibri"/>
        </w:rPr>
        <w:t>state</w:t>
      </w:r>
      <w:r w:rsidRPr="000F6FD3">
        <w:rPr>
          <w:rFonts w:cs="Calibri"/>
          <w:spacing w:val="-3"/>
        </w:rPr>
        <w:t xml:space="preserve"> </w:t>
      </w:r>
      <w:r w:rsidRPr="000F6FD3">
        <w:rPr>
          <w:rFonts w:cs="Calibri"/>
        </w:rPr>
        <w:t>that,</w:t>
      </w:r>
      <w:r w:rsidRPr="000F6FD3">
        <w:rPr>
          <w:rFonts w:cs="Calibri"/>
          <w:spacing w:val="-3"/>
        </w:rPr>
        <w:t xml:space="preserve"> </w:t>
      </w:r>
      <w:r w:rsidRPr="000F6FD3">
        <w:rPr>
          <w:rFonts w:cs="Calibri"/>
        </w:rPr>
        <w:t>in</w:t>
      </w:r>
      <w:r w:rsidRPr="000F6FD3">
        <w:rPr>
          <w:rFonts w:cs="Calibri"/>
          <w:spacing w:val="-3"/>
        </w:rPr>
        <w:t xml:space="preserve"> </w:t>
      </w:r>
      <w:r w:rsidRPr="000F6FD3">
        <w:rPr>
          <w:rFonts w:cs="Calibri"/>
        </w:rPr>
        <w:t>our</w:t>
      </w:r>
      <w:r w:rsidRPr="000F6FD3">
        <w:rPr>
          <w:rFonts w:cs="Calibri"/>
          <w:spacing w:val="-3"/>
        </w:rPr>
        <w:t xml:space="preserve"> </w:t>
      </w:r>
      <w:r w:rsidRPr="000F6FD3">
        <w:rPr>
          <w:rFonts w:cs="Calibri"/>
        </w:rPr>
        <w:t>opinion,</w:t>
      </w:r>
      <w:r w:rsidRPr="000F6FD3">
        <w:rPr>
          <w:rFonts w:cs="Calibri"/>
          <w:spacing w:val="-3"/>
        </w:rPr>
        <w:t xml:space="preserve"> </w:t>
      </w:r>
      <w:r w:rsidRPr="000F6FD3">
        <w:rPr>
          <w:rFonts w:cs="Calibri"/>
        </w:rPr>
        <w:t>the</w:t>
      </w:r>
      <w:r w:rsidRPr="000F6FD3">
        <w:rPr>
          <w:rFonts w:cs="Calibri"/>
          <w:spacing w:val="-3"/>
        </w:rPr>
        <w:t xml:space="preserve"> </w:t>
      </w:r>
      <w:r w:rsidRPr="000F6FD3">
        <w:rPr>
          <w:rFonts w:cs="Calibri"/>
        </w:rPr>
        <w:t>information</w:t>
      </w:r>
      <w:r w:rsidRPr="000F6FD3">
        <w:rPr>
          <w:rFonts w:cs="Calibri"/>
          <w:spacing w:val="-3"/>
        </w:rPr>
        <w:t xml:space="preserve"> </w:t>
      </w:r>
      <w:r w:rsidRPr="000F6FD3">
        <w:rPr>
          <w:rFonts w:cs="Calibri"/>
        </w:rPr>
        <w:t>set</w:t>
      </w:r>
      <w:r w:rsidRPr="000F6FD3">
        <w:rPr>
          <w:rFonts w:cs="Calibri"/>
          <w:spacing w:val="-3"/>
        </w:rPr>
        <w:t xml:space="preserve"> </w:t>
      </w:r>
      <w:r w:rsidRPr="000F6FD3">
        <w:rPr>
          <w:rFonts w:cs="Calibri"/>
        </w:rPr>
        <w:t>out</w:t>
      </w:r>
      <w:r w:rsidRPr="000F6FD3">
        <w:rPr>
          <w:rFonts w:cs="Calibri"/>
          <w:spacing w:val="-3"/>
        </w:rPr>
        <w:t xml:space="preserve"> </w:t>
      </w:r>
      <w:r w:rsidRPr="000F6FD3">
        <w:rPr>
          <w:rFonts w:cs="Calibri"/>
        </w:rPr>
        <w:t>in</w:t>
      </w:r>
      <w:r w:rsidRPr="000F6FD3">
        <w:rPr>
          <w:rFonts w:cs="Calibri"/>
          <w:spacing w:val="-3"/>
        </w:rPr>
        <w:t xml:space="preserve"> </w:t>
      </w:r>
      <w:r w:rsidRPr="000F6FD3">
        <w:rPr>
          <w:rFonts w:cs="Calibri"/>
        </w:rPr>
        <w:t>the</w:t>
      </w:r>
      <w:r w:rsidRPr="000F6FD3">
        <w:rPr>
          <w:rFonts w:cs="Calibri"/>
          <w:spacing w:val="-3"/>
        </w:rPr>
        <w:t xml:space="preserve"> </w:t>
      </w:r>
      <w:r w:rsidRPr="000F6FD3">
        <w:rPr>
          <w:rFonts w:cs="Calibri"/>
        </w:rPr>
        <w:t>comprehensive</w:t>
      </w:r>
      <w:r w:rsidRPr="000F6FD3">
        <w:rPr>
          <w:rFonts w:cs="Calibri"/>
          <w:spacing w:val="-3"/>
        </w:rPr>
        <w:t xml:space="preserve"> </w:t>
      </w:r>
      <w:r w:rsidRPr="000F6FD3">
        <w:rPr>
          <w:rFonts w:cs="Calibri"/>
        </w:rPr>
        <w:t>operating</w:t>
      </w:r>
      <w:r w:rsidRPr="000F6FD3">
        <w:rPr>
          <w:rFonts w:cs="Calibri"/>
          <w:spacing w:val="-3"/>
        </w:rPr>
        <w:t xml:space="preserve"> </w:t>
      </w:r>
      <w:r w:rsidRPr="000F6FD3">
        <w:rPr>
          <w:rFonts w:cs="Calibri"/>
        </w:rPr>
        <w:t>statement, balance sheet, cash flow statement, statement of changes in equity and accompanying notes, presents fairly the financial transactions during the year ended 30 June 2023 and financial position</w:t>
      </w:r>
      <w:r w:rsidR="00747DF1" w:rsidRPr="000F6FD3">
        <w:rPr>
          <w:rFonts w:cs="Calibri"/>
        </w:rPr>
        <w:t xml:space="preserve"> </w:t>
      </w:r>
      <w:r w:rsidRPr="000F6FD3">
        <w:rPr>
          <w:rFonts w:cs="Calibri"/>
        </w:rPr>
        <w:t>of</w:t>
      </w:r>
      <w:r w:rsidRPr="000F6FD3">
        <w:rPr>
          <w:rFonts w:cs="Calibri"/>
          <w:spacing w:val="-1"/>
        </w:rPr>
        <w:t xml:space="preserve"> </w:t>
      </w:r>
      <w:r w:rsidRPr="000F6FD3">
        <w:rPr>
          <w:rFonts w:cs="Calibri"/>
        </w:rPr>
        <w:t>Infrastructure Victoria</w:t>
      </w:r>
      <w:r w:rsidRPr="000F6FD3">
        <w:rPr>
          <w:rFonts w:cs="Calibri"/>
          <w:spacing w:val="-1"/>
        </w:rPr>
        <w:t xml:space="preserve"> </w:t>
      </w:r>
      <w:r w:rsidRPr="000F6FD3">
        <w:rPr>
          <w:rFonts w:cs="Calibri"/>
        </w:rPr>
        <w:t>as at</w:t>
      </w:r>
      <w:r w:rsidRPr="000F6FD3">
        <w:rPr>
          <w:rFonts w:cs="Calibri"/>
          <w:spacing w:val="-1"/>
        </w:rPr>
        <w:t xml:space="preserve"> </w:t>
      </w:r>
      <w:r w:rsidRPr="000F6FD3">
        <w:rPr>
          <w:rFonts w:cs="Calibri"/>
        </w:rPr>
        <w:t xml:space="preserve">30 June </w:t>
      </w:r>
      <w:r w:rsidRPr="000F6FD3">
        <w:rPr>
          <w:rFonts w:cs="Calibri"/>
          <w:spacing w:val="-2"/>
        </w:rPr>
        <w:t>2023.</w:t>
      </w:r>
    </w:p>
    <w:p w14:paraId="5AA23872" w14:textId="77777777" w:rsidR="00FA4226" w:rsidRPr="000F6FD3" w:rsidRDefault="00000000" w:rsidP="0043303B">
      <w:pPr>
        <w:pStyle w:val="BodyText"/>
        <w:spacing w:before="118"/>
        <w:rPr>
          <w:rFonts w:cs="Calibri"/>
        </w:rPr>
      </w:pPr>
      <w:r w:rsidRPr="000F6FD3">
        <w:rPr>
          <w:rFonts w:cs="Calibri"/>
        </w:rPr>
        <w:t>At</w:t>
      </w:r>
      <w:r w:rsidRPr="000F6FD3">
        <w:rPr>
          <w:rFonts w:cs="Calibri"/>
          <w:spacing w:val="-3"/>
        </w:rPr>
        <w:t xml:space="preserve"> </w:t>
      </w:r>
      <w:r w:rsidRPr="000F6FD3">
        <w:rPr>
          <w:rFonts w:cs="Calibri"/>
        </w:rPr>
        <w:t>the</w:t>
      </w:r>
      <w:r w:rsidRPr="000F6FD3">
        <w:rPr>
          <w:rFonts w:cs="Calibri"/>
          <w:spacing w:val="-3"/>
        </w:rPr>
        <w:t xml:space="preserve"> </w:t>
      </w:r>
      <w:r w:rsidRPr="000F6FD3">
        <w:rPr>
          <w:rFonts w:cs="Calibri"/>
        </w:rPr>
        <w:t>time</w:t>
      </w:r>
      <w:r w:rsidRPr="000F6FD3">
        <w:rPr>
          <w:rFonts w:cs="Calibri"/>
          <w:spacing w:val="-3"/>
        </w:rPr>
        <w:t xml:space="preserve"> </w:t>
      </w:r>
      <w:r w:rsidRPr="000F6FD3">
        <w:rPr>
          <w:rFonts w:cs="Calibri"/>
        </w:rPr>
        <w:t>of</w:t>
      </w:r>
      <w:r w:rsidRPr="000F6FD3">
        <w:rPr>
          <w:rFonts w:cs="Calibri"/>
          <w:spacing w:val="-3"/>
        </w:rPr>
        <w:t xml:space="preserve"> </w:t>
      </w:r>
      <w:r w:rsidRPr="000F6FD3">
        <w:rPr>
          <w:rFonts w:cs="Calibri"/>
        </w:rPr>
        <w:t>signing,</w:t>
      </w:r>
      <w:r w:rsidRPr="000F6FD3">
        <w:rPr>
          <w:rFonts w:cs="Calibri"/>
          <w:spacing w:val="-3"/>
        </w:rPr>
        <w:t xml:space="preserve"> </w:t>
      </w:r>
      <w:r w:rsidRPr="000F6FD3">
        <w:rPr>
          <w:rFonts w:cs="Calibri"/>
        </w:rPr>
        <w:t>we</w:t>
      </w:r>
      <w:r w:rsidRPr="000F6FD3">
        <w:rPr>
          <w:rFonts w:cs="Calibri"/>
          <w:spacing w:val="-3"/>
        </w:rPr>
        <w:t xml:space="preserve"> </w:t>
      </w:r>
      <w:r w:rsidRPr="000F6FD3">
        <w:rPr>
          <w:rFonts w:cs="Calibri"/>
        </w:rPr>
        <w:t>are</w:t>
      </w:r>
      <w:r w:rsidRPr="000F6FD3">
        <w:rPr>
          <w:rFonts w:cs="Calibri"/>
          <w:spacing w:val="-3"/>
        </w:rPr>
        <w:t xml:space="preserve"> </w:t>
      </w:r>
      <w:r w:rsidRPr="000F6FD3">
        <w:rPr>
          <w:rFonts w:cs="Calibri"/>
        </w:rPr>
        <w:t>not</w:t>
      </w:r>
      <w:r w:rsidRPr="000F6FD3">
        <w:rPr>
          <w:rFonts w:cs="Calibri"/>
          <w:spacing w:val="-3"/>
        </w:rPr>
        <w:t xml:space="preserve"> </w:t>
      </w:r>
      <w:r w:rsidRPr="000F6FD3">
        <w:rPr>
          <w:rFonts w:cs="Calibri"/>
        </w:rPr>
        <w:t>aware</w:t>
      </w:r>
      <w:r w:rsidRPr="000F6FD3">
        <w:rPr>
          <w:rFonts w:cs="Calibri"/>
          <w:spacing w:val="-3"/>
        </w:rPr>
        <w:t xml:space="preserve"> </w:t>
      </w:r>
      <w:r w:rsidRPr="000F6FD3">
        <w:rPr>
          <w:rFonts w:cs="Calibri"/>
        </w:rPr>
        <w:t>of</w:t>
      </w:r>
      <w:r w:rsidRPr="000F6FD3">
        <w:rPr>
          <w:rFonts w:cs="Calibri"/>
          <w:spacing w:val="-3"/>
        </w:rPr>
        <w:t xml:space="preserve"> </w:t>
      </w:r>
      <w:r w:rsidRPr="000F6FD3">
        <w:rPr>
          <w:rFonts w:cs="Calibri"/>
        </w:rPr>
        <w:t>any</w:t>
      </w:r>
      <w:r w:rsidRPr="000F6FD3">
        <w:rPr>
          <w:rFonts w:cs="Calibri"/>
          <w:spacing w:val="-3"/>
        </w:rPr>
        <w:t xml:space="preserve"> </w:t>
      </w:r>
      <w:r w:rsidRPr="000F6FD3">
        <w:rPr>
          <w:rFonts w:cs="Calibri"/>
        </w:rPr>
        <w:t>circumstance,</w:t>
      </w:r>
      <w:r w:rsidRPr="000F6FD3">
        <w:rPr>
          <w:rFonts w:cs="Calibri"/>
          <w:spacing w:val="-3"/>
        </w:rPr>
        <w:t xml:space="preserve"> </w:t>
      </w:r>
      <w:r w:rsidRPr="000F6FD3">
        <w:rPr>
          <w:rFonts w:cs="Calibri"/>
        </w:rPr>
        <w:t>which</w:t>
      </w:r>
      <w:r w:rsidRPr="000F6FD3">
        <w:rPr>
          <w:rFonts w:cs="Calibri"/>
          <w:spacing w:val="-3"/>
        </w:rPr>
        <w:t xml:space="preserve"> </w:t>
      </w:r>
      <w:r w:rsidRPr="000F6FD3">
        <w:rPr>
          <w:rFonts w:cs="Calibri"/>
        </w:rPr>
        <w:t>would</w:t>
      </w:r>
      <w:r w:rsidRPr="000F6FD3">
        <w:rPr>
          <w:rFonts w:cs="Calibri"/>
          <w:spacing w:val="-3"/>
        </w:rPr>
        <w:t xml:space="preserve"> </w:t>
      </w:r>
      <w:r w:rsidRPr="000F6FD3">
        <w:rPr>
          <w:rFonts w:cs="Calibri"/>
        </w:rPr>
        <w:t>render</w:t>
      </w:r>
      <w:r w:rsidRPr="000F6FD3">
        <w:rPr>
          <w:rFonts w:cs="Calibri"/>
          <w:spacing w:val="-3"/>
        </w:rPr>
        <w:t xml:space="preserve"> </w:t>
      </w:r>
      <w:r w:rsidRPr="000F6FD3">
        <w:rPr>
          <w:rFonts w:cs="Calibri"/>
        </w:rPr>
        <w:t>any</w:t>
      </w:r>
      <w:r w:rsidRPr="000F6FD3">
        <w:rPr>
          <w:rFonts w:cs="Calibri"/>
          <w:spacing w:val="-3"/>
        </w:rPr>
        <w:t xml:space="preserve"> </w:t>
      </w:r>
      <w:r w:rsidRPr="000F6FD3">
        <w:rPr>
          <w:rFonts w:cs="Calibri"/>
        </w:rPr>
        <w:t>particulars included in the financial statements to be misleading or inaccurate.</w:t>
      </w:r>
    </w:p>
    <w:p w14:paraId="1C5C4229" w14:textId="77777777" w:rsidR="00FA4226" w:rsidRPr="000F6FD3" w:rsidRDefault="00000000" w:rsidP="0043303B">
      <w:pPr>
        <w:pStyle w:val="BodyText"/>
        <w:spacing w:before="111"/>
        <w:rPr>
          <w:rFonts w:cs="Calibri"/>
        </w:rPr>
      </w:pPr>
      <w:r w:rsidRPr="000F6FD3">
        <w:rPr>
          <w:rFonts w:cs="Calibri"/>
        </w:rPr>
        <w:t>We</w:t>
      </w:r>
      <w:r w:rsidRPr="000F6FD3">
        <w:rPr>
          <w:rFonts w:cs="Calibri"/>
          <w:spacing w:val="-1"/>
        </w:rPr>
        <w:t xml:space="preserve"> </w:t>
      </w:r>
      <w:r w:rsidRPr="000F6FD3">
        <w:rPr>
          <w:rFonts w:cs="Calibri"/>
        </w:rPr>
        <w:t>authorise the</w:t>
      </w:r>
      <w:r w:rsidRPr="000F6FD3">
        <w:rPr>
          <w:rFonts w:cs="Calibri"/>
          <w:spacing w:val="-1"/>
        </w:rPr>
        <w:t xml:space="preserve"> </w:t>
      </w:r>
      <w:r w:rsidRPr="000F6FD3">
        <w:rPr>
          <w:rFonts w:cs="Calibri"/>
        </w:rPr>
        <w:t>attached financial statements</w:t>
      </w:r>
      <w:r w:rsidRPr="000F6FD3">
        <w:rPr>
          <w:rFonts w:cs="Calibri"/>
          <w:spacing w:val="-1"/>
        </w:rPr>
        <w:t xml:space="preserve"> </w:t>
      </w:r>
      <w:r w:rsidRPr="000F6FD3">
        <w:rPr>
          <w:rFonts w:cs="Calibri"/>
        </w:rPr>
        <w:t>for issue on</w:t>
      </w:r>
      <w:r w:rsidRPr="000F6FD3">
        <w:rPr>
          <w:rFonts w:cs="Calibri"/>
          <w:spacing w:val="-1"/>
        </w:rPr>
        <w:t xml:space="preserve"> </w:t>
      </w:r>
      <w:r w:rsidRPr="000F6FD3">
        <w:rPr>
          <w:rFonts w:cs="Calibri"/>
        </w:rPr>
        <w:t xml:space="preserve">31 August </w:t>
      </w:r>
      <w:r w:rsidRPr="000F6FD3">
        <w:rPr>
          <w:rFonts w:cs="Calibri"/>
          <w:spacing w:val="-2"/>
        </w:rPr>
        <w:t>2023.</w:t>
      </w:r>
    </w:p>
    <w:p w14:paraId="1A62E315" w14:textId="77777777" w:rsidR="00FA4226" w:rsidRPr="000F6FD3" w:rsidRDefault="00FA4226" w:rsidP="0043303B">
      <w:pPr>
        <w:pStyle w:val="BodyText"/>
        <w:rPr>
          <w:rFonts w:cs="Calibri"/>
          <w:sz w:val="20"/>
        </w:rPr>
      </w:pPr>
    </w:p>
    <w:p w14:paraId="463C6CAC" w14:textId="77777777" w:rsidR="00FA4226" w:rsidRPr="000F6FD3" w:rsidRDefault="00FA4226" w:rsidP="0043303B">
      <w:pPr>
        <w:rPr>
          <w:rFonts w:cs="Calibri"/>
          <w:color w:val="000000" w:themeColor="text1"/>
          <w:sz w:val="28"/>
        </w:rPr>
        <w:sectPr w:rsidR="00FA4226" w:rsidRPr="000F6FD3" w:rsidSect="00E941A5">
          <w:pgSz w:w="11910" w:h="16840"/>
          <w:pgMar w:top="1134" w:right="1278" w:bottom="1134" w:left="1134" w:header="720" w:footer="720" w:gutter="0"/>
          <w:cols w:space="720"/>
        </w:sectPr>
      </w:pPr>
    </w:p>
    <w:p w14:paraId="1721E28C" w14:textId="77777777" w:rsidR="00FA4226" w:rsidRPr="000F6FD3" w:rsidRDefault="00000000" w:rsidP="0043303B">
      <w:pPr>
        <w:pStyle w:val="BodyText"/>
        <w:spacing w:before="64"/>
        <w:rPr>
          <w:rFonts w:cs="Calibri"/>
          <w:b/>
          <w:bCs/>
        </w:rPr>
      </w:pPr>
      <w:r w:rsidRPr="000F6FD3">
        <w:rPr>
          <w:rFonts w:cs="Calibri"/>
          <w:b/>
          <w:bCs/>
          <w:spacing w:val="-2"/>
        </w:rPr>
        <w:t>Tania</w:t>
      </w:r>
      <w:r w:rsidRPr="000F6FD3">
        <w:rPr>
          <w:rFonts w:cs="Calibri"/>
          <w:b/>
          <w:bCs/>
          <w:spacing w:val="-8"/>
        </w:rPr>
        <w:t xml:space="preserve"> </w:t>
      </w:r>
      <w:r w:rsidRPr="000F6FD3">
        <w:rPr>
          <w:rFonts w:cs="Calibri"/>
          <w:b/>
          <w:bCs/>
          <w:spacing w:val="-2"/>
        </w:rPr>
        <w:t>Reaburn</w:t>
      </w:r>
    </w:p>
    <w:p w14:paraId="09FCC318" w14:textId="77777777" w:rsidR="00FA4226" w:rsidRPr="000F6FD3" w:rsidRDefault="00000000" w:rsidP="0043303B">
      <w:pPr>
        <w:pStyle w:val="BodyText"/>
        <w:rPr>
          <w:rFonts w:cs="Calibri"/>
          <w:b/>
          <w:bCs/>
        </w:rPr>
      </w:pPr>
      <w:r w:rsidRPr="000F6FD3">
        <w:rPr>
          <w:rFonts w:cs="Calibri"/>
          <w:b/>
          <w:bCs/>
        </w:rPr>
        <w:t xml:space="preserve">Chief Financial </w:t>
      </w:r>
      <w:r w:rsidRPr="000F6FD3">
        <w:rPr>
          <w:rFonts w:cs="Calibri"/>
          <w:b/>
          <w:bCs/>
          <w:spacing w:val="-2"/>
        </w:rPr>
        <w:t>Officer</w:t>
      </w:r>
    </w:p>
    <w:p w14:paraId="40D525F8" w14:textId="77777777" w:rsidR="00FA4226" w:rsidRPr="000F6FD3" w:rsidRDefault="00000000" w:rsidP="0043303B">
      <w:pPr>
        <w:pStyle w:val="BodyText"/>
        <w:spacing w:before="102"/>
        <w:rPr>
          <w:rFonts w:cs="Calibri"/>
        </w:rPr>
      </w:pPr>
      <w:r w:rsidRPr="000F6FD3">
        <w:rPr>
          <w:rFonts w:cs="Calibri"/>
          <w:spacing w:val="-2"/>
        </w:rPr>
        <w:t>Melbourne</w:t>
      </w:r>
    </w:p>
    <w:p w14:paraId="484CAAB6" w14:textId="77777777" w:rsidR="00EE566D" w:rsidRPr="000F6FD3" w:rsidRDefault="00000000" w:rsidP="0043303B">
      <w:pPr>
        <w:pStyle w:val="BodyText"/>
        <w:rPr>
          <w:rFonts w:cs="Calibri"/>
          <w:spacing w:val="-4"/>
        </w:rPr>
      </w:pPr>
      <w:r w:rsidRPr="000F6FD3">
        <w:rPr>
          <w:rFonts w:cs="Calibri"/>
        </w:rPr>
        <w:t xml:space="preserve">31 August </w:t>
      </w:r>
      <w:r w:rsidRPr="000F6FD3">
        <w:rPr>
          <w:rFonts w:cs="Calibri"/>
          <w:spacing w:val="-4"/>
        </w:rPr>
        <w:t>2023</w:t>
      </w:r>
    </w:p>
    <w:p w14:paraId="0641906B" w14:textId="77777777" w:rsidR="00EE566D" w:rsidRPr="000F6FD3" w:rsidRDefault="00EE566D" w:rsidP="0043303B">
      <w:pPr>
        <w:pStyle w:val="BodyText"/>
        <w:rPr>
          <w:rFonts w:cs="Calibri"/>
        </w:rPr>
      </w:pPr>
    </w:p>
    <w:p w14:paraId="44A46716" w14:textId="4AB97865" w:rsidR="00FA4226" w:rsidRPr="000F6FD3" w:rsidRDefault="00000000" w:rsidP="0043303B">
      <w:pPr>
        <w:pStyle w:val="BodyText"/>
        <w:rPr>
          <w:rFonts w:cs="Calibri"/>
          <w:b/>
          <w:bCs/>
        </w:rPr>
      </w:pPr>
      <w:r w:rsidRPr="000F6FD3">
        <w:rPr>
          <w:rFonts w:cs="Calibri"/>
          <w:b/>
          <w:bCs/>
        </w:rPr>
        <w:t xml:space="preserve">Jonathan </w:t>
      </w:r>
      <w:r w:rsidRPr="000F6FD3">
        <w:rPr>
          <w:rFonts w:cs="Calibri"/>
          <w:b/>
          <w:bCs/>
          <w:spacing w:val="-2"/>
        </w:rPr>
        <w:t>Spear</w:t>
      </w:r>
    </w:p>
    <w:p w14:paraId="72139314" w14:textId="77777777" w:rsidR="00FA4226" w:rsidRPr="000F6FD3" w:rsidRDefault="00000000" w:rsidP="0043303B">
      <w:pPr>
        <w:pStyle w:val="BodyText"/>
        <w:rPr>
          <w:rFonts w:cs="Calibri"/>
          <w:b/>
          <w:bCs/>
        </w:rPr>
      </w:pPr>
      <w:r w:rsidRPr="000F6FD3">
        <w:rPr>
          <w:rFonts w:cs="Calibri"/>
          <w:b/>
          <w:bCs/>
        </w:rPr>
        <w:t xml:space="preserve">Chief Executive </w:t>
      </w:r>
      <w:r w:rsidRPr="000F6FD3">
        <w:rPr>
          <w:rFonts w:cs="Calibri"/>
          <w:b/>
          <w:bCs/>
          <w:spacing w:val="-2"/>
        </w:rPr>
        <w:t>Officer</w:t>
      </w:r>
    </w:p>
    <w:p w14:paraId="73FE492B" w14:textId="7B755840" w:rsidR="00FA4226" w:rsidRPr="000F6FD3" w:rsidRDefault="00000000" w:rsidP="0043303B">
      <w:pPr>
        <w:pStyle w:val="BodyText"/>
        <w:spacing w:before="102"/>
        <w:rPr>
          <w:rFonts w:cs="Calibri"/>
        </w:rPr>
      </w:pPr>
      <w:r w:rsidRPr="000F6FD3">
        <w:rPr>
          <w:rFonts w:cs="Calibri"/>
          <w:spacing w:val="-2"/>
        </w:rPr>
        <w:t>Melbourne</w:t>
      </w:r>
    </w:p>
    <w:p w14:paraId="7D49EDD4" w14:textId="77777777" w:rsidR="00FA4226" w:rsidRPr="000F6FD3" w:rsidRDefault="00000000" w:rsidP="0043303B">
      <w:pPr>
        <w:pStyle w:val="BodyText"/>
        <w:rPr>
          <w:rFonts w:cs="Calibri"/>
        </w:rPr>
      </w:pPr>
      <w:r w:rsidRPr="000F6FD3">
        <w:rPr>
          <w:rFonts w:cs="Calibri"/>
        </w:rPr>
        <w:t xml:space="preserve">31 August </w:t>
      </w:r>
      <w:r w:rsidRPr="000F6FD3">
        <w:rPr>
          <w:rFonts w:cs="Calibri"/>
          <w:spacing w:val="-4"/>
        </w:rPr>
        <w:t>2023</w:t>
      </w:r>
    </w:p>
    <w:p w14:paraId="1835DDEC" w14:textId="77777777" w:rsidR="00FA4226" w:rsidRPr="000F6FD3" w:rsidRDefault="00FA4226" w:rsidP="0043303B">
      <w:pPr>
        <w:rPr>
          <w:rFonts w:cs="Calibri"/>
          <w:color w:val="000000" w:themeColor="text1"/>
        </w:rPr>
        <w:sectPr w:rsidR="00FA4226" w:rsidRPr="000F6FD3" w:rsidSect="00E941A5">
          <w:type w:val="continuous"/>
          <w:pgSz w:w="11910" w:h="16840"/>
          <w:pgMar w:top="1134" w:right="1278" w:bottom="1134" w:left="1134" w:header="720" w:footer="720" w:gutter="0"/>
          <w:cols w:space="720"/>
        </w:sectPr>
      </w:pPr>
    </w:p>
    <w:p w14:paraId="658F5C9B" w14:textId="3C02B338" w:rsidR="00FA4226" w:rsidRPr="00CA2CC1" w:rsidRDefault="00FA4226" w:rsidP="0043303B">
      <w:pPr>
        <w:pStyle w:val="BodyText"/>
        <w:spacing w:before="9"/>
        <w:rPr>
          <w:rFonts w:cs="Calibri"/>
          <w:sz w:val="13"/>
        </w:rPr>
      </w:pPr>
    </w:p>
    <w:p w14:paraId="0E137BC7" w14:textId="77777777" w:rsidR="00FA4226" w:rsidRPr="00CA2CC1" w:rsidRDefault="00FA4226" w:rsidP="0043303B">
      <w:pPr>
        <w:jc w:val="center"/>
        <w:rPr>
          <w:rFonts w:cs="Calibri"/>
          <w:sz w:val="16"/>
        </w:rPr>
        <w:sectPr w:rsidR="00FA4226" w:rsidRPr="00CA2CC1" w:rsidSect="00E941A5">
          <w:type w:val="continuous"/>
          <w:pgSz w:w="11910" w:h="16840"/>
          <w:pgMar w:top="1134" w:right="1278" w:bottom="1134" w:left="1134" w:header="720" w:footer="720" w:gutter="0"/>
          <w:cols w:space="720"/>
        </w:sectPr>
      </w:pPr>
    </w:p>
    <w:p w14:paraId="1DE1E535" w14:textId="1C3158CB" w:rsidR="00952353" w:rsidRPr="00CA2CC1" w:rsidRDefault="00952353" w:rsidP="0043303B">
      <w:pPr>
        <w:rPr>
          <w:rFonts w:cs="Calibri"/>
          <w:color w:val="F68C59"/>
          <w:sz w:val="32"/>
          <w:szCs w:val="32"/>
        </w:rPr>
      </w:pPr>
      <w:bookmarkStart w:id="122" w:name="_bookmark67"/>
      <w:bookmarkEnd w:id="122"/>
      <w:r w:rsidRPr="00CA2CC1">
        <w:rPr>
          <w:rFonts w:cs="Calibri"/>
          <w:noProof/>
          <w:color w:val="F68C59"/>
        </w:rPr>
        <w:drawing>
          <wp:inline distT="0" distB="0" distL="0" distR="0" wp14:anchorId="2C282CCD" wp14:editId="2CAF36D7">
            <wp:extent cx="6031230" cy="8524814"/>
            <wp:effectExtent l="0" t="0" r="1270" b="0"/>
            <wp:docPr id="1221008975" name="Picture 1" descr="Independent Auditor’s Report&#10;Infrastructure Victoria - FY23&#10;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008975" name="Picture 1" descr="Independent Auditor’s Report&#10;Infrastructure Victoria - FY23&#10;Page 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031230" cy="8524814"/>
                    </a:xfrm>
                    <a:prstGeom prst="rect">
                      <a:avLst/>
                    </a:prstGeom>
                  </pic:spPr>
                </pic:pic>
              </a:graphicData>
            </a:graphic>
          </wp:inline>
        </w:drawing>
      </w:r>
      <w:r w:rsidRPr="00CA2CC1">
        <w:rPr>
          <w:rFonts w:cs="Calibri"/>
          <w:color w:val="F68C59"/>
        </w:rPr>
        <w:br w:type="page"/>
      </w:r>
    </w:p>
    <w:p w14:paraId="645095D4" w14:textId="078735F0" w:rsidR="00952353" w:rsidRPr="00CA2CC1" w:rsidRDefault="00952353" w:rsidP="0043303B">
      <w:pPr>
        <w:rPr>
          <w:rFonts w:cs="Calibri"/>
          <w:color w:val="F68C59"/>
          <w:sz w:val="32"/>
          <w:szCs w:val="32"/>
        </w:rPr>
      </w:pPr>
      <w:r w:rsidRPr="00CA2CC1">
        <w:rPr>
          <w:rFonts w:cs="Calibri"/>
          <w:noProof/>
          <w:color w:val="F68C59"/>
        </w:rPr>
        <w:drawing>
          <wp:inline distT="0" distB="0" distL="0" distR="0" wp14:anchorId="692CFD0C" wp14:editId="05AF2F1E">
            <wp:extent cx="6031230" cy="8524814"/>
            <wp:effectExtent l="0" t="0" r="1270" b="0"/>
            <wp:docPr id="851700390" name="Picture 2" descr="Independent Auditor’s Report&#10;Infrastructure Victoria - FY23&#10;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700390" name="Picture 2" descr="Independent Auditor’s Report&#10;Infrastructure Victoria - FY23&#10;Page 2"/>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031230" cy="8524814"/>
                    </a:xfrm>
                    <a:prstGeom prst="rect">
                      <a:avLst/>
                    </a:prstGeom>
                  </pic:spPr>
                </pic:pic>
              </a:graphicData>
            </a:graphic>
          </wp:inline>
        </w:drawing>
      </w:r>
      <w:r w:rsidRPr="00CA2CC1">
        <w:rPr>
          <w:rFonts w:cs="Calibri"/>
          <w:color w:val="F68C59"/>
        </w:rPr>
        <w:br w:type="page"/>
      </w:r>
    </w:p>
    <w:p w14:paraId="067B6ECB" w14:textId="1EF97D82" w:rsidR="00FA4226" w:rsidRPr="001C21B0" w:rsidRDefault="00000000" w:rsidP="0043303B">
      <w:pPr>
        <w:pStyle w:val="Heading3"/>
        <w:spacing w:before="37"/>
        <w:rPr>
          <w:rFonts w:cs="Calibri"/>
          <w:color w:val="000000" w:themeColor="text1"/>
        </w:rPr>
      </w:pPr>
      <w:r w:rsidRPr="001C21B0">
        <w:rPr>
          <w:rFonts w:cs="Calibri"/>
          <w:color w:val="000000" w:themeColor="text1"/>
        </w:rPr>
        <w:t>Comprehensive</w:t>
      </w:r>
      <w:r w:rsidRPr="001C21B0">
        <w:rPr>
          <w:rFonts w:cs="Calibri"/>
          <w:color w:val="000000" w:themeColor="text1"/>
          <w:spacing w:val="-3"/>
        </w:rPr>
        <w:t xml:space="preserve"> </w:t>
      </w:r>
      <w:r w:rsidRPr="001C21B0">
        <w:rPr>
          <w:rFonts w:cs="Calibri"/>
          <w:color w:val="000000" w:themeColor="text1"/>
        </w:rPr>
        <w:t>operating</w:t>
      </w:r>
      <w:r w:rsidRPr="001C21B0">
        <w:rPr>
          <w:rFonts w:cs="Calibri"/>
          <w:color w:val="000000" w:themeColor="text1"/>
          <w:spacing w:val="-3"/>
        </w:rPr>
        <w:t xml:space="preserve"> </w:t>
      </w:r>
      <w:r w:rsidRPr="001C21B0">
        <w:rPr>
          <w:rFonts w:cs="Calibri"/>
          <w:color w:val="000000" w:themeColor="text1"/>
          <w:spacing w:val="-2"/>
        </w:rPr>
        <w:t>statement</w:t>
      </w:r>
    </w:p>
    <w:p w14:paraId="485603D7" w14:textId="77777777" w:rsidR="00FA4226" w:rsidRPr="001C21B0" w:rsidRDefault="00000000" w:rsidP="0043303B">
      <w:pPr>
        <w:pStyle w:val="Heading7"/>
        <w:spacing w:before="181"/>
        <w:rPr>
          <w:rFonts w:cs="Calibri"/>
          <w:color w:val="000000" w:themeColor="text1"/>
        </w:rPr>
      </w:pPr>
      <w:r w:rsidRPr="001C21B0">
        <w:rPr>
          <w:rFonts w:cs="Calibri"/>
          <w:color w:val="000000" w:themeColor="text1"/>
        </w:rPr>
        <w:t xml:space="preserve">For the financial year ended 30 June </w:t>
      </w:r>
      <w:r w:rsidRPr="001C21B0">
        <w:rPr>
          <w:rFonts w:cs="Calibri"/>
          <w:color w:val="000000" w:themeColor="text1"/>
          <w:spacing w:val="-4"/>
        </w:rPr>
        <w:t>2023</w:t>
      </w:r>
    </w:p>
    <w:p w14:paraId="26DE1B62" w14:textId="77777777" w:rsidR="00FA4226" w:rsidRPr="001C21B0" w:rsidRDefault="00FA4226" w:rsidP="0043303B">
      <w:pPr>
        <w:pStyle w:val="BodyText"/>
        <w:spacing w:before="5"/>
        <w:rPr>
          <w:rFonts w:cs="Calibri"/>
          <w:sz w:val="9"/>
        </w:rPr>
      </w:pPr>
    </w:p>
    <w:tbl>
      <w:tblPr>
        <w:tblW w:w="9637" w:type="dxa"/>
        <w:tblBorders>
          <w:top w:val="single" w:sz="4" w:space="0" w:color="C48F1B"/>
          <w:left w:val="single" w:sz="4" w:space="0" w:color="C48F1B"/>
          <w:bottom w:val="single" w:sz="4" w:space="0" w:color="C48F1B"/>
          <w:right w:val="single" w:sz="4" w:space="0" w:color="C48F1B"/>
          <w:insideH w:val="single" w:sz="4" w:space="0" w:color="C48F1B"/>
          <w:insideV w:val="single" w:sz="4" w:space="0" w:color="C48F1B"/>
        </w:tblBorders>
        <w:tblLayout w:type="fixed"/>
        <w:tblCellMar>
          <w:left w:w="0" w:type="dxa"/>
          <w:right w:w="0" w:type="dxa"/>
        </w:tblCellMar>
        <w:tblLook w:val="01E0" w:firstRow="1" w:lastRow="1" w:firstColumn="1" w:lastColumn="1" w:noHBand="0" w:noVBand="0"/>
      </w:tblPr>
      <w:tblGrid>
        <w:gridCol w:w="4331"/>
        <w:gridCol w:w="2302"/>
        <w:gridCol w:w="1502"/>
        <w:gridCol w:w="1502"/>
      </w:tblGrid>
      <w:tr w:rsidR="001C21B0" w:rsidRPr="001C21B0" w14:paraId="41B6F42D" w14:textId="77777777" w:rsidTr="006465DA">
        <w:trPr>
          <w:trHeight w:val="612"/>
        </w:trPr>
        <w:tc>
          <w:tcPr>
            <w:tcW w:w="6633" w:type="dxa"/>
            <w:gridSpan w:val="2"/>
            <w:tcBorders>
              <w:top w:val="nil"/>
              <w:left w:val="nil"/>
              <w:right w:val="nil"/>
            </w:tcBorders>
          </w:tcPr>
          <w:p w14:paraId="31CD54FF" w14:textId="77777777" w:rsidR="00FA4226" w:rsidRPr="001C21B0" w:rsidRDefault="00FA4226" w:rsidP="0043303B">
            <w:pPr>
              <w:pStyle w:val="TableParagraph"/>
              <w:spacing w:before="12"/>
              <w:jc w:val="left"/>
              <w:rPr>
                <w:rFonts w:cs="Calibri"/>
                <w:color w:val="000000" w:themeColor="text1"/>
                <w:sz w:val="24"/>
              </w:rPr>
            </w:pPr>
          </w:p>
          <w:p w14:paraId="2D427EAC" w14:textId="77777777" w:rsidR="00FA4226" w:rsidRPr="001C21B0" w:rsidRDefault="00000000" w:rsidP="0043303B">
            <w:pPr>
              <w:pStyle w:val="TableParagraph"/>
              <w:rPr>
                <w:rFonts w:cs="Calibri"/>
                <w:color w:val="000000" w:themeColor="text1"/>
                <w:sz w:val="17"/>
              </w:rPr>
            </w:pPr>
            <w:r w:rsidRPr="001C21B0">
              <w:rPr>
                <w:rFonts w:cs="Calibri"/>
                <w:color w:val="000000" w:themeColor="text1"/>
                <w:spacing w:val="-2"/>
                <w:sz w:val="17"/>
              </w:rPr>
              <w:t>Notes</w:t>
            </w:r>
          </w:p>
        </w:tc>
        <w:tc>
          <w:tcPr>
            <w:tcW w:w="1502" w:type="dxa"/>
            <w:tcBorders>
              <w:top w:val="nil"/>
              <w:left w:val="nil"/>
              <w:right w:val="single" w:sz="8" w:space="0" w:color="FFFFFF"/>
            </w:tcBorders>
            <w:shd w:val="clear" w:color="auto" w:fill="FFF0E7"/>
          </w:tcPr>
          <w:p w14:paraId="6B0263A0" w14:textId="77777777" w:rsidR="00FA4226" w:rsidRPr="001C21B0" w:rsidRDefault="00000000" w:rsidP="0043303B">
            <w:pPr>
              <w:pStyle w:val="TableParagraph"/>
              <w:spacing w:before="107"/>
              <w:rPr>
                <w:rFonts w:cs="Calibri"/>
                <w:color w:val="000000" w:themeColor="text1"/>
                <w:sz w:val="17"/>
              </w:rPr>
            </w:pPr>
            <w:r w:rsidRPr="001C21B0">
              <w:rPr>
                <w:rFonts w:cs="Calibri"/>
                <w:color w:val="000000" w:themeColor="text1"/>
                <w:spacing w:val="-4"/>
                <w:sz w:val="17"/>
              </w:rPr>
              <w:t>2023</w:t>
            </w:r>
          </w:p>
          <w:p w14:paraId="55B4D47B" w14:textId="77777777" w:rsidR="00FA4226" w:rsidRPr="001C21B0" w:rsidRDefault="00000000" w:rsidP="0043303B">
            <w:pPr>
              <w:pStyle w:val="TableParagraph"/>
              <w:spacing w:before="1"/>
              <w:rPr>
                <w:rFonts w:cs="Calibri"/>
                <w:color w:val="000000" w:themeColor="text1"/>
                <w:sz w:val="17"/>
              </w:rPr>
            </w:pPr>
            <w:r w:rsidRPr="001C21B0">
              <w:rPr>
                <w:rFonts w:cs="Calibri"/>
                <w:color w:val="000000" w:themeColor="text1"/>
                <w:sz w:val="17"/>
              </w:rPr>
              <w:t>$</w:t>
            </w:r>
          </w:p>
        </w:tc>
        <w:tc>
          <w:tcPr>
            <w:tcW w:w="1502" w:type="dxa"/>
            <w:tcBorders>
              <w:top w:val="nil"/>
              <w:left w:val="single" w:sz="8" w:space="0" w:color="FFFFFF"/>
              <w:right w:val="nil"/>
            </w:tcBorders>
            <w:shd w:val="clear" w:color="auto" w:fill="EDEFF0"/>
          </w:tcPr>
          <w:p w14:paraId="154846FB" w14:textId="77777777" w:rsidR="00FA4226" w:rsidRPr="001C21B0" w:rsidRDefault="00000000" w:rsidP="0043303B">
            <w:pPr>
              <w:pStyle w:val="TableParagraph"/>
              <w:spacing w:before="107"/>
              <w:rPr>
                <w:rFonts w:cs="Calibri"/>
                <w:color w:val="000000" w:themeColor="text1"/>
                <w:sz w:val="17"/>
              </w:rPr>
            </w:pPr>
            <w:r w:rsidRPr="001C21B0">
              <w:rPr>
                <w:rFonts w:cs="Calibri"/>
                <w:color w:val="000000" w:themeColor="text1"/>
                <w:spacing w:val="-4"/>
                <w:sz w:val="17"/>
              </w:rPr>
              <w:t>2022</w:t>
            </w:r>
          </w:p>
          <w:p w14:paraId="10D7CBED" w14:textId="77777777" w:rsidR="00FA4226" w:rsidRPr="001C21B0" w:rsidRDefault="00000000" w:rsidP="0043303B">
            <w:pPr>
              <w:pStyle w:val="TableParagraph"/>
              <w:spacing w:before="1"/>
              <w:rPr>
                <w:rFonts w:cs="Calibri"/>
                <w:color w:val="000000" w:themeColor="text1"/>
                <w:sz w:val="17"/>
              </w:rPr>
            </w:pPr>
            <w:r w:rsidRPr="001C21B0">
              <w:rPr>
                <w:rFonts w:cs="Calibri"/>
                <w:color w:val="000000" w:themeColor="text1"/>
                <w:sz w:val="17"/>
              </w:rPr>
              <w:t>$</w:t>
            </w:r>
          </w:p>
        </w:tc>
      </w:tr>
      <w:tr w:rsidR="001C21B0" w:rsidRPr="001C21B0" w14:paraId="6EF3D216" w14:textId="77777777" w:rsidTr="006465DA">
        <w:trPr>
          <w:trHeight w:val="598"/>
        </w:trPr>
        <w:tc>
          <w:tcPr>
            <w:tcW w:w="6633" w:type="dxa"/>
            <w:gridSpan w:val="2"/>
            <w:tcBorders>
              <w:left w:val="nil"/>
              <w:bottom w:val="single" w:sz="2" w:space="0" w:color="73777A"/>
              <w:right w:val="nil"/>
            </w:tcBorders>
          </w:tcPr>
          <w:p w14:paraId="22C23B37" w14:textId="77777777" w:rsidR="00FA4226" w:rsidRPr="001C21B0" w:rsidRDefault="00FA4226" w:rsidP="0043303B">
            <w:pPr>
              <w:pStyle w:val="TableParagraph"/>
              <w:spacing w:before="10"/>
              <w:jc w:val="left"/>
              <w:rPr>
                <w:rFonts w:cs="Calibri"/>
                <w:color w:val="000000" w:themeColor="text1"/>
                <w:sz w:val="21"/>
              </w:rPr>
            </w:pPr>
          </w:p>
          <w:p w14:paraId="106670CB" w14:textId="77777777" w:rsidR="00FA4226" w:rsidRPr="001C21B0" w:rsidRDefault="00000000" w:rsidP="0043303B">
            <w:pPr>
              <w:pStyle w:val="TableParagraph"/>
              <w:jc w:val="left"/>
              <w:rPr>
                <w:rFonts w:cs="Calibri"/>
                <w:color w:val="000000" w:themeColor="text1"/>
                <w:sz w:val="18"/>
              </w:rPr>
            </w:pPr>
            <w:r w:rsidRPr="001C21B0">
              <w:rPr>
                <w:rFonts w:cs="Calibri"/>
                <w:color w:val="000000" w:themeColor="text1"/>
                <w:sz w:val="18"/>
              </w:rPr>
              <w:t>Income</w:t>
            </w:r>
            <w:r w:rsidRPr="001C21B0">
              <w:rPr>
                <w:rFonts w:cs="Calibri"/>
                <w:color w:val="000000" w:themeColor="text1"/>
                <w:spacing w:val="5"/>
                <w:sz w:val="18"/>
              </w:rPr>
              <w:t xml:space="preserve"> </w:t>
            </w:r>
            <w:r w:rsidRPr="001C21B0">
              <w:rPr>
                <w:rFonts w:cs="Calibri"/>
                <w:color w:val="000000" w:themeColor="text1"/>
                <w:sz w:val="18"/>
              </w:rPr>
              <w:t>from</w:t>
            </w:r>
            <w:r w:rsidRPr="001C21B0">
              <w:rPr>
                <w:rFonts w:cs="Calibri"/>
                <w:color w:val="000000" w:themeColor="text1"/>
                <w:spacing w:val="7"/>
                <w:sz w:val="18"/>
              </w:rPr>
              <w:t xml:space="preserve"> </w:t>
            </w:r>
            <w:r w:rsidRPr="001C21B0">
              <w:rPr>
                <w:rFonts w:cs="Calibri"/>
                <w:color w:val="000000" w:themeColor="text1"/>
                <w:spacing w:val="-2"/>
                <w:sz w:val="18"/>
              </w:rPr>
              <w:t>transactions</w:t>
            </w:r>
          </w:p>
        </w:tc>
        <w:tc>
          <w:tcPr>
            <w:tcW w:w="1502" w:type="dxa"/>
            <w:tcBorders>
              <w:left w:val="nil"/>
              <w:bottom w:val="single" w:sz="2" w:space="0" w:color="73777A"/>
              <w:right w:val="single" w:sz="8" w:space="0" w:color="FFFFFF"/>
            </w:tcBorders>
            <w:shd w:val="clear" w:color="auto" w:fill="FFF0E7"/>
          </w:tcPr>
          <w:p w14:paraId="4501DDFC" w14:textId="77777777" w:rsidR="00FA4226" w:rsidRPr="001C21B0" w:rsidRDefault="00FA4226" w:rsidP="0043303B">
            <w:pPr>
              <w:pStyle w:val="TableParagraph"/>
              <w:jc w:val="left"/>
              <w:rPr>
                <w:rFonts w:cs="Calibri"/>
                <w:color w:val="000000" w:themeColor="text1"/>
                <w:sz w:val="16"/>
              </w:rPr>
            </w:pPr>
          </w:p>
        </w:tc>
        <w:tc>
          <w:tcPr>
            <w:tcW w:w="1502" w:type="dxa"/>
            <w:tcBorders>
              <w:left w:val="single" w:sz="8" w:space="0" w:color="FFFFFF"/>
              <w:bottom w:val="single" w:sz="2" w:space="0" w:color="73777A"/>
              <w:right w:val="nil"/>
            </w:tcBorders>
            <w:shd w:val="clear" w:color="auto" w:fill="EDEFF0"/>
          </w:tcPr>
          <w:p w14:paraId="73ADD5E6" w14:textId="77777777" w:rsidR="00FA4226" w:rsidRPr="001C21B0" w:rsidRDefault="00FA4226" w:rsidP="0043303B">
            <w:pPr>
              <w:pStyle w:val="TableParagraph"/>
              <w:jc w:val="left"/>
              <w:rPr>
                <w:rFonts w:cs="Calibri"/>
                <w:color w:val="000000" w:themeColor="text1"/>
                <w:sz w:val="16"/>
              </w:rPr>
            </w:pPr>
          </w:p>
        </w:tc>
      </w:tr>
      <w:tr w:rsidR="001C21B0" w:rsidRPr="001C21B0" w14:paraId="15E52623" w14:textId="77777777" w:rsidTr="006465DA">
        <w:trPr>
          <w:trHeight w:val="297"/>
        </w:trPr>
        <w:tc>
          <w:tcPr>
            <w:tcW w:w="4331" w:type="dxa"/>
            <w:tcBorders>
              <w:top w:val="single" w:sz="2" w:space="0" w:color="73777A"/>
              <w:left w:val="nil"/>
              <w:bottom w:val="single" w:sz="2" w:space="0" w:color="73777A"/>
              <w:right w:val="nil"/>
            </w:tcBorders>
          </w:tcPr>
          <w:p w14:paraId="1ACF87A9" w14:textId="77777777" w:rsidR="00FA4226" w:rsidRPr="001C21B0" w:rsidRDefault="00000000" w:rsidP="0043303B">
            <w:pPr>
              <w:pStyle w:val="TableParagraph"/>
              <w:jc w:val="left"/>
              <w:rPr>
                <w:rFonts w:cs="Calibri"/>
                <w:color w:val="000000" w:themeColor="text1"/>
                <w:sz w:val="18"/>
              </w:rPr>
            </w:pPr>
            <w:r w:rsidRPr="001C21B0">
              <w:rPr>
                <w:rFonts w:cs="Calibri"/>
                <w:color w:val="000000" w:themeColor="text1"/>
                <w:sz w:val="18"/>
              </w:rPr>
              <w:t>Grant</w:t>
            </w:r>
            <w:r w:rsidRPr="001C21B0">
              <w:rPr>
                <w:rFonts w:cs="Calibri"/>
                <w:color w:val="000000" w:themeColor="text1"/>
                <w:spacing w:val="3"/>
                <w:sz w:val="18"/>
              </w:rPr>
              <w:t xml:space="preserve"> </w:t>
            </w:r>
            <w:r w:rsidRPr="001C21B0">
              <w:rPr>
                <w:rFonts w:cs="Calibri"/>
                <w:color w:val="000000" w:themeColor="text1"/>
                <w:spacing w:val="-2"/>
                <w:sz w:val="18"/>
              </w:rPr>
              <w:t>income</w:t>
            </w:r>
          </w:p>
        </w:tc>
        <w:tc>
          <w:tcPr>
            <w:tcW w:w="2302" w:type="dxa"/>
            <w:tcBorders>
              <w:top w:val="single" w:sz="2" w:space="0" w:color="73777A"/>
              <w:left w:val="nil"/>
              <w:bottom w:val="single" w:sz="2" w:space="0" w:color="73777A"/>
              <w:right w:val="nil"/>
            </w:tcBorders>
          </w:tcPr>
          <w:p w14:paraId="26942700" w14:textId="77777777" w:rsidR="00FA4226" w:rsidRPr="001C21B0" w:rsidRDefault="00000000" w:rsidP="0043303B">
            <w:pPr>
              <w:pStyle w:val="TableParagraph"/>
              <w:rPr>
                <w:rFonts w:cs="Calibri"/>
                <w:color w:val="000000" w:themeColor="text1"/>
                <w:sz w:val="18"/>
              </w:rPr>
            </w:pPr>
            <w:r w:rsidRPr="001C21B0">
              <w:rPr>
                <w:rFonts w:cs="Calibri"/>
                <w:color w:val="000000" w:themeColor="text1"/>
                <w:spacing w:val="-5"/>
                <w:sz w:val="18"/>
              </w:rPr>
              <w:t>2.1</w:t>
            </w:r>
          </w:p>
        </w:tc>
        <w:tc>
          <w:tcPr>
            <w:tcW w:w="1502" w:type="dxa"/>
            <w:tcBorders>
              <w:top w:val="single" w:sz="2" w:space="0" w:color="73777A"/>
              <w:left w:val="nil"/>
              <w:bottom w:val="single" w:sz="2" w:space="0" w:color="73777A"/>
              <w:right w:val="single" w:sz="8" w:space="0" w:color="FFFFFF"/>
            </w:tcBorders>
            <w:shd w:val="clear" w:color="auto" w:fill="FFF0E7"/>
          </w:tcPr>
          <w:p w14:paraId="1CA90537" w14:textId="77777777" w:rsidR="00FA4226" w:rsidRPr="001C21B0" w:rsidRDefault="00000000" w:rsidP="0043303B">
            <w:pPr>
              <w:pStyle w:val="TableParagraph"/>
              <w:rPr>
                <w:rFonts w:cs="Calibri"/>
                <w:color w:val="000000" w:themeColor="text1"/>
                <w:sz w:val="18"/>
              </w:rPr>
            </w:pPr>
            <w:r w:rsidRPr="001C21B0">
              <w:rPr>
                <w:rFonts w:cs="Calibri"/>
                <w:color w:val="000000" w:themeColor="text1"/>
                <w:spacing w:val="-2"/>
                <w:sz w:val="18"/>
              </w:rPr>
              <w:t>9,922,138</w:t>
            </w:r>
          </w:p>
        </w:tc>
        <w:tc>
          <w:tcPr>
            <w:tcW w:w="1502" w:type="dxa"/>
            <w:tcBorders>
              <w:top w:val="single" w:sz="2" w:space="0" w:color="73777A"/>
              <w:left w:val="single" w:sz="8" w:space="0" w:color="FFFFFF"/>
              <w:bottom w:val="single" w:sz="2" w:space="0" w:color="73777A"/>
              <w:right w:val="nil"/>
            </w:tcBorders>
            <w:shd w:val="clear" w:color="auto" w:fill="EDEFF0"/>
          </w:tcPr>
          <w:p w14:paraId="1B39DD22" w14:textId="77777777" w:rsidR="00FA4226" w:rsidRPr="001C21B0" w:rsidRDefault="00000000" w:rsidP="0043303B">
            <w:pPr>
              <w:pStyle w:val="TableParagraph"/>
              <w:rPr>
                <w:rFonts w:cs="Calibri"/>
                <w:color w:val="000000" w:themeColor="text1"/>
                <w:sz w:val="18"/>
              </w:rPr>
            </w:pPr>
            <w:r w:rsidRPr="001C21B0">
              <w:rPr>
                <w:rFonts w:cs="Calibri"/>
                <w:color w:val="000000" w:themeColor="text1"/>
                <w:spacing w:val="-2"/>
                <w:sz w:val="18"/>
              </w:rPr>
              <w:t>9,849,369</w:t>
            </w:r>
          </w:p>
        </w:tc>
      </w:tr>
      <w:tr w:rsidR="001C21B0" w:rsidRPr="001C21B0" w14:paraId="0B5DF204" w14:textId="77777777" w:rsidTr="006465DA">
        <w:trPr>
          <w:trHeight w:val="292"/>
        </w:trPr>
        <w:tc>
          <w:tcPr>
            <w:tcW w:w="6633" w:type="dxa"/>
            <w:gridSpan w:val="2"/>
            <w:tcBorders>
              <w:top w:val="single" w:sz="2" w:space="0" w:color="73777A"/>
              <w:left w:val="nil"/>
              <w:bottom w:val="single" w:sz="6" w:space="0" w:color="73777A"/>
              <w:right w:val="nil"/>
            </w:tcBorders>
          </w:tcPr>
          <w:p w14:paraId="12F4DCD1" w14:textId="77777777" w:rsidR="00FA4226" w:rsidRPr="001C21B0" w:rsidRDefault="00000000" w:rsidP="0043303B">
            <w:pPr>
              <w:pStyle w:val="TableParagraph"/>
              <w:spacing w:before="13"/>
              <w:jc w:val="left"/>
              <w:rPr>
                <w:rFonts w:cs="Calibri"/>
                <w:color w:val="000000" w:themeColor="text1"/>
                <w:sz w:val="18"/>
              </w:rPr>
            </w:pPr>
            <w:r w:rsidRPr="001C21B0">
              <w:rPr>
                <w:rFonts w:cs="Calibri"/>
                <w:color w:val="000000" w:themeColor="text1"/>
                <w:sz w:val="18"/>
              </w:rPr>
              <w:t>Total</w:t>
            </w:r>
            <w:r w:rsidRPr="001C21B0">
              <w:rPr>
                <w:rFonts w:cs="Calibri"/>
                <w:color w:val="000000" w:themeColor="text1"/>
                <w:spacing w:val="2"/>
                <w:sz w:val="18"/>
              </w:rPr>
              <w:t xml:space="preserve"> </w:t>
            </w:r>
            <w:r w:rsidRPr="001C21B0">
              <w:rPr>
                <w:rFonts w:cs="Calibri"/>
                <w:color w:val="000000" w:themeColor="text1"/>
                <w:sz w:val="18"/>
              </w:rPr>
              <w:t>income</w:t>
            </w:r>
            <w:r w:rsidRPr="001C21B0">
              <w:rPr>
                <w:rFonts w:cs="Calibri"/>
                <w:color w:val="000000" w:themeColor="text1"/>
                <w:spacing w:val="2"/>
                <w:sz w:val="18"/>
              </w:rPr>
              <w:t xml:space="preserve"> </w:t>
            </w:r>
            <w:r w:rsidRPr="001C21B0">
              <w:rPr>
                <w:rFonts w:cs="Calibri"/>
                <w:color w:val="000000" w:themeColor="text1"/>
                <w:sz w:val="18"/>
              </w:rPr>
              <w:t>from</w:t>
            </w:r>
            <w:r w:rsidRPr="001C21B0">
              <w:rPr>
                <w:rFonts w:cs="Calibri"/>
                <w:color w:val="000000" w:themeColor="text1"/>
                <w:spacing w:val="3"/>
                <w:sz w:val="18"/>
              </w:rPr>
              <w:t xml:space="preserve"> </w:t>
            </w:r>
            <w:r w:rsidRPr="001C21B0">
              <w:rPr>
                <w:rFonts w:cs="Calibri"/>
                <w:color w:val="000000" w:themeColor="text1"/>
                <w:spacing w:val="-2"/>
                <w:sz w:val="18"/>
              </w:rPr>
              <w:t>transactions</w:t>
            </w:r>
          </w:p>
        </w:tc>
        <w:tc>
          <w:tcPr>
            <w:tcW w:w="1502" w:type="dxa"/>
            <w:tcBorders>
              <w:top w:val="single" w:sz="2" w:space="0" w:color="73777A"/>
              <w:left w:val="nil"/>
              <w:bottom w:val="single" w:sz="6" w:space="0" w:color="73777A"/>
              <w:right w:val="single" w:sz="8" w:space="0" w:color="FFFFFF"/>
            </w:tcBorders>
            <w:shd w:val="clear" w:color="auto" w:fill="FFF0E7"/>
          </w:tcPr>
          <w:p w14:paraId="56C7F812" w14:textId="77777777" w:rsidR="00FA4226" w:rsidRPr="001C21B0" w:rsidRDefault="00000000" w:rsidP="0043303B">
            <w:pPr>
              <w:pStyle w:val="TableParagraph"/>
              <w:spacing w:before="13"/>
              <w:rPr>
                <w:rFonts w:cs="Calibri"/>
                <w:color w:val="000000" w:themeColor="text1"/>
                <w:sz w:val="18"/>
              </w:rPr>
            </w:pPr>
            <w:r w:rsidRPr="001C21B0">
              <w:rPr>
                <w:rFonts w:cs="Calibri"/>
                <w:color w:val="000000" w:themeColor="text1"/>
                <w:spacing w:val="-2"/>
                <w:sz w:val="18"/>
              </w:rPr>
              <w:t>9,922,138</w:t>
            </w:r>
          </w:p>
        </w:tc>
        <w:tc>
          <w:tcPr>
            <w:tcW w:w="1502" w:type="dxa"/>
            <w:tcBorders>
              <w:top w:val="single" w:sz="2" w:space="0" w:color="73777A"/>
              <w:left w:val="single" w:sz="8" w:space="0" w:color="FFFFFF"/>
              <w:bottom w:val="single" w:sz="6" w:space="0" w:color="73777A"/>
              <w:right w:val="nil"/>
            </w:tcBorders>
            <w:shd w:val="clear" w:color="auto" w:fill="EDEFF0"/>
          </w:tcPr>
          <w:p w14:paraId="5084A294" w14:textId="77777777" w:rsidR="00FA4226" w:rsidRPr="001C21B0" w:rsidRDefault="00000000" w:rsidP="0043303B">
            <w:pPr>
              <w:pStyle w:val="TableParagraph"/>
              <w:spacing w:before="13"/>
              <w:rPr>
                <w:rFonts w:cs="Calibri"/>
                <w:color w:val="000000" w:themeColor="text1"/>
                <w:sz w:val="18"/>
              </w:rPr>
            </w:pPr>
            <w:r w:rsidRPr="001C21B0">
              <w:rPr>
                <w:rFonts w:cs="Calibri"/>
                <w:color w:val="000000" w:themeColor="text1"/>
                <w:spacing w:val="-2"/>
                <w:sz w:val="18"/>
              </w:rPr>
              <w:t>9,849,369</w:t>
            </w:r>
          </w:p>
        </w:tc>
      </w:tr>
      <w:tr w:rsidR="001C21B0" w:rsidRPr="001C21B0" w14:paraId="76C8E202" w14:textId="77777777" w:rsidTr="006465DA">
        <w:trPr>
          <w:trHeight w:val="595"/>
        </w:trPr>
        <w:tc>
          <w:tcPr>
            <w:tcW w:w="6633" w:type="dxa"/>
            <w:gridSpan w:val="2"/>
            <w:tcBorders>
              <w:top w:val="single" w:sz="6" w:space="0" w:color="73777A"/>
              <w:left w:val="nil"/>
              <w:bottom w:val="single" w:sz="2" w:space="0" w:color="73777A"/>
              <w:right w:val="nil"/>
            </w:tcBorders>
          </w:tcPr>
          <w:p w14:paraId="2E1A4CA9" w14:textId="77777777" w:rsidR="00FA4226" w:rsidRPr="001C21B0" w:rsidRDefault="00FA4226" w:rsidP="0043303B">
            <w:pPr>
              <w:pStyle w:val="TableParagraph"/>
              <w:spacing w:before="8"/>
              <w:jc w:val="left"/>
              <w:rPr>
                <w:rFonts w:cs="Calibri"/>
                <w:color w:val="000000" w:themeColor="text1"/>
              </w:rPr>
            </w:pPr>
          </w:p>
          <w:p w14:paraId="41FBB4A1" w14:textId="77777777" w:rsidR="00FA4226" w:rsidRPr="001C21B0" w:rsidRDefault="00000000" w:rsidP="0043303B">
            <w:pPr>
              <w:pStyle w:val="TableParagraph"/>
              <w:jc w:val="left"/>
              <w:rPr>
                <w:rFonts w:cs="Calibri"/>
                <w:color w:val="000000" w:themeColor="text1"/>
                <w:sz w:val="10"/>
              </w:rPr>
            </w:pPr>
            <w:r w:rsidRPr="001C21B0">
              <w:rPr>
                <w:rFonts w:cs="Calibri"/>
                <w:color w:val="000000" w:themeColor="text1"/>
                <w:sz w:val="18"/>
              </w:rPr>
              <w:t>Expenses</w:t>
            </w:r>
            <w:r w:rsidRPr="001C21B0">
              <w:rPr>
                <w:rFonts w:cs="Calibri"/>
                <w:color w:val="000000" w:themeColor="text1"/>
                <w:spacing w:val="12"/>
                <w:sz w:val="18"/>
              </w:rPr>
              <w:t xml:space="preserve"> </w:t>
            </w:r>
            <w:r w:rsidRPr="001C21B0">
              <w:rPr>
                <w:rFonts w:cs="Calibri"/>
                <w:color w:val="000000" w:themeColor="text1"/>
                <w:sz w:val="18"/>
              </w:rPr>
              <w:t>from</w:t>
            </w:r>
            <w:r w:rsidRPr="001C21B0">
              <w:rPr>
                <w:rFonts w:cs="Calibri"/>
                <w:color w:val="000000" w:themeColor="text1"/>
                <w:spacing w:val="14"/>
                <w:sz w:val="18"/>
              </w:rPr>
              <w:t xml:space="preserve"> </w:t>
            </w:r>
            <w:r w:rsidRPr="001C21B0">
              <w:rPr>
                <w:rFonts w:cs="Calibri"/>
                <w:color w:val="000000" w:themeColor="text1"/>
                <w:sz w:val="18"/>
              </w:rPr>
              <w:t>transactions</w:t>
            </w:r>
            <w:r w:rsidRPr="001C21B0">
              <w:rPr>
                <w:rFonts w:cs="Calibri"/>
                <w:color w:val="000000" w:themeColor="text1"/>
                <w:spacing w:val="14"/>
                <w:sz w:val="18"/>
              </w:rPr>
              <w:t xml:space="preserve"> </w:t>
            </w:r>
            <w:r w:rsidRPr="001C21B0">
              <w:rPr>
                <w:rFonts w:cs="Calibri"/>
                <w:color w:val="000000" w:themeColor="text1"/>
                <w:spacing w:val="-5"/>
                <w:position w:val="6"/>
                <w:sz w:val="10"/>
              </w:rPr>
              <w:t>(i)</w:t>
            </w:r>
          </w:p>
        </w:tc>
        <w:tc>
          <w:tcPr>
            <w:tcW w:w="1502" w:type="dxa"/>
            <w:tcBorders>
              <w:top w:val="single" w:sz="6" w:space="0" w:color="73777A"/>
              <w:left w:val="nil"/>
              <w:bottom w:val="single" w:sz="2" w:space="0" w:color="73777A"/>
              <w:right w:val="single" w:sz="8" w:space="0" w:color="FFFFFF"/>
            </w:tcBorders>
            <w:shd w:val="clear" w:color="auto" w:fill="FFF0E7"/>
          </w:tcPr>
          <w:p w14:paraId="704D5808" w14:textId="77777777" w:rsidR="00FA4226" w:rsidRPr="001C21B0" w:rsidRDefault="00FA4226" w:rsidP="0043303B">
            <w:pPr>
              <w:pStyle w:val="TableParagraph"/>
              <w:jc w:val="left"/>
              <w:rPr>
                <w:rFonts w:cs="Calibri"/>
                <w:color w:val="000000" w:themeColor="text1"/>
                <w:sz w:val="16"/>
              </w:rPr>
            </w:pPr>
          </w:p>
        </w:tc>
        <w:tc>
          <w:tcPr>
            <w:tcW w:w="1502" w:type="dxa"/>
            <w:tcBorders>
              <w:top w:val="single" w:sz="6" w:space="0" w:color="73777A"/>
              <w:left w:val="single" w:sz="8" w:space="0" w:color="FFFFFF"/>
              <w:bottom w:val="single" w:sz="2" w:space="0" w:color="73777A"/>
              <w:right w:val="nil"/>
            </w:tcBorders>
            <w:shd w:val="clear" w:color="auto" w:fill="EDEFF0"/>
          </w:tcPr>
          <w:p w14:paraId="6237190D" w14:textId="77777777" w:rsidR="00FA4226" w:rsidRPr="001C21B0" w:rsidRDefault="00FA4226" w:rsidP="0043303B">
            <w:pPr>
              <w:pStyle w:val="TableParagraph"/>
              <w:jc w:val="left"/>
              <w:rPr>
                <w:rFonts w:cs="Calibri"/>
                <w:color w:val="000000" w:themeColor="text1"/>
                <w:sz w:val="16"/>
              </w:rPr>
            </w:pPr>
          </w:p>
        </w:tc>
      </w:tr>
      <w:tr w:rsidR="001C21B0" w:rsidRPr="001C21B0" w14:paraId="6D4018C1" w14:textId="77777777" w:rsidTr="006465DA">
        <w:trPr>
          <w:trHeight w:val="297"/>
        </w:trPr>
        <w:tc>
          <w:tcPr>
            <w:tcW w:w="4331" w:type="dxa"/>
            <w:tcBorders>
              <w:top w:val="single" w:sz="2" w:space="0" w:color="73777A"/>
              <w:left w:val="nil"/>
              <w:bottom w:val="single" w:sz="2" w:space="0" w:color="73777A"/>
              <w:right w:val="nil"/>
            </w:tcBorders>
          </w:tcPr>
          <w:p w14:paraId="13936236" w14:textId="77777777" w:rsidR="00FA4226" w:rsidRPr="001C21B0" w:rsidRDefault="00000000" w:rsidP="0043303B">
            <w:pPr>
              <w:pStyle w:val="TableParagraph"/>
              <w:jc w:val="left"/>
              <w:rPr>
                <w:rFonts w:cs="Calibri"/>
                <w:color w:val="000000" w:themeColor="text1"/>
                <w:sz w:val="18"/>
              </w:rPr>
            </w:pPr>
            <w:r w:rsidRPr="001C21B0">
              <w:rPr>
                <w:rFonts w:cs="Calibri"/>
                <w:color w:val="000000" w:themeColor="text1"/>
                <w:sz w:val="18"/>
              </w:rPr>
              <w:t>Employee</w:t>
            </w:r>
            <w:r w:rsidRPr="001C21B0">
              <w:rPr>
                <w:rFonts w:cs="Calibri"/>
                <w:color w:val="000000" w:themeColor="text1"/>
                <w:spacing w:val="5"/>
                <w:sz w:val="18"/>
              </w:rPr>
              <w:t xml:space="preserve"> </w:t>
            </w:r>
            <w:r w:rsidRPr="001C21B0">
              <w:rPr>
                <w:rFonts w:cs="Calibri"/>
                <w:color w:val="000000" w:themeColor="text1"/>
                <w:sz w:val="18"/>
              </w:rPr>
              <w:t>benefit</w:t>
            </w:r>
            <w:r w:rsidRPr="001C21B0">
              <w:rPr>
                <w:rFonts w:cs="Calibri"/>
                <w:color w:val="000000" w:themeColor="text1"/>
                <w:spacing w:val="5"/>
                <w:sz w:val="18"/>
              </w:rPr>
              <w:t xml:space="preserve"> </w:t>
            </w:r>
            <w:r w:rsidRPr="001C21B0">
              <w:rPr>
                <w:rFonts w:cs="Calibri"/>
                <w:color w:val="000000" w:themeColor="text1"/>
                <w:spacing w:val="-2"/>
                <w:sz w:val="18"/>
              </w:rPr>
              <w:t>expense</w:t>
            </w:r>
          </w:p>
        </w:tc>
        <w:tc>
          <w:tcPr>
            <w:tcW w:w="2302" w:type="dxa"/>
            <w:tcBorders>
              <w:top w:val="single" w:sz="2" w:space="0" w:color="73777A"/>
              <w:left w:val="nil"/>
              <w:bottom w:val="single" w:sz="2" w:space="0" w:color="73777A"/>
              <w:right w:val="nil"/>
            </w:tcBorders>
          </w:tcPr>
          <w:p w14:paraId="182B7248" w14:textId="77777777" w:rsidR="00FA4226" w:rsidRPr="001C21B0" w:rsidRDefault="00000000" w:rsidP="0043303B">
            <w:pPr>
              <w:pStyle w:val="TableParagraph"/>
              <w:rPr>
                <w:rFonts w:cs="Calibri"/>
                <w:color w:val="000000" w:themeColor="text1"/>
                <w:sz w:val="18"/>
              </w:rPr>
            </w:pPr>
            <w:r w:rsidRPr="001C21B0">
              <w:rPr>
                <w:rFonts w:cs="Calibri"/>
                <w:color w:val="000000" w:themeColor="text1"/>
                <w:spacing w:val="-2"/>
                <w:sz w:val="18"/>
              </w:rPr>
              <w:t>3.2.1</w:t>
            </w:r>
          </w:p>
        </w:tc>
        <w:tc>
          <w:tcPr>
            <w:tcW w:w="1502" w:type="dxa"/>
            <w:tcBorders>
              <w:top w:val="single" w:sz="2" w:space="0" w:color="73777A"/>
              <w:left w:val="nil"/>
              <w:bottom w:val="single" w:sz="2" w:space="0" w:color="73777A"/>
              <w:right w:val="single" w:sz="8" w:space="0" w:color="FFFFFF"/>
            </w:tcBorders>
            <w:shd w:val="clear" w:color="auto" w:fill="FFF0E7"/>
          </w:tcPr>
          <w:p w14:paraId="55CC04A1" w14:textId="77777777" w:rsidR="00FA4226" w:rsidRPr="001C21B0" w:rsidRDefault="00000000" w:rsidP="0043303B">
            <w:pPr>
              <w:pStyle w:val="TableParagraph"/>
              <w:rPr>
                <w:rFonts w:cs="Calibri"/>
                <w:color w:val="000000" w:themeColor="text1"/>
                <w:sz w:val="18"/>
              </w:rPr>
            </w:pPr>
            <w:r w:rsidRPr="001C21B0">
              <w:rPr>
                <w:rFonts w:cs="Calibri"/>
                <w:color w:val="000000" w:themeColor="text1"/>
                <w:spacing w:val="-2"/>
                <w:sz w:val="18"/>
              </w:rPr>
              <w:t>(6,536,110)</w:t>
            </w:r>
          </w:p>
        </w:tc>
        <w:tc>
          <w:tcPr>
            <w:tcW w:w="1502" w:type="dxa"/>
            <w:tcBorders>
              <w:top w:val="single" w:sz="2" w:space="0" w:color="73777A"/>
              <w:left w:val="single" w:sz="8" w:space="0" w:color="FFFFFF"/>
              <w:bottom w:val="single" w:sz="2" w:space="0" w:color="73777A"/>
              <w:right w:val="nil"/>
            </w:tcBorders>
            <w:shd w:val="clear" w:color="auto" w:fill="EDEFF0"/>
          </w:tcPr>
          <w:p w14:paraId="0EDA717A" w14:textId="77777777" w:rsidR="00FA4226" w:rsidRPr="001C21B0" w:rsidRDefault="00000000" w:rsidP="0043303B">
            <w:pPr>
              <w:pStyle w:val="TableParagraph"/>
              <w:rPr>
                <w:rFonts w:cs="Calibri"/>
                <w:color w:val="000000" w:themeColor="text1"/>
                <w:sz w:val="18"/>
              </w:rPr>
            </w:pPr>
            <w:r w:rsidRPr="001C21B0">
              <w:rPr>
                <w:rFonts w:cs="Calibri"/>
                <w:color w:val="000000" w:themeColor="text1"/>
                <w:spacing w:val="-2"/>
                <w:sz w:val="18"/>
              </w:rPr>
              <w:t>(5,998,293)</w:t>
            </w:r>
          </w:p>
        </w:tc>
      </w:tr>
      <w:tr w:rsidR="001C21B0" w:rsidRPr="001C21B0" w14:paraId="0F23E524" w14:textId="77777777" w:rsidTr="006465DA">
        <w:trPr>
          <w:trHeight w:val="297"/>
        </w:trPr>
        <w:tc>
          <w:tcPr>
            <w:tcW w:w="4331" w:type="dxa"/>
            <w:tcBorders>
              <w:top w:val="single" w:sz="2" w:space="0" w:color="73777A"/>
              <w:left w:val="nil"/>
              <w:bottom w:val="single" w:sz="2" w:space="0" w:color="73777A"/>
              <w:right w:val="nil"/>
            </w:tcBorders>
          </w:tcPr>
          <w:p w14:paraId="4F02903C" w14:textId="77777777" w:rsidR="00FA4226" w:rsidRPr="001C21B0" w:rsidRDefault="00000000" w:rsidP="0043303B">
            <w:pPr>
              <w:pStyle w:val="TableParagraph"/>
              <w:jc w:val="left"/>
              <w:rPr>
                <w:rFonts w:cs="Calibri"/>
                <w:color w:val="000000" w:themeColor="text1"/>
                <w:sz w:val="10"/>
              </w:rPr>
            </w:pPr>
            <w:r w:rsidRPr="001C21B0">
              <w:rPr>
                <w:rFonts w:cs="Calibri"/>
                <w:color w:val="000000" w:themeColor="text1"/>
                <w:sz w:val="18"/>
              </w:rPr>
              <w:t>Depreciation</w:t>
            </w:r>
            <w:r w:rsidRPr="001C21B0">
              <w:rPr>
                <w:rFonts w:cs="Calibri"/>
                <w:color w:val="000000" w:themeColor="text1"/>
                <w:spacing w:val="9"/>
                <w:sz w:val="18"/>
              </w:rPr>
              <w:t xml:space="preserve"> </w:t>
            </w:r>
            <w:r w:rsidRPr="001C21B0">
              <w:rPr>
                <w:rFonts w:cs="Calibri"/>
                <w:color w:val="000000" w:themeColor="text1"/>
                <w:sz w:val="18"/>
              </w:rPr>
              <w:t>and</w:t>
            </w:r>
            <w:r w:rsidRPr="001C21B0">
              <w:rPr>
                <w:rFonts w:cs="Calibri"/>
                <w:color w:val="000000" w:themeColor="text1"/>
                <w:spacing w:val="10"/>
                <w:sz w:val="18"/>
              </w:rPr>
              <w:t xml:space="preserve"> </w:t>
            </w:r>
            <w:r w:rsidRPr="001C21B0">
              <w:rPr>
                <w:rFonts w:cs="Calibri"/>
                <w:color w:val="000000" w:themeColor="text1"/>
                <w:sz w:val="18"/>
              </w:rPr>
              <w:t>amortisation</w:t>
            </w:r>
            <w:r w:rsidRPr="001C21B0">
              <w:rPr>
                <w:rFonts w:cs="Calibri"/>
                <w:color w:val="000000" w:themeColor="text1"/>
                <w:spacing w:val="9"/>
                <w:sz w:val="18"/>
              </w:rPr>
              <w:t xml:space="preserve"> </w:t>
            </w:r>
            <w:r w:rsidRPr="001C21B0">
              <w:rPr>
                <w:rFonts w:cs="Calibri"/>
                <w:color w:val="000000" w:themeColor="text1"/>
                <w:spacing w:val="-4"/>
                <w:position w:val="6"/>
                <w:sz w:val="10"/>
              </w:rPr>
              <w:t>(ii)</w:t>
            </w:r>
          </w:p>
        </w:tc>
        <w:tc>
          <w:tcPr>
            <w:tcW w:w="2302" w:type="dxa"/>
            <w:tcBorders>
              <w:top w:val="single" w:sz="2" w:space="0" w:color="73777A"/>
              <w:left w:val="nil"/>
              <w:bottom w:val="single" w:sz="2" w:space="0" w:color="73777A"/>
              <w:right w:val="nil"/>
            </w:tcBorders>
          </w:tcPr>
          <w:p w14:paraId="30642BD5" w14:textId="77777777" w:rsidR="00FA4226" w:rsidRPr="001C21B0" w:rsidRDefault="00000000" w:rsidP="0043303B">
            <w:pPr>
              <w:pStyle w:val="TableParagraph"/>
              <w:rPr>
                <w:rFonts w:cs="Calibri"/>
                <w:color w:val="000000" w:themeColor="text1"/>
                <w:sz w:val="18"/>
              </w:rPr>
            </w:pPr>
            <w:r w:rsidRPr="001C21B0">
              <w:rPr>
                <w:rFonts w:cs="Calibri"/>
                <w:color w:val="000000" w:themeColor="text1"/>
                <w:spacing w:val="-5"/>
                <w:sz w:val="18"/>
              </w:rPr>
              <w:t>4.2</w:t>
            </w:r>
          </w:p>
        </w:tc>
        <w:tc>
          <w:tcPr>
            <w:tcW w:w="1502" w:type="dxa"/>
            <w:tcBorders>
              <w:top w:val="single" w:sz="2" w:space="0" w:color="73777A"/>
              <w:left w:val="nil"/>
              <w:bottom w:val="single" w:sz="2" w:space="0" w:color="73777A"/>
              <w:right w:val="single" w:sz="8" w:space="0" w:color="FFFFFF"/>
            </w:tcBorders>
            <w:shd w:val="clear" w:color="auto" w:fill="FFF0E7"/>
          </w:tcPr>
          <w:p w14:paraId="0DF262A6" w14:textId="77777777" w:rsidR="00FA4226" w:rsidRPr="001C21B0" w:rsidRDefault="00000000" w:rsidP="0043303B">
            <w:pPr>
              <w:pStyle w:val="TableParagraph"/>
              <w:rPr>
                <w:rFonts w:cs="Calibri"/>
                <w:color w:val="000000" w:themeColor="text1"/>
                <w:sz w:val="18"/>
              </w:rPr>
            </w:pPr>
            <w:r w:rsidRPr="001C21B0">
              <w:rPr>
                <w:rFonts w:cs="Calibri"/>
                <w:color w:val="000000" w:themeColor="text1"/>
                <w:spacing w:val="-2"/>
                <w:sz w:val="18"/>
              </w:rPr>
              <w:t>(407,892)</w:t>
            </w:r>
          </w:p>
        </w:tc>
        <w:tc>
          <w:tcPr>
            <w:tcW w:w="1502" w:type="dxa"/>
            <w:tcBorders>
              <w:top w:val="single" w:sz="2" w:space="0" w:color="73777A"/>
              <w:left w:val="single" w:sz="8" w:space="0" w:color="FFFFFF"/>
              <w:bottom w:val="single" w:sz="2" w:space="0" w:color="73777A"/>
              <w:right w:val="nil"/>
            </w:tcBorders>
            <w:shd w:val="clear" w:color="auto" w:fill="EDEFF0"/>
          </w:tcPr>
          <w:p w14:paraId="26BF2CBC" w14:textId="77777777" w:rsidR="00FA4226" w:rsidRPr="001C21B0" w:rsidRDefault="00000000" w:rsidP="0043303B">
            <w:pPr>
              <w:pStyle w:val="TableParagraph"/>
              <w:rPr>
                <w:rFonts w:cs="Calibri"/>
                <w:color w:val="000000" w:themeColor="text1"/>
                <w:sz w:val="18"/>
              </w:rPr>
            </w:pPr>
            <w:r w:rsidRPr="001C21B0">
              <w:rPr>
                <w:rFonts w:cs="Calibri"/>
                <w:color w:val="000000" w:themeColor="text1"/>
                <w:spacing w:val="-2"/>
                <w:sz w:val="18"/>
              </w:rPr>
              <w:t>(404,396)</w:t>
            </w:r>
          </w:p>
        </w:tc>
      </w:tr>
      <w:tr w:rsidR="001C21B0" w:rsidRPr="001C21B0" w14:paraId="37767E9E" w14:textId="77777777" w:rsidTr="006465DA">
        <w:trPr>
          <w:trHeight w:val="283"/>
        </w:trPr>
        <w:tc>
          <w:tcPr>
            <w:tcW w:w="4331" w:type="dxa"/>
            <w:tcBorders>
              <w:top w:val="single" w:sz="2" w:space="0" w:color="73777A"/>
              <w:left w:val="nil"/>
              <w:bottom w:val="single" w:sz="2" w:space="0" w:color="73777A"/>
              <w:right w:val="nil"/>
            </w:tcBorders>
          </w:tcPr>
          <w:p w14:paraId="6F1A5C6F" w14:textId="77777777" w:rsidR="00FA4226" w:rsidRPr="001C21B0" w:rsidRDefault="00000000" w:rsidP="0043303B">
            <w:pPr>
              <w:pStyle w:val="TableParagraph"/>
              <w:jc w:val="left"/>
              <w:rPr>
                <w:rFonts w:cs="Calibri"/>
                <w:color w:val="000000" w:themeColor="text1"/>
                <w:sz w:val="10"/>
              </w:rPr>
            </w:pPr>
            <w:r w:rsidRPr="001C21B0">
              <w:rPr>
                <w:rFonts w:cs="Calibri"/>
                <w:color w:val="000000" w:themeColor="text1"/>
                <w:sz w:val="18"/>
              </w:rPr>
              <w:t>Interest</w:t>
            </w:r>
            <w:r w:rsidRPr="001C21B0">
              <w:rPr>
                <w:rFonts w:cs="Calibri"/>
                <w:color w:val="000000" w:themeColor="text1"/>
                <w:spacing w:val="3"/>
                <w:sz w:val="18"/>
              </w:rPr>
              <w:t xml:space="preserve"> </w:t>
            </w:r>
            <w:r w:rsidRPr="001C21B0">
              <w:rPr>
                <w:rFonts w:cs="Calibri"/>
                <w:color w:val="000000" w:themeColor="text1"/>
                <w:sz w:val="18"/>
              </w:rPr>
              <w:t>expense</w:t>
            </w:r>
            <w:r w:rsidRPr="001C21B0">
              <w:rPr>
                <w:rFonts w:cs="Calibri"/>
                <w:color w:val="000000" w:themeColor="text1"/>
                <w:spacing w:val="6"/>
                <w:sz w:val="18"/>
              </w:rPr>
              <w:t xml:space="preserve"> </w:t>
            </w:r>
            <w:r w:rsidRPr="001C21B0">
              <w:rPr>
                <w:rFonts w:cs="Calibri"/>
                <w:color w:val="000000" w:themeColor="text1"/>
                <w:spacing w:val="-4"/>
                <w:position w:val="6"/>
                <w:sz w:val="10"/>
              </w:rPr>
              <w:t>(ii)</w:t>
            </w:r>
          </w:p>
        </w:tc>
        <w:tc>
          <w:tcPr>
            <w:tcW w:w="2302" w:type="dxa"/>
            <w:tcBorders>
              <w:top w:val="single" w:sz="2" w:space="0" w:color="73777A"/>
              <w:left w:val="nil"/>
              <w:bottom w:val="single" w:sz="2" w:space="0" w:color="73777A"/>
              <w:right w:val="nil"/>
            </w:tcBorders>
          </w:tcPr>
          <w:p w14:paraId="6158FDAA" w14:textId="77777777" w:rsidR="00FA4226" w:rsidRPr="001C21B0" w:rsidRDefault="00000000" w:rsidP="0043303B">
            <w:pPr>
              <w:pStyle w:val="TableParagraph"/>
              <w:rPr>
                <w:rFonts w:cs="Calibri"/>
                <w:color w:val="000000" w:themeColor="text1"/>
                <w:sz w:val="18"/>
              </w:rPr>
            </w:pPr>
            <w:r w:rsidRPr="001C21B0">
              <w:rPr>
                <w:rFonts w:cs="Calibri"/>
                <w:color w:val="000000" w:themeColor="text1"/>
                <w:spacing w:val="-5"/>
                <w:sz w:val="18"/>
              </w:rPr>
              <w:t>3.1</w:t>
            </w:r>
          </w:p>
        </w:tc>
        <w:tc>
          <w:tcPr>
            <w:tcW w:w="1502" w:type="dxa"/>
            <w:tcBorders>
              <w:top w:val="single" w:sz="2" w:space="0" w:color="73777A"/>
              <w:left w:val="nil"/>
              <w:bottom w:val="single" w:sz="2" w:space="0" w:color="73777A"/>
              <w:right w:val="single" w:sz="8" w:space="0" w:color="FFFFFF"/>
            </w:tcBorders>
            <w:shd w:val="clear" w:color="auto" w:fill="FFF0E7"/>
          </w:tcPr>
          <w:p w14:paraId="2E085FD1" w14:textId="77777777" w:rsidR="00FA4226" w:rsidRPr="001C21B0" w:rsidRDefault="00000000" w:rsidP="0043303B">
            <w:pPr>
              <w:pStyle w:val="TableParagraph"/>
              <w:rPr>
                <w:rFonts w:cs="Calibri"/>
                <w:color w:val="000000" w:themeColor="text1"/>
                <w:sz w:val="18"/>
              </w:rPr>
            </w:pPr>
            <w:r w:rsidRPr="001C21B0">
              <w:rPr>
                <w:rFonts w:cs="Calibri"/>
                <w:color w:val="000000" w:themeColor="text1"/>
                <w:spacing w:val="-2"/>
                <w:sz w:val="18"/>
              </w:rPr>
              <w:t>(57,129)</w:t>
            </w:r>
          </w:p>
        </w:tc>
        <w:tc>
          <w:tcPr>
            <w:tcW w:w="1502" w:type="dxa"/>
            <w:tcBorders>
              <w:top w:val="single" w:sz="2" w:space="0" w:color="73777A"/>
              <w:left w:val="single" w:sz="8" w:space="0" w:color="FFFFFF"/>
              <w:bottom w:val="single" w:sz="2" w:space="0" w:color="73777A"/>
              <w:right w:val="nil"/>
            </w:tcBorders>
            <w:shd w:val="clear" w:color="auto" w:fill="EDEFF0"/>
          </w:tcPr>
          <w:p w14:paraId="12508E79" w14:textId="77777777" w:rsidR="00FA4226" w:rsidRPr="001C21B0" w:rsidRDefault="00000000" w:rsidP="0043303B">
            <w:pPr>
              <w:pStyle w:val="TableParagraph"/>
              <w:rPr>
                <w:rFonts w:cs="Calibri"/>
                <w:color w:val="000000" w:themeColor="text1"/>
                <w:sz w:val="18"/>
              </w:rPr>
            </w:pPr>
            <w:r w:rsidRPr="001C21B0">
              <w:rPr>
                <w:rFonts w:cs="Calibri"/>
                <w:color w:val="000000" w:themeColor="text1"/>
                <w:spacing w:val="-2"/>
                <w:sz w:val="18"/>
              </w:rPr>
              <w:t>(65,486)</w:t>
            </w:r>
          </w:p>
        </w:tc>
      </w:tr>
      <w:tr w:rsidR="001C21B0" w:rsidRPr="001C21B0" w14:paraId="4797D6E4" w14:textId="77777777" w:rsidTr="006465DA">
        <w:trPr>
          <w:trHeight w:val="297"/>
        </w:trPr>
        <w:tc>
          <w:tcPr>
            <w:tcW w:w="4331" w:type="dxa"/>
            <w:tcBorders>
              <w:top w:val="single" w:sz="2" w:space="0" w:color="73777A"/>
              <w:left w:val="nil"/>
              <w:bottom w:val="single" w:sz="2" w:space="0" w:color="73777A"/>
              <w:right w:val="nil"/>
            </w:tcBorders>
          </w:tcPr>
          <w:p w14:paraId="57E431E3" w14:textId="77777777" w:rsidR="00FA4226" w:rsidRPr="001C21B0" w:rsidRDefault="00000000" w:rsidP="0043303B">
            <w:pPr>
              <w:pStyle w:val="TableParagraph"/>
              <w:jc w:val="left"/>
              <w:rPr>
                <w:rFonts w:cs="Calibri"/>
                <w:color w:val="000000" w:themeColor="text1"/>
                <w:sz w:val="10"/>
              </w:rPr>
            </w:pPr>
            <w:r w:rsidRPr="001C21B0">
              <w:rPr>
                <w:rFonts w:cs="Calibri"/>
                <w:color w:val="000000" w:themeColor="text1"/>
                <w:sz w:val="18"/>
              </w:rPr>
              <w:t>Other</w:t>
            </w:r>
            <w:r w:rsidRPr="001C21B0">
              <w:rPr>
                <w:rFonts w:cs="Calibri"/>
                <w:color w:val="000000" w:themeColor="text1"/>
                <w:spacing w:val="6"/>
                <w:sz w:val="18"/>
              </w:rPr>
              <w:t xml:space="preserve"> </w:t>
            </w:r>
            <w:r w:rsidRPr="001C21B0">
              <w:rPr>
                <w:rFonts w:cs="Calibri"/>
                <w:color w:val="000000" w:themeColor="text1"/>
                <w:sz w:val="18"/>
              </w:rPr>
              <w:t>operating</w:t>
            </w:r>
            <w:r w:rsidRPr="001C21B0">
              <w:rPr>
                <w:rFonts w:cs="Calibri"/>
                <w:color w:val="000000" w:themeColor="text1"/>
                <w:spacing w:val="8"/>
                <w:sz w:val="18"/>
              </w:rPr>
              <w:t xml:space="preserve"> </w:t>
            </w:r>
            <w:r w:rsidRPr="001C21B0">
              <w:rPr>
                <w:rFonts w:cs="Calibri"/>
                <w:color w:val="000000" w:themeColor="text1"/>
                <w:sz w:val="18"/>
              </w:rPr>
              <w:t>expenses</w:t>
            </w:r>
            <w:r w:rsidRPr="001C21B0">
              <w:rPr>
                <w:rFonts w:cs="Calibri"/>
                <w:color w:val="000000" w:themeColor="text1"/>
                <w:spacing w:val="8"/>
                <w:sz w:val="18"/>
              </w:rPr>
              <w:t xml:space="preserve"> </w:t>
            </w:r>
            <w:r w:rsidRPr="001C21B0">
              <w:rPr>
                <w:rFonts w:cs="Calibri"/>
                <w:color w:val="000000" w:themeColor="text1"/>
                <w:spacing w:val="-4"/>
                <w:position w:val="6"/>
                <w:sz w:val="10"/>
              </w:rPr>
              <w:t>(ii)</w:t>
            </w:r>
          </w:p>
        </w:tc>
        <w:tc>
          <w:tcPr>
            <w:tcW w:w="2302" w:type="dxa"/>
            <w:tcBorders>
              <w:top w:val="single" w:sz="2" w:space="0" w:color="73777A"/>
              <w:left w:val="nil"/>
              <w:bottom w:val="single" w:sz="2" w:space="0" w:color="73777A"/>
              <w:right w:val="nil"/>
            </w:tcBorders>
          </w:tcPr>
          <w:p w14:paraId="685ABE09" w14:textId="77777777" w:rsidR="00FA4226" w:rsidRPr="001C21B0" w:rsidRDefault="00000000" w:rsidP="0043303B">
            <w:pPr>
              <w:pStyle w:val="TableParagraph"/>
              <w:rPr>
                <w:rFonts w:cs="Calibri"/>
                <w:color w:val="000000" w:themeColor="text1"/>
                <w:sz w:val="18"/>
              </w:rPr>
            </w:pPr>
            <w:r w:rsidRPr="001C21B0">
              <w:rPr>
                <w:rFonts w:cs="Calibri"/>
                <w:color w:val="000000" w:themeColor="text1"/>
                <w:spacing w:val="-5"/>
                <w:sz w:val="18"/>
              </w:rPr>
              <w:t>3.3</w:t>
            </w:r>
          </w:p>
        </w:tc>
        <w:tc>
          <w:tcPr>
            <w:tcW w:w="1502" w:type="dxa"/>
            <w:tcBorders>
              <w:top w:val="single" w:sz="2" w:space="0" w:color="73777A"/>
              <w:left w:val="nil"/>
              <w:bottom w:val="single" w:sz="2" w:space="0" w:color="73777A"/>
              <w:right w:val="single" w:sz="8" w:space="0" w:color="FFFFFF"/>
            </w:tcBorders>
            <w:shd w:val="clear" w:color="auto" w:fill="FFF0E7"/>
          </w:tcPr>
          <w:p w14:paraId="7C3940AC" w14:textId="77777777" w:rsidR="00FA4226" w:rsidRPr="001C21B0" w:rsidRDefault="00000000" w:rsidP="0043303B">
            <w:pPr>
              <w:pStyle w:val="TableParagraph"/>
              <w:rPr>
                <w:rFonts w:cs="Calibri"/>
                <w:color w:val="000000" w:themeColor="text1"/>
                <w:sz w:val="18"/>
              </w:rPr>
            </w:pPr>
            <w:r w:rsidRPr="001C21B0">
              <w:rPr>
                <w:rFonts w:cs="Calibri"/>
                <w:color w:val="000000" w:themeColor="text1"/>
                <w:spacing w:val="-2"/>
                <w:sz w:val="18"/>
              </w:rPr>
              <w:t>(2,974,970)</w:t>
            </w:r>
          </w:p>
        </w:tc>
        <w:tc>
          <w:tcPr>
            <w:tcW w:w="1502" w:type="dxa"/>
            <w:tcBorders>
              <w:top w:val="single" w:sz="2" w:space="0" w:color="73777A"/>
              <w:left w:val="single" w:sz="8" w:space="0" w:color="FFFFFF"/>
              <w:bottom w:val="single" w:sz="2" w:space="0" w:color="73777A"/>
              <w:right w:val="nil"/>
            </w:tcBorders>
            <w:shd w:val="clear" w:color="auto" w:fill="EDEFF0"/>
          </w:tcPr>
          <w:p w14:paraId="3B730BC8" w14:textId="77777777" w:rsidR="00FA4226" w:rsidRPr="001C21B0" w:rsidRDefault="00000000" w:rsidP="0043303B">
            <w:pPr>
              <w:pStyle w:val="TableParagraph"/>
              <w:rPr>
                <w:rFonts w:cs="Calibri"/>
                <w:color w:val="000000" w:themeColor="text1"/>
                <w:sz w:val="18"/>
              </w:rPr>
            </w:pPr>
            <w:r w:rsidRPr="001C21B0">
              <w:rPr>
                <w:rFonts w:cs="Calibri"/>
                <w:color w:val="000000" w:themeColor="text1"/>
                <w:spacing w:val="-2"/>
                <w:sz w:val="18"/>
              </w:rPr>
              <w:t>(2,842,947)</w:t>
            </w:r>
          </w:p>
        </w:tc>
      </w:tr>
      <w:tr w:rsidR="001C21B0" w:rsidRPr="001C21B0" w14:paraId="5D2D02F3" w14:textId="77777777" w:rsidTr="006465DA">
        <w:trPr>
          <w:trHeight w:val="292"/>
        </w:trPr>
        <w:tc>
          <w:tcPr>
            <w:tcW w:w="6633" w:type="dxa"/>
            <w:gridSpan w:val="2"/>
            <w:tcBorders>
              <w:top w:val="single" w:sz="2" w:space="0" w:color="73777A"/>
              <w:left w:val="nil"/>
              <w:bottom w:val="single" w:sz="6" w:space="0" w:color="73777A"/>
              <w:right w:val="nil"/>
            </w:tcBorders>
          </w:tcPr>
          <w:p w14:paraId="271BBD80" w14:textId="77777777" w:rsidR="00FA4226" w:rsidRPr="001C21B0" w:rsidRDefault="00000000" w:rsidP="0043303B">
            <w:pPr>
              <w:pStyle w:val="TableParagraph"/>
              <w:spacing w:before="13"/>
              <w:jc w:val="left"/>
              <w:rPr>
                <w:rFonts w:cs="Calibri"/>
                <w:color w:val="000000" w:themeColor="text1"/>
                <w:sz w:val="10"/>
              </w:rPr>
            </w:pPr>
            <w:r w:rsidRPr="001C21B0">
              <w:rPr>
                <w:rFonts w:cs="Calibri"/>
                <w:color w:val="000000" w:themeColor="text1"/>
                <w:sz w:val="18"/>
              </w:rPr>
              <w:t>Total</w:t>
            </w:r>
            <w:r w:rsidRPr="001C21B0">
              <w:rPr>
                <w:rFonts w:cs="Calibri"/>
                <w:color w:val="000000" w:themeColor="text1"/>
                <w:spacing w:val="6"/>
                <w:sz w:val="18"/>
              </w:rPr>
              <w:t xml:space="preserve"> </w:t>
            </w:r>
            <w:r w:rsidRPr="001C21B0">
              <w:rPr>
                <w:rFonts w:cs="Calibri"/>
                <w:color w:val="000000" w:themeColor="text1"/>
                <w:sz w:val="18"/>
              </w:rPr>
              <w:t>expenses</w:t>
            </w:r>
            <w:r w:rsidRPr="001C21B0">
              <w:rPr>
                <w:rFonts w:cs="Calibri"/>
                <w:color w:val="000000" w:themeColor="text1"/>
                <w:spacing w:val="9"/>
                <w:sz w:val="18"/>
              </w:rPr>
              <w:t xml:space="preserve"> </w:t>
            </w:r>
            <w:r w:rsidRPr="001C21B0">
              <w:rPr>
                <w:rFonts w:cs="Calibri"/>
                <w:color w:val="000000" w:themeColor="text1"/>
                <w:sz w:val="18"/>
              </w:rPr>
              <w:t>from</w:t>
            </w:r>
            <w:r w:rsidRPr="001C21B0">
              <w:rPr>
                <w:rFonts w:cs="Calibri"/>
                <w:color w:val="000000" w:themeColor="text1"/>
                <w:spacing w:val="9"/>
                <w:sz w:val="18"/>
              </w:rPr>
              <w:t xml:space="preserve"> </w:t>
            </w:r>
            <w:r w:rsidRPr="001C21B0">
              <w:rPr>
                <w:rFonts w:cs="Calibri"/>
                <w:color w:val="000000" w:themeColor="text1"/>
                <w:sz w:val="18"/>
              </w:rPr>
              <w:t>transactions</w:t>
            </w:r>
            <w:r w:rsidRPr="001C21B0">
              <w:rPr>
                <w:rFonts w:cs="Calibri"/>
                <w:color w:val="000000" w:themeColor="text1"/>
                <w:spacing w:val="9"/>
                <w:sz w:val="18"/>
              </w:rPr>
              <w:t xml:space="preserve"> </w:t>
            </w:r>
            <w:r w:rsidRPr="001C21B0">
              <w:rPr>
                <w:rFonts w:cs="Calibri"/>
                <w:color w:val="000000" w:themeColor="text1"/>
                <w:spacing w:val="-4"/>
                <w:position w:val="6"/>
                <w:sz w:val="10"/>
              </w:rPr>
              <w:t>(ii)</w:t>
            </w:r>
          </w:p>
        </w:tc>
        <w:tc>
          <w:tcPr>
            <w:tcW w:w="1502" w:type="dxa"/>
            <w:tcBorders>
              <w:top w:val="single" w:sz="2" w:space="0" w:color="73777A"/>
              <w:left w:val="nil"/>
              <w:bottom w:val="single" w:sz="6" w:space="0" w:color="73777A"/>
              <w:right w:val="single" w:sz="8" w:space="0" w:color="FFFFFF"/>
            </w:tcBorders>
            <w:shd w:val="clear" w:color="auto" w:fill="FFF0E7"/>
          </w:tcPr>
          <w:p w14:paraId="6E4194B7" w14:textId="77777777" w:rsidR="00FA4226" w:rsidRPr="001C21B0" w:rsidRDefault="00000000" w:rsidP="0043303B">
            <w:pPr>
              <w:pStyle w:val="TableParagraph"/>
              <w:spacing w:before="13"/>
              <w:rPr>
                <w:rFonts w:cs="Calibri"/>
                <w:color w:val="000000" w:themeColor="text1"/>
                <w:sz w:val="18"/>
              </w:rPr>
            </w:pPr>
            <w:r w:rsidRPr="001C21B0">
              <w:rPr>
                <w:rFonts w:cs="Calibri"/>
                <w:color w:val="000000" w:themeColor="text1"/>
                <w:spacing w:val="-2"/>
                <w:sz w:val="18"/>
              </w:rPr>
              <w:t>(9,976,101)</w:t>
            </w:r>
          </w:p>
        </w:tc>
        <w:tc>
          <w:tcPr>
            <w:tcW w:w="1502" w:type="dxa"/>
            <w:tcBorders>
              <w:top w:val="single" w:sz="2" w:space="0" w:color="73777A"/>
              <w:left w:val="single" w:sz="8" w:space="0" w:color="FFFFFF"/>
              <w:bottom w:val="single" w:sz="6" w:space="0" w:color="73777A"/>
              <w:right w:val="nil"/>
            </w:tcBorders>
            <w:shd w:val="clear" w:color="auto" w:fill="EDEFF0"/>
          </w:tcPr>
          <w:p w14:paraId="64F319AE" w14:textId="77777777" w:rsidR="00FA4226" w:rsidRPr="001C21B0" w:rsidRDefault="00000000" w:rsidP="0043303B">
            <w:pPr>
              <w:pStyle w:val="TableParagraph"/>
              <w:spacing w:before="13"/>
              <w:rPr>
                <w:rFonts w:cs="Calibri"/>
                <w:color w:val="000000" w:themeColor="text1"/>
                <w:sz w:val="18"/>
              </w:rPr>
            </w:pPr>
            <w:r w:rsidRPr="001C21B0">
              <w:rPr>
                <w:rFonts w:cs="Calibri"/>
                <w:color w:val="000000" w:themeColor="text1"/>
                <w:spacing w:val="-2"/>
                <w:sz w:val="18"/>
              </w:rPr>
              <w:t>(9,311,122)</w:t>
            </w:r>
          </w:p>
        </w:tc>
      </w:tr>
      <w:tr w:rsidR="001C21B0" w:rsidRPr="001C21B0" w14:paraId="1D904EBE" w14:textId="77777777" w:rsidTr="006465DA">
        <w:trPr>
          <w:trHeight w:val="292"/>
        </w:trPr>
        <w:tc>
          <w:tcPr>
            <w:tcW w:w="6633" w:type="dxa"/>
            <w:gridSpan w:val="2"/>
            <w:tcBorders>
              <w:top w:val="single" w:sz="6" w:space="0" w:color="73777A"/>
              <w:left w:val="nil"/>
              <w:bottom w:val="single" w:sz="2" w:space="0" w:color="73777A"/>
              <w:right w:val="nil"/>
            </w:tcBorders>
          </w:tcPr>
          <w:p w14:paraId="22D6FCD8" w14:textId="77777777" w:rsidR="00FA4226" w:rsidRPr="001C21B0" w:rsidRDefault="00FA4226" w:rsidP="0043303B">
            <w:pPr>
              <w:pStyle w:val="TableParagraph"/>
              <w:jc w:val="left"/>
              <w:rPr>
                <w:rFonts w:cs="Calibri"/>
                <w:color w:val="000000" w:themeColor="text1"/>
                <w:sz w:val="16"/>
              </w:rPr>
            </w:pPr>
          </w:p>
        </w:tc>
        <w:tc>
          <w:tcPr>
            <w:tcW w:w="1502" w:type="dxa"/>
            <w:tcBorders>
              <w:top w:val="single" w:sz="6" w:space="0" w:color="73777A"/>
              <w:left w:val="nil"/>
              <w:bottom w:val="single" w:sz="2" w:space="0" w:color="73777A"/>
              <w:right w:val="single" w:sz="8" w:space="0" w:color="FFFFFF"/>
            </w:tcBorders>
            <w:shd w:val="clear" w:color="auto" w:fill="FFF0E7"/>
          </w:tcPr>
          <w:p w14:paraId="2CAEB8C5" w14:textId="77777777" w:rsidR="00FA4226" w:rsidRPr="001C21B0" w:rsidRDefault="00FA4226" w:rsidP="0043303B">
            <w:pPr>
              <w:pStyle w:val="TableParagraph"/>
              <w:jc w:val="left"/>
              <w:rPr>
                <w:rFonts w:cs="Calibri"/>
                <w:color w:val="000000" w:themeColor="text1"/>
                <w:sz w:val="16"/>
              </w:rPr>
            </w:pPr>
          </w:p>
        </w:tc>
        <w:tc>
          <w:tcPr>
            <w:tcW w:w="1502" w:type="dxa"/>
            <w:tcBorders>
              <w:top w:val="single" w:sz="6" w:space="0" w:color="73777A"/>
              <w:left w:val="single" w:sz="8" w:space="0" w:color="FFFFFF"/>
              <w:bottom w:val="single" w:sz="2" w:space="0" w:color="73777A"/>
              <w:right w:val="nil"/>
            </w:tcBorders>
            <w:shd w:val="clear" w:color="auto" w:fill="EDEFF0"/>
          </w:tcPr>
          <w:p w14:paraId="45F3304A" w14:textId="77777777" w:rsidR="00FA4226" w:rsidRPr="001C21B0" w:rsidRDefault="00FA4226" w:rsidP="0043303B">
            <w:pPr>
              <w:pStyle w:val="TableParagraph"/>
              <w:jc w:val="left"/>
              <w:rPr>
                <w:rFonts w:cs="Calibri"/>
                <w:color w:val="000000" w:themeColor="text1"/>
                <w:sz w:val="16"/>
              </w:rPr>
            </w:pPr>
          </w:p>
        </w:tc>
      </w:tr>
      <w:tr w:rsidR="001C21B0" w:rsidRPr="001C21B0" w14:paraId="6EF3CC2C" w14:textId="77777777" w:rsidTr="006465DA">
        <w:trPr>
          <w:trHeight w:val="292"/>
        </w:trPr>
        <w:tc>
          <w:tcPr>
            <w:tcW w:w="6633" w:type="dxa"/>
            <w:gridSpan w:val="2"/>
            <w:tcBorders>
              <w:top w:val="single" w:sz="2" w:space="0" w:color="73777A"/>
              <w:left w:val="nil"/>
              <w:bottom w:val="single" w:sz="6" w:space="0" w:color="73777A"/>
              <w:right w:val="nil"/>
            </w:tcBorders>
          </w:tcPr>
          <w:p w14:paraId="442989EB" w14:textId="77777777" w:rsidR="00FA4226" w:rsidRPr="001C21B0" w:rsidRDefault="00000000" w:rsidP="0043303B">
            <w:pPr>
              <w:pStyle w:val="TableParagraph"/>
              <w:spacing w:before="13"/>
              <w:jc w:val="left"/>
              <w:rPr>
                <w:rFonts w:cs="Calibri"/>
                <w:color w:val="000000" w:themeColor="text1"/>
                <w:sz w:val="10"/>
              </w:rPr>
            </w:pPr>
            <w:r w:rsidRPr="001C21B0">
              <w:rPr>
                <w:rFonts w:cs="Calibri"/>
                <w:color w:val="000000" w:themeColor="text1"/>
                <w:sz w:val="18"/>
              </w:rPr>
              <w:t>Net</w:t>
            </w:r>
            <w:r w:rsidRPr="001C21B0">
              <w:rPr>
                <w:rFonts w:cs="Calibri"/>
                <w:color w:val="000000" w:themeColor="text1"/>
                <w:spacing w:val="7"/>
                <w:sz w:val="18"/>
              </w:rPr>
              <w:t xml:space="preserve"> </w:t>
            </w:r>
            <w:r w:rsidRPr="001C21B0">
              <w:rPr>
                <w:rFonts w:cs="Calibri"/>
                <w:color w:val="000000" w:themeColor="text1"/>
                <w:sz w:val="18"/>
              </w:rPr>
              <w:t>result</w:t>
            </w:r>
            <w:r w:rsidRPr="001C21B0">
              <w:rPr>
                <w:rFonts w:cs="Calibri"/>
                <w:color w:val="000000" w:themeColor="text1"/>
                <w:spacing w:val="9"/>
                <w:sz w:val="18"/>
              </w:rPr>
              <w:t xml:space="preserve"> </w:t>
            </w:r>
            <w:r w:rsidRPr="001C21B0">
              <w:rPr>
                <w:rFonts w:cs="Calibri"/>
                <w:color w:val="000000" w:themeColor="text1"/>
                <w:sz w:val="18"/>
              </w:rPr>
              <w:t>from</w:t>
            </w:r>
            <w:r w:rsidRPr="001C21B0">
              <w:rPr>
                <w:rFonts w:cs="Calibri"/>
                <w:color w:val="000000" w:themeColor="text1"/>
                <w:spacing w:val="9"/>
                <w:sz w:val="18"/>
              </w:rPr>
              <w:t xml:space="preserve"> </w:t>
            </w:r>
            <w:r w:rsidRPr="001C21B0">
              <w:rPr>
                <w:rFonts w:cs="Calibri"/>
                <w:color w:val="000000" w:themeColor="text1"/>
                <w:sz w:val="18"/>
              </w:rPr>
              <w:t>transactions</w:t>
            </w:r>
            <w:r w:rsidRPr="001C21B0">
              <w:rPr>
                <w:rFonts w:cs="Calibri"/>
                <w:color w:val="000000" w:themeColor="text1"/>
                <w:spacing w:val="10"/>
                <w:sz w:val="18"/>
              </w:rPr>
              <w:t xml:space="preserve"> </w:t>
            </w:r>
            <w:r w:rsidRPr="001C21B0">
              <w:rPr>
                <w:rFonts w:cs="Calibri"/>
                <w:color w:val="000000" w:themeColor="text1"/>
                <w:spacing w:val="-4"/>
                <w:position w:val="6"/>
                <w:sz w:val="10"/>
              </w:rPr>
              <w:t>(ii)</w:t>
            </w:r>
          </w:p>
        </w:tc>
        <w:tc>
          <w:tcPr>
            <w:tcW w:w="1502" w:type="dxa"/>
            <w:tcBorders>
              <w:top w:val="single" w:sz="2" w:space="0" w:color="73777A"/>
              <w:left w:val="nil"/>
              <w:bottom w:val="single" w:sz="6" w:space="0" w:color="73777A"/>
              <w:right w:val="single" w:sz="8" w:space="0" w:color="FFFFFF"/>
            </w:tcBorders>
            <w:shd w:val="clear" w:color="auto" w:fill="FFF0E7"/>
          </w:tcPr>
          <w:p w14:paraId="089CCD5F" w14:textId="77777777" w:rsidR="00FA4226" w:rsidRPr="001C21B0" w:rsidRDefault="00000000" w:rsidP="0043303B">
            <w:pPr>
              <w:pStyle w:val="TableParagraph"/>
              <w:spacing w:before="13"/>
              <w:rPr>
                <w:rFonts w:cs="Calibri"/>
                <w:color w:val="000000" w:themeColor="text1"/>
                <w:sz w:val="18"/>
              </w:rPr>
            </w:pPr>
            <w:r w:rsidRPr="001C21B0">
              <w:rPr>
                <w:rFonts w:cs="Calibri"/>
                <w:color w:val="000000" w:themeColor="text1"/>
                <w:spacing w:val="-2"/>
                <w:sz w:val="18"/>
              </w:rPr>
              <w:t>(53,963)</w:t>
            </w:r>
          </w:p>
        </w:tc>
        <w:tc>
          <w:tcPr>
            <w:tcW w:w="1502" w:type="dxa"/>
            <w:tcBorders>
              <w:top w:val="single" w:sz="2" w:space="0" w:color="73777A"/>
              <w:left w:val="single" w:sz="8" w:space="0" w:color="FFFFFF"/>
              <w:bottom w:val="single" w:sz="6" w:space="0" w:color="73777A"/>
              <w:right w:val="nil"/>
            </w:tcBorders>
            <w:shd w:val="clear" w:color="auto" w:fill="EDEFF0"/>
          </w:tcPr>
          <w:p w14:paraId="027F768E" w14:textId="77777777" w:rsidR="00FA4226" w:rsidRPr="001C21B0" w:rsidRDefault="00000000" w:rsidP="0043303B">
            <w:pPr>
              <w:pStyle w:val="TableParagraph"/>
              <w:spacing w:before="13"/>
              <w:rPr>
                <w:rFonts w:cs="Calibri"/>
                <w:color w:val="000000" w:themeColor="text1"/>
                <w:sz w:val="18"/>
              </w:rPr>
            </w:pPr>
            <w:r w:rsidRPr="001C21B0">
              <w:rPr>
                <w:rFonts w:cs="Calibri"/>
                <w:color w:val="000000" w:themeColor="text1"/>
                <w:spacing w:val="-2"/>
                <w:sz w:val="18"/>
              </w:rPr>
              <w:t>538,247</w:t>
            </w:r>
          </w:p>
        </w:tc>
      </w:tr>
      <w:tr w:rsidR="001C21B0" w:rsidRPr="001C21B0" w14:paraId="0DE69309" w14:textId="77777777" w:rsidTr="006465DA">
        <w:trPr>
          <w:trHeight w:val="595"/>
        </w:trPr>
        <w:tc>
          <w:tcPr>
            <w:tcW w:w="6633" w:type="dxa"/>
            <w:gridSpan w:val="2"/>
            <w:tcBorders>
              <w:top w:val="single" w:sz="6" w:space="0" w:color="73777A"/>
              <w:left w:val="nil"/>
              <w:bottom w:val="single" w:sz="2" w:space="0" w:color="73777A"/>
              <w:right w:val="nil"/>
            </w:tcBorders>
          </w:tcPr>
          <w:p w14:paraId="19ECA2BC" w14:textId="77777777" w:rsidR="00FA4226" w:rsidRPr="001C21B0" w:rsidRDefault="00FA4226" w:rsidP="0043303B">
            <w:pPr>
              <w:pStyle w:val="TableParagraph"/>
              <w:spacing w:before="8"/>
              <w:jc w:val="left"/>
              <w:rPr>
                <w:rFonts w:cs="Calibri"/>
                <w:color w:val="000000" w:themeColor="text1"/>
              </w:rPr>
            </w:pPr>
          </w:p>
          <w:p w14:paraId="262BBC2C" w14:textId="77777777" w:rsidR="00FA4226" w:rsidRPr="001C21B0" w:rsidRDefault="00000000" w:rsidP="0043303B">
            <w:pPr>
              <w:pStyle w:val="TableParagraph"/>
              <w:jc w:val="left"/>
              <w:rPr>
                <w:rFonts w:cs="Calibri"/>
                <w:color w:val="000000" w:themeColor="text1"/>
                <w:sz w:val="18"/>
              </w:rPr>
            </w:pPr>
            <w:r w:rsidRPr="001C21B0">
              <w:rPr>
                <w:rFonts w:cs="Calibri"/>
                <w:color w:val="000000" w:themeColor="text1"/>
                <w:sz w:val="18"/>
              </w:rPr>
              <w:t>Other</w:t>
            </w:r>
            <w:r w:rsidRPr="001C21B0">
              <w:rPr>
                <w:rFonts w:cs="Calibri"/>
                <w:color w:val="000000" w:themeColor="text1"/>
                <w:spacing w:val="5"/>
                <w:sz w:val="18"/>
              </w:rPr>
              <w:t xml:space="preserve"> </w:t>
            </w:r>
            <w:r w:rsidRPr="001C21B0">
              <w:rPr>
                <w:rFonts w:cs="Calibri"/>
                <w:color w:val="000000" w:themeColor="text1"/>
                <w:sz w:val="18"/>
              </w:rPr>
              <w:t>economic</w:t>
            </w:r>
            <w:r w:rsidRPr="001C21B0">
              <w:rPr>
                <w:rFonts w:cs="Calibri"/>
                <w:color w:val="000000" w:themeColor="text1"/>
                <w:spacing w:val="6"/>
                <w:sz w:val="18"/>
              </w:rPr>
              <w:t xml:space="preserve"> </w:t>
            </w:r>
            <w:r w:rsidRPr="001C21B0">
              <w:rPr>
                <w:rFonts w:cs="Calibri"/>
                <w:color w:val="000000" w:themeColor="text1"/>
                <w:sz w:val="18"/>
              </w:rPr>
              <w:t>flows</w:t>
            </w:r>
            <w:r w:rsidRPr="001C21B0">
              <w:rPr>
                <w:rFonts w:cs="Calibri"/>
                <w:color w:val="000000" w:themeColor="text1"/>
                <w:spacing w:val="6"/>
                <w:sz w:val="18"/>
              </w:rPr>
              <w:t xml:space="preserve"> </w:t>
            </w:r>
            <w:r w:rsidRPr="001C21B0">
              <w:rPr>
                <w:rFonts w:cs="Calibri"/>
                <w:color w:val="000000" w:themeColor="text1"/>
                <w:sz w:val="18"/>
              </w:rPr>
              <w:t>included</w:t>
            </w:r>
            <w:r w:rsidRPr="001C21B0">
              <w:rPr>
                <w:rFonts w:cs="Calibri"/>
                <w:color w:val="000000" w:themeColor="text1"/>
                <w:spacing w:val="6"/>
                <w:sz w:val="18"/>
              </w:rPr>
              <w:t xml:space="preserve"> </w:t>
            </w:r>
            <w:r w:rsidRPr="001C21B0">
              <w:rPr>
                <w:rFonts w:cs="Calibri"/>
                <w:color w:val="000000" w:themeColor="text1"/>
                <w:sz w:val="18"/>
              </w:rPr>
              <w:t>in</w:t>
            </w:r>
            <w:r w:rsidRPr="001C21B0">
              <w:rPr>
                <w:rFonts w:cs="Calibri"/>
                <w:color w:val="000000" w:themeColor="text1"/>
                <w:spacing w:val="6"/>
                <w:sz w:val="18"/>
              </w:rPr>
              <w:t xml:space="preserve"> </w:t>
            </w:r>
            <w:r w:rsidRPr="001C21B0">
              <w:rPr>
                <w:rFonts w:cs="Calibri"/>
                <w:color w:val="000000" w:themeColor="text1"/>
                <w:sz w:val="18"/>
              </w:rPr>
              <w:t>net</w:t>
            </w:r>
            <w:r w:rsidRPr="001C21B0">
              <w:rPr>
                <w:rFonts w:cs="Calibri"/>
                <w:color w:val="000000" w:themeColor="text1"/>
                <w:spacing w:val="6"/>
                <w:sz w:val="18"/>
              </w:rPr>
              <w:t xml:space="preserve"> </w:t>
            </w:r>
            <w:r w:rsidRPr="001C21B0">
              <w:rPr>
                <w:rFonts w:cs="Calibri"/>
                <w:color w:val="000000" w:themeColor="text1"/>
                <w:spacing w:val="-2"/>
                <w:sz w:val="18"/>
              </w:rPr>
              <w:t>result</w:t>
            </w:r>
          </w:p>
        </w:tc>
        <w:tc>
          <w:tcPr>
            <w:tcW w:w="1502" w:type="dxa"/>
            <w:tcBorders>
              <w:top w:val="single" w:sz="6" w:space="0" w:color="73777A"/>
              <w:left w:val="nil"/>
              <w:bottom w:val="single" w:sz="2" w:space="0" w:color="73777A"/>
              <w:right w:val="single" w:sz="8" w:space="0" w:color="FFFFFF"/>
            </w:tcBorders>
            <w:shd w:val="clear" w:color="auto" w:fill="FFF0E7"/>
          </w:tcPr>
          <w:p w14:paraId="76DEAE76" w14:textId="77777777" w:rsidR="00FA4226" w:rsidRPr="001C21B0" w:rsidRDefault="00FA4226" w:rsidP="0043303B">
            <w:pPr>
              <w:pStyle w:val="TableParagraph"/>
              <w:jc w:val="left"/>
              <w:rPr>
                <w:rFonts w:cs="Calibri"/>
                <w:color w:val="000000" w:themeColor="text1"/>
                <w:sz w:val="16"/>
              </w:rPr>
            </w:pPr>
          </w:p>
        </w:tc>
        <w:tc>
          <w:tcPr>
            <w:tcW w:w="1502" w:type="dxa"/>
            <w:tcBorders>
              <w:top w:val="single" w:sz="6" w:space="0" w:color="73777A"/>
              <w:left w:val="single" w:sz="8" w:space="0" w:color="FFFFFF"/>
              <w:bottom w:val="single" w:sz="2" w:space="0" w:color="73777A"/>
              <w:right w:val="nil"/>
            </w:tcBorders>
            <w:shd w:val="clear" w:color="auto" w:fill="EDEFF0"/>
          </w:tcPr>
          <w:p w14:paraId="57D7D3D6" w14:textId="77777777" w:rsidR="00FA4226" w:rsidRPr="001C21B0" w:rsidRDefault="00FA4226" w:rsidP="0043303B">
            <w:pPr>
              <w:pStyle w:val="TableParagraph"/>
              <w:jc w:val="left"/>
              <w:rPr>
                <w:rFonts w:cs="Calibri"/>
                <w:color w:val="000000" w:themeColor="text1"/>
                <w:sz w:val="16"/>
              </w:rPr>
            </w:pPr>
          </w:p>
        </w:tc>
      </w:tr>
      <w:tr w:rsidR="001C21B0" w:rsidRPr="001C21B0" w14:paraId="7B70F98E" w14:textId="77777777" w:rsidTr="006465DA">
        <w:trPr>
          <w:trHeight w:val="283"/>
        </w:trPr>
        <w:tc>
          <w:tcPr>
            <w:tcW w:w="6633" w:type="dxa"/>
            <w:gridSpan w:val="2"/>
            <w:tcBorders>
              <w:top w:val="single" w:sz="2" w:space="0" w:color="73777A"/>
              <w:left w:val="nil"/>
              <w:bottom w:val="single" w:sz="2" w:space="0" w:color="73777A"/>
              <w:right w:val="nil"/>
            </w:tcBorders>
          </w:tcPr>
          <w:p w14:paraId="61A36F06" w14:textId="77777777" w:rsidR="00FA4226" w:rsidRPr="001C21B0" w:rsidRDefault="00000000" w:rsidP="0043303B">
            <w:pPr>
              <w:pStyle w:val="TableParagraph"/>
              <w:jc w:val="left"/>
              <w:rPr>
                <w:rFonts w:cs="Calibri"/>
                <w:color w:val="000000" w:themeColor="text1"/>
                <w:sz w:val="18"/>
              </w:rPr>
            </w:pPr>
            <w:r w:rsidRPr="001C21B0">
              <w:rPr>
                <w:rFonts w:cs="Calibri"/>
                <w:color w:val="000000" w:themeColor="text1"/>
                <w:sz w:val="18"/>
              </w:rPr>
              <w:t>Net</w:t>
            </w:r>
            <w:r w:rsidRPr="001C21B0">
              <w:rPr>
                <w:rFonts w:cs="Calibri"/>
                <w:color w:val="000000" w:themeColor="text1"/>
                <w:spacing w:val="2"/>
                <w:sz w:val="18"/>
              </w:rPr>
              <w:t xml:space="preserve"> </w:t>
            </w:r>
            <w:r w:rsidRPr="001C21B0">
              <w:rPr>
                <w:rFonts w:cs="Calibri"/>
                <w:color w:val="000000" w:themeColor="text1"/>
                <w:sz w:val="18"/>
              </w:rPr>
              <w:t>gain/(loss)</w:t>
            </w:r>
            <w:r w:rsidRPr="001C21B0">
              <w:rPr>
                <w:rFonts w:cs="Calibri"/>
                <w:color w:val="000000" w:themeColor="text1"/>
                <w:spacing w:val="2"/>
                <w:sz w:val="18"/>
              </w:rPr>
              <w:t xml:space="preserve"> </w:t>
            </w:r>
            <w:r w:rsidRPr="001C21B0">
              <w:rPr>
                <w:rFonts w:cs="Calibri"/>
                <w:color w:val="000000" w:themeColor="text1"/>
                <w:sz w:val="18"/>
              </w:rPr>
              <w:t>from</w:t>
            </w:r>
            <w:r w:rsidRPr="001C21B0">
              <w:rPr>
                <w:rFonts w:cs="Calibri"/>
                <w:color w:val="000000" w:themeColor="text1"/>
                <w:spacing w:val="3"/>
                <w:sz w:val="18"/>
              </w:rPr>
              <w:t xml:space="preserve"> </w:t>
            </w:r>
            <w:r w:rsidRPr="001C21B0">
              <w:rPr>
                <w:rFonts w:cs="Calibri"/>
                <w:color w:val="000000" w:themeColor="text1"/>
                <w:sz w:val="18"/>
              </w:rPr>
              <w:t>revaluation</w:t>
            </w:r>
            <w:r w:rsidRPr="001C21B0">
              <w:rPr>
                <w:rFonts w:cs="Calibri"/>
                <w:color w:val="000000" w:themeColor="text1"/>
                <w:spacing w:val="2"/>
                <w:sz w:val="18"/>
              </w:rPr>
              <w:t xml:space="preserve"> </w:t>
            </w:r>
            <w:r w:rsidRPr="001C21B0">
              <w:rPr>
                <w:rFonts w:cs="Calibri"/>
                <w:color w:val="000000" w:themeColor="text1"/>
                <w:sz w:val="18"/>
              </w:rPr>
              <w:t>of</w:t>
            </w:r>
            <w:r w:rsidRPr="001C21B0">
              <w:rPr>
                <w:rFonts w:cs="Calibri"/>
                <w:color w:val="000000" w:themeColor="text1"/>
                <w:spacing w:val="2"/>
                <w:sz w:val="18"/>
              </w:rPr>
              <w:t xml:space="preserve"> </w:t>
            </w:r>
            <w:r w:rsidRPr="001C21B0">
              <w:rPr>
                <w:rFonts w:cs="Calibri"/>
                <w:color w:val="000000" w:themeColor="text1"/>
                <w:sz w:val="18"/>
              </w:rPr>
              <w:t>leave</w:t>
            </w:r>
            <w:r w:rsidRPr="001C21B0">
              <w:rPr>
                <w:rFonts w:cs="Calibri"/>
                <w:color w:val="000000" w:themeColor="text1"/>
                <w:spacing w:val="3"/>
                <w:sz w:val="18"/>
              </w:rPr>
              <w:t xml:space="preserve"> </w:t>
            </w:r>
            <w:r w:rsidRPr="001C21B0">
              <w:rPr>
                <w:rFonts w:cs="Calibri"/>
                <w:color w:val="000000" w:themeColor="text1"/>
                <w:spacing w:val="-2"/>
                <w:sz w:val="18"/>
              </w:rPr>
              <w:t>liabilities</w:t>
            </w:r>
          </w:p>
        </w:tc>
        <w:tc>
          <w:tcPr>
            <w:tcW w:w="1502" w:type="dxa"/>
            <w:tcBorders>
              <w:top w:val="single" w:sz="2" w:space="0" w:color="73777A"/>
              <w:left w:val="nil"/>
              <w:bottom w:val="single" w:sz="2" w:space="0" w:color="73777A"/>
              <w:right w:val="single" w:sz="8" w:space="0" w:color="FFFFFF"/>
            </w:tcBorders>
            <w:shd w:val="clear" w:color="auto" w:fill="FFF0E7"/>
          </w:tcPr>
          <w:p w14:paraId="55E72034" w14:textId="77777777" w:rsidR="00FA4226" w:rsidRPr="001C21B0" w:rsidRDefault="00000000" w:rsidP="0043303B">
            <w:pPr>
              <w:pStyle w:val="TableParagraph"/>
              <w:rPr>
                <w:rFonts w:cs="Calibri"/>
                <w:color w:val="000000" w:themeColor="text1"/>
                <w:sz w:val="18"/>
              </w:rPr>
            </w:pPr>
            <w:r w:rsidRPr="001C21B0">
              <w:rPr>
                <w:rFonts w:cs="Calibri"/>
                <w:color w:val="000000" w:themeColor="text1"/>
                <w:spacing w:val="-2"/>
                <w:sz w:val="18"/>
              </w:rPr>
              <w:t>(7,801)</w:t>
            </w:r>
          </w:p>
        </w:tc>
        <w:tc>
          <w:tcPr>
            <w:tcW w:w="1502" w:type="dxa"/>
            <w:tcBorders>
              <w:top w:val="single" w:sz="2" w:space="0" w:color="73777A"/>
              <w:left w:val="single" w:sz="8" w:space="0" w:color="FFFFFF"/>
              <w:bottom w:val="single" w:sz="2" w:space="0" w:color="73777A"/>
              <w:right w:val="nil"/>
            </w:tcBorders>
            <w:shd w:val="clear" w:color="auto" w:fill="EDEFF0"/>
          </w:tcPr>
          <w:p w14:paraId="1ECB61BB" w14:textId="77777777" w:rsidR="00FA4226" w:rsidRPr="001C21B0" w:rsidRDefault="00000000" w:rsidP="0043303B">
            <w:pPr>
              <w:pStyle w:val="TableParagraph"/>
              <w:rPr>
                <w:rFonts w:cs="Calibri"/>
                <w:color w:val="000000" w:themeColor="text1"/>
                <w:sz w:val="18"/>
              </w:rPr>
            </w:pPr>
            <w:r w:rsidRPr="001C21B0">
              <w:rPr>
                <w:rFonts w:cs="Calibri"/>
                <w:color w:val="000000" w:themeColor="text1"/>
                <w:spacing w:val="-2"/>
                <w:sz w:val="18"/>
              </w:rPr>
              <w:t>53,806</w:t>
            </w:r>
          </w:p>
        </w:tc>
      </w:tr>
      <w:tr w:rsidR="001C21B0" w:rsidRPr="001C21B0" w14:paraId="4AB50EEB" w14:textId="77777777" w:rsidTr="006465DA">
        <w:trPr>
          <w:trHeight w:val="292"/>
        </w:trPr>
        <w:tc>
          <w:tcPr>
            <w:tcW w:w="6633" w:type="dxa"/>
            <w:gridSpan w:val="2"/>
            <w:tcBorders>
              <w:top w:val="single" w:sz="2" w:space="0" w:color="73777A"/>
              <w:left w:val="nil"/>
              <w:bottom w:val="single" w:sz="6" w:space="0" w:color="73777A"/>
              <w:right w:val="nil"/>
            </w:tcBorders>
          </w:tcPr>
          <w:p w14:paraId="3822A663" w14:textId="77777777" w:rsidR="00FA4226" w:rsidRPr="001C21B0" w:rsidRDefault="00000000" w:rsidP="0043303B">
            <w:pPr>
              <w:pStyle w:val="TableParagraph"/>
              <w:spacing w:before="13"/>
              <w:jc w:val="left"/>
              <w:rPr>
                <w:rFonts w:cs="Calibri"/>
                <w:color w:val="000000" w:themeColor="text1"/>
                <w:sz w:val="18"/>
              </w:rPr>
            </w:pPr>
            <w:r w:rsidRPr="001C21B0">
              <w:rPr>
                <w:rFonts w:cs="Calibri"/>
                <w:color w:val="000000" w:themeColor="text1"/>
                <w:sz w:val="18"/>
              </w:rPr>
              <w:t>Total</w:t>
            </w:r>
            <w:r w:rsidRPr="001C21B0">
              <w:rPr>
                <w:rFonts w:cs="Calibri"/>
                <w:color w:val="000000" w:themeColor="text1"/>
                <w:spacing w:val="3"/>
                <w:sz w:val="18"/>
              </w:rPr>
              <w:t xml:space="preserve"> </w:t>
            </w:r>
            <w:r w:rsidRPr="001C21B0">
              <w:rPr>
                <w:rFonts w:cs="Calibri"/>
                <w:color w:val="000000" w:themeColor="text1"/>
                <w:sz w:val="18"/>
              </w:rPr>
              <w:t>other</w:t>
            </w:r>
            <w:r w:rsidRPr="001C21B0">
              <w:rPr>
                <w:rFonts w:cs="Calibri"/>
                <w:color w:val="000000" w:themeColor="text1"/>
                <w:spacing w:val="4"/>
                <w:sz w:val="18"/>
              </w:rPr>
              <w:t xml:space="preserve"> </w:t>
            </w:r>
            <w:r w:rsidRPr="001C21B0">
              <w:rPr>
                <w:rFonts w:cs="Calibri"/>
                <w:color w:val="000000" w:themeColor="text1"/>
                <w:sz w:val="18"/>
              </w:rPr>
              <w:t>economic</w:t>
            </w:r>
            <w:r w:rsidRPr="001C21B0">
              <w:rPr>
                <w:rFonts w:cs="Calibri"/>
                <w:color w:val="000000" w:themeColor="text1"/>
                <w:spacing w:val="3"/>
                <w:sz w:val="18"/>
              </w:rPr>
              <w:t xml:space="preserve"> </w:t>
            </w:r>
            <w:r w:rsidRPr="001C21B0">
              <w:rPr>
                <w:rFonts w:cs="Calibri"/>
                <w:color w:val="000000" w:themeColor="text1"/>
                <w:sz w:val="18"/>
              </w:rPr>
              <w:t>flows</w:t>
            </w:r>
            <w:r w:rsidRPr="001C21B0">
              <w:rPr>
                <w:rFonts w:cs="Calibri"/>
                <w:color w:val="000000" w:themeColor="text1"/>
                <w:spacing w:val="4"/>
                <w:sz w:val="18"/>
              </w:rPr>
              <w:t xml:space="preserve"> </w:t>
            </w:r>
            <w:r w:rsidRPr="001C21B0">
              <w:rPr>
                <w:rFonts w:cs="Calibri"/>
                <w:color w:val="000000" w:themeColor="text1"/>
                <w:sz w:val="18"/>
              </w:rPr>
              <w:t>included</w:t>
            </w:r>
            <w:r w:rsidRPr="001C21B0">
              <w:rPr>
                <w:rFonts w:cs="Calibri"/>
                <w:color w:val="000000" w:themeColor="text1"/>
                <w:spacing w:val="3"/>
                <w:sz w:val="18"/>
              </w:rPr>
              <w:t xml:space="preserve"> </w:t>
            </w:r>
            <w:r w:rsidRPr="001C21B0">
              <w:rPr>
                <w:rFonts w:cs="Calibri"/>
                <w:color w:val="000000" w:themeColor="text1"/>
                <w:sz w:val="18"/>
              </w:rPr>
              <w:t>in</w:t>
            </w:r>
            <w:r w:rsidRPr="001C21B0">
              <w:rPr>
                <w:rFonts w:cs="Calibri"/>
                <w:color w:val="000000" w:themeColor="text1"/>
                <w:spacing w:val="4"/>
                <w:sz w:val="18"/>
              </w:rPr>
              <w:t xml:space="preserve"> </w:t>
            </w:r>
            <w:r w:rsidRPr="001C21B0">
              <w:rPr>
                <w:rFonts w:cs="Calibri"/>
                <w:color w:val="000000" w:themeColor="text1"/>
                <w:sz w:val="18"/>
              </w:rPr>
              <w:t>net</w:t>
            </w:r>
            <w:r w:rsidRPr="001C21B0">
              <w:rPr>
                <w:rFonts w:cs="Calibri"/>
                <w:color w:val="000000" w:themeColor="text1"/>
                <w:spacing w:val="4"/>
                <w:sz w:val="18"/>
              </w:rPr>
              <w:t xml:space="preserve"> </w:t>
            </w:r>
            <w:r w:rsidRPr="001C21B0">
              <w:rPr>
                <w:rFonts w:cs="Calibri"/>
                <w:color w:val="000000" w:themeColor="text1"/>
                <w:spacing w:val="-2"/>
                <w:sz w:val="18"/>
              </w:rPr>
              <w:t>result</w:t>
            </w:r>
          </w:p>
        </w:tc>
        <w:tc>
          <w:tcPr>
            <w:tcW w:w="1502" w:type="dxa"/>
            <w:tcBorders>
              <w:top w:val="single" w:sz="2" w:space="0" w:color="73777A"/>
              <w:left w:val="nil"/>
              <w:bottom w:val="single" w:sz="6" w:space="0" w:color="73777A"/>
              <w:right w:val="single" w:sz="8" w:space="0" w:color="FFFFFF"/>
            </w:tcBorders>
            <w:shd w:val="clear" w:color="auto" w:fill="FFF0E7"/>
          </w:tcPr>
          <w:p w14:paraId="2455E9BA" w14:textId="77777777" w:rsidR="00FA4226" w:rsidRPr="001C21B0" w:rsidRDefault="00000000" w:rsidP="0043303B">
            <w:pPr>
              <w:pStyle w:val="TableParagraph"/>
              <w:spacing w:before="13"/>
              <w:rPr>
                <w:rFonts w:cs="Calibri"/>
                <w:color w:val="000000" w:themeColor="text1"/>
                <w:sz w:val="18"/>
              </w:rPr>
            </w:pPr>
            <w:r w:rsidRPr="001C21B0">
              <w:rPr>
                <w:rFonts w:cs="Calibri"/>
                <w:color w:val="000000" w:themeColor="text1"/>
                <w:spacing w:val="-2"/>
                <w:sz w:val="18"/>
              </w:rPr>
              <w:t>(7,801)</w:t>
            </w:r>
          </w:p>
        </w:tc>
        <w:tc>
          <w:tcPr>
            <w:tcW w:w="1502" w:type="dxa"/>
            <w:tcBorders>
              <w:top w:val="single" w:sz="2" w:space="0" w:color="73777A"/>
              <w:left w:val="single" w:sz="8" w:space="0" w:color="FFFFFF"/>
              <w:bottom w:val="single" w:sz="6" w:space="0" w:color="73777A"/>
              <w:right w:val="nil"/>
            </w:tcBorders>
            <w:shd w:val="clear" w:color="auto" w:fill="EDEFF0"/>
          </w:tcPr>
          <w:p w14:paraId="0EF43C2C" w14:textId="77777777" w:rsidR="00FA4226" w:rsidRPr="001C21B0" w:rsidRDefault="00000000" w:rsidP="0043303B">
            <w:pPr>
              <w:pStyle w:val="TableParagraph"/>
              <w:spacing w:before="13"/>
              <w:rPr>
                <w:rFonts w:cs="Calibri"/>
                <w:color w:val="000000" w:themeColor="text1"/>
                <w:sz w:val="18"/>
              </w:rPr>
            </w:pPr>
            <w:r w:rsidRPr="001C21B0">
              <w:rPr>
                <w:rFonts w:cs="Calibri"/>
                <w:color w:val="000000" w:themeColor="text1"/>
                <w:spacing w:val="-2"/>
                <w:sz w:val="18"/>
              </w:rPr>
              <w:t>53,806</w:t>
            </w:r>
          </w:p>
        </w:tc>
      </w:tr>
      <w:tr w:rsidR="001C21B0" w:rsidRPr="001C21B0" w14:paraId="40BD07F8" w14:textId="77777777" w:rsidTr="006465DA">
        <w:trPr>
          <w:trHeight w:val="292"/>
        </w:trPr>
        <w:tc>
          <w:tcPr>
            <w:tcW w:w="6633" w:type="dxa"/>
            <w:gridSpan w:val="2"/>
            <w:tcBorders>
              <w:top w:val="single" w:sz="6" w:space="0" w:color="73777A"/>
              <w:left w:val="nil"/>
              <w:bottom w:val="single" w:sz="2" w:space="0" w:color="73777A"/>
              <w:right w:val="nil"/>
            </w:tcBorders>
          </w:tcPr>
          <w:p w14:paraId="1F0A2A49" w14:textId="77777777" w:rsidR="00FA4226" w:rsidRPr="001C21B0" w:rsidRDefault="00FA4226" w:rsidP="0043303B">
            <w:pPr>
              <w:pStyle w:val="TableParagraph"/>
              <w:jc w:val="left"/>
              <w:rPr>
                <w:rFonts w:cs="Calibri"/>
                <w:color w:val="000000" w:themeColor="text1"/>
                <w:sz w:val="16"/>
              </w:rPr>
            </w:pPr>
          </w:p>
        </w:tc>
        <w:tc>
          <w:tcPr>
            <w:tcW w:w="1502" w:type="dxa"/>
            <w:tcBorders>
              <w:top w:val="single" w:sz="6" w:space="0" w:color="73777A"/>
              <w:left w:val="nil"/>
              <w:bottom w:val="single" w:sz="2" w:space="0" w:color="73777A"/>
              <w:right w:val="single" w:sz="8" w:space="0" w:color="FFFFFF"/>
            </w:tcBorders>
            <w:shd w:val="clear" w:color="auto" w:fill="FFF0E7"/>
          </w:tcPr>
          <w:p w14:paraId="6404EEFC" w14:textId="77777777" w:rsidR="00FA4226" w:rsidRPr="001C21B0" w:rsidRDefault="00FA4226" w:rsidP="0043303B">
            <w:pPr>
              <w:pStyle w:val="TableParagraph"/>
              <w:jc w:val="left"/>
              <w:rPr>
                <w:rFonts w:cs="Calibri"/>
                <w:color w:val="000000" w:themeColor="text1"/>
                <w:sz w:val="16"/>
              </w:rPr>
            </w:pPr>
          </w:p>
        </w:tc>
        <w:tc>
          <w:tcPr>
            <w:tcW w:w="1502" w:type="dxa"/>
            <w:tcBorders>
              <w:top w:val="single" w:sz="6" w:space="0" w:color="73777A"/>
              <w:left w:val="single" w:sz="8" w:space="0" w:color="FFFFFF"/>
              <w:bottom w:val="single" w:sz="2" w:space="0" w:color="73777A"/>
              <w:right w:val="nil"/>
            </w:tcBorders>
            <w:shd w:val="clear" w:color="auto" w:fill="EDEFF0"/>
          </w:tcPr>
          <w:p w14:paraId="2C5129CA" w14:textId="77777777" w:rsidR="00FA4226" w:rsidRPr="001C21B0" w:rsidRDefault="00FA4226" w:rsidP="0043303B">
            <w:pPr>
              <w:pStyle w:val="TableParagraph"/>
              <w:jc w:val="left"/>
              <w:rPr>
                <w:rFonts w:cs="Calibri"/>
                <w:color w:val="000000" w:themeColor="text1"/>
                <w:sz w:val="16"/>
              </w:rPr>
            </w:pPr>
          </w:p>
        </w:tc>
      </w:tr>
      <w:tr w:rsidR="001C21B0" w:rsidRPr="001C21B0" w14:paraId="4E61C0AF" w14:textId="77777777" w:rsidTr="006465DA">
        <w:trPr>
          <w:trHeight w:val="292"/>
        </w:trPr>
        <w:tc>
          <w:tcPr>
            <w:tcW w:w="6633" w:type="dxa"/>
            <w:gridSpan w:val="2"/>
            <w:tcBorders>
              <w:top w:val="single" w:sz="2" w:space="0" w:color="73777A"/>
              <w:left w:val="nil"/>
              <w:bottom w:val="single" w:sz="6" w:space="0" w:color="73777A"/>
              <w:right w:val="nil"/>
            </w:tcBorders>
          </w:tcPr>
          <w:p w14:paraId="2EE789EA" w14:textId="77777777" w:rsidR="00FA4226" w:rsidRPr="001C21B0" w:rsidRDefault="00000000" w:rsidP="0043303B">
            <w:pPr>
              <w:pStyle w:val="TableParagraph"/>
              <w:spacing w:before="13"/>
              <w:jc w:val="left"/>
              <w:rPr>
                <w:rFonts w:cs="Calibri"/>
                <w:color w:val="000000" w:themeColor="text1"/>
                <w:sz w:val="10"/>
              </w:rPr>
            </w:pPr>
            <w:r w:rsidRPr="001C21B0">
              <w:rPr>
                <w:rFonts w:cs="Calibri"/>
                <w:color w:val="000000" w:themeColor="text1"/>
                <w:sz w:val="18"/>
              </w:rPr>
              <w:t>Net</w:t>
            </w:r>
            <w:r w:rsidRPr="001C21B0">
              <w:rPr>
                <w:rFonts w:cs="Calibri"/>
                <w:color w:val="000000" w:themeColor="text1"/>
                <w:spacing w:val="3"/>
                <w:sz w:val="18"/>
              </w:rPr>
              <w:t xml:space="preserve"> </w:t>
            </w:r>
            <w:r w:rsidRPr="001C21B0">
              <w:rPr>
                <w:rFonts w:cs="Calibri"/>
                <w:color w:val="000000" w:themeColor="text1"/>
                <w:sz w:val="18"/>
              </w:rPr>
              <w:t>result</w:t>
            </w:r>
            <w:r w:rsidRPr="001C21B0">
              <w:rPr>
                <w:rFonts w:cs="Calibri"/>
                <w:color w:val="000000" w:themeColor="text1"/>
                <w:spacing w:val="5"/>
                <w:sz w:val="18"/>
              </w:rPr>
              <w:t xml:space="preserve"> </w:t>
            </w:r>
            <w:r w:rsidRPr="001C21B0">
              <w:rPr>
                <w:rFonts w:cs="Calibri"/>
                <w:color w:val="000000" w:themeColor="text1"/>
                <w:spacing w:val="-4"/>
                <w:position w:val="6"/>
                <w:sz w:val="10"/>
              </w:rPr>
              <w:t>(ii)</w:t>
            </w:r>
          </w:p>
        </w:tc>
        <w:tc>
          <w:tcPr>
            <w:tcW w:w="1502" w:type="dxa"/>
            <w:tcBorders>
              <w:top w:val="single" w:sz="2" w:space="0" w:color="73777A"/>
              <w:left w:val="nil"/>
              <w:bottom w:val="single" w:sz="6" w:space="0" w:color="73777A"/>
              <w:right w:val="single" w:sz="8" w:space="0" w:color="FFFFFF"/>
            </w:tcBorders>
            <w:shd w:val="clear" w:color="auto" w:fill="FFF0E7"/>
          </w:tcPr>
          <w:p w14:paraId="03A2A12A" w14:textId="77777777" w:rsidR="00FA4226" w:rsidRPr="001C21B0" w:rsidRDefault="00000000" w:rsidP="0043303B">
            <w:pPr>
              <w:pStyle w:val="TableParagraph"/>
              <w:spacing w:before="13"/>
              <w:rPr>
                <w:rFonts w:cs="Calibri"/>
                <w:color w:val="000000" w:themeColor="text1"/>
                <w:sz w:val="18"/>
              </w:rPr>
            </w:pPr>
            <w:r w:rsidRPr="001C21B0">
              <w:rPr>
                <w:rFonts w:cs="Calibri"/>
                <w:color w:val="000000" w:themeColor="text1"/>
                <w:spacing w:val="-2"/>
                <w:sz w:val="18"/>
              </w:rPr>
              <w:t>(61,764)</w:t>
            </w:r>
          </w:p>
        </w:tc>
        <w:tc>
          <w:tcPr>
            <w:tcW w:w="1502" w:type="dxa"/>
            <w:tcBorders>
              <w:top w:val="single" w:sz="2" w:space="0" w:color="73777A"/>
              <w:left w:val="single" w:sz="8" w:space="0" w:color="FFFFFF"/>
              <w:bottom w:val="single" w:sz="6" w:space="0" w:color="73777A"/>
              <w:right w:val="nil"/>
            </w:tcBorders>
            <w:shd w:val="clear" w:color="auto" w:fill="EDEFF0"/>
          </w:tcPr>
          <w:p w14:paraId="110D82DB" w14:textId="77777777" w:rsidR="00FA4226" w:rsidRPr="001C21B0" w:rsidRDefault="00000000" w:rsidP="0043303B">
            <w:pPr>
              <w:pStyle w:val="TableParagraph"/>
              <w:spacing w:before="13"/>
              <w:rPr>
                <w:rFonts w:cs="Calibri"/>
                <w:color w:val="000000" w:themeColor="text1"/>
                <w:sz w:val="18"/>
              </w:rPr>
            </w:pPr>
            <w:r w:rsidRPr="001C21B0">
              <w:rPr>
                <w:rFonts w:cs="Calibri"/>
                <w:color w:val="000000" w:themeColor="text1"/>
                <w:spacing w:val="-2"/>
                <w:sz w:val="18"/>
              </w:rPr>
              <w:t>592,053</w:t>
            </w:r>
          </w:p>
        </w:tc>
      </w:tr>
      <w:tr w:rsidR="001C21B0" w:rsidRPr="001C21B0" w14:paraId="4170662A" w14:textId="77777777" w:rsidTr="006465DA">
        <w:trPr>
          <w:trHeight w:val="272"/>
        </w:trPr>
        <w:tc>
          <w:tcPr>
            <w:tcW w:w="6633" w:type="dxa"/>
            <w:gridSpan w:val="2"/>
            <w:tcBorders>
              <w:top w:val="single" w:sz="6" w:space="0" w:color="73777A"/>
              <w:left w:val="nil"/>
              <w:bottom w:val="double" w:sz="6" w:space="0" w:color="73777A"/>
              <w:right w:val="nil"/>
            </w:tcBorders>
          </w:tcPr>
          <w:p w14:paraId="1729CB19" w14:textId="77777777" w:rsidR="00FA4226" w:rsidRPr="001C21B0" w:rsidRDefault="00000000" w:rsidP="0043303B">
            <w:pPr>
              <w:pStyle w:val="TableParagraph"/>
              <w:spacing w:before="8"/>
              <w:jc w:val="left"/>
              <w:rPr>
                <w:rFonts w:cs="Calibri"/>
                <w:color w:val="000000" w:themeColor="text1"/>
                <w:sz w:val="10"/>
              </w:rPr>
            </w:pPr>
            <w:r w:rsidRPr="001C21B0">
              <w:rPr>
                <w:rFonts w:cs="Calibri"/>
                <w:color w:val="000000" w:themeColor="text1"/>
                <w:sz w:val="18"/>
              </w:rPr>
              <w:t>Comprehensive</w:t>
            </w:r>
            <w:r w:rsidRPr="001C21B0">
              <w:rPr>
                <w:rFonts w:cs="Calibri"/>
                <w:color w:val="000000" w:themeColor="text1"/>
                <w:spacing w:val="10"/>
                <w:sz w:val="18"/>
              </w:rPr>
              <w:t xml:space="preserve"> </w:t>
            </w:r>
            <w:r w:rsidRPr="001C21B0">
              <w:rPr>
                <w:rFonts w:cs="Calibri"/>
                <w:color w:val="000000" w:themeColor="text1"/>
                <w:sz w:val="18"/>
              </w:rPr>
              <w:t>result</w:t>
            </w:r>
            <w:r w:rsidRPr="001C21B0">
              <w:rPr>
                <w:rFonts w:cs="Calibri"/>
                <w:color w:val="000000" w:themeColor="text1"/>
                <w:spacing w:val="13"/>
                <w:sz w:val="18"/>
              </w:rPr>
              <w:t xml:space="preserve"> </w:t>
            </w:r>
            <w:r w:rsidRPr="001C21B0">
              <w:rPr>
                <w:rFonts w:cs="Calibri"/>
                <w:color w:val="000000" w:themeColor="text1"/>
                <w:spacing w:val="-4"/>
                <w:position w:val="6"/>
                <w:sz w:val="10"/>
              </w:rPr>
              <w:t>(ii)</w:t>
            </w:r>
          </w:p>
        </w:tc>
        <w:tc>
          <w:tcPr>
            <w:tcW w:w="1502" w:type="dxa"/>
            <w:tcBorders>
              <w:top w:val="single" w:sz="6" w:space="0" w:color="73777A"/>
              <w:left w:val="nil"/>
              <w:bottom w:val="single" w:sz="18" w:space="0" w:color="FFFFFF"/>
              <w:right w:val="single" w:sz="8" w:space="0" w:color="FFFFFF"/>
            </w:tcBorders>
            <w:shd w:val="clear" w:color="auto" w:fill="FFF0E7"/>
          </w:tcPr>
          <w:p w14:paraId="39614989" w14:textId="77777777" w:rsidR="00FA4226" w:rsidRPr="001C21B0" w:rsidRDefault="00000000" w:rsidP="0043303B">
            <w:pPr>
              <w:pStyle w:val="TableParagraph"/>
              <w:spacing w:before="8"/>
              <w:rPr>
                <w:rFonts w:cs="Calibri"/>
                <w:color w:val="000000" w:themeColor="text1"/>
                <w:sz w:val="18"/>
              </w:rPr>
            </w:pPr>
            <w:r w:rsidRPr="001C21B0">
              <w:rPr>
                <w:rFonts w:cs="Calibri"/>
                <w:color w:val="000000" w:themeColor="text1"/>
                <w:spacing w:val="-2"/>
                <w:sz w:val="18"/>
              </w:rPr>
              <w:t>(61,764)</w:t>
            </w:r>
          </w:p>
        </w:tc>
        <w:tc>
          <w:tcPr>
            <w:tcW w:w="1502" w:type="dxa"/>
            <w:tcBorders>
              <w:top w:val="single" w:sz="6" w:space="0" w:color="73777A"/>
              <w:left w:val="single" w:sz="8" w:space="0" w:color="FFFFFF"/>
              <w:bottom w:val="single" w:sz="18" w:space="0" w:color="FFFFFF"/>
              <w:right w:val="nil"/>
            </w:tcBorders>
            <w:shd w:val="clear" w:color="auto" w:fill="EDEFF0"/>
          </w:tcPr>
          <w:p w14:paraId="644EE33C" w14:textId="77777777" w:rsidR="00FA4226" w:rsidRPr="001C21B0" w:rsidRDefault="00000000" w:rsidP="0043303B">
            <w:pPr>
              <w:pStyle w:val="TableParagraph"/>
              <w:spacing w:before="8"/>
              <w:rPr>
                <w:rFonts w:cs="Calibri"/>
                <w:color w:val="000000" w:themeColor="text1"/>
                <w:sz w:val="18"/>
              </w:rPr>
            </w:pPr>
            <w:r w:rsidRPr="001C21B0">
              <w:rPr>
                <w:rFonts w:cs="Calibri"/>
                <w:color w:val="000000" w:themeColor="text1"/>
                <w:spacing w:val="-2"/>
                <w:sz w:val="18"/>
              </w:rPr>
              <w:t>592,053</w:t>
            </w:r>
          </w:p>
        </w:tc>
      </w:tr>
    </w:tbl>
    <w:p w14:paraId="100C2C48" w14:textId="77777777" w:rsidR="00FA4226" w:rsidRPr="001C21B0" w:rsidRDefault="00FA4226" w:rsidP="0043303B">
      <w:pPr>
        <w:pStyle w:val="BodyText"/>
        <w:spacing w:before="5"/>
        <w:rPr>
          <w:rFonts w:cs="Calibri"/>
        </w:rPr>
      </w:pPr>
    </w:p>
    <w:p w14:paraId="3E0B8386" w14:textId="77777777" w:rsidR="00FA4226" w:rsidRPr="001C21B0" w:rsidRDefault="00000000" w:rsidP="0043303B">
      <w:pPr>
        <w:pStyle w:val="ListParagraph"/>
        <w:numPr>
          <w:ilvl w:val="0"/>
          <w:numId w:val="17"/>
        </w:numPr>
        <w:tabs>
          <w:tab w:val="left" w:pos="1289"/>
        </w:tabs>
        <w:spacing w:before="0"/>
        <w:ind w:left="0" w:firstLine="0"/>
        <w:rPr>
          <w:rFonts w:cs="Calibri"/>
          <w:i/>
          <w:sz w:val="16"/>
        </w:rPr>
      </w:pPr>
      <w:r w:rsidRPr="001C21B0">
        <w:rPr>
          <w:rFonts w:cs="Calibri"/>
          <w:i/>
          <w:sz w:val="16"/>
        </w:rPr>
        <w:t xml:space="preserve">Expenses are presented as negative figures in the comprehensive operating </w:t>
      </w:r>
      <w:r w:rsidRPr="001C21B0">
        <w:rPr>
          <w:rFonts w:cs="Calibri"/>
          <w:i/>
          <w:spacing w:val="-2"/>
          <w:sz w:val="16"/>
        </w:rPr>
        <w:t>statement.</w:t>
      </w:r>
    </w:p>
    <w:p w14:paraId="5AC17C73" w14:textId="77777777" w:rsidR="00FA4226" w:rsidRPr="001C21B0" w:rsidRDefault="00000000" w:rsidP="0043303B">
      <w:pPr>
        <w:pStyle w:val="ListParagraph"/>
        <w:numPr>
          <w:ilvl w:val="0"/>
          <w:numId w:val="17"/>
        </w:numPr>
        <w:tabs>
          <w:tab w:val="left" w:pos="1319"/>
        </w:tabs>
        <w:spacing w:before="142"/>
        <w:ind w:left="0" w:firstLine="0"/>
        <w:rPr>
          <w:rFonts w:cs="Calibri"/>
          <w:i/>
          <w:sz w:val="16"/>
        </w:rPr>
      </w:pPr>
      <w:r w:rsidRPr="001C21B0">
        <w:rPr>
          <w:rFonts w:cs="Calibri"/>
          <w:i/>
          <w:sz w:val="16"/>
        </w:rPr>
        <w:t>The</w:t>
      </w:r>
      <w:r w:rsidRPr="001C21B0">
        <w:rPr>
          <w:rFonts w:cs="Calibri"/>
          <w:i/>
          <w:spacing w:val="-3"/>
          <w:sz w:val="16"/>
        </w:rPr>
        <w:t xml:space="preserve"> </w:t>
      </w:r>
      <w:r w:rsidRPr="001C21B0">
        <w:rPr>
          <w:rFonts w:cs="Calibri"/>
          <w:i/>
          <w:sz w:val="16"/>
        </w:rPr>
        <w:t>2021-22</w:t>
      </w:r>
      <w:r w:rsidRPr="001C21B0">
        <w:rPr>
          <w:rFonts w:cs="Calibri"/>
          <w:i/>
          <w:spacing w:val="-1"/>
          <w:sz w:val="16"/>
        </w:rPr>
        <w:t xml:space="preserve"> </w:t>
      </w:r>
      <w:r w:rsidRPr="001C21B0">
        <w:rPr>
          <w:rFonts w:cs="Calibri"/>
          <w:i/>
          <w:sz w:val="16"/>
        </w:rPr>
        <w:t>comparative</w:t>
      </w:r>
      <w:r w:rsidRPr="001C21B0">
        <w:rPr>
          <w:rFonts w:cs="Calibri"/>
          <w:i/>
          <w:spacing w:val="-1"/>
          <w:sz w:val="16"/>
        </w:rPr>
        <w:t xml:space="preserve"> </w:t>
      </w:r>
      <w:r w:rsidRPr="001C21B0">
        <w:rPr>
          <w:rFonts w:cs="Calibri"/>
          <w:i/>
          <w:sz w:val="16"/>
        </w:rPr>
        <w:t>figures</w:t>
      </w:r>
      <w:r w:rsidRPr="001C21B0">
        <w:rPr>
          <w:rFonts w:cs="Calibri"/>
          <w:i/>
          <w:spacing w:val="-1"/>
          <w:sz w:val="16"/>
        </w:rPr>
        <w:t xml:space="preserve"> </w:t>
      </w:r>
      <w:r w:rsidRPr="001C21B0">
        <w:rPr>
          <w:rFonts w:cs="Calibri"/>
          <w:i/>
          <w:sz w:val="16"/>
        </w:rPr>
        <w:t>have been</w:t>
      </w:r>
      <w:r w:rsidRPr="001C21B0">
        <w:rPr>
          <w:rFonts w:cs="Calibri"/>
          <w:i/>
          <w:spacing w:val="-1"/>
          <w:sz w:val="16"/>
        </w:rPr>
        <w:t xml:space="preserve"> </w:t>
      </w:r>
      <w:r w:rsidRPr="001C21B0">
        <w:rPr>
          <w:rFonts w:cs="Calibri"/>
          <w:i/>
          <w:sz w:val="16"/>
        </w:rPr>
        <w:t>adjusted</w:t>
      </w:r>
      <w:r w:rsidRPr="001C21B0">
        <w:rPr>
          <w:rFonts w:cs="Calibri"/>
          <w:i/>
          <w:spacing w:val="-1"/>
          <w:sz w:val="16"/>
        </w:rPr>
        <w:t xml:space="preserve"> </w:t>
      </w:r>
      <w:r w:rsidRPr="001C21B0">
        <w:rPr>
          <w:rFonts w:cs="Calibri"/>
          <w:i/>
          <w:sz w:val="16"/>
        </w:rPr>
        <w:t>to</w:t>
      </w:r>
      <w:r w:rsidRPr="001C21B0">
        <w:rPr>
          <w:rFonts w:cs="Calibri"/>
          <w:i/>
          <w:spacing w:val="-1"/>
          <w:sz w:val="16"/>
        </w:rPr>
        <w:t xml:space="preserve"> </w:t>
      </w:r>
      <w:r w:rsidRPr="001C21B0">
        <w:rPr>
          <w:rFonts w:cs="Calibri"/>
          <w:i/>
          <w:sz w:val="16"/>
        </w:rPr>
        <w:t>correct</w:t>
      </w:r>
      <w:r w:rsidRPr="001C21B0">
        <w:rPr>
          <w:rFonts w:cs="Calibri"/>
          <w:i/>
          <w:spacing w:val="-1"/>
          <w:sz w:val="16"/>
        </w:rPr>
        <w:t xml:space="preserve"> </w:t>
      </w:r>
      <w:r w:rsidRPr="001C21B0">
        <w:rPr>
          <w:rFonts w:cs="Calibri"/>
          <w:i/>
          <w:sz w:val="16"/>
        </w:rPr>
        <w:t>a prior</w:t>
      </w:r>
      <w:r w:rsidRPr="001C21B0">
        <w:rPr>
          <w:rFonts w:cs="Calibri"/>
          <w:i/>
          <w:spacing w:val="-1"/>
          <w:sz w:val="16"/>
        </w:rPr>
        <w:t xml:space="preserve"> </w:t>
      </w:r>
      <w:r w:rsidRPr="001C21B0">
        <w:rPr>
          <w:rFonts w:cs="Calibri"/>
          <w:i/>
          <w:sz w:val="16"/>
        </w:rPr>
        <w:t>period</w:t>
      </w:r>
      <w:r w:rsidRPr="001C21B0">
        <w:rPr>
          <w:rFonts w:cs="Calibri"/>
          <w:i/>
          <w:spacing w:val="-1"/>
          <w:sz w:val="16"/>
        </w:rPr>
        <w:t xml:space="preserve"> </w:t>
      </w:r>
      <w:r w:rsidRPr="001C21B0">
        <w:rPr>
          <w:rFonts w:cs="Calibri"/>
          <w:i/>
          <w:sz w:val="16"/>
        </w:rPr>
        <w:t>error.</w:t>
      </w:r>
      <w:r w:rsidRPr="001C21B0">
        <w:rPr>
          <w:rFonts w:cs="Calibri"/>
          <w:i/>
          <w:spacing w:val="-1"/>
          <w:sz w:val="16"/>
        </w:rPr>
        <w:t xml:space="preserve"> </w:t>
      </w:r>
      <w:r w:rsidRPr="001C21B0">
        <w:rPr>
          <w:rFonts w:cs="Calibri"/>
          <w:i/>
          <w:sz w:val="16"/>
        </w:rPr>
        <w:t>Refer</w:t>
      </w:r>
      <w:r w:rsidRPr="001C21B0">
        <w:rPr>
          <w:rFonts w:cs="Calibri"/>
          <w:i/>
          <w:spacing w:val="-1"/>
          <w:sz w:val="16"/>
        </w:rPr>
        <w:t xml:space="preserve"> </w:t>
      </w:r>
      <w:r w:rsidRPr="001C21B0">
        <w:rPr>
          <w:rFonts w:cs="Calibri"/>
          <w:i/>
          <w:sz w:val="16"/>
        </w:rPr>
        <w:t>to note</w:t>
      </w:r>
      <w:r w:rsidRPr="001C21B0">
        <w:rPr>
          <w:rFonts w:cs="Calibri"/>
          <w:i/>
          <w:spacing w:val="-1"/>
          <w:sz w:val="16"/>
        </w:rPr>
        <w:t xml:space="preserve"> </w:t>
      </w:r>
      <w:r w:rsidRPr="001C21B0">
        <w:rPr>
          <w:rFonts w:cs="Calibri"/>
          <w:i/>
          <w:sz w:val="16"/>
        </w:rPr>
        <w:t>8.5</w:t>
      </w:r>
      <w:r w:rsidRPr="001C21B0">
        <w:rPr>
          <w:rFonts w:cs="Calibri"/>
          <w:i/>
          <w:spacing w:val="-1"/>
          <w:sz w:val="16"/>
        </w:rPr>
        <w:t xml:space="preserve"> </w:t>
      </w:r>
      <w:r w:rsidRPr="001C21B0">
        <w:rPr>
          <w:rFonts w:cs="Calibri"/>
          <w:i/>
          <w:sz w:val="16"/>
        </w:rPr>
        <w:t>for</w:t>
      </w:r>
      <w:r w:rsidRPr="001C21B0">
        <w:rPr>
          <w:rFonts w:cs="Calibri"/>
          <w:i/>
          <w:spacing w:val="-1"/>
          <w:sz w:val="16"/>
        </w:rPr>
        <w:t xml:space="preserve"> </w:t>
      </w:r>
      <w:r w:rsidRPr="001C21B0">
        <w:rPr>
          <w:rFonts w:cs="Calibri"/>
          <w:i/>
          <w:sz w:val="16"/>
        </w:rPr>
        <w:t xml:space="preserve">more </w:t>
      </w:r>
      <w:r w:rsidRPr="001C21B0">
        <w:rPr>
          <w:rFonts w:cs="Calibri"/>
          <w:i/>
          <w:spacing w:val="-2"/>
          <w:sz w:val="16"/>
        </w:rPr>
        <w:t>information.</w:t>
      </w:r>
    </w:p>
    <w:p w14:paraId="2C02537D" w14:textId="6657B136" w:rsidR="00FA4226" w:rsidRPr="001C21B0" w:rsidRDefault="00000000" w:rsidP="0043303B">
      <w:pPr>
        <w:pStyle w:val="BodyText"/>
        <w:spacing w:before="115"/>
        <w:rPr>
          <w:rFonts w:cs="Calibri"/>
        </w:rPr>
      </w:pPr>
      <w:r w:rsidRPr="001C21B0">
        <w:rPr>
          <w:rFonts w:cs="Calibri"/>
        </w:rPr>
        <w:t>The</w:t>
      </w:r>
      <w:r w:rsidRPr="001C21B0">
        <w:rPr>
          <w:rFonts w:cs="Calibri"/>
          <w:spacing w:val="-1"/>
        </w:rPr>
        <w:t xml:space="preserve"> </w:t>
      </w:r>
      <w:r w:rsidRPr="001C21B0">
        <w:rPr>
          <w:rFonts w:cs="Calibri"/>
        </w:rPr>
        <w:t>above</w:t>
      </w:r>
      <w:r w:rsidRPr="001C21B0">
        <w:rPr>
          <w:rFonts w:cs="Calibri"/>
          <w:spacing w:val="-1"/>
        </w:rPr>
        <w:t xml:space="preserve"> </w:t>
      </w:r>
      <w:r w:rsidRPr="001C21B0">
        <w:rPr>
          <w:rFonts w:cs="Calibri"/>
        </w:rPr>
        <w:t>comprehensive operating</w:t>
      </w:r>
      <w:r w:rsidRPr="001C21B0">
        <w:rPr>
          <w:rFonts w:cs="Calibri"/>
          <w:spacing w:val="-1"/>
        </w:rPr>
        <w:t xml:space="preserve"> </w:t>
      </w:r>
      <w:r w:rsidRPr="001C21B0">
        <w:rPr>
          <w:rFonts w:cs="Calibri"/>
        </w:rPr>
        <w:t>statement</w:t>
      </w:r>
      <w:r w:rsidRPr="001C21B0">
        <w:rPr>
          <w:rFonts w:cs="Calibri"/>
          <w:spacing w:val="-1"/>
        </w:rPr>
        <w:t xml:space="preserve"> </w:t>
      </w:r>
      <w:r w:rsidRPr="001C21B0">
        <w:rPr>
          <w:rFonts w:cs="Calibri"/>
        </w:rPr>
        <w:t>should be</w:t>
      </w:r>
      <w:r w:rsidRPr="001C21B0">
        <w:rPr>
          <w:rFonts w:cs="Calibri"/>
          <w:spacing w:val="-1"/>
        </w:rPr>
        <w:t xml:space="preserve"> </w:t>
      </w:r>
      <w:r w:rsidRPr="001C21B0">
        <w:rPr>
          <w:rFonts w:cs="Calibri"/>
        </w:rPr>
        <w:t>read in</w:t>
      </w:r>
      <w:r w:rsidRPr="001C21B0">
        <w:rPr>
          <w:rFonts w:cs="Calibri"/>
          <w:spacing w:val="-1"/>
        </w:rPr>
        <w:t xml:space="preserve"> </w:t>
      </w:r>
      <w:r w:rsidRPr="001C21B0">
        <w:rPr>
          <w:rFonts w:cs="Calibri"/>
        </w:rPr>
        <w:t>conjunction</w:t>
      </w:r>
      <w:r w:rsidRPr="001C21B0">
        <w:rPr>
          <w:rFonts w:cs="Calibri"/>
          <w:spacing w:val="-1"/>
        </w:rPr>
        <w:t xml:space="preserve"> </w:t>
      </w:r>
      <w:r w:rsidRPr="001C21B0">
        <w:rPr>
          <w:rFonts w:cs="Calibri"/>
        </w:rPr>
        <w:t>with the</w:t>
      </w:r>
      <w:r w:rsidRPr="001C21B0">
        <w:rPr>
          <w:rFonts w:cs="Calibri"/>
          <w:spacing w:val="-1"/>
        </w:rPr>
        <w:t xml:space="preserve"> </w:t>
      </w:r>
      <w:r w:rsidRPr="001C21B0">
        <w:rPr>
          <w:rFonts w:cs="Calibri"/>
        </w:rPr>
        <w:t xml:space="preserve">accompanying </w:t>
      </w:r>
      <w:r w:rsidRPr="001C21B0">
        <w:rPr>
          <w:rFonts w:cs="Calibri"/>
          <w:spacing w:val="-2"/>
        </w:rPr>
        <w:t>notes.</w:t>
      </w:r>
    </w:p>
    <w:p w14:paraId="366E6E62" w14:textId="77777777" w:rsidR="006465DA" w:rsidRPr="001C21B0" w:rsidRDefault="006465DA" w:rsidP="0043303B">
      <w:pPr>
        <w:rPr>
          <w:rFonts w:cs="Calibri"/>
          <w:color w:val="000000" w:themeColor="text1"/>
          <w:sz w:val="32"/>
          <w:szCs w:val="32"/>
        </w:rPr>
      </w:pPr>
      <w:bookmarkStart w:id="123" w:name="_bookmark68"/>
      <w:bookmarkEnd w:id="123"/>
      <w:r w:rsidRPr="001C21B0">
        <w:rPr>
          <w:rFonts w:cs="Calibri"/>
          <w:color w:val="000000" w:themeColor="text1"/>
        </w:rPr>
        <w:br w:type="page"/>
      </w:r>
    </w:p>
    <w:p w14:paraId="7049A65E" w14:textId="547F65BA" w:rsidR="00FA4226" w:rsidRPr="001C21B0" w:rsidRDefault="00000000" w:rsidP="0043303B">
      <w:pPr>
        <w:pStyle w:val="Heading3"/>
        <w:spacing w:before="36"/>
        <w:rPr>
          <w:rFonts w:cs="Calibri"/>
          <w:color w:val="000000" w:themeColor="text1"/>
        </w:rPr>
      </w:pPr>
      <w:r w:rsidRPr="001C21B0">
        <w:rPr>
          <w:rFonts w:cs="Calibri"/>
          <w:color w:val="000000" w:themeColor="text1"/>
        </w:rPr>
        <w:t xml:space="preserve">Balance </w:t>
      </w:r>
      <w:r w:rsidRPr="001C21B0">
        <w:rPr>
          <w:rFonts w:cs="Calibri"/>
          <w:color w:val="000000" w:themeColor="text1"/>
          <w:spacing w:val="-2"/>
        </w:rPr>
        <w:t>sheet</w:t>
      </w:r>
    </w:p>
    <w:p w14:paraId="54805AAF" w14:textId="77777777" w:rsidR="00FA4226" w:rsidRPr="001C21B0" w:rsidRDefault="00000000" w:rsidP="0043303B">
      <w:pPr>
        <w:pStyle w:val="Heading7"/>
        <w:spacing w:before="181"/>
        <w:rPr>
          <w:rFonts w:cs="Calibri"/>
          <w:color w:val="000000" w:themeColor="text1"/>
        </w:rPr>
      </w:pPr>
      <w:r w:rsidRPr="001C21B0">
        <w:rPr>
          <w:rFonts w:cs="Calibri"/>
          <w:color w:val="000000" w:themeColor="text1"/>
        </w:rPr>
        <w:t xml:space="preserve">As at 30 June </w:t>
      </w:r>
      <w:r w:rsidRPr="001C21B0">
        <w:rPr>
          <w:rFonts w:cs="Calibri"/>
          <w:color w:val="000000" w:themeColor="text1"/>
          <w:spacing w:val="-4"/>
        </w:rPr>
        <w:t>2023</w:t>
      </w:r>
    </w:p>
    <w:p w14:paraId="5B23D30D" w14:textId="77777777" w:rsidR="00FA4226" w:rsidRPr="001C21B0" w:rsidRDefault="00FA4226" w:rsidP="0043303B">
      <w:pPr>
        <w:pStyle w:val="BodyText"/>
        <w:spacing w:before="6"/>
        <w:rPr>
          <w:rFonts w:cs="Calibri"/>
          <w:sz w:val="9"/>
        </w:rPr>
      </w:pPr>
    </w:p>
    <w:tbl>
      <w:tblPr>
        <w:tblW w:w="9636" w:type="dxa"/>
        <w:tblBorders>
          <w:top w:val="single" w:sz="4" w:space="0" w:color="C48F1B"/>
          <w:left w:val="single" w:sz="4" w:space="0" w:color="C48F1B"/>
          <w:bottom w:val="single" w:sz="4" w:space="0" w:color="C48F1B"/>
          <w:right w:val="single" w:sz="4" w:space="0" w:color="C48F1B"/>
          <w:insideH w:val="single" w:sz="4" w:space="0" w:color="C48F1B"/>
          <w:insideV w:val="single" w:sz="4" w:space="0" w:color="C48F1B"/>
        </w:tblBorders>
        <w:tblLayout w:type="fixed"/>
        <w:tblCellMar>
          <w:left w:w="0" w:type="dxa"/>
          <w:right w:w="0" w:type="dxa"/>
        </w:tblCellMar>
        <w:tblLook w:val="01E0" w:firstRow="1" w:lastRow="1" w:firstColumn="1" w:lastColumn="1" w:noHBand="0" w:noVBand="0"/>
      </w:tblPr>
      <w:tblGrid>
        <w:gridCol w:w="4325"/>
        <w:gridCol w:w="2307"/>
        <w:gridCol w:w="1502"/>
        <w:gridCol w:w="1502"/>
      </w:tblGrid>
      <w:tr w:rsidR="001C21B0" w:rsidRPr="001C21B0" w14:paraId="69F0051B" w14:textId="77777777" w:rsidTr="00CC5247">
        <w:trPr>
          <w:trHeight w:val="544"/>
        </w:trPr>
        <w:tc>
          <w:tcPr>
            <w:tcW w:w="6632" w:type="dxa"/>
            <w:gridSpan w:val="2"/>
            <w:tcBorders>
              <w:top w:val="nil"/>
              <w:left w:val="nil"/>
              <w:right w:val="nil"/>
            </w:tcBorders>
            <w:tcMar>
              <w:right w:w="57" w:type="dxa"/>
            </w:tcMar>
          </w:tcPr>
          <w:p w14:paraId="08646DA5" w14:textId="77777777" w:rsidR="00FA4226" w:rsidRPr="001C21B0" w:rsidRDefault="00FA4226" w:rsidP="0043303B">
            <w:pPr>
              <w:pStyle w:val="TableParagraph"/>
              <w:spacing w:before="12"/>
              <w:jc w:val="left"/>
              <w:rPr>
                <w:rFonts w:cs="Calibri"/>
                <w:color w:val="000000" w:themeColor="text1"/>
                <w:sz w:val="19"/>
              </w:rPr>
            </w:pPr>
          </w:p>
          <w:p w14:paraId="0FCF1734" w14:textId="77777777" w:rsidR="00FA4226" w:rsidRPr="001C21B0" w:rsidRDefault="00000000" w:rsidP="0043303B">
            <w:pPr>
              <w:pStyle w:val="TableParagraph"/>
              <w:spacing w:before="1"/>
              <w:rPr>
                <w:rFonts w:cs="Calibri"/>
                <w:color w:val="000000" w:themeColor="text1"/>
                <w:sz w:val="17"/>
              </w:rPr>
            </w:pPr>
            <w:r w:rsidRPr="001C21B0">
              <w:rPr>
                <w:rFonts w:cs="Calibri"/>
                <w:color w:val="000000" w:themeColor="text1"/>
                <w:spacing w:val="-2"/>
                <w:sz w:val="17"/>
              </w:rPr>
              <w:t>Notes</w:t>
            </w:r>
          </w:p>
        </w:tc>
        <w:tc>
          <w:tcPr>
            <w:tcW w:w="1502" w:type="dxa"/>
            <w:tcBorders>
              <w:top w:val="nil"/>
              <w:left w:val="nil"/>
              <w:right w:val="single" w:sz="8" w:space="0" w:color="FFFFFF"/>
            </w:tcBorders>
            <w:shd w:val="clear" w:color="auto" w:fill="FFF0E7"/>
            <w:tcMar>
              <w:right w:w="57" w:type="dxa"/>
            </w:tcMar>
          </w:tcPr>
          <w:p w14:paraId="16B9EB94" w14:textId="77777777" w:rsidR="00FA4226" w:rsidRPr="001C21B0" w:rsidRDefault="00000000" w:rsidP="0043303B">
            <w:pPr>
              <w:pStyle w:val="TableParagraph"/>
              <w:spacing w:before="39"/>
              <w:rPr>
                <w:rFonts w:cs="Calibri"/>
                <w:color w:val="000000" w:themeColor="text1"/>
                <w:sz w:val="17"/>
              </w:rPr>
            </w:pPr>
            <w:r w:rsidRPr="001C21B0">
              <w:rPr>
                <w:rFonts w:cs="Calibri"/>
                <w:color w:val="000000" w:themeColor="text1"/>
                <w:spacing w:val="-4"/>
                <w:sz w:val="17"/>
              </w:rPr>
              <w:t>2023</w:t>
            </w:r>
          </w:p>
          <w:p w14:paraId="758F3D64" w14:textId="77777777" w:rsidR="00FA4226" w:rsidRPr="001C21B0" w:rsidRDefault="00000000" w:rsidP="0043303B">
            <w:pPr>
              <w:pStyle w:val="TableParagraph"/>
              <w:spacing w:before="1"/>
              <w:rPr>
                <w:rFonts w:cs="Calibri"/>
                <w:color w:val="000000" w:themeColor="text1"/>
                <w:sz w:val="17"/>
              </w:rPr>
            </w:pPr>
            <w:r w:rsidRPr="001C21B0">
              <w:rPr>
                <w:rFonts w:cs="Calibri"/>
                <w:color w:val="000000" w:themeColor="text1"/>
                <w:sz w:val="17"/>
              </w:rPr>
              <w:t>$</w:t>
            </w:r>
          </w:p>
        </w:tc>
        <w:tc>
          <w:tcPr>
            <w:tcW w:w="1502" w:type="dxa"/>
            <w:tcBorders>
              <w:top w:val="nil"/>
              <w:left w:val="single" w:sz="8" w:space="0" w:color="FFFFFF"/>
              <w:right w:val="nil"/>
            </w:tcBorders>
            <w:shd w:val="clear" w:color="auto" w:fill="EDEFF0"/>
            <w:tcMar>
              <w:right w:w="57" w:type="dxa"/>
            </w:tcMar>
          </w:tcPr>
          <w:p w14:paraId="1333211D" w14:textId="77777777" w:rsidR="00FA4226" w:rsidRPr="001C21B0" w:rsidRDefault="00000000" w:rsidP="0043303B">
            <w:pPr>
              <w:pStyle w:val="TableParagraph"/>
              <w:spacing w:before="39"/>
              <w:rPr>
                <w:rFonts w:cs="Calibri"/>
                <w:color w:val="000000" w:themeColor="text1"/>
                <w:sz w:val="17"/>
              </w:rPr>
            </w:pPr>
            <w:r w:rsidRPr="001C21B0">
              <w:rPr>
                <w:rFonts w:cs="Calibri"/>
                <w:color w:val="000000" w:themeColor="text1"/>
                <w:spacing w:val="-4"/>
                <w:sz w:val="17"/>
              </w:rPr>
              <w:t>2022</w:t>
            </w:r>
          </w:p>
          <w:p w14:paraId="2B8A0BB6" w14:textId="77777777" w:rsidR="00FA4226" w:rsidRPr="001C21B0" w:rsidRDefault="00000000" w:rsidP="0043303B">
            <w:pPr>
              <w:pStyle w:val="TableParagraph"/>
              <w:spacing w:before="1"/>
              <w:rPr>
                <w:rFonts w:cs="Calibri"/>
                <w:color w:val="000000" w:themeColor="text1"/>
                <w:sz w:val="17"/>
              </w:rPr>
            </w:pPr>
            <w:r w:rsidRPr="001C21B0">
              <w:rPr>
                <w:rFonts w:cs="Calibri"/>
                <w:color w:val="000000" w:themeColor="text1"/>
                <w:sz w:val="17"/>
              </w:rPr>
              <w:t>$</w:t>
            </w:r>
          </w:p>
        </w:tc>
      </w:tr>
      <w:tr w:rsidR="001C21B0" w:rsidRPr="001C21B0" w14:paraId="751A5F19" w14:textId="77777777" w:rsidTr="00CC5247">
        <w:trPr>
          <w:trHeight w:val="884"/>
        </w:trPr>
        <w:tc>
          <w:tcPr>
            <w:tcW w:w="6632" w:type="dxa"/>
            <w:gridSpan w:val="2"/>
            <w:tcBorders>
              <w:left w:val="nil"/>
              <w:bottom w:val="single" w:sz="2" w:space="0" w:color="73777A"/>
              <w:right w:val="nil"/>
            </w:tcBorders>
            <w:tcMar>
              <w:right w:w="57" w:type="dxa"/>
            </w:tcMar>
          </w:tcPr>
          <w:p w14:paraId="3800BB4B" w14:textId="77777777" w:rsidR="00FA4226" w:rsidRPr="001C21B0" w:rsidRDefault="00FA4226" w:rsidP="0043303B">
            <w:pPr>
              <w:pStyle w:val="TableParagraph"/>
              <w:spacing w:before="7"/>
              <w:jc w:val="left"/>
              <w:rPr>
                <w:rFonts w:cs="Calibri"/>
                <w:color w:val="000000" w:themeColor="text1"/>
                <w:sz w:val="19"/>
              </w:rPr>
            </w:pPr>
          </w:p>
          <w:p w14:paraId="0F1E07F6" w14:textId="77777777" w:rsidR="00FA4226" w:rsidRPr="001C21B0" w:rsidRDefault="00000000" w:rsidP="0043303B">
            <w:pPr>
              <w:pStyle w:val="TableParagraph"/>
              <w:jc w:val="left"/>
              <w:rPr>
                <w:rFonts w:cs="Calibri"/>
                <w:color w:val="000000" w:themeColor="text1"/>
                <w:sz w:val="18"/>
              </w:rPr>
            </w:pPr>
            <w:r w:rsidRPr="001C21B0">
              <w:rPr>
                <w:rFonts w:cs="Calibri"/>
                <w:color w:val="000000" w:themeColor="text1"/>
                <w:spacing w:val="-2"/>
                <w:sz w:val="18"/>
              </w:rPr>
              <w:t>Assets</w:t>
            </w:r>
            <w:r w:rsidRPr="001C21B0">
              <w:rPr>
                <w:rFonts w:cs="Calibri"/>
                <w:color w:val="000000" w:themeColor="text1"/>
                <w:spacing w:val="80"/>
                <w:sz w:val="18"/>
              </w:rPr>
              <w:t xml:space="preserve"> </w:t>
            </w:r>
            <w:r w:rsidRPr="001C21B0">
              <w:rPr>
                <w:rFonts w:cs="Calibri"/>
                <w:color w:val="000000" w:themeColor="text1"/>
                <w:sz w:val="18"/>
              </w:rPr>
              <w:t>Financial</w:t>
            </w:r>
            <w:r w:rsidRPr="001C21B0">
              <w:rPr>
                <w:rFonts w:cs="Calibri"/>
                <w:color w:val="000000" w:themeColor="text1"/>
                <w:spacing w:val="-8"/>
                <w:sz w:val="18"/>
              </w:rPr>
              <w:t xml:space="preserve"> </w:t>
            </w:r>
            <w:r w:rsidRPr="001C21B0">
              <w:rPr>
                <w:rFonts w:cs="Calibri"/>
                <w:color w:val="000000" w:themeColor="text1"/>
                <w:sz w:val="18"/>
              </w:rPr>
              <w:t>assets</w:t>
            </w:r>
          </w:p>
        </w:tc>
        <w:tc>
          <w:tcPr>
            <w:tcW w:w="1502" w:type="dxa"/>
            <w:tcBorders>
              <w:left w:val="nil"/>
              <w:bottom w:val="single" w:sz="2" w:space="0" w:color="73777A"/>
              <w:right w:val="single" w:sz="8" w:space="0" w:color="FFFFFF"/>
            </w:tcBorders>
            <w:shd w:val="clear" w:color="auto" w:fill="FFF0E7"/>
            <w:tcMar>
              <w:right w:w="57" w:type="dxa"/>
            </w:tcMar>
          </w:tcPr>
          <w:p w14:paraId="0E24286F" w14:textId="77777777" w:rsidR="00FA4226" w:rsidRPr="001C21B0" w:rsidRDefault="00FA4226" w:rsidP="0043303B">
            <w:pPr>
              <w:pStyle w:val="TableParagraph"/>
              <w:jc w:val="left"/>
              <w:rPr>
                <w:rFonts w:cs="Calibri"/>
                <w:color w:val="000000" w:themeColor="text1"/>
                <w:sz w:val="16"/>
              </w:rPr>
            </w:pPr>
          </w:p>
        </w:tc>
        <w:tc>
          <w:tcPr>
            <w:tcW w:w="1502" w:type="dxa"/>
            <w:tcBorders>
              <w:left w:val="single" w:sz="8" w:space="0" w:color="FFFFFF"/>
              <w:bottom w:val="single" w:sz="2" w:space="0" w:color="73777A"/>
              <w:right w:val="nil"/>
            </w:tcBorders>
            <w:shd w:val="clear" w:color="auto" w:fill="EDEFF0"/>
            <w:tcMar>
              <w:right w:w="57" w:type="dxa"/>
            </w:tcMar>
          </w:tcPr>
          <w:p w14:paraId="1C2FE96B" w14:textId="77777777" w:rsidR="00FA4226" w:rsidRPr="001C21B0" w:rsidRDefault="00FA4226" w:rsidP="0043303B">
            <w:pPr>
              <w:pStyle w:val="TableParagraph"/>
              <w:jc w:val="left"/>
              <w:rPr>
                <w:rFonts w:cs="Calibri"/>
                <w:color w:val="000000" w:themeColor="text1"/>
                <w:sz w:val="16"/>
              </w:rPr>
            </w:pPr>
          </w:p>
        </w:tc>
      </w:tr>
      <w:tr w:rsidR="001C21B0" w:rsidRPr="001C21B0" w14:paraId="6DC79934" w14:textId="77777777" w:rsidTr="00CC5247">
        <w:trPr>
          <w:trHeight w:val="283"/>
        </w:trPr>
        <w:tc>
          <w:tcPr>
            <w:tcW w:w="4325" w:type="dxa"/>
            <w:tcBorders>
              <w:top w:val="single" w:sz="2" w:space="0" w:color="73777A"/>
              <w:left w:val="nil"/>
              <w:bottom w:val="single" w:sz="2" w:space="0" w:color="73777A"/>
              <w:right w:val="nil"/>
            </w:tcBorders>
            <w:tcMar>
              <w:right w:w="57" w:type="dxa"/>
            </w:tcMar>
          </w:tcPr>
          <w:p w14:paraId="0FBF28E3" w14:textId="77777777" w:rsidR="00FA4226" w:rsidRPr="001C21B0" w:rsidRDefault="00000000" w:rsidP="0043303B">
            <w:pPr>
              <w:pStyle w:val="TableParagraph"/>
              <w:jc w:val="left"/>
              <w:rPr>
                <w:rFonts w:cs="Calibri"/>
                <w:color w:val="000000" w:themeColor="text1"/>
                <w:sz w:val="18"/>
              </w:rPr>
            </w:pPr>
            <w:r w:rsidRPr="001C21B0">
              <w:rPr>
                <w:rFonts w:cs="Calibri"/>
                <w:color w:val="000000" w:themeColor="text1"/>
                <w:spacing w:val="-2"/>
                <w:sz w:val="18"/>
              </w:rPr>
              <w:t>Receivables</w:t>
            </w:r>
          </w:p>
        </w:tc>
        <w:tc>
          <w:tcPr>
            <w:tcW w:w="2307" w:type="dxa"/>
            <w:tcBorders>
              <w:top w:val="single" w:sz="2" w:space="0" w:color="73777A"/>
              <w:left w:val="nil"/>
              <w:bottom w:val="single" w:sz="2" w:space="0" w:color="73777A"/>
              <w:right w:val="nil"/>
            </w:tcBorders>
            <w:tcMar>
              <w:right w:w="57" w:type="dxa"/>
            </w:tcMar>
          </w:tcPr>
          <w:p w14:paraId="33904809" w14:textId="77777777" w:rsidR="00FA4226" w:rsidRPr="001C21B0" w:rsidRDefault="00000000" w:rsidP="0043303B">
            <w:pPr>
              <w:pStyle w:val="TableParagraph"/>
              <w:rPr>
                <w:rFonts w:cs="Calibri"/>
                <w:color w:val="000000" w:themeColor="text1"/>
                <w:sz w:val="18"/>
              </w:rPr>
            </w:pPr>
            <w:r w:rsidRPr="001C21B0">
              <w:rPr>
                <w:rFonts w:cs="Calibri"/>
                <w:color w:val="000000" w:themeColor="text1"/>
                <w:spacing w:val="-5"/>
                <w:sz w:val="18"/>
              </w:rPr>
              <w:t>5.1</w:t>
            </w:r>
          </w:p>
        </w:tc>
        <w:tc>
          <w:tcPr>
            <w:tcW w:w="1502" w:type="dxa"/>
            <w:tcBorders>
              <w:top w:val="single" w:sz="2" w:space="0" w:color="73777A"/>
              <w:left w:val="nil"/>
              <w:bottom w:val="single" w:sz="2" w:space="0" w:color="73777A"/>
              <w:right w:val="single" w:sz="8" w:space="0" w:color="FFFFFF"/>
            </w:tcBorders>
            <w:shd w:val="clear" w:color="auto" w:fill="FFF0E7"/>
            <w:tcMar>
              <w:right w:w="57" w:type="dxa"/>
            </w:tcMar>
          </w:tcPr>
          <w:p w14:paraId="41284441" w14:textId="77777777" w:rsidR="00FA4226" w:rsidRPr="001C21B0" w:rsidRDefault="00000000" w:rsidP="0043303B">
            <w:pPr>
              <w:pStyle w:val="TableParagraph"/>
              <w:rPr>
                <w:rFonts w:cs="Calibri"/>
                <w:color w:val="000000" w:themeColor="text1"/>
                <w:sz w:val="18"/>
              </w:rPr>
            </w:pPr>
            <w:r w:rsidRPr="001C21B0">
              <w:rPr>
                <w:rFonts w:cs="Calibri"/>
                <w:color w:val="000000" w:themeColor="text1"/>
                <w:spacing w:val="-2"/>
                <w:sz w:val="18"/>
              </w:rPr>
              <w:t>3,363,630</w:t>
            </w:r>
          </w:p>
        </w:tc>
        <w:tc>
          <w:tcPr>
            <w:tcW w:w="1502" w:type="dxa"/>
            <w:tcBorders>
              <w:top w:val="single" w:sz="2" w:space="0" w:color="73777A"/>
              <w:left w:val="single" w:sz="8" w:space="0" w:color="FFFFFF"/>
              <w:bottom w:val="single" w:sz="2" w:space="0" w:color="73777A"/>
              <w:right w:val="nil"/>
            </w:tcBorders>
            <w:shd w:val="clear" w:color="auto" w:fill="EDEFF0"/>
            <w:tcMar>
              <w:right w:w="57" w:type="dxa"/>
            </w:tcMar>
          </w:tcPr>
          <w:p w14:paraId="40CF5A4A" w14:textId="77777777" w:rsidR="00FA4226" w:rsidRPr="001C21B0" w:rsidRDefault="00000000" w:rsidP="0043303B">
            <w:pPr>
              <w:pStyle w:val="TableParagraph"/>
              <w:rPr>
                <w:rFonts w:cs="Calibri"/>
                <w:color w:val="000000" w:themeColor="text1"/>
                <w:sz w:val="18"/>
              </w:rPr>
            </w:pPr>
            <w:r w:rsidRPr="001C21B0">
              <w:rPr>
                <w:rFonts w:cs="Calibri"/>
                <w:color w:val="000000" w:themeColor="text1"/>
                <w:spacing w:val="-2"/>
                <w:sz w:val="18"/>
              </w:rPr>
              <w:t>3,472,850</w:t>
            </w:r>
          </w:p>
        </w:tc>
      </w:tr>
      <w:tr w:rsidR="001C21B0" w:rsidRPr="001C21B0" w14:paraId="42E428C3" w14:textId="77777777" w:rsidTr="00CC5247">
        <w:trPr>
          <w:trHeight w:val="278"/>
        </w:trPr>
        <w:tc>
          <w:tcPr>
            <w:tcW w:w="6632" w:type="dxa"/>
            <w:gridSpan w:val="2"/>
            <w:tcBorders>
              <w:top w:val="single" w:sz="2" w:space="0" w:color="73777A"/>
              <w:left w:val="nil"/>
              <w:bottom w:val="single" w:sz="6" w:space="0" w:color="73777A"/>
              <w:right w:val="nil"/>
            </w:tcBorders>
            <w:tcMar>
              <w:right w:w="57" w:type="dxa"/>
            </w:tcMar>
          </w:tcPr>
          <w:p w14:paraId="1D4D554E" w14:textId="77777777" w:rsidR="00FA4226" w:rsidRPr="001C21B0" w:rsidRDefault="00000000" w:rsidP="0043303B">
            <w:pPr>
              <w:pStyle w:val="TableParagraph"/>
              <w:jc w:val="left"/>
              <w:rPr>
                <w:rFonts w:cs="Calibri"/>
                <w:color w:val="000000" w:themeColor="text1"/>
                <w:sz w:val="18"/>
              </w:rPr>
            </w:pPr>
            <w:r w:rsidRPr="001C21B0">
              <w:rPr>
                <w:rFonts w:cs="Calibri"/>
                <w:color w:val="000000" w:themeColor="text1"/>
                <w:sz w:val="18"/>
              </w:rPr>
              <w:t>Total</w:t>
            </w:r>
            <w:r w:rsidRPr="001C21B0">
              <w:rPr>
                <w:rFonts w:cs="Calibri"/>
                <w:color w:val="000000" w:themeColor="text1"/>
                <w:spacing w:val="-2"/>
                <w:sz w:val="18"/>
              </w:rPr>
              <w:t xml:space="preserve"> </w:t>
            </w:r>
            <w:r w:rsidRPr="001C21B0">
              <w:rPr>
                <w:rFonts w:cs="Calibri"/>
                <w:color w:val="000000" w:themeColor="text1"/>
                <w:sz w:val="18"/>
              </w:rPr>
              <w:t>financial</w:t>
            </w:r>
            <w:r w:rsidRPr="001C21B0">
              <w:rPr>
                <w:rFonts w:cs="Calibri"/>
                <w:color w:val="000000" w:themeColor="text1"/>
                <w:spacing w:val="2"/>
                <w:sz w:val="18"/>
              </w:rPr>
              <w:t xml:space="preserve"> </w:t>
            </w:r>
            <w:r w:rsidRPr="001C21B0">
              <w:rPr>
                <w:rFonts w:cs="Calibri"/>
                <w:color w:val="000000" w:themeColor="text1"/>
                <w:spacing w:val="-2"/>
                <w:sz w:val="18"/>
              </w:rPr>
              <w:t>assets</w:t>
            </w:r>
          </w:p>
        </w:tc>
        <w:tc>
          <w:tcPr>
            <w:tcW w:w="1502" w:type="dxa"/>
            <w:tcBorders>
              <w:top w:val="single" w:sz="2" w:space="0" w:color="73777A"/>
              <w:left w:val="nil"/>
              <w:bottom w:val="single" w:sz="6" w:space="0" w:color="73777A"/>
              <w:right w:val="single" w:sz="8" w:space="0" w:color="FFFFFF"/>
            </w:tcBorders>
            <w:shd w:val="clear" w:color="auto" w:fill="FFF0E7"/>
            <w:tcMar>
              <w:right w:w="57" w:type="dxa"/>
            </w:tcMar>
          </w:tcPr>
          <w:p w14:paraId="3ACE5D17" w14:textId="77777777" w:rsidR="00FA4226" w:rsidRPr="001C21B0" w:rsidRDefault="00000000" w:rsidP="0043303B">
            <w:pPr>
              <w:pStyle w:val="TableParagraph"/>
              <w:rPr>
                <w:rFonts w:cs="Calibri"/>
                <w:color w:val="000000" w:themeColor="text1"/>
                <w:sz w:val="18"/>
              </w:rPr>
            </w:pPr>
            <w:r w:rsidRPr="001C21B0">
              <w:rPr>
                <w:rFonts w:cs="Calibri"/>
                <w:color w:val="000000" w:themeColor="text1"/>
                <w:spacing w:val="-2"/>
                <w:sz w:val="18"/>
              </w:rPr>
              <w:t>3,363,630</w:t>
            </w:r>
          </w:p>
        </w:tc>
        <w:tc>
          <w:tcPr>
            <w:tcW w:w="1502" w:type="dxa"/>
            <w:tcBorders>
              <w:top w:val="single" w:sz="2" w:space="0" w:color="73777A"/>
              <w:left w:val="single" w:sz="8" w:space="0" w:color="FFFFFF"/>
              <w:bottom w:val="single" w:sz="6" w:space="0" w:color="73777A"/>
              <w:right w:val="nil"/>
            </w:tcBorders>
            <w:shd w:val="clear" w:color="auto" w:fill="EDEFF0"/>
            <w:tcMar>
              <w:right w:w="57" w:type="dxa"/>
            </w:tcMar>
          </w:tcPr>
          <w:p w14:paraId="19D60756" w14:textId="77777777" w:rsidR="00FA4226" w:rsidRPr="001C21B0" w:rsidRDefault="00000000" w:rsidP="0043303B">
            <w:pPr>
              <w:pStyle w:val="TableParagraph"/>
              <w:rPr>
                <w:rFonts w:cs="Calibri"/>
                <w:color w:val="000000" w:themeColor="text1"/>
                <w:sz w:val="18"/>
              </w:rPr>
            </w:pPr>
            <w:r w:rsidRPr="001C21B0">
              <w:rPr>
                <w:rFonts w:cs="Calibri"/>
                <w:color w:val="000000" w:themeColor="text1"/>
                <w:spacing w:val="-2"/>
                <w:sz w:val="18"/>
              </w:rPr>
              <w:t>3,472,850</w:t>
            </w:r>
          </w:p>
        </w:tc>
      </w:tr>
      <w:tr w:rsidR="001C21B0" w:rsidRPr="001C21B0" w14:paraId="0BEEDDA2" w14:textId="77777777" w:rsidTr="00CC5247">
        <w:trPr>
          <w:trHeight w:val="567"/>
        </w:trPr>
        <w:tc>
          <w:tcPr>
            <w:tcW w:w="6632" w:type="dxa"/>
            <w:gridSpan w:val="2"/>
            <w:tcBorders>
              <w:top w:val="single" w:sz="6" w:space="0" w:color="73777A"/>
              <w:left w:val="nil"/>
              <w:bottom w:val="single" w:sz="2" w:space="0" w:color="73777A"/>
              <w:right w:val="nil"/>
            </w:tcBorders>
            <w:tcMar>
              <w:right w:w="57" w:type="dxa"/>
            </w:tcMar>
          </w:tcPr>
          <w:p w14:paraId="45FC955C" w14:textId="77777777" w:rsidR="00FA4226" w:rsidRPr="001C21B0" w:rsidRDefault="00FA4226" w:rsidP="0043303B">
            <w:pPr>
              <w:pStyle w:val="TableParagraph"/>
              <w:spacing w:before="7"/>
              <w:jc w:val="left"/>
              <w:rPr>
                <w:rFonts w:cs="Calibri"/>
                <w:color w:val="000000" w:themeColor="text1"/>
                <w:sz w:val="20"/>
              </w:rPr>
            </w:pPr>
          </w:p>
          <w:p w14:paraId="05FAC012" w14:textId="77777777" w:rsidR="00FA4226" w:rsidRPr="001C21B0" w:rsidRDefault="00000000" w:rsidP="0043303B">
            <w:pPr>
              <w:pStyle w:val="TableParagraph"/>
              <w:jc w:val="left"/>
              <w:rPr>
                <w:rFonts w:cs="Calibri"/>
                <w:color w:val="000000" w:themeColor="text1"/>
                <w:sz w:val="18"/>
              </w:rPr>
            </w:pPr>
            <w:r w:rsidRPr="001C21B0">
              <w:rPr>
                <w:rFonts w:cs="Calibri"/>
                <w:color w:val="000000" w:themeColor="text1"/>
                <w:sz w:val="18"/>
              </w:rPr>
              <w:t>Non-financial</w:t>
            </w:r>
            <w:r w:rsidRPr="001C21B0">
              <w:rPr>
                <w:rFonts w:cs="Calibri"/>
                <w:color w:val="000000" w:themeColor="text1"/>
                <w:spacing w:val="15"/>
                <w:sz w:val="18"/>
              </w:rPr>
              <w:t xml:space="preserve"> </w:t>
            </w:r>
            <w:r w:rsidRPr="001C21B0">
              <w:rPr>
                <w:rFonts w:cs="Calibri"/>
                <w:color w:val="000000" w:themeColor="text1"/>
                <w:spacing w:val="-2"/>
                <w:sz w:val="18"/>
              </w:rPr>
              <w:t>assets</w:t>
            </w:r>
          </w:p>
        </w:tc>
        <w:tc>
          <w:tcPr>
            <w:tcW w:w="1502" w:type="dxa"/>
            <w:tcBorders>
              <w:top w:val="single" w:sz="6" w:space="0" w:color="73777A"/>
              <w:left w:val="nil"/>
              <w:bottom w:val="single" w:sz="2" w:space="0" w:color="73777A"/>
              <w:right w:val="single" w:sz="8" w:space="0" w:color="FFFFFF"/>
            </w:tcBorders>
            <w:shd w:val="clear" w:color="auto" w:fill="FFF0E7"/>
            <w:tcMar>
              <w:right w:w="57" w:type="dxa"/>
            </w:tcMar>
          </w:tcPr>
          <w:p w14:paraId="7FA71740" w14:textId="77777777" w:rsidR="00FA4226" w:rsidRPr="001C21B0" w:rsidRDefault="00FA4226" w:rsidP="0043303B">
            <w:pPr>
              <w:pStyle w:val="TableParagraph"/>
              <w:jc w:val="left"/>
              <w:rPr>
                <w:rFonts w:cs="Calibri"/>
                <w:color w:val="000000" w:themeColor="text1"/>
                <w:sz w:val="16"/>
              </w:rPr>
            </w:pPr>
          </w:p>
        </w:tc>
        <w:tc>
          <w:tcPr>
            <w:tcW w:w="1502" w:type="dxa"/>
            <w:tcBorders>
              <w:top w:val="single" w:sz="6" w:space="0" w:color="73777A"/>
              <w:left w:val="single" w:sz="8" w:space="0" w:color="FFFFFF"/>
              <w:bottom w:val="single" w:sz="2" w:space="0" w:color="73777A"/>
              <w:right w:val="nil"/>
            </w:tcBorders>
            <w:shd w:val="clear" w:color="auto" w:fill="EDEFF0"/>
            <w:tcMar>
              <w:right w:w="57" w:type="dxa"/>
            </w:tcMar>
          </w:tcPr>
          <w:p w14:paraId="4833F29A" w14:textId="77777777" w:rsidR="00FA4226" w:rsidRPr="001C21B0" w:rsidRDefault="00FA4226" w:rsidP="0043303B">
            <w:pPr>
              <w:pStyle w:val="TableParagraph"/>
              <w:jc w:val="left"/>
              <w:rPr>
                <w:rFonts w:cs="Calibri"/>
                <w:color w:val="000000" w:themeColor="text1"/>
                <w:sz w:val="16"/>
              </w:rPr>
            </w:pPr>
          </w:p>
        </w:tc>
      </w:tr>
      <w:tr w:rsidR="001C21B0" w:rsidRPr="001C21B0" w14:paraId="12B7B8DE" w14:textId="77777777" w:rsidTr="00CC5247">
        <w:trPr>
          <w:trHeight w:val="283"/>
        </w:trPr>
        <w:tc>
          <w:tcPr>
            <w:tcW w:w="4325" w:type="dxa"/>
            <w:tcBorders>
              <w:top w:val="single" w:sz="2" w:space="0" w:color="73777A"/>
              <w:left w:val="nil"/>
              <w:bottom w:val="single" w:sz="2" w:space="0" w:color="73777A"/>
              <w:right w:val="nil"/>
            </w:tcBorders>
            <w:tcMar>
              <w:right w:w="57" w:type="dxa"/>
            </w:tcMar>
          </w:tcPr>
          <w:p w14:paraId="65B9419A" w14:textId="77777777" w:rsidR="00FA4226" w:rsidRPr="001C21B0" w:rsidRDefault="00000000" w:rsidP="0043303B">
            <w:pPr>
              <w:pStyle w:val="TableParagraph"/>
              <w:jc w:val="left"/>
              <w:rPr>
                <w:rFonts w:cs="Calibri"/>
                <w:color w:val="000000" w:themeColor="text1"/>
                <w:sz w:val="18"/>
              </w:rPr>
            </w:pPr>
            <w:r w:rsidRPr="001C21B0">
              <w:rPr>
                <w:rFonts w:cs="Calibri"/>
                <w:color w:val="000000" w:themeColor="text1"/>
                <w:spacing w:val="-2"/>
                <w:sz w:val="18"/>
              </w:rPr>
              <w:t>Prepayments</w:t>
            </w:r>
          </w:p>
        </w:tc>
        <w:tc>
          <w:tcPr>
            <w:tcW w:w="2307" w:type="dxa"/>
            <w:tcBorders>
              <w:top w:val="single" w:sz="2" w:space="0" w:color="73777A"/>
              <w:left w:val="nil"/>
              <w:bottom w:val="single" w:sz="2" w:space="0" w:color="73777A"/>
              <w:right w:val="nil"/>
            </w:tcBorders>
            <w:tcMar>
              <w:right w:w="57" w:type="dxa"/>
            </w:tcMar>
          </w:tcPr>
          <w:p w14:paraId="0F16A22A" w14:textId="77777777" w:rsidR="00FA4226" w:rsidRPr="001C21B0" w:rsidRDefault="00000000" w:rsidP="0043303B">
            <w:pPr>
              <w:pStyle w:val="TableParagraph"/>
              <w:rPr>
                <w:rFonts w:cs="Calibri"/>
                <w:color w:val="000000" w:themeColor="text1"/>
                <w:sz w:val="18"/>
              </w:rPr>
            </w:pPr>
            <w:r w:rsidRPr="001C21B0">
              <w:rPr>
                <w:rFonts w:cs="Calibri"/>
                <w:color w:val="000000" w:themeColor="text1"/>
                <w:spacing w:val="-5"/>
                <w:sz w:val="18"/>
              </w:rPr>
              <w:t>5.4</w:t>
            </w:r>
          </w:p>
        </w:tc>
        <w:tc>
          <w:tcPr>
            <w:tcW w:w="1502" w:type="dxa"/>
            <w:tcBorders>
              <w:top w:val="single" w:sz="2" w:space="0" w:color="73777A"/>
              <w:left w:val="nil"/>
              <w:bottom w:val="single" w:sz="2" w:space="0" w:color="73777A"/>
              <w:right w:val="single" w:sz="8" w:space="0" w:color="FFFFFF"/>
            </w:tcBorders>
            <w:shd w:val="clear" w:color="auto" w:fill="FFF0E7"/>
            <w:tcMar>
              <w:right w:w="57" w:type="dxa"/>
            </w:tcMar>
          </w:tcPr>
          <w:p w14:paraId="7257EA57" w14:textId="77777777" w:rsidR="00FA4226" w:rsidRPr="001C21B0" w:rsidRDefault="00000000" w:rsidP="0043303B">
            <w:pPr>
              <w:pStyle w:val="TableParagraph"/>
              <w:rPr>
                <w:rFonts w:cs="Calibri"/>
                <w:color w:val="000000" w:themeColor="text1"/>
                <w:sz w:val="18"/>
              </w:rPr>
            </w:pPr>
            <w:r w:rsidRPr="001C21B0">
              <w:rPr>
                <w:rFonts w:cs="Calibri"/>
                <w:color w:val="000000" w:themeColor="text1"/>
                <w:spacing w:val="-2"/>
                <w:sz w:val="18"/>
              </w:rPr>
              <w:t>202,645</w:t>
            </w:r>
          </w:p>
        </w:tc>
        <w:tc>
          <w:tcPr>
            <w:tcW w:w="1502" w:type="dxa"/>
            <w:tcBorders>
              <w:top w:val="single" w:sz="2" w:space="0" w:color="73777A"/>
              <w:left w:val="single" w:sz="8" w:space="0" w:color="FFFFFF"/>
              <w:bottom w:val="single" w:sz="2" w:space="0" w:color="73777A"/>
              <w:right w:val="nil"/>
            </w:tcBorders>
            <w:shd w:val="clear" w:color="auto" w:fill="EDEFF0"/>
            <w:tcMar>
              <w:right w:w="57" w:type="dxa"/>
            </w:tcMar>
          </w:tcPr>
          <w:p w14:paraId="31C5F794" w14:textId="77777777" w:rsidR="00FA4226" w:rsidRPr="001C21B0" w:rsidRDefault="00000000" w:rsidP="0043303B">
            <w:pPr>
              <w:pStyle w:val="TableParagraph"/>
              <w:rPr>
                <w:rFonts w:cs="Calibri"/>
                <w:color w:val="000000" w:themeColor="text1"/>
                <w:sz w:val="18"/>
              </w:rPr>
            </w:pPr>
            <w:r w:rsidRPr="001C21B0">
              <w:rPr>
                <w:rFonts w:cs="Calibri"/>
                <w:color w:val="000000" w:themeColor="text1"/>
                <w:spacing w:val="-2"/>
                <w:sz w:val="18"/>
              </w:rPr>
              <w:t>109,590</w:t>
            </w:r>
          </w:p>
        </w:tc>
      </w:tr>
      <w:tr w:rsidR="001C21B0" w:rsidRPr="001C21B0" w14:paraId="22D92E46" w14:textId="77777777" w:rsidTr="00CC5247">
        <w:trPr>
          <w:trHeight w:val="297"/>
        </w:trPr>
        <w:tc>
          <w:tcPr>
            <w:tcW w:w="6632" w:type="dxa"/>
            <w:gridSpan w:val="2"/>
            <w:tcBorders>
              <w:top w:val="single" w:sz="2" w:space="0" w:color="73777A"/>
              <w:left w:val="nil"/>
              <w:bottom w:val="single" w:sz="2" w:space="0" w:color="73777A"/>
              <w:right w:val="nil"/>
            </w:tcBorders>
            <w:tcMar>
              <w:right w:w="57" w:type="dxa"/>
            </w:tcMar>
          </w:tcPr>
          <w:p w14:paraId="2D3BD6CB" w14:textId="77777777" w:rsidR="00FA4226" w:rsidRPr="001C21B0" w:rsidRDefault="00000000" w:rsidP="0043303B">
            <w:pPr>
              <w:pStyle w:val="TableParagraph"/>
              <w:jc w:val="left"/>
              <w:rPr>
                <w:rFonts w:cs="Calibri"/>
                <w:color w:val="000000" w:themeColor="text1"/>
                <w:sz w:val="20"/>
              </w:rPr>
            </w:pPr>
            <w:r w:rsidRPr="001C21B0">
              <w:rPr>
                <w:rFonts w:cs="Calibri"/>
                <w:color w:val="000000" w:themeColor="text1"/>
                <w:sz w:val="20"/>
              </w:rPr>
              <w:t>Vehicles</w:t>
            </w:r>
            <w:r w:rsidRPr="001C21B0">
              <w:rPr>
                <w:rFonts w:cs="Calibri"/>
                <w:color w:val="000000" w:themeColor="text1"/>
                <w:spacing w:val="1"/>
                <w:sz w:val="20"/>
              </w:rPr>
              <w:t xml:space="preserve"> </w:t>
            </w:r>
            <w:r w:rsidRPr="001C21B0">
              <w:rPr>
                <w:rFonts w:cs="Calibri"/>
                <w:color w:val="000000" w:themeColor="text1"/>
                <w:sz w:val="20"/>
              </w:rPr>
              <w:t>held</w:t>
            </w:r>
            <w:r w:rsidRPr="001C21B0">
              <w:rPr>
                <w:rFonts w:cs="Calibri"/>
                <w:color w:val="000000" w:themeColor="text1"/>
                <w:spacing w:val="1"/>
                <w:sz w:val="20"/>
              </w:rPr>
              <w:t xml:space="preserve"> </w:t>
            </w:r>
            <w:r w:rsidRPr="001C21B0">
              <w:rPr>
                <w:rFonts w:cs="Calibri"/>
                <w:color w:val="000000" w:themeColor="text1"/>
                <w:sz w:val="20"/>
              </w:rPr>
              <w:t xml:space="preserve">for </w:t>
            </w:r>
            <w:r w:rsidRPr="001C21B0">
              <w:rPr>
                <w:rFonts w:cs="Calibri"/>
                <w:color w:val="000000" w:themeColor="text1"/>
                <w:spacing w:val="-4"/>
                <w:sz w:val="20"/>
              </w:rPr>
              <w:t>sale</w:t>
            </w:r>
          </w:p>
        </w:tc>
        <w:tc>
          <w:tcPr>
            <w:tcW w:w="1502" w:type="dxa"/>
            <w:tcBorders>
              <w:top w:val="single" w:sz="2" w:space="0" w:color="73777A"/>
              <w:left w:val="nil"/>
              <w:bottom w:val="single" w:sz="2" w:space="0" w:color="73777A"/>
              <w:right w:val="single" w:sz="8" w:space="0" w:color="FFFFFF"/>
            </w:tcBorders>
            <w:shd w:val="clear" w:color="auto" w:fill="FFF0E7"/>
            <w:tcMar>
              <w:right w:w="57" w:type="dxa"/>
            </w:tcMar>
          </w:tcPr>
          <w:p w14:paraId="6BAC01C9" w14:textId="77777777" w:rsidR="00FA4226" w:rsidRPr="001C21B0" w:rsidRDefault="00000000" w:rsidP="0043303B">
            <w:pPr>
              <w:pStyle w:val="TableParagraph"/>
              <w:spacing w:before="10"/>
              <w:rPr>
                <w:rFonts w:cs="Calibri"/>
                <w:color w:val="000000" w:themeColor="text1"/>
                <w:sz w:val="18"/>
              </w:rPr>
            </w:pPr>
            <w:r w:rsidRPr="001C21B0">
              <w:rPr>
                <w:rFonts w:cs="Calibri"/>
                <w:color w:val="000000" w:themeColor="text1"/>
                <w:spacing w:val="-2"/>
                <w:sz w:val="18"/>
              </w:rPr>
              <w:t>18,735</w:t>
            </w:r>
          </w:p>
        </w:tc>
        <w:tc>
          <w:tcPr>
            <w:tcW w:w="1502" w:type="dxa"/>
            <w:tcBorders>
              <w:top w:val="single" w:sz="2" w:space="0" w:color="73777A"/>
              <w:left w:val="single" w:sz="8" w:space="0" w:color="FFFFFF"/>
              <w:bottom w:val="single" w:sz="2" w:space="0" w:color="73777A"/>
              <w:right w:val="nil"/>
            </w:tcBorders>
            <w:shd w:val="clear" w:color="auto" w:fill="EDEFF0"/>
            <w:tcMar>
              <w:right w:w="57" w:type="dxa"/>
            </w:tcMar>
          </w:tcPr>
          <w:p w14:paraId="40CD6645" w14:textId="77777777" w:rsidR="00FA4226" w:rsidRPr="001C21B0" w:rsidRDefault="00000000" w:rsidP="0043303B">
            <w:pPr>
              <w:pStyle w:val="TableParagraph"/>
              <w:spacing w:before="10"/>
              <w:rPr>
                <w:rFonts w:cs="Calibri"/>
                <w:color w:val="000000" w:themeColor="text1"/>
                <w:sz w:val="18"/>
              </w:rPr>
            </w:pPr>
            <w:r w:rsidRPr="001C21B0">
              <w:rPr>
                <w:rFonts w:cs="Calibri"/>
                <w:color w:val="000000" w:themeColor="text1"/>
                <w:sz w:val="18"/>
              </w:rPr>
              <w:t>-</w:t>
            </w:r>
          </w:p>
        </w:tc>
      </w:tr>
      <w:tr w:rsidR="001C21B0" w:rsidRPr="001C21B0" w14:paraId="0D6A38A5" w14:textId="77777777" w:rsidTr="00CC5247">
        <w:trPr>
          <w:trHeight w:val="283"/>
        </w:trPr>
        <w:tc>
          <w:tcPr>
            <w:tcW w:w="4325" w:type="dxa"/>
            <w:tcBorders>
              <w:top w:val="single" w:sz="2" w:space="0" w:color="73777A"/>
              <w:left w:val="nil"/>
              <w:bottom w:val="single" w:sz="2" w:space="0" w:color="73777A"/>
              <w:right w:val="nil"/>
            </w:tcBorders>
            <w:tcMar>
              <w:right w:w="57" w:type="dxa"/>
            </w:tcMar>
          </w:tcPr>
          <w:p w14:paraId="00D0F8AB" w14:textId="77777777" w:rsidR="00FA4226" w:rsidRPr="001C21B0" w:rsidRDefault="00000000" w:rsidP="0043303B">
            <w:pPr>
              <w:pStyle w:val="TableParagraph"/>
              <w:jc w:val="left"/>
              <w:rPr>
                <w:rFonts w:cs="Calibri"/>
                <w:color w:val="000000" w:themeColor="text1"/>
                <w:sz w:val="10"/>
              </w:rPr>
            </w:pPr>
            <w:r w:rsidRPr="001C21B0">
              <w:rPr>
                <w:rFonts w:cs="Calibri"/>
                <w:color w:val="000000" w:themeColor="text1"/>
                <w:sz w:val="18"/>
              </w:rPr>
              <w:t>Property,</w:t>
            </w:r>
            <w:r w:rsidRPr="001C21B0">
              <w:rPr>
                <w:rFonts w:cs="Calibri"/>
                <w:color w:val="000000" w:themeColor="text1"/>
                <w:spacing w:val="3"/>
                <w:sz w:val="18"/>
              </w:rPr>
              <w:t xml:space="preserve"> </w:t>
            </w:r>
            <w:r w:rsidRPr="001C21B0">
              <w:rPr>
                <w:rFonts w:cs="Calibri"/>
                <w:color w:val="000000" w:themeColor="text1"/>
                <w:sz w:val="18"/>
              </w:rPr>
              <w:t>plant</w:t>
            </w:r>
            <w:r w:rsidRPr="001C21B0">
              <w:rPr>
                <w:rFonts w:cs="Calibri"/>
                <w:color w:val="000000" w:themeColor="text1"/>
                <w:spacing w:val="5"/>
                <w:sz w:val="18"/>
              </w:rPr>
              <w:t xml:space="preserve"> </w:t>
            </w:r>
            <w:r w:rsidRPr="001C21B0">
              <w:rPr>
                <w:rFonts w:cs="Calibri"/>
                <w:color w:val="000000" w:themeColor="text1"/>
                <w:sz w:val="18"/>
              </w:rPr>
              <w:t>and</w:t>
            </w:r>
            <w:r w:rsidRPr="001C21B0">
              <w:rPr>
                <w:rFonts w:cs="Calibri"/>
                <w:color w:val="000000" w:themeColor="text1"/>
                <w:spacing w:val="5"/>
                <w:sz w:val="18"/>
              </w:rPr>
              <w:t xml:space="preserve"> </w:t>
            </w:r>
            <w:r w:rsidRPr="001C21B0">
              <w:rPr>
                <w:rFonts w:cs="Calibri"/>
                <w:color w:val="000000" w:themeColor="text1"/>
                <w:sz w:val="18"/>
              </w:rPr>
              <w:t>equipment</w:t>
            </w:r>
            <w:r w:rsidRPr="001C21B0">
              <w:rPr>
                <w:rFonts w:cs="Calibri"/>
                <w:color w:val="000000" w:themeColor="text1"/>
                <w:spacing w:val="5"/>
                <w:sz w:val="18"/>
              </w:rPr>
              <w:t xml:space="preserve"> </w:t>
            </w:r>
            <w:r w:rsidRPr="001C21B0">
              <w:rPr>
                <w:rFonts w:cs="Calibri"/>
                <w:color w:val="000000" w:themeColor="text1"/>
                <w:spacing w:val="-5"/>
                <w:position w:val="6"/>
                <w:sz w:val="10"/>
              </w:rPr>
              <w:t>(i)</w:t>
            </w:r>
          </w:p>
        </w:tc>
        <w:tc>
          <w:tcPr>
            <w:tcW w:w="2307" w:type="dxa"/>
            <w:tcBorders>
              <w:top w:val="single" w:sz="2" w:space="0" w:color="73777A"/>
              <w:left w:val="nil"/>
              <w:bottom w:val="single" w:sz="2" w:space="0" w:color="73777A"/>
              <w:right w:val="nil"/>
            </w:tcBorders>
            <w:tcMar>
              <w:right w:w="57" w:type="dxa"/>
            </w:tcMar>
          </w:tcPr>
          <w:p w14:paraId="6BE0654D" w14:textId="77777777" w:rsidR="00FA4226" w:rsidRPr="001C21B0" w:rsidRDefault="00000000" w:rsidP="0043303B">
            <w:pPr>
              <w:pStyle w:val="TableParagraph"/>
              <w:rPr>
                <w:rFonts w:cs="Calibri"/>
                <w:color w:val="000000" w:themeColor="text1"/>
                <w:sz w:val="18"/>
              </w:rPr>
            </w:pPr>
            <w:r w:rsidRPr="001C21B0">
              <w:rPr>
                <w:rFonts w:cs="Calibri"/>
                <w:color w:val="000000" w:themeColor="text1"/>
                <w:spacing w:val="-5"/>
                <w:sz w:val="18"/>
              </w:rPr>
              <w:t>4.1</w:t>
            </w:r>
          </w:p>
        </w:tc>
        <w:tc>
          <w:tcPr>
            <w:tcW w:w="1502" w:type="dxa"/>
            <w:tcBorders>
              <w:top w:val="single" w:sz="2" w:space="0" w:color="73777A"/>
              <w:left w:val="nil"/>
              <w:bottom w:val="single" w:sz="2" w:space="0" w:color="73777A"/>
              <w:right w:val="single" w:sz="8" w:space="0" w:color="FFFFFF"/>
            </w:tcBorders>
            <w:shd w:val="clear" w:color="auto" w:fill="FFF0E7"/>
            <w:tcMar>
              <w:right w:w="57" w:type="dxa"/>
            </w:tcMar>
          </w:tcPr>
          <w:p w14:paraId="1A9B291F" w14:textId="77777777" w:rsidR="00FA4226" w:rsidRPr="001C21B0" w:rsidRDefault="00000000" w:rsidP="0043303B">
            <w:pPr>
              <w:pStyle w:val="TableParagraph"/>
              <w:rPr>
                <w:rFonts w:cs="Calibri"/>
                <w:color w:val="000000" w:themeColor="text1"/>
                <w:sz w:val="18"/>
              </w:rPr>
            </w:pPr>
            <w:r w:rsidRPr="001C21B0">
              <w:rPr>
                <w:rFonts w:cs="Calibri"/>
                <w:color w:val="000000" w:themeColor="text1"/>
                <w:spacing w:val="-2"/>
                <w:sz w:val="18"/>
              </w:rPr>
              <w:t>1,725,100</w:t>
            </w:r>
          </w:p>
        </w:tc>
        <w:tc>
          <w:tcPr>
            <w:tcW w:w="1502" w:type="dxa"/>
            <w:tcBorders>
              <w:top w:val="single" w:sz="2" w:space="0" w:color="73777A"/>
              <w:left w:val="single" w:sz="8" w:space="0" w:color="FFFFFF"/>
              <w:bottom w:val="single" w:sz="2" w:space="0" w:color="73777A"/>
              <w:right w:val="nil"/>
            </w:tcBorders>
            <w:shd w:val="clear" w:color="auto" w:fill="EDEFF0"/>
            <w:tcMar>
              <w:right w:w="57" w:type="dxa"/>
            </w:tcMar>
          </w:tcPr>
          <w:p w14:paraId="4D8549BA" w14:textId="77777777" w:rsidR="00FA4226" w:rsidRPr="001C21B0" w:rsidRDefault="00000000" w:rsidP="0043303B">
            <w:pPr>
              <w:pStyle w:val="TableParagraph"/>
              <w:rPr>
                <w:rFonts w:cs="Calibri"/>
                <w:color w:val="000000" w:themeColor="text1"/>
                <w:sz w:val="18"/>
              </w:rPr>
            </w:pPr>
            <w:r w:rsidRPr="001C21B0">
              <w:rPr>
                <w:rFonts w:cs="Calibri"/>
                <w:color w:val="000000" w:themeColor="text1"/>
                <w:spacing w:val="-2"/>
                <w:sz w:val="18"/>
              </w:rPr>
              <w:t>2,097,912</w:t>
            </w:r>
          </w:p>
        </w:tc>
      </w:tr>
      <w:tr w:rsidR="001C21B0" w:rsidRPr="001C21B0" w14:paraId="2E6CBA02" w14:textId="77777777" w:rsidTr="00CC5247">
        <w:trPr>
          <w:trHeight w:val="283"/>
        </w:trPr>
        <w:tc>
          <w:tcPr>
            <w:tcW w:w="6632" w:type="dxa"/>
            <w:gridSpan w:val="2"/>
            <w:tcBorders>
              <w:top w:val="single" w:sz="2" w:space="0" w:color="73777A"/>
              <w:left w:val="nil"/>
              <w:bottom w:val="single" w:sz="2" w:space="0" w:color="73777A"/>
              <w:right w:val="nil"/>
            </w:tcBorders>
            <w:tcMar>
              <w:right w:w="57" w:type="dxa"/>
            </w:tcMar>
          </w:tcPr>
          <w:p w14:paraId="3F0BBDC6" w14:textId="77777777" w:rsidR="00FA4226" w:rsidRPr="001C21B0" w:rsidRDefault="00000000" w:rsidP="0043303B">
            <w:pPr>
              <w:pStyle w:val="TableParagraph"/>
              <w:jc w:val="left"/>
              <w:rPr>
                <w:rFonts w:cs="Calibri"/>
                <w:color w:val="000000" w:themeColor="text1"/>
                <w:sz w:val="10"/>
              </w:rPr>
            </w:pPr>
            <w:r w:rsidRPr="001C21B0">
              <w:rPr>
                <w:rFonts w:cs="Calibri"/>
                <w:color w:val="000000" w:themeColor="text1"/>
                <w:sz w:val="18"/>
              </w:rPr>
              <w:t>Total</w:t>
            </w:r>
            <w:r w:rsidRPr="001C21B0">
              <w:rPr>
                <w:rFonts w:cs="Calibri"/>
                <w:color w:val="000000" w:themeColor="text1"/>
                <w:spacing w:val="2"/>
                <w:sz w:val="18"/>
              </w:rPr>
              <w:t xml:space="preserve"> </w:t>
            </w:r>
            <w:r w:rsidRPr="001C21B0">
              <w:rPr>
                <w:rFonts w:cs="Calibri"/>
                <w:color w:val="000000" w:themeColor="text1"/>
                <w:sz w:val="18"/>
              </w:rPr>
              <w:t>non-financial</w:t>
            </w:r>
            <w:r w:rsidRPr="001C21B0">
              <w:rPr>
                <w:rFonts w:cs="Calibri"/>
                <w:color w:val="000000" w:themeColor="text1"/>
                <w:spacing w:val="6"/>
                <w:sz w:val="18"/>
              </w:rPr>
              <w:t xml:space="preserve"> </w:t>
            </w:r>
            <w:r w:rsidRPr="001C21B0">
              <w:rPr>
                <w:rFonts w:cs="Calibri"/>
                <w:color w:val="000000" w:themeColor="text1"/>
                <w:sz w:val="18"/>
              </w:rPr>
              <w:t>assets</w:t>
            </w:r>
            <w:r w:rsidRPr="001C21B0">
              <w:rPr>
                <w:rFonts w:cs="Calibri"/>
                <w:color w:val="000000" w:themeColor="text1"/>
                <w:spacing w:val="7"/>
                <w:sz w:val="18"/>
              </w:rPr>
              <w:t xml:space="preserve"> </w:t>
            </w:r>
            <w:r w:rsidRPr="001C21B0">
              <w:rPr>
                <w:rFonts w:cs="Calibri"/>
                <w:color w:val="000000" w:themeColor="text1"/>
                <w:spacing w:val="-5"/>
                <w:position w:val="6"/>
                <w:sz w:val="10"/>
              </w:rPr>
              <w:t>(i)</w:t>
            </w:r>
          </w:p>
        </w:tc>
        <w:tc>
          <w:tcPr>
            <w:tcW w:w="1502" w:type="dxa"/>
            <w:tcBorders>
              <w:top w:val="single" w:sz="2" w:space="0" w:color="73777A"/>
              <w:left w:val="nil"/>
              <w:bottom w:val="single" w:sz="2" w:space="0" w:color="73777A"/>
              <w:right w:val="single" w:sz="8" w:space="0" w:color="FFFFFF"/>
            </w:tcBorders>
            <w:shd w:val="clear" w:color="auto" w:fill="FFF0E7"/>
            <w:tcMar>
              <w:right w:w="57" w:type="dxa"/>
            </w:tcMar>
          </w:tcPr>
          <w:p w14:paraId="407C38BC" w14:textId="77777777" w:rsidR="00FA4226" w:rsidRPr="001C21B0" w:rsidRDefault="00000000" w:rsidP="0043303B">
            <w:pPr>
              <w:pStyle w:val="TableParagraph"/>
              <w:rPr>
                <w:rFonts w:cs="Calibri"/>
                <w:color w:val="000000" w:themeColor="text1"/>
                <w:sz w:val="18"/>
              </w:rPr>
            </w:pPr>
            <w:r w:rsidRPr="001C21B0">
              <w:rPr>
                <w:rFonts w:cs="Calibri"/>
                <w:color w:val="000000" w:themeColor="text1"/>
                <w:spacing w:val="-2"/>
                <w:sz w:val="18"/>
              </w:rPr>
              <w:t>1,946,480</w:t>
            </w:r>
          </w:p>
        </w:tc>
        <w:tc>
          <w:tcPr>
            <w:tcW w:w="1502" w:type="dxa"/>
            <w:tcBorders>
              <w:top w:val="single" w:sz="2" w:space="0" w:color="73777A"/>
              <w:left w:val="single" w:sz="8" w:space="0" w:color="FFFFFF"/>
              <w:bottom w:val="single" w:sz="2" w:space="0" w:color="73777A"/>
              <w:right w:val="nil"/>
            </w:tcBorders>
            <w:shd w:val="clear" w:color="auto" w:fill="EDEFF0"/>
            <w:tcMar>
              <w:right w:w="57" w:type="dxa"/>
            </w:tcMar>
          </w:tcPr>
          <w:p w14:paraId="78995C09" w14:textId="77777777" w:rsidR="00FA4226" w:rsidRPr="001C21B0" w:rsidRDefault="00000000" w:rsidP="0043303B">
            <w:pPr>
              <w:pStyle w:val="TableParagraph"/>
              <w:rPr>
                <w:rFonts w:cs="Calibri"/>
                <w:color w:val="000000" w:themeColor="text1"/>
                <w:sz w:val="18"/>
              </w:rPr>
            </w:pPr>
            <w:r w:rsidRPr="001C21B0">
              <w:rPr>
                <w:rFonts w:cs="Calibri"/>
                <w:color w:val="000000" w:themeColor="text1"/>
                <w:spacing w:val="-2"/>
                <w:sz w:val="18"/>
              </w:rPr>
              <w:t>2,207,502</w:t>
            </w:r>
          </w:p>
        </w:tc>
      </w:tr>
      <w:tr w:rsidR="001C21B0" w:rsidRPr="001C21B0" w14:paraId="18147E08" w14:textId="77777777" w:rsidTr="00CC5247">
        <w:trPr>
          <w:trHeight w:val="278"/>
        </w:trPr>
        <w:tc>
          <w:tcPr>
            <w:tcW w:w="6632" w:type="dxa"/>
            <w:gridSpan w:val="2"/>
            <w:tcBorders>
              <w:top w:val="single" w:sz="2" w:space="0" w:color="73777A"/>
              <w:left w:val="nil"/>
              <w:bottom w:val="single" w:sz="6" w:space="0" w:color="73777A"/>
              <w:right w:val="nil"/>
            </w:tcBorders>
            <w:tcMar>
              <w:right w:w="57" w:type="dxa"/>
            </w:tcMar>
          </w:tcPr>
          <w:p w14:paraId="1C28B86B" w14:textId="77777777" w:rsidR="00FA4226" w:rsidRPr="001C21B0" w:rsidRDefault="00000000" w:rsidP="0043303B">
            <w:pPr>
              <w:pStyle w:val="TableParagraph"/>
              <w:jc w:val="left"/>
              <w:rPr>
                <w:rFonts w:cs="Calibri"/>
                <w:color w:val="000000" w:themeColor="text1"/>
                <w:sz w:val="10"/>
              </w:rPr>
            </w:pPr>
            <w:r w:rsidRPr="001C21B0">
              <w:rPr>
                <w:rFonts w:cs="Calibri"/>
                <w:color w:val="000000" w:themeColor="text1"/>
                <w:sz w:val="18"/>
              </w:rPr>
              <w:t>Total</w:t>
            </w:r>
            <w:r w:rsidRPr="001C21B0">
              <w:rPr>
                <w:rFonts w:cs="Calibri"/>
                <w:color w:val="000000" w:themeColor="text1"/>
                <w:spacing w:val="2"/>
                <w:sz w:val="18"/>
              </w:rPr>
              <w:t xml:space="preserve"> </w:t>
            </w:r>
            <w:r w:rsidRPr="001C21B0">
              <w:rPr>
                <w:rFonts w:cs="Calibri"/>
                <w:color w:val="000000" w:themeColor="text1"/>
                <w:sz w:val="18"/>
              </w:rPr>
              <w:t>assets</w:t>
            </w:r>
            <w:r w:rsidRPr="001C21B0">
              <w:rPr>
                <w:rFonts w:cs="Calibri"/>
                <w:color w:val="000000" w:themeColor="text1"/>
                <w:spacing w:val="2"/>
                <w:sz w:val="18"/>
              </w:rPr>
              <w:t xml:space="preserve"> </w:t>
            </w:r>
            <w:r w:rsidRPr="001C21B0">
              <w:rPr>
                <w:rFonts w:cs="Calibri"/>
                <w:color w:val="000000" w:themeColor="text1"/>
                <w:spacing w:val="-5"/>
                <w:position w:val="6"/>
                <w:sz w:val="10"/>
              </w:rPr>
              <w:t>(i)</w:t>
            </w:r>
          </w:p>
        </w:tc>
        <w:tc>
          <w:tcPr>
            <w:tcW w:w="1502" w:type="dxa"/>
            <w:tcBorders>
              <w:top w:val="single" w:sz="2" w:space="0" w:color="73777A"/>
              <w:left w:val="nil"/>
              <w:bottom w:val="single" w:sz="6" w:space="0" w:color="73777A"/>
              <w:right w:val="single" w:sz="8" w:space="0" w:color="FFFFFF"/>
            </w:tcBorders>
            <w:shd w:val="clear" w:color="auto" w:fill="FFF0E7"/>
            <w:tcMar>
              <w:right w:w="57" w:type="dxa"/>
            </w:tcMar>
          </w:tcPr>
          <w:p w14:paraId="6137A49B" w14:textId="77777777" w:rsidR="00FA4226" w:rsidRPr="001C21B0" w:rsidRDefault="00000000" w:rsidP="0043303B">
            <w:pPr>
              <w:pStyle w:val="TableParagraph"/>
              <w:rPr>
                <w:rFonts w:cs="Calibri"/>
                <w:color w:val="000000" w:themeColor="text1"/>
                <w:sz w:val="18"/>
              </w:rPr>
            </w:pPr>
            <w:r w:rsidRPr="001C21B0">
              <w:rPr>
                <w:rFonts w:cs="Calibri"/>
                <w:color w:val="000000" w:themeColor="text1"/>
                <w:spacing w:val="-2"/>
                <w:sz w:val="18"/>
              </w:rPr>
              <w:t>5,310,110</w:t>
            </w:r>
          </w:p>
        </w:tc>
        <w:tc>
          <w:tcPr>
            <w:tcW w:w="1502" w:type="dxa"/>
            <w:tcBorders>
              <w:top w:val="single" w:sz="2" w:space="0" w:color="73777A"/>
              <w:left w:val="single" w:sz="8" w:space="0" w:color="FFFFFF"/>
              <w:bottom w:val="single" w:sz="6" w:space="0" w:color="73777A"/>
              <w:right w:val="nil"/>
            </w:tcBorders>
            <w:shd w:val="clear" w:color="auto" w:fill="EDEFF0"/>
            <w:tcMar>
              <w:right w:w="57" w:type="dxa"/>
            </w:tcMar>
          </w:tcPr>
          <w:p w14:paraId="2EB2AFF1" w14:textId="77777777" w:rsidR="00FA4226" w:rsidRPr="001C21B0" w:rsidRDefault="00000000" w:rsidP="0043303B">
            <w:pPr>
              <w:pStyle w:val="TableParagraph"/>
              <w:rPr>
                <w:rFonts w:cs="Calibri"/>
                <w:color w:val="000000" w:themeColor="text1"/>
                <w:sz w:val="18"/>
              </w:rPr>
            </w:pPr>
            <w:r w:rsidRPr="001C21B0">
              <w:rPr>
                <w:rFonts w:cs="Calibri"/>
                <w:color w:val="000000" w:themeColor="text1"/>
                <w:spacing w:val="-2"/>
                <w:sz w:val="18"/>
              </w:rPr>
              <w:t>5,680,352</w:t>
            </w:r>
          </w:p>
        </w:tc>
      </w:tr>
      <w:tr w:rsidR="001C21B0" w:rsidRPr="001C21B0" w14:paraId="08106406" w14:textId="77777777" w:rsidTr="00CC5247">
        <w:trPr>
          <w:trHeight w:val="567"/>
        </w:trPr>
        <w:tc>
          <w:tcPr>
            <w:tcW w:w="6632" w:type="dxa"/>
            <w:gridSpan w:val="2"/>
            <w:tcBorders>
              <w:top w:val="single" w:sz="6" w:space="0" w:color="73777A"/>
              <w:left w:val="nil"/>
              <w:bottom w:val="single" w:sz="2" w:space="0" w:color="73777A"/>
              <w:right w:val="nil"/>
            </w:tcBorders>
            <w:tcMar>
              <w:right w:w="57" w:type="dxa"/>
            </w:tcMar>
          </w:tcPr>
          <w:p w14:paraId="6533A556" w14:textId="77777777" w:rsidR="00FA4226" w:rsidRPr="001C21B0" w:rsidRDefault="00FA4226" w:rsidP="0043303B">
            <w:pPr>
              <w:pStyle w:val="TableParagraph"/>
              <w:spacing w:before="7"/>
              <w:jc w:val="left"/>
              <w:rPr>
                <w:rFonts w:cs="Calibri"/>
                <w:color w:val="000000" w:themeColor="text1"/>
                <w:sz w:val="20"/>
              </w:rPr>
            </w:pPr>
          </w:p>
          <w:p w14:paraId="095AC96F" w14:textId="77777777" w:rsidR="00FA4226" w:rsidRPr="001C21B0" w:rsidRDefault="00000000" w:rsidP="0043303B">
            <w:pPr>
              <w:pStyle w:val="TableParagraph"/>
              <w:jc w:val="left"/>
              <w:rPr>
                <w:rFonts w:cs="Calibri"/>
                <w:color w:val="000000" w:themeColor="text1"/>
                <w:sz w:val="18"/>
              </w:rPr>
            </w:pPr>
            <w:r w:rsidRPr="001C21B0">
              <w:rPr>
                <w:rFonts w:cs="Calibri"/>
                <w:color w:val="000000" w:themeColor="text1"/>
                <w:spacing w:val="-2"/>
                <w:sz w:val="18"/>
              </w:rPr>
              <w:t>Liabilities</w:t>
            </w:r>
          </w:p>
        </w:tc>
        <w:tc>
          <w:tcPr>
            <w:tcW w:w="1502" w:type="dxa"/>
            <w:tcBorders>
              <w:top w:val="single" w:sz="6" w:space="0" w:color="73777A"/>
              <w:left w:val="nil"/>
              <w:bottom w:val="single" w:sz="2" w:space="0" w:color="73777A"/>
              <w:right w:val="single" w:sz="8" w:space="0" w:color="FFFFFF"/>
            </w:tcBorders>
            <w:shd w:val="clear" w:color="auto" w:fill="FFF0E7"/>
            <w:tcMar>
              <w:right w:w="57" w:type="dxa"/>
            </w:tcMar>
          </w:tcPr>
          <w:p w14:paraId="7AEE5E18" w14:textId="77777777" w:rsidR="00FA4226" w:rsidRPr="001C21B0" w:rsidRDefault="00FA4226" w:rsidP="0043303B">
            <w:pPr>
              <w:pStyle w:val="TableParagraph"/>
              <w:jc w:val="left"/>
              <w:rPr>
                <w:rFonts w:cs="Calibri"/>
                <w:color w:val="000000" w:themeColor="text1"/>
                <w:sz w:val="16"/>
              </w:rPr>
            </w:pPr>
          </w:p>
        </w:tc>
        <w:tc>
          <w:tcPr>
            <w:tcW w:w="1502" w:type="dxa"/>
            <w:tcBorders>
              <w:top w:val="single" w:sz="6" w:space="0" w:color="73777A"/>
              <w:left w:val="single" w:sz="8" w:space="0" w:color="FFFFFF"/>
              <w:bottom w:val="single" w:sz="2" w:space="0" w:color="73777A"/>
              <w:right w:val="nil"/>
            </w:tcBorders>
            <w:shd w:val="clear" w:color="auto" w:fill="EDEFF0"/>
            <w:tcMar>
              <w:right w:w="57" w:type="dxa"/>
            </w:tcMar>
          </w:tcPr>
          <w:p w14:paraId="259CB675" w14:textId="77777777" w:rsidR="00FA4226" w:rsidRPr="001C21B0" w:rsidRDefault="00FA4226" w:rsidP="0043303B">
            <w:pPr>
              <w:pStyle w:val="TableParagraph"/>
              <w:jc w:val="left"/>
              <w:rPr>
                <w:rFonts w:cs="Calibri"/>
                <w:color w:val="000000" w:themeColor="text1"/>
                <w:sz w:val="16"/>
              </w:rPr>
            </w:pPr>
          </w:p>
        </w:tc>
      </w:tr>
      <w:tr w:rsidR="001C21B0" w:rsidRPr="001C21B0" w14:paraId="0DFDE5AE" w14:textId="77777777" w:rsidTr="00CC5247">
        <w:trPr>
          <w:trHeight w:val="283"/>
        </w:trPr>
        <w:tc>
          <w:tcPr>
            <w:tcW w:w="4325" w:type="dxa"/>
            <w:tcBorders>
              <w:top w:val="single" w:sz="2" w:space="0" w:color="73777A"/>
              <w:left w:val="nil"/>
              <w:bottom w:val="single" w:sz="2" w:space="0" w:color="73777A"/>
              <w:right w:val="nil"/>
            </w:tcBorders>
            <w:tcMar>
              <w:right w:w="57" w:type="dxa"/>
            </w:tcMar>
          </w:tcPr>
          <w:p w14:paraId="77D9F286" w14:textId="77777777" w:rsidR="00FA4226" w:rsidRPr="001C21B0" w:rsidRDefault="00000000" w:rsidP="0043303B">
            <w:pPr>
              <w:pStyle w:val="TableParagraph"/>
              <w:jc w:val="left"/>
              <w:rPr>
                <w:rFonts w:cs="Calibri"/>
                <w:color w:val="000000" w:themeColor="text1"/>
                <w:sz w:val="10"/>
              </w:rPr>
            </w:pPr>
            <w:r w:rsidRPr="001C21B0">
              <w:rPr>
                <w:rFonts w:cs="Calibri"/>
                <w:color w:val="000000" w:themeColor="text1"/>
                <w:sz w:val="18"/>
              </w:rPr>
              <w:t>Payables</w:t>
            </w:r>
            <w:r w:rsidRPr="001C21B0">
              <w:rPr>
                <w:rFonts w:cs="Calibri"/>
                <w:color w:val="000000" w:themeColor="text1"/>
                <w:spacing w:val="3"/>
                <w:sz w:val="18"/>
              </w:rPr>
              <w:t xml:space="preserve"> </w:t>
            </w:r>
            <w:r w:rsidRPr="001C21B0">
              <w:rPr>
                <w:rFonts w:cs="Calibri"/>
                <w:color w:val="000000" w:themeColor="text1"/>
                <w:spacing w:val="-5"/>
                <w:position w:val="6"/>
                <w:sz w:val="10"/>
              </w:rPr>
              <w:t>(i)</w:t>
            </w:r>
          </w:p>
        </w:tc>
        <w:tc>
          <w:tcPr>
            <w:tcW w:w="2307" w:type="dxa"/>
            <w:tcBorders>
              <w:top w:val="single" w:sz="2" w:space="0" w:color="73777A"/>
              <w:left w:val="nil"/>
              <w:bottom w:val="single" w:sz="2" w:space="0" w:color="73777A"/>
              <w:right w:val="nil"/>
            </w:tcBorders>
            <w:tcMar>
              <w:right w:w="57" w:type="dxa"/>
            </w:tcMar>
          </w:tcPr>
          <w:p w14:paraId="7F39EF4B" w14:textId="77777777" w:rsidR="00FA4226" w:rsidRPr="001C21B0" w:rsidRDefault="00000000" w:rsidP="0043303B">
            <w:pPr>
              <w:pStyle w:val="TableParagraph"/>
              <w:rPr>
                <w:rFonts w:cs="Calibri"/>
                <w:color w:val="000000" w:themeColor="text1"/>
                <w:sz w:val="18"/>
              </w:rPr>
            </w:pPr>
            <w:r w:rsidRPr="001C21B0">
              <w:rPr>
                <w:rFonts w:cs="Calibri"/>
                <w:color w:val="000000" w:themeColor="text1"/>
                <w:spacing w:val="-5"/>
                <w:sz w:val="18"/>
              </w:rPr>
              <w:t>5.2</w:t>
            </w:r>
          </w:p>
        </w:tc>
        <w:tc>
          <w:tcPr>
            <w:tcW w:w="1502" w:type="dxa"/>
            <w:tcBorders>
              <w:top w:val="single" w:sz="2" w:space="0" w:color="73777A"/>
              <w:left w:val="nil"/>
              <w:bottom w:val="single" w:sz="2" w:space="0" w:color="73777A"/>
              <w:right w:val="single" w:sz="8" w:space="0" w:color="FFFFFF"/>
            </w:tcBorders>
            <w:shd w:val="clear" w:color="auto" w:fill="FFF0E7"/>
            <w:tcMar>
              <w:right w:w="57" w:type="dxa"/>
            </w:tcMar>
          </w:tcPr>
          <w:p w14:paraId="6C9E10BF" w14:textId="77777777" w:rsidR="00FA4226" w:rsidRPr="001C21B0" w:rsidRDefault="00000000" w:rsidP="0043303B">
            <w:pPr>
              <w:pStyle w:val="TableParagraph"/>
              <w:rPr>
                <w:rFonts w:cs="Calibri"/>
                <w:color w:val="000000" w:themeColor="text1"/>
                <w:sz w:val="18"/>
              </w:rPr>
            </w:pPr>
            <w:r w:rsidRPr="001C21B0">
              <w:rPr>
                <w:rFonts w:cs="Calibri"/>
                <w:color w:val="000000" w:themeColor="text1"/>
                <w:spacing w:val="-2"/>
                <w:sz w:val="18"/>
              </w:rPr>
              <w:t>1,076,373</w:t>
            </w:r>
          </w:p>
        </w:tc>
        <w:tc>
          <w:tcPr>
            <w:tcW w:w="1502" w:type="dxa"/>
            <w:tcBorders>
              <w:top w:val="single" w:sz="2" w:space="0" w:color="73777A"/>
              <w:left w:val="single" w:sz="8" w:space="0" w:color="FFFFFF"/>
              <w:bottom w:val="single" w:sz="2" w:space="0" w:color="73777A"/>
              <w:right w:val="nil"/>
            </w:tcBorders>
            <w:shd w:val="clear" w:color="auto" w:fill="EDEFF0"/>
            <w:tcMar>
              <w:right w:w="57" w:type="dxa"/>
            </w:tcMar>
          </w:tcPr>
          <w:p w14:paraId="06F55D03" w14:textId="77777777" w:rsidR="00FA4226" w:rsidRPr="001C21B0" w:rsidRDefault="00000000" w:rsidP="0043303B">
            <w:pPr>
              <w:pStyle w:val="TableParagraph"/>
              <w:rPr>
                <w:rFonts w:cs="Calibri"/>
                <w:color w:val="000000" w:themeColor="text1"/>
                <w:sz w:val="18"/>
              </w:rPr>
            </w:pPr>
            <w:r w:rsidRPr="001C21B0">
              <w:rPr>
                <w:rFonts w:cs="Calibri"/>
                <w:color w:val="000000" w:themeColor="text1"/>
                <w:spacing w:val="-2"/>
                <w:sz w:val="18"/>
              </w:rPr>
              <w:t>1,243,221</w:t>
            </w:r>
          </w:p>
        </w:tc>
      </w:tr>
      <w:tr w:rsidR="001C21B0" w:rsidRPr="001C21B0" w14:paraId="1E34D197" w14:textId="77777777" w:rsidTr="00CC5247">
        <w:trPr>
          <w:trHeight w:val="283"/>
        </w:trPr>
        <w:tc>
          <w:tcPr>
            <w:tcW w:w="4325" w:type="dxa"/>
            <w:tcBorders>
              <w:top w:val="single" w:sz="2" w:space="0" w:color="73777A"/>
              <w:left w:val="nil"/>
              <w:bottom w:val="single" w:sz="2" w:space="0" w:color="73777A"/>
              <w:right w:val="nil"/>
            </w:tcBorders>
            <w:tcMar>
              <w:right w:w="57" w:type="dxa"/>
            </w:tcMar>
          </w:tcPr>
          <w:p w14:paraId="6060F06B" w14:textId="77777777" w:rsidR="00FA4226" w:rsidRPr="001C21B0" w:rsidRDefault="00000000" w:rsidP="0043303B">
            <w:pPr>
              <w:pStyle w:val="TableParagraph"/>
              <w:jc w:val="left"/>
              <w:rPr>
                <w:rFonts w:cs="Calibri"/>
                <w:color w:val="000000" w:themeColor="text1"/>
                <w:sz w:val="10"/>
              </w:rPr>
            </w:pPr>
            <w:r w:rsidRPr="001C21B0">
              <w:rPr>
                <w:rFonts w:cs="Calibri"/>
                <w:color w:val="000000" w:themeColor="text1"/>
                <w:sz w:val="18"/>
              </w:rPr>
              <w:t>Borrowings</w:t>
            </w:r>
            <w:r w:rsidRPr="001C21B0">
              <w:rPr>
                <w:rFonts w:cs="Calibri"/>
                <w:color w:val="000000" w:themeColor="text1"/>
                <w:spacing w:val="8"/>
                <w:sz w:val="18"/>
              </w:rPr>
              <w:t xml:space="preserve"> </w:t>
            </w:r>
            <w:r w:rsidRPr="001C21B0">
              <w:rPr>
                <w:rFonts w:cs="Calibri"/>
                <w:color w:val="000000" w:themeColor="text1"/>
                <w:spacing w:val="-5"/>
                <w:position w:val="6"/>
                <w:sz w:val="10"/>
              </w:rPr>
              <w:t>(i)</w:t>
            </w:r>
          </w:p>
        </w:tc>
        <w:tc>
          <w:tcPr>
            <w:tcW w:w="2307" w:type="dxa"/>
            <w:tcBorders>
              <w:top w:val="single" w:sz="2" w:space="0" w:color="73777A"/>
              <w:left w:val="nil"/>
              <w:bottom w:val="single" w:sz="2" w:space="0" w:color="73777A"/>
              <w:right w:val="nil"/>
            </w:tcBorders>
            <w:tcMar>
              <w:right w:w="57" w:type="dxa"/>
            </w:tcMar>
          </w:tcPr>
          <w:p w14:paraId="01F41928" w14:textId="77777777" w:rsidR="00FA4226" w:rsidRPr="001C21B0" w:rsidRDefault="00000000" w:rsidP="0043303B">
            <w:pPr>
              <w:pStyle w:val="TableParagraph"/>
              <w:rPr>
                <w:rFonts w:cs="Calibri"/>
                <w:color w:val="000000" w:themeColor="text1"/>
                <w:sz w:val="18"/>
              </w:rPr>
            </w:pPr>
            <w:r w:rsidRPr="001C21B0">
              <w:rPr>
                <w:rFonts w:cs="Calibri"/>
                <w:color w:val="000000" w:themeColor="text1"/>
                <w:spacing w:val="-5"/>
                <w:sz w:val="18"/>
              </w:rPr>
              <w:t>6.1</w:t>
            </w:r>
          </w:p>
        </w:tc>
        <w:tc>
          <w:tcPr>
            <w:tcW w:w="1502" w:type="dxa"/>
            <w:tcBorders>
              <w:top w:val="single" w:sz="2" w:space="0" w:color="73777A"/>
              <w:left w:val="nil"/>
              <w:bottom w:val="single" w:sz="2" w:space="0" w:color="73777A"/>
              <w:right w:val="single" w:sz="8" w:space="0" w:color="FFFFFF"/>
            </w:tcBorders>
            <w:shd w:val="clear" w:color="auto" w:fill="FFF0E7"/>
            <w:tcMar>
              <w:right w:w="57" w:type="dxa"/>
            </w:tcMar>
          </w:tcPr>
          <w:p w14:paraId="0C75D6AC" w14:textId="77777777" w:rsidR="00FA4226" w:rsidRPr="001C21B0" w:rsidRDefault="00000000" w:rsidP="0043303B">
            <w:pPr>
              <w:pStyle w:val="TableParagraph"/>
              <w:rPr>
                <w:rFonts w:cs="Calibri"/>
                <w:color w:val="000000" w:themeColor="text1"/>
                <w:sz w:val="18"/>
              </w:rPr>
            </w:pPr>
            <w:r w:rsidRPr="001C21B0">
              <w:rPr>
                <w:rFonts w:cs="Calibri"/>
                <w:color w:val="000000" w:themeColor="text1"/>
                <w:spacing w:val="-2"/>
                <w:sz w:val="18"/>
              </w:rPr>
              <w:t>1,881,379</w:t>
            </w:r>
          </w:p>
        </w:tc>
        <w:tc>
          <w:tcPr>
            <w:tcW w:w="1502" w:type="dxa"/>
            <w:tcBorders>
              <w:top w:val="single" w:sz="2" w:space="0" w:color="73777A"/>
              <w:left w:val="single" w:sz="8" w:space="0" w:color="FFFFFF"/>
              <w:bottom w:val="single" w:sz="2" w:space="0" w:color="73777A"/>
              <w:right w:val="nil"/>
            </w:tcBorders>
            <w:shd w:val="clear" w:color="auto" w:fill="EDEFF0"/>
            <w:tcMar>
              <w:right w:w="57" w:type="dxa"/>
            </w:tcMar>
          </w:tcPr>
          <w:p w14:paraId="1FB92E60" w14:textId="77777777" w:rsidR="00FA4226" w:rsidRPr="001C21B0" w:rsidRDefault="00000000" w:rsidP="0043303B">
            <w:pPr>
              <w:pStyle w:val="TableParagraph"/>
              <w:rPr>
                <w:rFonts w:cs="Calibri"/>
                <w:color w:val="000000" w:themeColor="text1"/>
                <w:sz w:val="18"/>
              </w:rPr>
            </w:pPr>
            <w:r w:rsidRPr="001C21B0">
              <w:rPr>
                <w:rFonts w:cs="Calibri"/>
                <w:color w:val="000000" w:themeColor="text1"/>
                <w:spacing w:val="-2"/>
                <w:sz w:val="18"/>
              </w:rPr>
              <w:t>2,244,231</w:t>
            </w:r>
          </w:p>
        </w:tc>
      </w:tr>
      <w:tr w:rsidR="001C21B0" w:rsidRPr="001C21B0" w14:paraId="145C0F48" w14:textId="77777777" w:rsidTr="00CC5247">
        <w:trPr>
          <w:trHeight w:val="297"/>
        </w:trPr>
        <w:tc>
          <w:tcPr>
            <w:tcW w:w="4325" w:type="dxa"/>
            <w:tcBorders>
              <w:top w:val="single" w:sz="2" w:space="0" w:color="73777A"/>
              <w:left w:val="nil"/>
              <w:bottom w:val="single" w:sz="2" w:space="0" w:color="73777A"/>
              <w:right w:val="nil"/>
            </w:tcBorders>
            <w:tcMar>
              <w:right w:w="57" w:type="dxa"/>
            </w:tcMar>
          </w:tcPr>
          <w:p w14:paraId="6B594556" w14:textId="77777777" w:rsidR="00FA4226" w:rsidRPr="001C21B0" w:rsidRDefault="00000000" w:rsidP="0043303B">
            <w:pPr>
              <w:pStyle w:val="TableParagraph"/>
              <w:jc w:val="left"/>
              <w:rPr>
                <w:rFonts w:cs="Calibri"/>
                <w:color w:val="000000" w:themeColor="text1"/>
                <w:sz w:val="20"/>
              </w:rPr>
            </w:pPr>
            <w:r w:rsidRPr="001C21B0">
              <w:rPr>
                <w:rFonts w:cs="Calibri"/>
                <w:color w:val="000000" w:themeColor="text1"/>
                <w:sz w:val="20"/>
              </w:rPr>
              <w:t>Employee</w:t>
            </w:r>
            <w:r w:rsidRPr="001C21B0">
              <w:rPr>
                <w:rFonts w:cs="Calibri"/>
                <w:color w:val="000000" w:themeColor="text1"/>
                <w:spacing w:val="1"/>
                <w:sz w:val="20"/>
              </w:rPr>
              <w:t xml:space="preserve"> </w:t>
            </w:r>
            <w:r w:rsidRPr="001C21B0">
              <w:rPr>
                <w:rFonts w:cs="Calibri"/>
                <w:color w:val="000000" w:themeColor="text1"/>
                <w:sz w:val="20"/>
              </w:rPr>
              <w:t>benefit</w:t>
            </w:r>
            <w:r w:rsidRPr="001C21B0">
              <w:rPr>
                <w:rFonts w:cs="Calibri"/>
                <w:color w:val="000000" w:themeColor="text1"/>
                <w:spacing w:val="4"/>
                <w:sz w:val="20"/>
              </w:rPr>
              <w:t xml:space="preserve"> </w:t>
            </w:r>
            <w:r w:rsidRPr="001C21B0">
              <w:rPr>
                <w:rFonts w:cs="Calibri"/>
                <w:color w:val="000000" w:themeColor="text1"/>
                <w:spacing w:val="-2"/>
                <w:sz w:val="20"/>
              </w:rPr>
              <w:t>provisions</w:t>
            </w:r>
          </w:p>
        </w:tc>
        <w:tc>
          <w:tcPr>
            <w:tcW w:w="2307" w:type="dxa"/>
            <w:tcBorders>
              <w:top w:val="single" w:sz="2" w:space="0" w:color="73777A"/>
              <w:left w:val="nil"/>
              <w:bottom w:val="single" w:sz="2" w:space="0" w:color="73777A"/>
              <w:right w:val="nil"/>
            </w:tcBorders>
            <w:tcMar>
              <w:right w:w="57" w:type="dxa"/>
            </w:tcMar>
          </w:tcPr>
          <w:p w14:paraId="5AC5F4A1" w14:textId="77777777" w:rsidR="00FA4226" w:rsidRPr="001C21B0" w:rsidRDefault="00000000" w:rsidP="0043303B">
            <w:pPr>
              <w:pStyle w:val="TableParagraph"/>
              <w:spacing w:before="10"/>
              <w:rPr>
                <w:rFonts w:cs="Calibri"/>
                <w:color w:val="000000" w:themeColor="text1"/>
                <w:sz w:val="18"/>
              </w:rPr>
            </w:pPr>
            <w:r w:rsidRPr="001C21B0">
              <w:rPr>
                <w:rFonts w:cs="Calibri"/>
                <w:color w:val="000000" w:themeColor="text1"/>
                <w:spacing w:val="-2"/>
                <w:sz w:val="18"/>
              </w:rPr>
              <w:t>3.2.2</w:t>
            </w:r>
          </w:p>
        </w:tc>
        <w:tc>
          <w:tcPr>
            <w:tcW w:w="1502" w:type="dxa"/>
            <w:tcBorders>
              <w:top w:val="single" w:sz="2" w:space="0" w:color="73777A"/>
              <w:left w:val="nil"/>
              <w:bottom w:val="single" w:sz="2" w:space="0" w:color="73777A"/>
              <w:right w:val="single" w:sz="8" w:space="0" w:color="FFFFFF"/>
            </w:tcBorders>
            <w:shd w:val="clear" w:color="auto" w:fill="FFF0E7"/>
            <w:tcMar>
              <w:right w:w="57" w:type="dxa"/>
            </w:tcMar>
          </w:tcPr>
          <w:p w14:paraId="7746BACC" w14:textId="77777777" w:rsidR="00FA4226" w:rsidRPr="001C21B0" w:rsidRDefault="00000000" w:rsidP="0043303B">
            <w:pPr>
              <w:pStyle w:val="TableParagraph"/>
              <w:spacing w:before="10"/>
              <w:rPr>
                <w:rFonts w:cs="Calibri"/>
                <w:color w:val="000000" w:themeColor="text1"/>
                <w:sz w:val="18"/>
              </w:rPr>
            </w:pPr>
            <w:r w:rsidRPr="001C21B0">
              <w:rPr>
                <w:rFonts w:cs="Calibri"/>
                <w:color w:val="000000" w:themeColor="text1"/>
                <w:spacing w:val="-2"/>
                <w:sz w:val="18"/>
              </w:rPr>
              <w:t>1,278,791</w:t>
            </w:r>
          </w:p>
        </w:tc>
        <w:tc>
          <w:tcPr>
            <w:tcW w:w="1502" w:type="dxa"/>
            <w:tcBorders>
              <w:top w:val="single" w:sz="2" w:space="0" w:color="73777A"/>
              <w:left w:val="single" w:sz="8" w:space="0" w:color="FFFFFF"/>
              <w:bottom w:val="single" w:sz="2" w:space="0" w:color="73777A"/>
              <w:right w:val="nil"/>
            </w:tcBorders>
            <w:shd w:val="clear" w:color="auto" w:fill="EDEFF0"/>
            <w:tcMar>
              <w:right w:w="57" w:type="dxa"/>
            </w:tcMar>
          </w:tcPr>
          <w:p w14:paraId="6F791D0B" w14:textId="77777777" w:rsidR="00FA4226" w:rsidRPr="001C21B0" w:rsidRDefault="00000000" w:rsidP="0043303B">
            <w:pPr>
              <w:pStyle w:val="TableParagraph"/>
              <w:spacing w:before="10"/>
              <w:rPr>
                <w:rFonts w:cs="Calibri"/>
                <w:color w:val="000000" w:themeColor="text1"/>
                <w:sz w:val="18"/>
              </w:rPr>
            </w:pPr>
            <w:r w:rsidRPr="001C21B0">
              <w:rPr>
                <w:rFonts w:cs="Calibri"/>
                <w:color w:val="000000" w:themeColor="text1"/>
                <w:spacing w:val="-2"/>
                <w:sz w:val="18"/>
              </w:rPr>
              <w:t>1,051,580</w:t>
            </w:r>
          </w:p>
        </w:tc>
      </w:tr>
      <w:tr w:rsidR="001C21B0" w:rsidRPr="001C21B0" w14:paraId="7D7C9C71" w14:textId="77777777" w:rsidTr="00CC5247">
        <w:trPr>
          <w:trHeight w:val="297"/>
        </w:trPr>
        <w:tc>
          <w:tcPr>
            <w:tcW w:w="4325" w:type="dxa"/>
            <w:tcBorders>
              <w:top w:val="single" w:sz="2" w:space="0" w:color="73777A"/>
              <w:left w:val="nil"/>
              <w:bottom w:val="single" w:sz="2" w:space="0" w:color="73777A"/>
              <w:right w:val="nil"/>
            </w:tcBorders>
            <w:tcMar>
              <w:right w:w="57" w:type="dxa"/>
            </w:tcMar>
          </w:tcPr>
          <w:p w14:paraId="2AC3005E" w14:textId="77777777" w:rsidR="00FA4226" w:rsidRPr="001C21B0" w:rsidRDefault="00000000" w:rsidP="0043303B">
            <w:pPr>
              <w:pStyle w:val="TableParagraph"/>
              <w:jc w:val="left"/>
              <w:rPr>
                <w:rFonts w:cs="Calibri"/>
                <w:color w:val="000000" w:themeColor="text1"/>
                <w:sz w:val="20"/>
              </w:rPr>
            </w:pPr>
            <w:r w:rsidRPr="001C21B0">
              <w:rPr>
                <w:rFonts w:cs="Calibri"/>
                <w:color w:val="000000" w:themeColor="text1"/>
                <w:sz w:val="20"/>
              </w:rPr>
              <w:t>Other</w:t>
            </w:r>
            <w:r w:rsidRPr="001C21B0">
              <w:rPr>
                <w:rFonts w:cs="Calibri"/>
                <w:color w:val="000000" w:themeColor="text1"/>
                <w:spacing w:val="3"/>
                <w:sz w:val="20"/>
              </w:rPr>
              <w:t xml:space="preserve"> </w:t>
            </w:r>
            <w:r w:rsidRPr="001C21B0">
              <w:rPr>
                <w:rFonts w:cs="Calibri"/>
                <w:color w:val="000000" w:themeColor="text1"/>
                <w:spacing w:val="-2"/>
                <w:sz w:val="20"/>
              </w:rPr>
              <w:t>provisions</w:t>
            </w:r>
          </w:p>
        </w:tc>
        <w:tc>
          <w:tcPr>
            <w:tcW w:w="2307" w:type="dxa"/>
            <w:tcBorders>
              <w:top w:val="single" w:sz="2" w:space="0" w:color="73777A"/>
              <w:left w:val="nil"/>
              <w:bottom w:val="single" w:sz="2" w:space="0" w:color="73777A"/>
              <w:right w:val="nil"/>
            </w:tcBorders>
            <w:tcMar>
              <w:right w:w="57" w:type="dxa"/>
            </w:tcMar>
          </w:tcPr>
          <w:p w14:paraId="15F1ED5E" w14:textId="77777777" w:rsidR="00FA4226" w:rsidRPr="001C21B0" w:rsidRDefault="00000000" w:rsidP="0043303B">
            <w:pPr>
              <w:pStyle w:val="TableParagraph"/>
              <w:spacing w:before="10"/>
              <w:rPr>
                <w:rFonts w:cs="Calibri"/>
                <w:color w:val="000000" w:themeColor="text1"/>
                <w:sz w:val="18"/>
              </w:rPr>
            </w:pPr>
            <w:r w:rsidRPr="001C21B0">
              <w:rPr>
                <w:rFonts w:cs="Calibri"/>
                <w:color w:val="000000" w:themeColor="text1"/>
                <w:spacing w:val="-5"/>
                <w:sz w:val="18"/>
              </w:rPr>
              <w:t>5.5</w:t>
            </w:r>
          </w:p>
        </w:tc>
        <w:tc>
          <w:tcPr>
            <w:tcW w:w="1502" w:type="dxa"/>
            <w:tcBorders>
              <w:top w:val="single" w:sz="2" w:space="0" w:color="73777A"/>
              <w:left w:val="nil"/>
              <w:bottom w:val="single" w:sz="2" w:space="0" w:color="73777A"/>
              <w:right w:val="single" w:sz="8" w:space="0" w:color="FFFFFF"/>
            </w:tcBorders>
            <w:shd w:val="clear" w:color="auto" w:fill="FFF0E7"/>
            <w:tcMar>
              <w:right w:w="57" w:type="dxa"/>
            </w:tcMar>
          </w:tcPr>
          <w:p w14:paraId="7D2BF31B" w14:textId="77777777" w:rsidR="00FA4226" w:rsidRPr="001C21B0" w:rsidRDefault="00000000" w:rsidP="0043303B">
            <w:pPr>
              <w:pStyle w:val="TableParagraph"/>
              <w:spacing w:before="10"/>
              <w:rPr>
                <w:rFonts w:cs="Calibri"/>
                <w:color w:val="000000" w:themeColor="text1"/>
                <w:sz w:val="18"/>
              </w:rPr>
            </w:pPr>
            <w:r w:rsidRPr="001C21B0">
              <w:rPr>
                <w:rFonts w:cs="Calibri"/>
                <w:color w:val="000000" w:themeColor="text1"/>
                <w:spacing w:val="-2"/>
                <w:sz w:val="18"/>
              </w:rPr>
              <w:t>98,667</w:t>
            </w:r>
          </w:p>
        </w:tc>
        <w:tc>
          <w:tcPr>
            <w:tcW w:w="1502" w:type="dxa"/>
            <w:tcBorders>
              <w:top w:val="single" w:sz="2" w:space="0" w:color="73777A"/>
              <w:left w:val="single" w:sz="8" w:space="0" w:color="FFFFFF"/>
              <w:bottom w:val="single" w:sz="2" w:space="0" w:color="73777A"/>
              <w:right w:val="nil"/>
            </w:tcBorders>
            <w:shd w:val="clear" w:color="auto" w:fill="EDEFF0"/>
            <w:tcMar>
              <w:right w:w="57" w:type="dxa"/>
            </w:tcMar>
          </w:tcPr>
          <w:p w14:paraId="1A1A4959" w14:textId="77777777" w:rsidR="00FA4226" w:rsidRPr="001C21B0" w:rsidRDefault="00000000" w:rsidP="0043303B">
            <w:pPr>
              <w:pStyle w:val="TableParagraph"/>
              <w:spacing w:before="10"/>
              <w:rPr>
                <w:rFonts w:cs="Calibri"/>
                <w:color w:val="000000" w:themeColor="text1"/>
                <w:sz w:val="18"/>
              </w:rPr>
            </w:pPr>
            <w:r w:rsidRPr="001C21B0">
              <w:rPr>
                <w:rFonts w:cs="Calibri"/>
                <w:color w:val="000000" w:themeColor="text1"/>
                <w:spacing w:val="-2"/>
                <w:sz w:val="18"/>
              </w:rPr>
              <w:t>98,667</w:t>
            </w:r>
          </w:p>
        </w:tc>
      </w:tr>
      <w:tr w:rsidR="001C21B0" w:rsidRPr="001C21B0" w14:paraId="1AF1BF9E" w14:textId="77777777" w:rsidTr="00CC5247">
        <w:trPr>
          <w:trHeight w:val="297"/>
        </w:trPr>
        <w:tc>
          <w:tcPr>
            <w:tcW w:w="4325" w:type="dxa"/>
            <w:tcBorders>
              <w:top w:val="single" w:sz="2" w:space="0" w:color="73777A"/>
              <w:left w:val="nil"/>
              <w:bottom w:val="single" w:sz="2" w:space="0" w:color="73777A"/>
              <w:right w:val="nil"/>
            </w:tcBorders>
            <w:tcMar>
              <w:right w:w="57" w:type="dxa"/>
            </w:tcMar>
          </w:tcPr>
          <w:p w14:paraId="308A9556" w14:textId="77777777" w:rsidR="00FA4226" w:rsidRPr="001C21B0" w:rsidRDefault="00000000" w:rsidP="0043303B">
            <w:pPr>
              <w:pStyle w:val="TableParagraph"/>
              <w:jc w:val="left"/>
              <w:rPr>
                <w:rFonts w:cs="Calibri"/>
                <w:color w:val="000000" w:themeColor="text1"/>
                <w:sz w:val="20"/>
              </w:rPr>
            </w:pPr>
            <w:r w:rsidRPr="001C21B0">
              <w:rPr>
                <w:rFonts w:cs="Calibri"/>
                <w:color w:val="000000" w:themeColor="text1"/>
                <w:sz w:val="20"/>
              </w:rPr>
              <w:t>Deferred</w:t>
            </w:r>
            <w:r w:rsidRPr="001C21B0">
              <w:rPr>
                <w:rFonts w:cs="Calibri"/>
                <w:color w:val="000000" w:themeColor="text1"/>
                <w:spacing w:val="2"/>
                <w:sz w:val="20"/>
              </w:rPr>
              <w:t xml:space="preserve"> </w:t>
            </w:r>
            <w:r w:rsidRPr="001C21B0">
              <w:rPr>
                <w:rFonts w:cs="Calibri"/>
                <w:color w:val="000000" w:themeColor="text1"/>
                <w:sz w:val="20"/>
              </w:rPr>
              <w:t>lease</w:t>
            </w:r>
            <w:r w:rsidRPr="001C21B0">
              <w:rPr>
                <w:rFonts w:cs="Calibri"/>
                <w:color w:val="000000" w:themeColor="text1"/>
                <w:spacing w:val="5"/>
                <w:sz w:val="20"/>
              </w:rPr>
              <w:t xml:space="preserve"> </w:t>
            </w:r>
            <w:r w:rsidRPr="001C21B0">
              <w:rPr>
                <w:rFonts w:cs="Calibri"/>
                <w:color w:val="000000" w:themeColor="text1"/>
                <w:spacing w:val="-2"/>
                <w:sz w:val="20"/>
              </w:rPr>
              <w:t>incentive</w:t>
            </w:r>
          </w:p>
        </w:tc>
        <w:tc>
          <w:tcPr>
            <w:tcW w:w="2307" w:type="dxa"/>
            <w:tcBorders>
              <w:top w:val="single" w:sz="2" w:space="0" w:color="73777A"/>
              <w:left w:val="nil"/>
              <w:bottom w:val="single" w:sz="2" w:space="0" w:color="73777A"/>
              <w:right w:val="nil"/>
            </w:tcBorders>
            <w:tcMar>
              <w:right w:w="57" w:type="dxa"/>
            </w:tcMar>
          </w:tcPr>
          <w:p w14:paraId="4F8FC880" w14:textId="77777777" w:rsidR="00FA4226" w:rsidRPr="001C21B0" w:rsidRDefault="00000000" w:rsidP="0043303B">
            <w:pPr>
              <w:pStyle w:val="TableParagraph"/>
              <w:spacing w:before="10"/>
              <w:rPr>
                <w:rFonts w:cs="Calibri"/>
                <w:color w:val="000000" w:themeColor="text1"/>
                <w:sz w:val="18"/>
              </w:rPr>
            </w:pPr>
            <w:r w:rsidRPr="001C21B0">
              <w:rPr>
                <w:rFonts w:cs="Calibri"/>
                <w:color w:val="000000" w:themeColor="text1"/>
                <w:spacing w:val="-5"/>
                <w:sz w:val="18"/>
              </w:rPr>
              <w:t>5.3</w:t>
            </w:r>
          </w:p>
        </w:tc>
        <w:tc>
          <w:tcPr>
            <w:tcW w:w="1502" w:type="dxa"/>
            <w:tcBorders>
              <w:top w:val="single" w:sz="2" w:space="0" w:color="73777A"/>
              <w:left w:val="nil"/>
              <w:bottom w:val="single" w:sz="2" w:space="0" w:color="73777A"/>
              <w:right w:val="single" w:sz="8" w:space="0" w:color="FFFFFF"/>
            </w:tcBorders>
            <w:shd w:val="clear" w:color="auto" w:fill="FFF0E7"/>
            <w:tcMar>
              <w:right w:w="57" w:type="dxa"/>
            </w:tcMar>
          </w:tcPr>
          <w:p w14:paraId="5A0BC28C" w14:textId="77777777" w:rsidR="00FA4226" w:rsidRPr="001C21B0" w:rsidRDefault="00000000" w:rsidP="0043303B">
            <w:pPr>
              <w:pStyle w:val="TableParagraph"/>
              <w:spacing w:before="10"/>
              <w:rPr>
                <w:rFonts w:cs="Calibri"/>
                <w:color w:val="000000" w:themeColor="text1"/>
                <w:sz w:val="18"/>
              </w:rPr>
            </w:pPr>
            <w:r w:rsidRPr="001C21B0">
              <w:rPr>
                <w:rFonts w:cs="Calibri"/>
                <w:color w:val="000000" w:themeColor="text1"/>
                <w:spacing w:val="-2"/>
                <w:sz w:val="18"/>
              </w:rPr>
              <w:t>4,989</w:t>
            </w:r>
          </w:p>
        </w:tc>
        <w:tc>
          <w:tcPr>
            <w:tcW w:w="1502" w:type="dxa"/>
            <w:tcBorders>
              <w:top w:val="single" w:sz="2" w:space="0" w:color="73777A"/>
              <w:left w:val="single" w:sz="8" w:space="0" w:color="FFFFFF"/>
              <w:bottom w:val="single" w:sz="2" w:space="0" w:color="73777A"/>
              <w:right w:val="nil"/>
            </w:tcBorders>
            <w:shd w:val="clear" w:color="auto" w:fill="EDEFF0"/>
            <w:tcMar>
              <w:right w:w="57" w:type="dxa"/>
            </w:tcMar>
          </w:tcPr>
          <w:p w14:paraId="10334BDB" w14:textId="77777777" w:rsidR="00FA4226" w:rsidRPr="001C21B0" w:rsidRDefault="00000000" w:rsidP="0043303B">
            <w:pPr>
              <w:pStyle w:val="TableParagraph"/>
              <w:spacing w:before="10"/>
              <w:rPr>
                <w:rFonts w:cs="Calibri"/>
                <w:color w:val="000000" w:themeColor="text1"/>
                <w:sz w:val="18"/>
              </w:rPr>
            </w:pPr>
            <w:r w:rsidRPr="001C21B0">
              <w:rPr>
                <w:rFonts w:cs="Calibri"/>
                <w:color w:val="000000" w:themeColor="text1"/>
                <w:spacing w:val="-2"/>
                <w:sz w:val="18"/>
              </w:rPr>
              <w:t>10,978</w:t>
            </w:r>
          </w:p>
        </w:tc>
      </w:tr>
      <w:tr w:rsidR="001C21B0" w:rsidRPr="001C21B0" w14:paraId="3C235647" w14:textId="77777777" w:rsidTr="00CC5247">
        <w:trPr>
          <w:trHeight w:val="278"/>
        </w:trPr>
        <w:tc>
          <w:tcPr>
            <w:tcW w:w="6632" w:type="dxa"/>
            <w:gridSpan w:val="2"/>
            <w:tcBorders>
              <w:top w:val="single" w:sz="2" w:space="0" w:color="73777A"/>
              <w:left w:val="nil"/>
              <w:bottom w:val="single" w:sz="6" w:space="0" w:color="73777A"/>
              <w:right w:val="nil"/>
            </w:tcBorders>
            <w:tcMar>
              <w:right w:w="57" w:type="dxa"/>
            </w:tcMar>
          </w:tcPr>
          <w:p w14:paraId="4750C692" w14:textId="77777777" w:rsidR="00FA4226" w:rsidRPr="001C21B0" w:rsidRDefault="00000000" w:rsidP="0043303B">
            <w:pPr>
              <w:pStyle w:val="TableParagraph"/>
              <w:jc w:val="left"/>
              <w:rPr>
                <w:rFonts w:cs="Calibri"/>
                <w:color w:val="000000" w:themeColor="text1"/>
                <w:sz w:val="10"/>
              </w:rPr>
            </w:pPr>
            <w:r w:rsidRPr="001C21B0">
              <w:rPr>
                <w:rFonts w:cs="Calibri"/>
                <w:color w:val="000000" w:themeColor="text1"/>
                <w:sz w:val="18"/>
              </w:rPr>
              <w:t>Total</w:t>
            </w:r>
            <w:r w:rsidRPr="001C21B0">
              <w:rPr>
                <w:rFonts w:cs="Calibri"/>
                <w:color w:val="000000" w:themeColor="text1"/>
                <w:spacing w:val="2"/>
                <w:sz w:val="18"/>
              </w:rPr>
              <w:t xml:space="preserve"> </w:t>
            </w:r>
            <w:r w:rsidRPr="001C21B0">
              <w:rPr>
                <w:rFonts w:cs="Calibri"/>
                <w:color w:val="000000" w:themeColor="text1"/>
                <w:sz w:val="18"/>
              </w:rPr>
              <w:t>liabilities</w:t>
            </w:r>
            <w:r w:rsidRPr="001C21B0">
              <w:rPr>
                <w:rFonts w:cs="Calibri"/>
                <w:color w:val="000000" w:themeColor="text1"/>
                <w:spacing w:val="4"/>
                <w:sz w:val="18"/>
              </w:rPr>
              <w:t xml:space="preserve"> </w:t>
            </w:r>
            <w:r w:rsidRPr="001C21B0">
              <w:rPr>
                <w:rFonts w:cs="Calibri"/>
                <w:color w:val="000000" w:themeColor="text1"/>
                <w:spacing w:val="-5"/>
                <w:position w:val="6"/>
                <w:sz w:val="10"/>
              </w:rPr>
              <w:t>(i)</w:t>
            </w:r>
          </w:p>
        </w:tc>
        <w:tc>
          <w:tcPr>
            <w:tcW w:w="1502" w:type="dxa"/>
            <w:tcBorders>
              <w:top w:val="single" w:sz="2" w:space="0" w:color="73777A"/>
              <w:left w:val="nil"/>
              <w:bottom w:val="single" w:sz="6" w:space="0" w:color="73777A"/>
              <w:right w:val="single" w:sz="8" w:space="0" w:color="FFFFFF"/>
            </w:tcBorders>
            <w:shd w:val="clear" w:color="auto" w:fill="FFF0E7"/>
            <w:tcMar>
              <w:right w:w="57" w:type="dxa"/>
            </w:tcMar>
          </w:tcPr>
          <w:p w14:paraId="00DEB565" w14:textId="77777777" w:rsidR="00FA4226" w:rsidRPr="001C21B0" w:rsidRDefault="00000000" w:rsidP="0043303B">
            <w:pPr>
              <w:pStyle w:val="TableParagraph"/>
              <w:rPr>
                <w:rFonts w:cs="Calibri"/>
                <w:color w:val="000000" w:themeColor="text1"/>
                <w:sz w:val="18"/>
              </w:rPr>
            </w:pPr>
            <w:r w:rsidRPr="001C21B0">
              <w:rPr>
                <w:rFonts w:cs="Calibri"/>
                <w:color w:val="000000" w:themeColor="text1"/>
                <w:spacing w:val="-2"/>
                <w:sz w:val="18"/>
              </w:rPr>
              <w:t>4,340,199</w:t>
            </w:r>
          </w:p>
        </w:tc>
        <w:tc>
          <w:tcPr>
            <w:tcW w:w="1502" w:type="dxa"/>
            <w:tcBorders>
              <w:top w:val="single" w:sz="2" w:space="0" w:color="73777A"/>
              <w:left w:val="single" w:sz="8" w:space="0" w:color="FFFFFF"/>
              <w:bottom w:val="single" w:sz="6" w:space="0" w:color="73777A"/>
              <w:right w:val="nil"/>
            </w:tcBorders>
            <w:shd w:val="clear" w:color="auto" w:fill="EDEFF0"/>
            <w:tcMar>
              <w:right w:w="57" w:type="dxa"/>
            </w:tcMar>
          </w:tcPr>
          <w:p w14:paraId="7AE19BCF" w14:textId="77777777" w:rsidR="00FA4226" w:rsidRPr="001C21B0" w:rsidRDefault="00000000" w:rsidP="0043303B">
            <w:pPr>
              <w:pStyle w:val="TableParagraph"/>
              <w:rPr>
                <w:rFonts w:cs="Calibri"/>
                <w:color w:val="000000" w:themeColor="text1"/>
                <w:sz w:val="18"/>
              </w:rPr>
            </w:pPr>
            <w:r w:rsidRPr="001C21B0">
              <w:rPr>
                <w:rFonts w:cs="Calibri"/>
                <w:color w:val="000000" w:themeColor="text1"/>
                <w:spacing w:val="-2"/>
                <w:sz w:val="18"/>
              </w:rPr>
              <w:t>4,648,677</w:t>
            </w:r>
          </w:p>
        </w:tc>
      </w:tr>
      <w:tr w:rsidR="001C21B0" w:rsidRPr="001C21B0" w14:paraId="7A1EEF3C" w14:textId="77777777" w:rsidTr="007D79BC">
        <w:trPr>
          <w:trHeight w:val="273"/>
        </w:trPr>
        <w:tc>
          <w:tcPr>
            <w:tcW w:w="6632" w:type="dxa"/>
            <w:gridSpan w:val="2"/>
            <w:tcBorders>
              <w:top w:val="single" w:sz="6" w:space="0" w:color="73777A"/>
              <w:left w:val="nil"/>
              <w:bottom w:val="single" w:sz="6" w:space="0" w:color="73777A"/>
              <w:right w:val="nil"/>
            </w:tcBorders>
            <w:tcMar>
              <w:right w:w="57" w:type="dxa"/>
            </w:tcMar>
          </w:tcPr>
          <w:p w14:paraId="32B1AD66" w14:textId="77777777" w:rsidR="00FA4226" w:rsidRPr="001C21B0" w:rsidRDefault="00FA4226" w:rsidP="0043303B">
            <w:pPr>
              <w:pStyle w:val="TableParagraph"/>
              <w:jc w:val="left"/>
              <w:rPr>
                <w:rFonts w:cs="Calibri"/>
                <w:color w:val="000000" w:themeColor="text1"/>
                <w:sz w:val="16"/>
              </w:rPr>
            </w:pPr>
          </w:p>
        </w:tc>
        <w:tc>
          <w:tcPr>
            <w:tcW w:w="1502" w:type="dxa"/>
            <w:tcBorders>
              <w:top w:val="single" w:sz="6" w:space="0" w:color="73777A"/>
              <w:left w:val="nil"/>
              <w:bottom w:val="single" w:sz="6" w:space="0" w:color="73777A"/>
              <w:right w:val="single" w:sz="8" w:space="0" w:color="FFFFFF"/>
            </w:tcBorders>
            <w:shd w:val="clear" w:color="auto" w:fill="FFF0E7"/>
            <w:tcMar>
              <w:right w:w="57" w:type="dxa"/>
            </w:tcMar>
          </w:tcPr>
          <w:p w14:paraId="6555E018" w14:textId="77777777" w:rsidR="00FA4226" w:rsidRPr="001C21B0" w:rsidRDefault="00FA4226" w:rsidP="0043303B">
            <w:pPr>
              <w:pStyle w:val="TableParagraph"/>
              <w:jc w:val="left"/>
              <w:rPr>
                <w:rFonts w:cs="Calibri"/>
                <w:color w:val="000000" w:themeColor="text1"/>
                <w:sz w:val="16"/>
              </w:rPr>
            </w:pPr>
          </w:p>
        </w:tc>
        <w:tc>
          <w:tcPr>
            <w:tcW w:w="1502" w:type="dxa"/>
            <w:tcBorders>
              <w:top w:val="single" w:sz="6" w:space="0" w:color="73777A"/>
              <w:left w:val="single" w:sz="8" w:space="0" w:color="FFFFFF"/>
              <w:bottom w:val="single" w:sz="6" w:space="0" w:color="73777A"/>
              <w:right w:val="nil"/>
            </w:tcBorders>
            <w:shd w:val="clear" w:color="auto" w:fill="EDEFF0"/>
            <w:tcMar>
              <w:right w:w="57" w:type="dxa"/>
            </w:tcMar>
          </w:tcPr>
          <w:p w14:paraId="2A82E1D8" w14:textId="77777777" w:rsidR="00FA4226" w:rsidRPr="001C21B0" w:rsidRDefault="00FA4226" w:rsidP="0043303B">
            <w:pPr>
              <w:pStyle w:val="TableParagraph"/>
              <w:jc w:val="left"/>
              <w:rPr>
                <w:rFonts w:cs="Calibri"/>
                <w:color w:val="000000" w:themeColor="text1"/>
                <w:sz w:val="16"/>
              </w:rPr>
            </w:pPr>
          </w:p>
        </w:tc>
      </w:tr>
      <w:tr w:rsidR="001C21B0" w:rsidRPr="001C21B0" w14:paraId="570FA232" w14:textId="77777777" w:rsidTr="007D79BC">
        <w:trPr>
          <w:trHeight w:val="258"/>
        </w:trPr>
        <w:tc>
          <w:tcPr>
            <w:tcW w:w="6632" w:type="dxa"/>
            <w:gridSpan w:val="2"/>
            <w:tcBorders>
              <w:top w:val="single" w:sz="6" w:space="0" w:color="73777A"/>
              <w:left w:val="nil"/>
              <w:bottom w:val="double" w:sz="6" w:space="0" w:color="73777A"/>
              <w:right w:val="nil"/>
            </w:tcBorders>
            <w:tcMar>
              <w:right w:w="57" w:type="dxa"/>
            </w:tcMar>
          </w:tcPr>
          <w:p w14:paraId="0FCCD3DA" w14:textId="77777777" w:rsidR="00FA4226" w:rsidRPr="001C21B0" w:rsidRDefault="00000000" w:rsidP="0043303B">
            <w:pPr>
              <w:pStyle w:val="TableParagraph"/>
              <w:jc w:val="left"/>
              <w:rPr>
                <w:rFonts w:cs="Calibri"/>
                <w:color w:val="000000" w:themeColor="text1"/>
                <w:sz w:val="10"/>
              </w:rPr>
            </w:pPr>
            <w:r w:rsidRPr="001C21B0">
              <w:rPr>
                <w:rFonts w:cs="Calibri"/>
                <w:color w:val="000000" w:themeColor="text1"/>
                <w:sz w:val="18"/>
              </w:rPr>
              <w:t>Net</w:t>
            </w:r>
            <w:r w:rsidRPr="001C21B0">
              <w:rPr>
                <w:rFonts w:cs="Calibri"/>
                <w:color w:val="000000" w:themeColor="text1"/>
                <w:spacing w:val="7"/>
                <w:sz w:val="18"/>
              </w:rPr>
              <w:t xml:space="preserve"> </w:t>
            </w:r>
            <w:r w:rsidRPr="001C21B0">
              <w:rPr>
                <w:rFonts w:cs="Calibri"/>
                <w:color w:val="000000" w:themeColor="text1"/>
                <w:sz w:val="18"/>
              </w:rPr>
              <w:t>assets</w:t>
            </w:r>
            <w:r w:rsidRPr="001C21B0">
              <w:rPr>
                <w:rFonts w:cs="Calibri"/>
                <w:color w:val="000000" w:themeColor="text1"/>
                <w:spacing w:val="7"/>
                <w:sz w:val="18"/>
              </w:rPr>
              <w:t xml:space="preserve"> </w:t>
            </w:r>
            <w:r w:rsidRPr="001C21B0">
              <w:rPr>
                <w:rFonts w:cs="Calibri"/>
                <w:color w:val="000000" w:themeColor="text1"/>
                <w:spacing w:val="-5"/>
                <w:position w:val="6"/>
                <w:sz w:val="10"/>
              </w:rPr>
              <w:t>(i)</w:t>
            </w:r>
          </w:p>
        </w:tc>
        <w:tc>
          <w:tcPr>
            <w:tcW w:w="1502" w:type="dxa"/>
            <w:tcBorders>
              <w:top w:val="single" w:sz="6" w:space="0" w:color="73777A"/>
              <w:left w:val="nil"/>
              <w:bottom w:val="double" w:sz="4" w:space="0" w:color="73777A"/>
              <w:right w:val="single" w:sz="8" w:space="0" w:color="FFFFFF"/>
            </w:tcBorders>
            <w:shd w:val="clear" w:color="auto" w:fill="FFF0E7"/>
            <w:tcMar>
              <w:right w:w="57" w:type="dxa"/>
            </w:tcMar>
          </w:tcPr>
          <w:p w14:paraId="3FE7F9D5" w14:textId="77777777" w:rsidR="00FA4226" w:rsidRPr="001C21B0" w:rsidRDefault="00000000" w:rsidP="0043303B">
            <w:pPr>
              <w:pStyle w:val="TableParagraph"/>
              <w:rPr>
                <w:rFonts w:cs="Calibri"/>
                <w:color w:val="000000" w:themeColor="text1"/>
                <w:sz w:val="18"/>
              </w:rPr>
            </w:pPr>
            <w:r w:rsidRPr="001C21B0">
              <w:rPr>
                <w:rFonts w:cs="Calibri"/>
                <w:color w:val="000000" w:themeColor="text1"/>
                <w:spacing w:val="-2"/>
                <w:sz w:val="18"/>
              </w:rPr>
              <w:t>969,911</w:t>
            </w:r>
          </w:p>
        </w:tc>
        <w:tc>
          <w:tcPr>
            <w:tcW w:w="1502" w:type="dxa"/>
            <w:tcBorders>
              <w:top w:val="single" w:sz="6" w:space="0" w:color="73777A"/>
              <w:left w:val="single" w:sz="8" w:space="0" w:color="FFFFFF"/>
              <w:bottom w:val="double" w:sz="4" w:space="0" w:color="73777A"/>
              <w:right w:val="nil"/>
            </w:tcBorders>
            <w:shd w:val="clear" w:color="auto" w:fill="EDEFF0"/>
            <w:tcMar>
              <w:right w:w="57" w:type="dxa"/>
            </w:tcMar>
          </w:tcPr>
          <w:p w14:paraId="41683D97" w14:textId="77777777" w:rsidR="00FA4226" w:rsidRPr="001C21B0" w:rsidRDefault="00000000" w:rsidP="0043303B">
            <w:pPr>
              <w:pStyle w:val="TableParagraph"/>
              <w:rPr>
                <w:rFonts w:cs="Calibri"/>
                <w:color w:val="000000" w:themeColor="text1"/>
                <w:sz w:val="18"/>
              </w:rPr>
            </w:pPr>
            <w:r w:rsidRPr="001C21B0">
              <w:rPr>
                <w:rFonts w:cs="Calibri"/>
                <w:color w:val="000000" w:themeColor="text1"/>
                <w:spacing w:val="-2"/>
                <w:sz w:val="18"/>
              </w:rPr>
              <w:t>1,031,675</w:t>
            </w:r>
          </w:p>
        </w:tc>
      </w:tr>
      <w:tr w:rsidR="001C21B0" w:rsidRPr="001C21B0" w14:paraId="400BFEAA" w14:textId="77777777" w:rsidTr="007D79BC">
        <w:trPr>
          <w:trHeight w:val="552"/>
        </w:trPr>
        <w:tc>
          <w:tcPr>
            <w:tcW w:w="6632" w:type="dxa"/>
            <w:gridSpan w:val="2"/>
            <w:tcBorders>
              <w:top w:val="double" w:sz="6" w:space="0" w:color="73777A"/>
              <w:left w:val="nil"/>
              <w:bottom w:val="single" w:sz="2" w:space="0" w:color="73777A"/>
              <w:right w:val="nil"/>
            </w:tcBorders>
            <w:tcMar>
              <w:right w:w="57" w:type="dxa"/>
            </w:tcMar>
          </w:tcPr>
          <w:p w14:paraId="0DCE37ED" w14:textId="77777777" w:rsidR="00FA4226" w:rsidRPr="001C21B0" w:rsidRDefault="00FA4226" w:rsidP="0043303B">
            <w:pPr>
              <w:pStyle w:val="TableParagraph"/>
              <w:spacing w:before="6"/>
              <w:jc w:val="left"/>
              <w:rPr>
                <w:rFonts w:cs="Calibri"/>
                <w:color w:val="000000" w:themeColor="text1"/>
                <w:sz w:val="19"/>
              </w:rPr>
            </w:pPr>
          </w:p>
          <w:p w14:paraId="3B4437D2" w14:textId="77777777" w:rsidR="00FA4226" w:rsidRPr="001C21B0" w:rsidRDefault="00000000" w:rsidP="0043303B">
            <w:pPr>
              <w:pStyle w:val="TableParagraph"/>
              <w:jc w:val="left"/>
              <w:rPr>
                <w:rFonts w:cs="Calibri"/>
                <w:color w:val="000000" w:themeColor="text1"/>
                <w:sz w:val="18"/>
              </w:rPr>
            </w:pPr>
            <w:r w:rsidRPr="001C21B0">
              <w:rPr>
                <w:rFonts w:cs="Calibri"/>
                <w:color w:val="000000" w:themeColor="text1"/>
                <w:spacing w:val="-2"/>
                <w:sz w:val="18"/>
              </w:rPr>
              <w:t>Equity</w:t>
            </w:r>
          </w:p>
        </w:tc>
        <w:tc>
          <w:tcPr>
            <w:tcW w:w="1502" w:type="dxa"/>
            <w:tcBorders>
              <w:top w:val="double" w:sz="4" w:space="0" w:color="73777A"/>
              <w:left w:val="nil"/>
              <w:bottom w:val="single" w:sz="2" w:space="0" w:color="73777A"/>
              <w:right w:val="single" w:sz="8" w:space="0" w:color="FFFFFF"/>
            </w:tcBorders>
            <w:shd w:val="clear" w:color="auto" w:fill="FFF0E7"/>
            <w:tcMar>
              <w:right w:w="57" w:type="dxa"/>
            </w:tcMar>
          </w:tcPr>
          <w:p w14:paraId="431E3A06" w14:textId="77777777" w:rsidR="00FA4226" w:rsidRPr="001C21B0" w:rsidRDefault="00FA4226" w:rsidP="0043303B">
            <w:pPr>
              <w:pStyle w:val="TableParagraph"/>
              <w:jc w:val="left"/>
              <w:rPr>
                <w:rFonts w:cs="Calibri"/>
                <w:color w:val="000000" w:themeColor="text1"/>
                <w:sz w:val="16"/>
              </w:rPr>
            </w:pPr>
          </w:p>
        </w:tc>
        <w:tc>
          <w:tcPr>
            <w:tcW w:w="1502" w:type="dxa"/>
            <w:tcBorders>
              <w:top w:val="double" w:sz="4" w:space="0" w:color="73777A"/>
              <w:left w:val="single" w:sz="8" w:space="0" w:color="FFFFFF"/>
              <w:bottom w:val="single" w:sz="2" w:space="0" w:color="73777A"/>
              <w:right w:val="nil"/>
            </w:tcBorders>
            <w:shd w:val="clear" w:color="auto" w:fill="EDEFF0"/>
            <w:tcMar>
              <w:right w:w="57" w:type="dxa"/>
            </w:tcMar>
          </w:tcPr>
          <w:p w14:paraId="79A4BDA3" w14:textId="77777777" w:rsidR="00FA4226" w:rsidRPr="001C21B0" w:rsidRDefault="00FA4226" w:rsidP="0043303B">
            <w:pPr>
              <w:pStyle w:val="TableParagraph"/>
              <w:jc w:val="left"/>
              <w:rPr>
                <w:rFonts w:cs="Calibri"/>
                <w:color w:val="000000" w:themeColor="text1"/>
                <w:sz w:val="16"/>
              </w:rPr>
            </w:pPr>
          </w:p>
        </w:tc>
      </w:tr>
      <w:tr w:rsidR="001C21B0" w:rsidRPr="001C21B0" w14:paraId="1CECF916" w14:textId="77777777" w:rsidTr="00CC5247">
        <w:trPr>
          <w:trHeight w:val="283"/>
        </w:trPr>
        <w:tc>
          <w:tcPr>
            <w:tcW w:w="6632" w:type="dxa"/>
            <w:gridSpan w:val="2"/>
            <w:tcBorders>
              <w:top w:val="single" w:sz="2" w:space="0" w:color="73777A"/>
              <w:left w:val="nil"/>
              <w:bottom w:val="single" w:sz="2" w:space="0" w:color="73777A"/>
              <w:right w:val="nil"/>
            </w:tcBorders>
            <w:tcMar>
              <w:right w:w="57" w:type="dxa"/>
            </w:tcMar>
          </w:tcPr>
          <w:p w14:paraId="2735A18B" w14:textId="77777777" w:rsidR="00FA4226" w:rsidRPr="001C21B0" w:rsidRDefault="00000000" w:rsidP="0043303B">
            <w:pPr>
              <w:pStyle w:val="TableParagraph"/>
              <w:jc w:val="left"/>
              <w:rPr>
                <w:rFonts w:cs="Calibri"/>
                <w:color w:val="000000" w:themeColor="text1"/>
                <w:sz w:val="10"/>
              </w:rPr>
            </w:pPr>
            <w:r w:rsidRPr="001C21B0">
              <w:rPr>
                <w:rFonts w:cs="Calibri"/>
                <w:color w:val="000000" w:themeColor="text1"/>
                <w:sz w:val="18"/>
              </w:rPr>
              <w:t>Accumulated</w:t>
            </w:r>
            <w:r w:rsidRPr="001C21B0">
              <w:rPr>
                <w:rFonts w:cs="Calibri"/>
                <w:color w:val="000000" w:themeColor="text1"/>
                <w:spacing w:val="4"/>
                <w:sz w:val="18"/>
              </w:rPr>
              <w:t xml:space="preserve"> </w:t>
            </w:r>
            <w:r w:rsidRPr="001C21B0">
              <w:rPr>
                <w:rFonts w:cs="Calibri"/>
                <w:color w:val="000000" w:themeColor="text1"/>
                <w:sz w:val="18"/>
              </w:rPr>
              <w:t>surplus</w:t>
            </w:r>
            <w:r w:rsidRPr="001C21B0">
              <w:rPr>
                <w:rFonts w:cs="Calibri"/>
                <w:color w:val="000000" w:themeColor="text1"/>
                <w:spacing w:val="7"/>
                <w:sz w:val="18"/>
              </w:rPr>
              <w:t xml:space="preserve"> </w:t>
            </w:r>
            <w:r w:rsidRPr="001C21B0">
              <w:rPr>
                <w:rFonts w:cs="Calibri"/>
                <w:color w:val="000000" w:themeColor="text1"/>
                <w:spacing w:val="-5"/>
                <w:position w:val="6"/>
                <w:sz w:val="10"/>
              </w:rPr>
              <w:t>(i)</w:t>
            </w:r>
          </w:p>
        </w:tc>
        <w:tc>
          <w:tcPr>
            <w:tcW w:w="1502" w:type="dxa"/>
            <w:tcBorders>
              <w:top w:val="single" w:sz="2" w:space="0" w:color="73777A"/>
              <w:left w:val="nil"/>
              <w:bottom w:val="single" w:sz="2" w:space="0" w:color="73777A"/>
              <w:right w:val="single" w:sz="8" w:space="0" w:color="FFFFFF"/>
            </w:tcBorders>
            <w:shd w:val="clear" w:color="auto" w:fill="FFF0E7"/>
            <w:tcMar>
              <w:right w:w="57" w:type="dxa"/>
            </w:tcMar>
          </w:tcPr>
          <w:p w14:paraId="4F83068B" w14:textId="77777777" w:rsidR="00FA4226" w:rsidRPr="001C21B0" w:rsidRDefault="00000000" w:rsidP="0043303B">
            <w:pPr>
              <w:pStyle w:val="TableParagraph"/>
              <w:rPr>
                <w:rFonts w:cs="Calibri"/>
                <w:color w:val="000000" w:themeColor="text1"/>
                <w:sz w:val="18"/>
              </w:rPr>
            </w:pPr>
            <w:r w:rsidRPr="001C21B0">
              <w:rPr>
                <w:rFonts w:cs="Calibri"/>
                <w:color w:val="000000" w:themeColor="text1"/>
                <w:spacing w:val="-2"/>
                <w:sz w:val="18"/>
              </w:rPr>
              <w:t>969,911</w:t>
            </w:r>
          </w:p>
        </w:tc>
        <w:tc>
          <w:tcPr>
            <w:tcW w:w="1502" w:type="dxa"/>
            <w:tcBorders>
              <w:top w:val="single" w:sz="2" w:space="0" w:color="73777A"/>
              <w:left w:val="single" w:sz="8" w:space="0" w:color="FFFFFF"/>
              <w:bottom w:val="single" w:sz="2" w:space="0" w:color="73777A"/>
              <w:right w:val="nil"/>
            </w:tcBorders>
            <w:shd w:val="clear" w:color="auto" w:fill="EDEFF0"/>
            <w:tcMar>
              <w:right w:w="57" w:type="dxa"/>
            </w:tcMar>
          </w:tcPr>
          <w:p w14:paraId="709EF369" w14:textId="77777777" w:rsidR="00FA4226" w:rsidRPr="001C21B0" w:rsidRDefault="00000000" w:rsidP="0043303B">
            <w:pPr>
              <w:pStyle w:val="TableParagraph"/>
              <w:rPr>
                <w:rFonts w:cs="Calibri"/>
                <w:color w:val="000000" w:themeColor="text1"/>
                <w:sz w:val="18"/>
              </w:rPr>
            </w:pPr>
            <w:r w:rsidRPr="001C21B0">
              <w:rPr>
                <w:rFonts w:cs="Calibri"/>
                <w:color w:val="000000" w:themeColor="text1"/>
                <w:spacing w:val="-2"/>
                <w:sz w:val="18"/>
              </w:rPr>
              <w:t>1,031,675</w:t>
            </w:r>
          </w:p>
        </w:tc>
      </w:tr>
      <w:tr w:rsidR="001C21B0" w:rsidRPr="001C21B0" w14:paraId="7DB997CD" w14:textId="77777777" w:rsidTr="007D79BC">
        <w:trPr>
          <w:trHeight w:val="278"/>
        </w:trPr>
        <w:tc>
          <w:tcPr>
            <w:tcW w:w="6632" w:type="dxa"/>
            <w:gridSpan w:val="2"/>
            <w:tcBorders>
              <w:top w:val="single" w:sz="2" w:space="0" w:color="73777A"/>
              <w:left w:val="nil"/>
              <w:bottom w:val="single" w:sz="6" w:space="0" w:color="73777A"/>
              <w:right w:val="nil"/>
            </w:tcBorders>
            <w:tcMar>
              <w:right w:w="57" w:type="dxa"/>
            </w:tcMar>
          </w:tcPr>
          <w:p w14:paraId="4A1C70B9" w14:textId="77777777" w:rsidR="00FA4226" w:rsidRPr="001C21B0" w:rsidRDefault="00FA4226" w:rsidP="0043303B">
            <w:pPr>
              <w:pStyle w:val="TableParagraph"/>
              <w:jc w:val="left"/>
              <w:rPr>
                <w:rFonts w:cs="Calibri"/>
                <w:color w:val="000000" w:themeColor="text1"/>
                <w:sz w:val="16"/>
              </w:rPr>
            </w:pPr>
          </w:p>
        </w:tc>
        <w:tc>
          <w:tcPr>
            <w:tcW w:w="1502" w:type="dxa"/>
            <w:tcBorders>
              <w:top w:val="single" w:sz="2" w:space="0" w:color="73777A"/>
              <w:left w:val="nil"/>
              <w:bottom w:val="single" w:sz="6" w:space="0" w:color="73777A"/>
              <w:right w:val="single" w:sz="8" w:space="0" w:color="FFFFFF"/>
            </w:tcBorders>
            <w:shd w:val="clear" w:color="auto" w:fill="FFF0E7"/>
            <w:tcMar>
              <w:right w:w="57" w:type="dxa"/>
            </w:tcMar>
          </w:tcPr>
          <w:p w14:paraId="401D37BB" w14:textId="77777777" w:rsidR="00FA4226" w:rsidRPr="001C21B0" w:rsidRDefault="00FA4226" w:rsidP="0043303B">
            <w:pPr>
              <w:pStyle w:val="TableParagraph"/>
              <w:jc w:val="left"/>
              <w:rPr>
                <w:rFonts w:cs="Calibri"/>
                <w:color w:val="000000" w:themeColor="text1"/>
                <w:sz w:val="16"/>
              </w:rPr>
            </w:pPr>
          </w:p>
        </w:tc>
        <w:tc>
          <w:tcPr>
            <w:tcW w:w="1502" w:type="dxa"/>
            <w:tcBorders>
              <w:top w:val="single" w:sz="2" w:space="0" w:color="73777A"/>
              <w:left w:val="single" w:sz="8" w:space="0" w:color="FFFFFF"/>
              <w:bottom w:val="single" w:sz="6" w:space="0" w:color="73777A"/>
              <w:right w:val="nil"/>
            </w:tcBorders>
            <w:shd w:val="clear" w:color="auto" w:fill="EDEFF0"/>
            <w:tcMar>
              <w:right w:w="57" w:type="dxa"/>
            </w:tcMar>
          </w:tcPr>
          <w:p w14:paraId="3BEFE88F" w14:textId="77777777" w:rsidR="00FA4226" w:rsidRPr="001C21B0" w:rsidRDefault="00FA4226" w:rsidP="0043303B">
            <w:pPr>
              <w:pStyle w:val="TableParagraph"/>
              <w:jc w:val="left"/>
              <w:rPr>
                <w:rFonts w:cs="Calibri"/>
                <w:color w:val="000000" w:themeColor="text1"/>
                <w:sz w:val="16"/>
              </w:rPr>
            </w:pPr>
          </w:p>
        </w:tc>
      </w:tr>
      <w:tr w:rsidR="001C21B0" w:rsidRPr="001C21B0" w14:paraId="6F6D66FC" w14:textId="77777777" w:rsidTr="007D79BC">
        <w:trPr>
          <w:trHeight w:val="258"/>
        </w:trPr>
        <w:tc>
          <w:tcPr>
            <w:tcW w:w="6632" w:type="dxa"/>
            <w:gridSpan w:val="2"/>
            <w:tcBorders>
              <w:top w:val="single" w:sz="6" w:space="0" w:color="73777A"/>
              <w:left w:val="nil"/>
              <w:bottom w:val="double" w:sz="6" w:space="0" w:color="73777A"/>
              <w:right w:val="nil"/>
            </w:tcBorders>
            <w:tcMar>
              <w:right w:w="57" w:type="dxa"/>
            </w:tcMar>
          </w:tcPr>
          <w:p w14:paraId="54019C37" w14:textId="77777777" w:rsidR="00FA4226" w:rsidRPr="001C21B0" w:rsidRDefault="00000000" w:rsidP="0043303B">
            <w:pPr>
              <w:pStyle w:val="TableParagraph"/>
              <w:jc w:val="left"/>
              <w:rPr>
                <w:rFonts w:cs="Calibri"/>
                <w:color w:val="000000" w:themeColor="text1"/>
                <w:sz w:val="10"/>
              </w:rPr>
            </w:pPr>
            <w:r w:rsidRPr="001C21B0">
              <w:rPr>
                <w:rFonts w:cs="Calibri"/>
                <w:color w:val="000000" w:themeColor="text1"/>
                <w:sz w:val="18"/>
              </w:rPr>
              <w:t>Net</w:t>
            </w:r>
            <w:r w:rsidRPr="001C21B0">
              <w:rPr>
                <w:rFonts w:cs="Calibri"/>
                <w:color w:val="000000" w:themeColor="text1"/>
                <w:spacing w:val="4"/>
                <w:sz w:val="18"/>
              </w:rPr>
              <w:t xml:space="preserve"> </w:t>
            </w:r>
            <w:r w:rsidRPr="001C21B0">
              <w:rPr>
                <w:rFonts w:cs="Calibri"/>
                <w:color w:val="000000" w:themeColor="text1"/>
                <w:sz w:val="18"/>
              </w:rPr>
              <w:t>worth</w:t>
            </w:r>
            <w:r w:rsidRPr="001C21B0">
              <w:rPr>
                <w:rFonts w:cs="Calibri"/>
                <w:color w:val="000000" w:themeColor="text1"/>
                <w:spacing w:val="7"/>
                <w:sz w:val="18"/>
              </w:rPr>
              <w:t xml:space="preserve"> </w:t>
            </w:r>
            <w:r w:rsidRPr="001C21B0">
              <w:rPr>
                <w:rFonts w:cs="Calibri"/>
                <w:color w:val="000000" w:themeColor="text1"/>
                <w:spacing w:val="-5"/>
                <w:position w:val="6"/>
                <w:sz w:val="10"/>
              </w:rPr>
              <w:t>(i)</w:t>
            </w:r>
          </w:p>
        </w:tc>
        <w:tc>
          <w:tcPr>
            <w:tcW w:w="1502" w:type="dxa"/>
            <w:tcBorders>
              <w:top w:val="single" w:sz="6" w:space="0" w:color="73777A"/>
              <w:left w:val="nil"/>
              <w:bottom w:val="double" w:sz="4" w:space="0" w:color="73777A"/>
              <w:right w:val="single" w:sz="8" w:space="0" w:color="FFFFFF"/>
            </w:tcBorders>
            <w:shd w:val="clear" w:color="auto" w:fill="FFF0E7"/>
            <w:tcMar>
              <w:right w:w="57" w:type="dxa"/>
            </w:tcMar>
          </w:tcPr>
          <w:p w14:paraId="5CD2D6DA" w14:textId="77777777" w:rsidR="00FA4226" w:rsidRPr="001C21B0" w:rsidRDefault="00000000" w:rsidP="0043303B">
            <w:pPr>
              <w:pStyle w:val="TableParagraph"/>
              <w:rPr>
                <w:rFonts w:cs="Calibri"/>
                <w:color w:val="000000" w:themeColor="text1"/>
                <w:sz w:val="18"/>
              </w:rPr>
            </w:pPr>
            <w:r w:rsidRPr="001C21B0">
              <w:rPr>
                <w:rFonts w:cs="Calibri"/>
                <w:color w:val="000000" w:themeColor="text1"/>
                <w:spacing w:val="-2"/>
                <w:sz w:val="18"/>
              </w:rPr>
              <w:t>969,911</w:t>
            </w:r>
          </w:p>
        </w:tc>
        <w:tc>
          <w:tcPr>
            <w:tcW w:w="1502" w:type="dxa"/>
            <w:tcBorders>
              <w:top w:val="single" w:sz="6" w:space="0" w:color="73777A"/>
              <w:left w:val="single" w:sz="8" w:space="0" w:color="FFFFFF"/>
              <w:bottom w:val="double" w:sz="4" w:space="0" w:color="73777A"/>
              <w:right w:val="nil"/>
            </w:tcBorders>
            <w:shd w:val="clear" w:color="auto" w:fill="EDEFF0"/>
            <w:tcMar>
              <w:right w:w="57" w:type="dxa"/>
            </w:tcMar>
          </w:tcPr>
          <w:p w14:paraId="1F89401D" w14:textId="77777777" w:rsidR="00FA4226" w:rsidRPr="001C21B0" w:rsidRDefault="00000000" w:rsidP="0043303B">
            <w:pPr>
              <w:pStyle w:val="TableParagraph"/>
              <w:rPr>
                <w:rFonts w:cs="Calibri"/>
                <w:color w:val="000000" w:themeColor="text1"/>
                <w:sz w:val="18"/>
              </w:rPr>
            </w:pPr>
            <w:r w:rsidRPr="001C21B0">
              <w:rPr>
                <w:rFonts w:cs="Calibri"/>
                <w:color w:val="000000" w:themeColor="text1"/>
                <w:spacing w:val="-2"/>
                <w:sz w:val="18"/>
              </w:rPr>
              <w:t>1,031,675</w:t>
            </w:r>
          </w:p>
        </w:tc>
      </w:tr>
    </w:tbl>
    <w:p w14:paraId="5314B234" w14:textId="77777777" w:rsidR="00FA4226" w:rsidRPr="001C21B0" w:rsidRDefault="00FA4226" w:rsidP="0043303B">
      <w:pPr>
        <w:pStyle w:val="BodyText"/>
        <w:spacing w:before="12"/>
        <w:rPr>
          <w:rFonts w:cs="Calibri"/>
          <w:sz w:val="23"/>
        </w:rPr>
      </w:pPr>
    </w:p>
    <w:p w14:paraId="5C055ADE" w14:textId="77777777" w:rsidR="00FA4226" w:rsidRPr="001C21B0" w:rsidRDefault="00000000" w:rsidP="0043303B">
      <w:pPr>
        <w:pStyle w:val="ListParagraph"/>
        <w:numPr>
          <w:ilvl w:val="0"/>
          <w:numId w:val="2"/>
        </w:numPr>
        <w:spacing w:before="0"/>
        <w:ind w:left="0" w:firstLine="0"/>
        <w:rPr>
          <w:rFonts w:cs="Calibri"/>
          <w:i/>
          <w:sz w:val="16"/>
        </w:rPr>
      </w:pPr>
      <w:r w:rsidRPr="001C21B0">
        <w:rPr>
          <w:rFonts w:cs="Calibri"/>
          <w:i/>
          <w:sz w:val="16"/>
        </w:rPr>
        <w:t>The</w:t>
      </w:r>
      <w:r w:rsidRPr="001C21B0">
        <w:rPr>
          <w:rFonts w:cs="Calibri"/>
          <w:i/>
          <w:spacing w:val="-3"/>
          <w:sz w:val="16"/>
        </w:rPr>
        <w:t xml:space="preserve"> </w:t>
      </w:r>
      <w:r w:rsidRPr="001C21B0">
        <w:rPr>
          <w:rFonts w:cs="Calibri"/>
          <w:i/>
          <w:sz w:val="16"/>
        </w:rPr>
        <w:t>2021-22</w:t>
      </w:r>
      <w:r w:rsidRPr="001C21B0">
        <w:rPr>
          <w:rFonts w:cs="Calibri"/>
          <w:i/>
          <w:spacing w:val="-1"/>
          <w:sz w:val="16"/>
        </w:rPr>
        <w:t xml:space="preserve"> </w:t>
      </w:r>
      <w:r w:rsidRPr="001C21B0">
        <w:rPr>
          <w:rFonts w:cs="Calibri"/>
          <w:i/>
          <w:sz w:val="16"/>
        </w:rPr>
        <w:t>comparative</w:t>
      </w:r>
      <w:r w:rsidRPr="001C21B0">
        <w:rPr>
          <w:rFonts w:cs="Calibri"/>
          <w:i/>
          <w:spacing w:val="-1"/>
          <w:sz w:val="16"/>
        </w:rPr>
        <w:t xml:space="preserve"> </w:t>
      </w:r>
      <w:r w:rsidRPr="001C21B0">
        <w:rPr>
          <w:rFonts w:cs="Calibri"/>
          <w:i/>
          <w:sz w:val="16"/>
        </w:rPr>
        <w:t>figures</w:t>
      </w:r>
      <w:r w:rsidRPr="001C21B0">
        <w:rPr>
          <w:rFonts w:cs="Calibri"/>
          <w:i/>
          <w:spacing w:val="-1"/>
          <w:sz w:val="16"/>
        </w:rPr>
        <w:t xml:space="preserve"> </w:t>
      </w:r>
      <w:r w:rsidRPr="001C21B0">
        <w:rPr>
          <w:rFonts w:cs="Calibri"/>
          <w:i/>
          <w:sz w:val="16"/>
        </w:rPr>
        <w:t>have been</w:t>
      </w:r>
      <w:r w:rsidRPr="001C21B0">
        <w:rPr>
          <w:rFonts w:cs="Calibri"/>
          <w:i/>
          <w:spacing w:val="-1"/>
          <w:sz w:val="16"/>
        </w:rPr>
        <w:t xml:space="preserve"> </w:t>
      </w:r>
      <w:r w:rsidRPr="001C21B0">
        <w:rPr>
          <w:rFonts w:cs="Calibri"/>
          <w:i/>
          <w:sz w:val="16"/>
        </w:rPr>
        <w:t>adjusted</w:t>
      </w:r>
      <w:r w:rsidRPr="001C21B0">
        <w:rPr>
          <w:rFonts w:cs="Calibri"/>
          <w:i/>
          <w:spacing w:val="-1"/>
          <w:sz w:val="16"/>
        </w:rPr>
        <w:t xml:space="preserve"> </w:t>
      </w:r>
      <w:r w:rsidRPr="001C21B0">
        <w:rPr>
          <w:rFonts w:cs="Calibri"/>
          <w:i/>
          <w:sz w:val="16"/>
        </w:rPr>
        <w:t>to</w:t>
      </w:r>
      <w:r w:rsidRPr="001C21B0">
        <w:rPr>
          <w:rFonts w:cs="Calibri"/>
          <w:i/>
          <w:spacing w:val="-1"/>
          <w:sz w:val="16"/>
        </w:rPr>
        <w:t xml:space="preserve"> </w:t>
      </w:r>
      <w:r w:rsidRPr="001C21B0">
        <w:rPr>
          <w:rFonts w:cs="Calibri"/>
          <w:i/>
          <w:sz w:val="16"/>
        </w:rPr>
        <w:t>correct</w:t>
      </w:r>
      <w:r w:rsidRPr="001C21B0">
        <w:rPr>
          <w:rFonts w:cs="Calibri"/>
          <w:i/>
          <w:spacing w:val="-1"/>
          <w:sz w:val="16"/>
        </w:rPr>
        <w:t xml:space="preserve"> </w:t>
      </w:r>
      <w:r w:rsidRPr="001C21B0">
        <w:rPr>
          <w:rFonts w:cs="Calibri"/>
          <w:i/>
          <w:sz w:val="16"/>
        </w:rPr>
        <w:t>a prior</w:t>
      </w:r>
      <w:r w:rsidRPr="001C21B0">
        <w:rPr>
          <w:rFonts w:cs="Calibri"/>
          <w:i/>
          <w:spacing w:val="-1"/>
          <w:sz w:val="16"/>
        </w:rPr>
        <w:t xml:space="preserve"> </w:t>
      </w:r>
      <w:r w:rsidRPr="001C21B0">
        <w:rPr>
          <w:rFonts w:cs="Calibri"/>
          <w:i/>
          <w:sz w:val="16"/>
        </w:rPr>
        <w:t>period</w:t>
      </w:r>
      <w:r w:rsidRPr="001C21B0">
        <w:rPr>
          <w:rFonts w:cs="Calibri"/>
          <w:i/>
          <w:spacing w:val="-1"/>
          <w:sz w:val="16"/>
        </w:rPr>
        <w:t xml:space="preserve"> </w:t>
      </w:r>
      <w:r w:rsidRPr="001C21B0">
        <w:rPr>
          <w:rFonts w:cs="Calibri"/>
          <w:i/>
          <w:sz w:val="16"/>
        </w:rPr>
        <w:t>error.</w:t>
      </w:r>
      <w:r w:rsidRPr="001C21B0">
        <w:rPr>
          <w:rFonts w:cs="Calibri"/>
          <w:i/>
          <w:spacing w:val="-1"/>
          <w:sz w:val="16"/>
        </w:rPr>
        <w:t xml:space="preserve"> </w:t>
      </w:r>
      <w:r w:rsidRPr="001C21B0">
        <w:rPr>
          <w:rFonts w:cs="Calibri"/>
          <w:i/>
          <w:sz w:val="16"/>
        </w:rPr>
        <w:t>Refer</w:t>
      </w:r>
      <w:r w:rsidRPr="001C21B0">
        <w:rPr>
          <w:rFonts w:cs="Calibri"/>
          <w:i/>
          <w:spacing w:val="-1"/>
          <w:sz w:val="16"/>
        </w:rPr>
        <w:t xml:space="preserve"> </w:t>
      </w:r>
      <w:r w:rsidRPr="001C21B0">
        <w:rPr>
          <w:rFonts w:cs="Calibri"/>
          <w:i/>
          <w:sz w:val="16"/>
        </w:rPr>
        <w:t>to note</w:t>
      </w:r>
      <w:r w:rsidRPr="001C21B0">
        <w:rPr>
          <w:rFonts w:cs="Calibri"/>
          <w:i/>
          <w:spacing w:val="-1"/>
          <w:sz w:val="16"/>
        </w:rPr>
        <w:t xml:space="preserve"> </w:t>
      </w:r>
      <w:r w:rsidRPr="001C21B0">
        <w:rPr>
          <w:rFonts w:cs="Calibri"/>
          <w:i/>
          <w:sz w:val="16"/>
        </w:rPr>
        <w:t>8.5</w:t>
      </w:r>
      <w:r w:rsidRPr="001C21B0">
        <w:rPr>
          <w:rFonts w:cs="Calibri"/>
          <w:i/>
          <w:spacing w:val="-1"/>
          <w:sz w:val="16"/>
        </w:rPr>
        <w:t xml:space="preserve"> </w:t>
      </w:r>
      <w:r w:rsidRPr="001C21B0">
        <w:rPr>
          <w:rFonts w:cs="Calibri"/>
          <w:i/>
          <w:sz w:val="16"/>
        </w:rPr>
        <w:t>for</w:t>
      </w:r>
      <w:r w:rsidRPr="001C21B0">
        <w:rPr>
          <w:rFonts w:cs="Calibri"/>
          <w:i/>
          <w:spacing w:val="-1"/>
          <w:sz w:val="16"/>
        </w:rPr>
        <w:t xml:space="preserve"> </w:t>
      </w:r>
      <w:r w:rsidRPr="001C21B0">
        <w:rPr>
          <w:rFonts w:cs="Calibri"/>
          <w:i/>
          <w:sz w:val="16"/>
        </w:rPr>
        <w:t xml:space="preserve">more </w:t>
      </w:r>
      <w:r w:rsidRPr="001C21B0">
        <w:rPr>
          <w:rFonts w:cs="Calibri"/>
          <w:i/>
          <w:spacing w:val="-2"/>
          <w:sz w:val="16"/>
        </w:rPr>
        <w:t>information.</w:t>
      </w:r>
    </w:p>
    <w:p w14:paraId="547BD8A7" w14:textId="77777777" w:rsidR="00FA4226" w:rsidRPr="001C21B0" w:rsidRDefault="00000000" w:rsidP="0043303B">
      <w:pPr>
        <w:pStyle w:val="BodyText"/>
        <w:spacing w:before="116"/>
        <w:rPr>
          <w:rFonts w:cs="Calibri"/>
        </w:rPr>
      </w:pPr>
      <w:r w:rsidRPr="001C21B0">
        <w:rPr>
          <w:rFonts w:cs="Calibri"/>
        </w:rPr>
        <w:t>The</w:t>
      </w:r>
      <w:r w:rsidRPr="001C21B0">
        <w:rPr>
          <w:rFonts w:cs="Calibri"/>
          <w:spacing w:val="-1"/>
        </w:rPr>
        <w:t xml:space="preserve"> </w:t>
      </w:r>
      <w:r w:rsidRPr="001C21B0">
        <w:rPr>
          <w:rFonts w:cs="Calibri"/>
        </w:rPr>
        <w:t>above balance sheet</w:t>
      </w:r>
      <w:r w:rsidRPr="001C21B0">
        <w:rPr>
          <w:rFonts w:cs="Calibri"/>
          <w:spacing w:val="-1"/>
        </w:rPr>
        <w:t xml:space="preserve"> </w:t>
      </w:r>
      <w:r w:rsidRPr="001C21B0">
        <w:rPr>
          <w:rFonts w:cs="Calibri"/>
        </w:rPr>
        <w:t>should be read</w:t>
      </w:r>
      <w:r w:rsidRPr="001C21B0">
        <w:rPr>
          <w:rFonts w:cs="Calibri"/>
          <w:spacing w:val="-1"/>
        </w:rPr>
        <w:t xml:space="preserve"> </w:t>
      </w:r>
      <w:r w:rsidRPr="001C21B0">
        <w:rPr>
          <w:rFonts w:cs="Calibri"/>
        </w:rPr>
        <w:t>in conjunction with</w:t>
      </w:r>
      <w:r w:rsidRPr="001C21B0">
        <w:rPr>
          <w:rFonts w:cs="Calibri"/>
          <w:spacing w:val="-1"/>
        </w:rPr>
        <w:t xml:space="preserve"> </w:t>
      </w:r>
      <w:r w:rsidRPr="001C21B0">
        <w:rPr>
          <w:rFonts w:cs="Calibri"/>
        </w:rPr>
        <w:t xml:space="preserve">the accompanying </w:t>
      </w:r>
      <w:r w:rsidRPr="001C21B0">
        <w:rPr>
          <w:rFonts w:cs="Calibri"/>
          <w:spacing w:val="-2"/>
        </w:rPr>
        <w:t>notes.</w:t>
      </w:r>
    </w:p>
    <w:p w14:paraId="4C6A1F07" w14:textId="77777777" w:rsidR="00FA4226" w:rsidRPr="001C21B0" w:rsidRDefault="00FA4226" w:rsidP="0043303B">
      <w:pPr>
        <w:pStyle w:val="BodyText"/>
        <w:spacing w:before="9"/>
        <w:rPr>
          <w:rFonts w:cs="Calibri"/>
        </w:rPr>
      </w:pPr>
    </w:p>
    <w:p w14:paraId="61B0B7B5" w14:textId="77777777" w:rsidR="000A101E" w:rsidRPr="001C21B0" w:rsidRDefault="000A101E" w:rsidP="0043303B">
      <w:pPr>
        <w:rPr>
          <w:rFonts w:cs="Calibri"/>
          <w:color w:val="000000" w:themeColor="text1"/>
          <w:sz w:val="32"/>
          <w:szCs w:val="32"/>
        </w:rPr>
      </w:pPr>
      <w:bookmarkStart w:id="124" w:name="_bookmark69"/>
      <w:bookmarkEnd w:id="124"/>
      <w:r w:rsidRPr="001C21B0">
        <w:rPr>
          <w:rFonts w:cs="Calibri"/>
          <w:color w:val="000000" w:themeColor="text1"/>
        </w:rPr>
        <w:br w:type="page"/>
      </w:r>
    </w:p>
    <w:p w14:paraId="1E353D04" w14:textId="01136FB2" w:rsidR="00FA4226" w:rsidRPr="001C21B0" w:rsidRDefault="00000000" w:rsidP="0043303B">
      <w:pPr>
        <w:pStyle w:val="Heading3"/>
        <w:spacing w:before="36"/>
        <w:rPr>
          <w:rFonts w:cs="Calibri"/>
          <w:color w:val="000000" w:themeColor="text1"/>
        </w:rPr>
      </w:pPr>
      <w:r w:rsidRPr="001C21B0">
        <w:rPr>
          <w:rFonts w:cs="Calibri"/>
          <w:color w:val="000000" w:themeColor="text1"/>
        </w:rPr>
        <w:t xml:space="preserve">Cash flow </w:t>
      </w:r>
      <w:r w:rsidRPr="001C21B0">
        <w:rPr>
          <w:rFonts w:cs="Calibri"/>
          <w:color w:val="000000" w:themeColor="text1"/>
          <w:spacing w:val="-2"/>
        </w:rPr>
        <w:t>statement</w:t>
      </w:r>
    </w:p>
    <w:p w14:paraId="7B728463" w14:textId="77777777" w:rsidR="00FA4226" w:rsidRPr="001C21B0" w:rsidRDefault="00000000" w:rsidP="0043303B">
      <w:pPr>
        <w:pStyle w:val="Heading7"/>
        <w:spacing w:before="181"/>
        <w:rPr>
          <w:rFonts w:cs="Calibri"/>
          <w:color w:val="000000" w:themeColor="text1"/>
        </w:rPr>
      </w:pPr>
      <w:r w:rsidRPr="001C21B0">
        <w:rPr>
          <w:rFonts w:cs="Calibri"/>
          <w:color w:val="000000" w:themeColor="text1"/>
        </w:rPr>
        <w:t xml:space="preserve">For the financial year ended 30 June </w:t>
      </w:r>
      <w:r w:rsidRPr="001C21B0">
        <w:rPr>
          <w:rFonts w:cs="Calibri"/>
          <w:color w:val="000000" w:themeColor="text1"/>
          <w:spacing w:val="-4"/>
        </w:rPr>
        <w:t>2023</w:t>
      </w:r>
    </w:p>
    <w:p w14:paraId="734DC42C" w14:textId="77777777" w:rsidR="00FA4226" w:rsidRPr="001C21B0" w:rsidRDefault="00FA4226" w:rsidP="0043303B">
      <w:pPr>
        <w:pStyle w:val="BodyText"/>
        <w:spacing w:before="5"/>
        <w:rPr>
          <w:rFonts w:cs="Calibri"/>
          <w:sz w:val="10"/>
        </w:rPr>
      </w:pPr>
    </w:p>
    <w:tbl>
      <w:tblPr>
        <w:tblW w:w="9617" w:type="dxa"/>
        <w:tblBorders>
          <w:top w:val="single" w:sz="4" w:space="0" w:color="C48F1B"/>
          <w:left w:val="single" w:sz="4" w:space="0" w:color="C48F1B"/>
          <w:bottom w:val="single" w:sz="4" w:space="0" w:color="C48F1B"/>
          <w:right w:val="single" w:sz="4" w:space="0" w:color="C48F1B"/>
          <w:insideH w:val="single" w:sz="4" w:space="0" w:color="C48F1B"/>
          <w:insideV w:val="single" w:sz="4" w:space="0" w:color="C48F1B"/>
        </w:tblBorders>
        <w:tblLayout w:type="fixed"/>
        <w:tblCellMar>
          <w:left w:w="0" w:type="dxa"/>
          <w:right w:w="0" w:type="dxa"/>
        </w:tblCellMar>
        <w:tblLook w:val="01E0" w:firstRow="1" w:lastRow="1" w:firstColumn="1" w:lastColumn="1" w:noHBand="0" w:noVBand="0"/>
      </w:tblPr>
      <w:tblGrid>
        <w:gridCol w:w="6633"/>
        <w:gridCol w:w="1492"/>
        <w:gridCol w:w="1492"/>
      </w:tblGrid>
      <w:tr w:rsidR="001C21B0" w:rsidRPr="001C21B0" w14:paraId="563AFD94" w14:textId="77777777" w:rsidTr="00BD4ABD">
        <w:trPr>
          <w:trHeight w:val="573"/>
        </w:trPr>
        <w:tc>
          <w:tcPr>
            <w:tcW w:w="6633" w:type="dxa"/>
            <w:tcBorders>
              <w:top w:val="nil"/>
              <w:left w:val="nil"/>
              <w:right w:val="nil"/>
            </w:tcBorders>
            <w:tcMar>
              <w:right w:w="57" w:type="dxa"/>
            </w:tcMar>
          </w:tcPr>
          <w:p w14:paraId="096BAFB8" w14:textId="77777777" w:rsidR="00FA4226" w:rsidRPr="001C21B0" w:rsidRDefault="00FA4226" w:rsidP="0043303B">
            <w:pPr>
              <w:pStyle w:val="TableParagraph"/>
              <w:jc w:val="left"/>
              <w:rPr>
                <w:rFonts w:cs="Calibri"/>
                <w:color w:val="000000" w:themeColor="text1"/>
              </w:rPr>
            </w:pPr>
          </w:p>
          <w:p w14:paraId="0340D055" w14:textId="77777777" w:rsidR="00FA4226" w:rsidRPr="001C21B0" w:rsidRDefault="00000000" w:rsidP="0043303B">
            <w:pPr>
              <w:pStyle w:val="TableParagraph"/>
              <w:spacing w:before="1"/>
              <w:rPr>
                <w:rFonts w:cs="Calibri"/>
                <w:color w:val="000000" w:themeColor="text1"/>
                <w:sz w:val="17"/>
              </w:rPr>
            </w:pPr>
            <w:r w:rsidRPr="001C21B0">
              <w:rPr>
                <w:rFonts w:cs="Calibri"/>
                <w:color w:val="000000" w:themeColor="text1"/>
                <w:spacing w:val="-2"/>
                <w:sz w:val="17"/>
              </w:rPr>
              <w:t>Notes</w:t>
            </w:r>
          </w:p>
        </w:tc>
        <w:tc>
          <w:tcPr>
            <w:tcW w:w="1492" w:type="dxa"/>
            <w:tcBorders>
              <w:top w:val="nil"/>
              <w:left w:val="nil"/>
              <w:right w:val="single" w:sz="8" w:space="0" w:color="FFFFFF"/>
            </w:tcBorders>
            <w:shd w:val="clear" w:color="auto" w:fill="FFF0E7"/>
            <w:tcMar>
              <w:right w:w="57" w:type="dxa"/>
            </w:tcMar>
          </w:tcPr>
          <w:p w14:paraId="6884FFFA" w14:textId="77777777" w:rsidR="00FA4226" w:rsidRPr="001C21B0" w:rsidRDefault="00000000" w:rsidP="0043303B">
            <w:pPr>
              <w:pStyle w:val="TableParagraph"/>
              <w:spacing w:before="68"/>
              <w:rPr>
                <w:rFonts w:cs="Calibri"/>
                <w:color w:val="000000" w:themeColor="text1"/>
                <w:sz w:val="17"/>
              </w:rPr>
            </w:pPr>
            <w:r w:rsidRPr="001C21B0">
              <w:rPr>
                <w:rFonts w:cs="Calibri"/>
                <w:color w:val="000000" w:themeColor="text1"/>
                <w:spacing w:val="-4"/>
                <w:sz w:val="17"/>
              </w:rPr>
              <w:t>2023</w:t>
            </w:r>
          </w:p>
          <w:p w14:paraId="515D1561" w14:textId="77777777" w:rsidR="00FA4226" w:rsidRPr="001C21B0" w:rsidRDefault="00000000" w:rsidP="0043303B">
            <w:pPr>
              <w:pStyle w:val="TableParagraph"/>
              <w:spacing w:before="1"/>
              <w:rPr>
                <w:rFonts w:cs="Calibri"/>
                <w:color w:val="000000" w:themeColor="text1"/>
                <w:sz w:val="17"/>
              </w:rPr>
            </w:pPr>
            <w:r w:rsidRPr="001C21B0">
              <w:rPr>
                <w:rFonts w:cs="Calibri"/>
                <w:color w:val="000000" w:themeColor="text1"/>
                <w:sz w:val="17"/>
              </w:rPr>
              <w:t>$</w:t>
            </w:r>
          </w:p>
        </w:tc>
        <w:tc>
          <w:tcPr>
            <w:tcW w:w="1492" w:type="dxa"/>
            <w:tcBorders>
              <w:top w:val="nil"/>
              <w:left w:val="single" w:sz="8" w:space="0" w:color="FFFFFF"/>
              <w:right w:val="nil"/>
            </w:tcBorders>
            <w:shd w:val="clear" w:color="auto" w:fill="EDEFF0"/>
            <w:tcMar>
              <w:right w:w="57" w:type="dxa"/>
            </w:tcMar>
          </w:tcPr>
          <w:p w14:paraId="7B0A08DF" w14:textId="77777777" w:rsidR="00FA4226" w:rsidRPr="001C21B0" w:rsidRDefault="00000000" w:rsidP="0043303B">
            <w:pPr>
              <w:pStyle w:val="TableParagraph"/>
              <w:spacing w:before="68"/>
              <w:rPr>
                <w:rFonts w:cs="Calibri"/>
                <w:color w:val="000000" w:themeColor="text1"/>
                <w:sz w:val="17"/>
              </w:rPr>
            </w:pPr>
            <w:r w:rsidRPr="001C21B0">
              <w:rPr>
                <w:rFonts w:cs="Calibri"/>
                <w:color w:val="000000" w:themeColor="text1"/>
                <w:spacing w:val="-4"/>
                <w:sz w:val="17"/>
              </w:rPr>
              <w:t>2022</w:t>
            </w:r>
          </w:p>
          <w:p w14:paraId="4B033CA9" w14:textId="77777777" w:rsidR="00FA4226" w:rsidRPr="001C21B0" w:rsidRDefault="00000000" w:rsidP="0043303B">
            <w:pPr>
              <w:pStyle w:val="TableParagraph"/>
              <w:spacing w:before="1"/>
              <w:rPr>
                <w:rFonts w:cs="Calibri"/>
                <w:color w:val="000000" w:themeColor="text1"/>
                <w:sz w:val="17"/>
              </w:rPr>
            </w:pPr>
            <w:r w:rsidRPr="001C21B0">
              <w:rPr>
                <w:rFonts w:cs="Calibri"/>
                <w:color w:val="000000" w:themeColor="text1"/>
                <w:sz w:val="17"/>
              </w:rPr>
              <w:t>$</w:t>
            </w:r>
          </w:p>
        </w:tc>
      </w:tr>
      <w:tr w:rsidR="001C21B0" w:rsidRPr="001C21B0" w14:paraId="0AEFEA21" w14:textId="77777777" w:rsidTr="00BD4ABD">
        <w:trPr>
          <w:trHeight w:val="569"/>
        </w:trPr>
        <w:tc>
          <w:tcPr>
            <w:tcW w:w="6633" w:type="dxa"/>
            <w:tcBorders>
              <w:left w:val="nil"/>
              <w:bottom w:val="single" w:sz="2" w:space="0" w:color="73777A"/>
              <w:right w:val="nil"/>
            </w:tcBorders>
            <w:tcMar>
              <w:right w:w="57" w:type="dxa"/>
            </w:tcMar>
          </w:tcPr>
          <w:p w14:paraId="301EFCF8" w14:textId="77777777" w:rsidR="00FA4226" w:rsidRPr="001C21B0" w:rsidRDefault="00FA4226" w:rsidP="0043303B">
            <w:pPr>
              <w:pStyle w:val="TableParagraph"/>
              <w:spacing w:before="10"/>
              <w:jc w:val="left"/>
              <w:rPr>
                <w:rFonts w:cs="Calibri"/>
                <w:color w:val="000000" w:themeColor="text1"/>
                <w:sz w:val="20"/>
              </w:rPr>
            </w:pPr>
          </w:p>
          <w:p w14:paraId="2FDB86A5" w14:textId="77777777" w:rsidR="00FA4226" w:rsidRPr="001C21B0" w:rsidRDefault="00000000" w:rsidP="0043303B">
            <w:pPr>
              <w:pStyle w:val="TableParagraph"/>
              <w:jc w:val="left"/>
              <w:rPr>
                <w:rFonts w:cs="Calibri"/>
                <w:color w:val="000000" w:themeColor="text1"/>
                <w:sz w:val="18"/>
              </w:rPr>
            </w:pPr>
            <w:r w:rsidRPr="001C21B0">
              <w:rPr>
                <w:rFonts w:cs="Calibri"/>
                <w:color w:val="000000" w:themeColor="text1"/>
                <w:sz w:val="18"/>
              </w:rPr>
              <w:t>Cash</w:t>
            </w:r>
            <w:r w:rsidRPr="001C21B0">
              <w:rPr>
                <w:rFonts w:cs="Calibri"/>
                <w:color w:val="000000" w:themeColor="text1"/>
                <w:spacing w:val="5"/>
                <w:sz w:val="18"/>
              </w:rPr>
              <w:t xml:space="preserve"> </w:t>
            </w:r>
            <w:r w:rsidRPr="001C21B0">
              <w:rPr>
                <w:rFonts w:cs="Calibri"/>
                <w:color w:val="000000" w:themeColor="text1"/>
                <w:sz w:val="18"/>
              </w:rPr>
              <w:t>flows</w:t>
            </w:r>
            <w:r w:rsidRPr="001C21B0">
              <w:rPr>
                <w:rFonts w:cs="Calibri"/>
                <w:color w:val="000000" w:themeColor="text1"/>
                <w:spacing w:val="7"/>
                <w:sz w:val="18"/>
              </w:rPr>
              <w:t xml:space="preserve"> </w:t>
            </w:r>
            <w:r w:rsidRPr="001C21B0">
              <w:rPr>
                <w:rFonts w:cs="Calibri"/>
                <w:color w:val="000000" w:themeColor="text1"/>
                <w:sz w:val="18"/>
              </w:rPr>
              <w:t>from</w:t>
            </w:r>
            <w:r w:rsidRPr="001C21B0">
              <w:rPr>
                <w:rFonts w:cs="Calibri"/>
                <w:color w:val="000000" w:themeColor="text1"/>
                <w:spacing w:val="7"/>
                <w:sz w:val="18"/>
              </w:rPr>
              <w:t xml:space="preserve"> </w:t>
            </w:r>
            <w:r w:rsidRPr="001C21B0">
              <w:rPr>
                <w:rFonts w:cs="Calibri"/>
                <w:color w:val="000000" w:themeColor="text1"/>
                <w:sz w:val="18"/>
              </w:rPr>
              <w:t>operating</w:t>
            </w:r>
            <w:r w:rsidRPr="001C21B0">
              <w:rPr>
                <w:rFonts w:cs="Calibri"/>
                <w:color w:val="000000" w:themeColor="text1"/>
                <w:spacing w:val="7"/>
                <w:sz w:val="18"/>
              </w:rPr>
              <w:t xml:space="preserve"> </w:t>
            </w:r>
            <w:r w:rsidRPr="001C21B0">
              <w:rPr>
                <w:rFonts w:cs="Calibri"/>
                <w:color w:val="000000" w:themeColor="text1"/>
                <w:spacing w:val="-2"/>
                <w:sz w:val="18"/>
              </w:rPr>
              <w:t>activities</w:t>
            </w:r>
          </w:p>
        </w:tc>
        <w:tc>
          <w:tcPr>
            <w:tcW w:w="1492" w:type="dxa"/>
            <w:tcBorders>
              <w:left w:val="nil"/>
              <w:bottom w:val="single" w:sz="2" w:space="0" w:color="73777A"/>
              <w:right w:val="single" w:sz="8" w:space="0" w:color="FFFFFF"/>
            </w:tcBorders>
            <w:shd w:val="clear" w:color="auto" w:fill="FFF0E7"/>
            <w:tcMar>
              <w:right w:w="57" w:type="dxa"/>
            </w:tcMar>
          </w:tcPr>
          <w:p w14:paraId="13C92589" w14:textId="77777777" w:rsidR="00FA4226" w:rsidRPr="001C21B0" w:rsidRDefault="00FA4226" w:rsidP="0043303B">
            <w:pPr>
              <w:pStyle w:val="TableParagraph"/>
              <w:jc w:val="left"/>
              <w:rPr>
                <w:rFonts w:cs="Calibri"/>
                <w:color w:val="000000" w:themeColor="text1"/>
                <w:sz w:val="16"/>
              </w:rPr>
            </w:pPr>
          </w:p>
        </w:tc>
        <w:tc>
          <w:tcPr>
            <w:tcW w:w="1492" w:type="dxa"/>
            <w:tcBorders>
              <w:left w:val="single" w:sz="8" w:space="0" w:color="FFFFFF"/>
              <w:bottom w:val="single" w:sz="2" w:space="0" w:color="73777A"/>
              <w:right w:val="nil"/>
            </w:tcBorders>
            <w:shd w:val="clear" w:color="auto" w:fill="EDEFF0"/>
            <w:tcMar>
              <w:right w:w="57" w:type="dxa"/>
            </w:tcMar>
          </w:tcPr>
          <w:p w14:paraId="26B1B816" w14:textId="77777777" w:rsidR="00FA4226" w:rsidRPr="001C21B0" w:rsidRDefault="00FA4226" w:rsidP="0043303B">
            <w:pPr>
              <w:pStyle w:val="TableParagraph"/>
              <w:jc w:val="left"/>
              <w:rPr>
                <w:rFonts w:cs="Calibri"/>
                <w:color w:val="000000" w:themeColor="text1"/>
                <w:sz w:val="16"/>
              </w:rPr>
            </w:pPr>
          </w:p>
        </w:tc>
      </w:tr>
      <w:tr w:rsidR="001C21B0" w:rsidRPr="001C21B0" w14:paraId="6B45FA8B" w14:textId="77777777" w:rsidTr="00BD4ABD">
        <w:trPr>
          <w:trHeight w:val="283"/>
        </w:trPr>
        <w:tc>
          <w:tcPr>
            <w:tcW w:w="6633" w:type="dxa"/>
            <w:tcBorders>
              <w:top w:val="single" w:sz="2" w:space="0" w:color="73777A"/>
              <w:left w:val="nil"/>
              <w:bottom w:val="single" w:sz="2" w:space="0" w:color="73777A"/>
              <w:right w:val="nil"/>
            </w:tcBorders>
            <w:tcMar>
              <w:right w:w="57" w:type="dxa"/>
            </w:tcMar>
          </w:tcPr>
          <w:p w14:paraId="30F5A811" w14:textId="77777777" w:rsidR="00FA4226" w:rsidRPr="001C21B0" w:rsidRDefault="00000000" w:rsidP="0043303B">
            <w:pPr>
              <w:pStyle w:val="TableParagraph"/>
              <w:jc w:val="left"/>
              <w:rPr>
                <w:rFonts w:cs="Calibri"/>
                <w:color w:val="000000" w:themeColor="text1"/>
                <w:sz w:val="18"/>
              </w:rPr>
            </w:pPr>
            <w:r w:rsidRPr="001C21B0">
              <w:rPr>
                <w:rFonts w:cs="Calibri"/>
                <w:color w:val="000000" w:themeColor="text1"/>
                <w:spacing w:val="-2"/>
                <w:sz w:val="18"/>
              </w:rPr>
              <w:t>Receipts</w:t>
            </w:r>
          </w:p>
        </w:tc>
        <w:tc>
          <w:tcPr>
            <w:tcW w:w="1492" w:type="dxa"/>
            <w:tcBorders>
              <w:top w:val="single" w:sz="2" w:space="0" w:color="73777A"/>
              <w:left w:val="nil"/>
              <w:bottom w:val="single" w:sz="2" w:space="0" w:color="73777A"/>
              <w:right w:val="single" w:sz="8" w:space="0" w:color="FFFFFF"/>
            </w:tcBorders>
            <w:shd w:val="clear" w:color="auto" w:fill="FFF0E7"/>
            <w:tcMar>
              <w:right w:w="57" w:type="dxa"/>
            </w:tcMar>
          </w:tcPr>
          <w:p w14:paraId="5B3D50DE" w14:textId="77777777" w:rsidR="00FA4226" w:rsidRPr="001C21B0" w:rsidRDefault="00FA4226" w:rsidP="0043303B">
            <w:pPr>
              <w:pStyle w:val="TableParagraph"/>
              <w:jc w:val="left"/>
              <w:rPr>
                <w:rFonts w:cs="Calibri"/>
                <w:color w:val="000000" w:themeColor="text1"/>
                <w:sz w:val="16"/>
              </w:rPr>
            </w:pPr>
          </w:p>
        </w:tc>
        <w:tc>
          <w:tcPr>
            <w:tcW w:w="1492" w:type="dxa"/>
            <w:tcBorders>
              <w:top w:val="single" w:sz="2" w:space="0" w:color="73777A"/>
              <w:left w:val="single" w:sz="8" w:space="0" w:color="FFFFFF"/>
              <w:bottom w:val="single" w:sz="2" w:space="0" w:color="73777A"/>
              <w:right w:val="nil"/>
            </w:tcBorders>
            <w:shd w:val="clear" w:color="auto" w:fill="EDEFF0"/>
            <w:tcMar>
              <w:right w:w="57" w:type="dxa"/>
            </w:tcMar>
          </w:tcPr>
          <w:p w14:paraId="5A54336E" w14:textId="77777777" w:rsidR="00FA4226" w:rsidRPr="001C21B0" w:rsidRDefault="00FA4226" w:rsidP="0043303B">
            <w:pPr>
              <w:pStyle w:val="TableParagraph"/>
              <w:jc w:val="left"/>
              <w:rPr>
                <w:rFonts w:cs="Calibri"/>
                <w:color w:val="000000" w:themeColor="text1"/>
                <w:sz w:val="16"/>
              </w:rPr>
            </w:pPr>
          </w:p>
        </w:tc>
      </w:tr>
      <w:tr w:rsidR="001C21B0" w:rsidRPr="001C21B0" w14:paraId="3E0B5450" w14:textId="77777777" w:rsidTr="00BD4ABD">
        <w:trPr>
          <w:trHeight w:val="283"/>
        </w:trPr>
        <w:tc>
          <w:tcPr>
            <w:tcW w:w="6633" w:type="dxa"/>
            <w:tcBorders>
              <w:top w:val="single" w:sz="2" w:space="0" w:color="73777A"/>
              <w:left w:val="nil"/>
              <w:bottom w:val="single" w:sz="2" w:space="0" w:color="73777A"/>
              <w:right w:val="nil"/>
            </w:tcBorders>
            <w:tcMar>
              <w:right w:w="57" w:type="dxa"/>
            </w:tcMar>
          </w:tcPr>
          <w:p w14:paraId="76A9A2CD" w14:textId="77777777" w:rsidR="00FA4226" w:rsidRPr="001C21B0" w:rsidRDefault="00000000" w:rsidP="0043303B">
            <w:pPr>
              <w:pStyle w:val="TableParagraph"/>
              <w:jc w:val="left"/>
              <w:rPr>
                <w:rFonts w:cs="Calibri"/>
                <w:color w:val="000000" w:themeColor="text1"/>
                <w:sz w:val="18"/>
              </w:rPr>
            </w:pPr>
            <w:r w:rsidRPr="001C21B0">
              <w:rPr>
                <w:rFonts w:cs="Calibri"/>
                <w:color w:val="000000" w:themeColor="text1"/>
                <w:sz w:val="18"/>
              </w:rPr>
              <w:t>Receipts</w:t>
            </w:r>
            <w:r w:rsidRPr="001C21B0">
              <w:rPr>
                <w:rFonts w:cs="Calibri"/>
                <w:color w:val="000000" w:themeColor="text1"/>
                <w:spacing w:val="4"/>
                <w:sz w:val="18"/>
              </w:rPr>
              <w:t xml:space="preserve"> </w:t>
            </w:r>
            <w:r w:rsidRPr="001C21B0">
              <w:rPr>
                <w:rFonts w:cs="Calibri"/>
                <w:color w:val="000000" w:themeColor="text1"/>
                <w:sz w:val="18"/>
              </w:rPr>
              <w:t>from</w:t>
            </w:r>
            <w:r w:rsidRPr="001C21B0">
              <w:rPr>
                <w:rFonts w:cs="Calibri"/>
                <w:color w:val="000000" w:themeColor="text1"/>
                <w:spacing w:val="5"/>
                <w:sz w:val="18"/>
              </w:rPr>
              <w:t xml:space="preserve"> </w:t>
            </w:r>
            <w:r w:rsidRPr="001C21B0">
              <w:rPr>
                <w:rFonts w:cs="Calibri"/>
                <w:color w:val="000000" w:themeColor="text1"/>
                <w:spacing w:val="-2"/>
                <w:sz w:val="18"/>
              </w:rPr>
              <w:t>government</w:t>
            </w:r>
          </w:p>
        </w:tc>
        <w:tc>
          <w:tcPr>
            <w:tcW w:w="1492" w:type="dxa"/>
            <w:tcBorders>
              <w:top w:val="single" w:sz="2" w:space="0" w:color="73777A"/>
              <w:left w:val="nil"/>
              <w:bottom w:val="single" w:sz="2" w:space="0" w:color="73777A"/>
              <w:right w:val="single" w:sz="8" w:space="0" w:color="FFFFFF"/>
            </w:tcBorders>
            <w:shd w:val="clear" w:color="auto" w:fill="FFF0E7"/>
            <w:tcMar>
              <w:right w:w="57" w:type="dxa"/>
            </w:tcMar>
          </w:tcPr>
          <w:p w14:paraId="64D7797F" w14:textId="77777777" w:rsidR="00FA4226" w:rsidRPr="001C21B0" w:rsidRDefault="00000000" w:rsidP="0043303B">
            <w:pPr>
              <w:pStyle w:val="TableParagraph"/>
              <w:rPr>
                <w:rFonts w:cs="Calibri"/>
                <w:color w:val="000000" w:themeColor="text1"/>
                <w:sz w:val="18"/>
              </w:rPr>
            </w:pPr>
            <w:r w:rsidRPr="001C21B0">
              <w:rPr>
                <w:rFonts w:cs="Calibri"/>
                <w:color w:val="000000" w:themeColor="text1"/>
                <w:spacing w:val="-2"/>
                <w:sz w:val="18"/>
              </w:rPr>
              <w:t>9,877,677</w:t>
            </w:r>
          </w:p>
        </w:tc>
        <w:tc>
          <w:tcPr>
            <w:tcW w:w="1492" w:type="dxa"/>
            <w:tcBorders>
              <w:top w:val="single" w:sz="2" w:space="0" w:color="73777A"/>
              <w:left w:val="single" w:sz="8" w:space="0" w:color="FFFFFF"/>
              <w:bottom w:val="single" w:sz="2" w:space="0" w:color="73777A"/>
              <w:right w:val="nil"/>
            </w:tcBorders>
            <w:shd w:val="clear" w:color="auto" w:fill="EDEFF0"/>
            <w:tcMar>
              <w:right w:w="57" w:type="dxa"/>
            </w:tcMar>
          </w:tcPr>
          <w:p w14:paraId="395CF40C" w14:textId="77777777" w:rsidR="00FA4226" w:rsidRPr="001C21B0" w:rsidRDefault="00000000" w:rsidP="0043303B">
            <w:pPr>
              <w:pStyle w:val="TableParagraph"/>
              <w:rPr>
                <w:rFonts w:cs="Calibri"/>
                <w:color w:val="000000" w:themeColor="text1"/>
                <w:sz w:val="18"/>
              </w:rPr>
            </w:pPr>
            <w:r w:rsidRPr="001C21B0">
              <w:rPr>
                <w:rFonts w:cs="Calibri"/>
                <w:color w:val="000000" w:themeColor="text1"/>
                <w:spacing w:val="-2"/>
                <w:sz w:val="18"/>
              </w:rPr>
              <w:t>8,646,777</w:t>
            </w:r>
          </w:p>
        </w:tc>
      </w:tr>
      <w:tr w:rsidR="001C21B0" w:rsidRPr="001C21B0" w14:paraId="7917FA25" w14:textId="77777777" w:rsidTr="00BD4ABD">
        <w:trPr>
          <w:trHeight w:val="283"/>
        </w:trPr>
        <w:tc>
          <w:tcPr>
            <w:tcW w:w="6633" w:type="dxa"/>
            <w:tcBorders>
              <w:top w:val="single" w:sz="2" w:space="0" w:color="73777A"/>
              <w:left w:val="nil"/>
              <w:bottom w:val="single" w:sz="2" w:space="0" w:color="73777A"/>
              <w:right w:val="nil"/>
            </w:tcBorders>
            <w:tcMar>
              <w:right w:w="57" w:type="dxa"/>
            </w:tcMar>
          </w:tcPr>
          <w:p w14:paraId="53AE66BD" w14:textId="77777777" w:rsidR="00FA4226" w:rsidRPr="001C21B0" w:rsidRDefault="00000000" w:rsidP="0043303B">
            <w:pPr>
              <w:pStyle w:val="TableParagraph"/>
              <w:jc w:val="left"/>
              <w:rPr>
                <w:rFonts w:cs="Calibri"/>
                <w:color w:val="000000" w:themeColor="text1"/>
                <w:sz w:val="18"/>
              </w:rPr>
            </w:pPr>
            <w:r w:rsidRPr="001C21B0">
              <w:rPr>
                <w:rFonts w:cs="Calibri"/>
                <w:color w:val="000000" w:themeColor="text1"/>
                <w:sz w:val="18"/>
              </w:rPr>
              <w:t>Receipts</w:t>
            </w:r>
            <w:r w:rsidRPr="001C21B0">
              <w:rPr>
                <w:rFonts w:cs="Calibri"/>
                <w:color w:val="000000" w:themeColor="text1"/>
                <w:spacing w:val="1"/>
                <w:sz w:val="18"/>
              </w:rPr>
              <w:t xml:space="preserve"> </w:t>
            </w:r>
            <w:r w:rsidRPr="001C21B0">
              <w:rPr>
                <w:rFonts w:cs="Calibri"/>
                <w:color w:val="000000" w:themeColor="text1"/>
                <w:sz w:val="18"/>
              </w:rPr>
              <w:t>from</w:t>
            </w:r>
            <w:r w:rsidRPr="001C21B0">
              <w:rPr>
                <w:rFonts w:cs="Calibri"/>
                <w:color w:val="000000" w:themeColor="text1"/>
                <w:spacing w:val="4"/>
                <w:sz w:val="18"/>
              </w:rPr>
              <w:t xml:space="preserve"> </w:t>
            </w:r>
            <w:r w:rsidRPr="001C21B0">
              <w:rPr>
                <w:rFonts w:cs="Calibri"/>
                <w:color w:val="000000" w:themeColor="text1"/>
                <w:sz w:val="18"/>
              </w:rPr>
              <w:t>other</w:t>
            </w:r>
            <w:r w:rsidRPr="001C21B0">
              <w:rPr>
                <w:rFonts w:cs="Calibri"/>
                <w:color w:val="000000" w:themeColor="text1"/>
                <w:spacing w:val="4"/>
                <w:sz w:val="18"/>
              </w:rPr>
              <w:t xml:space="preserve"> </w:t>
            </w:r>
            <w:r w:rsidRPr="001C21B0">
              <w:rPr>
                <w:rFonts w:cs="Calibri"/>
                <w:color w:val="000000" w:themeColor="text1"/>
                <w:spacing w:val="-2"/>
                <w:sz w:val="18"/>
              </w:rPr>
              <w:t>entities</w:t>
            </w:r>
          </w:p>
        </w:tc>
        <w:tc>
          <w:tcPr>
            <w:tcW w:w="1492" w:type="dxa"/>
            <w:tcBorders>
              <w:top w:val="single" w:sz="2" w:space="0" w:color="73777A"/>
              <w:left w:val="nil"/>
              <w:bottom w:val="single" w:sz="2" w:space="0" w:color="73777A"/>
              <w:right w:val="single" w:sz="8" w:space="0" w:color="FFFFFF"/>
            </w:tcBorders>
            <w:shd w:val="clear" w:color="auto" w:fill="FFF0E7"/>
            <w:tcMar>
              <w:right w:w="57" w:type="dxa"/>
            </w:tcMar>
          </w:tcPr>
          <w:p w14:paraId="64A84D28" w14:textId="77777777" w:rsidR="00FA4226" w:rsidRPr="001C21B0" w:rsidRDefault="00000000" w:rsidP="0043303B">
            <w:pPr>
              <w:pStyle w:val="TableParagraph"/>
              <w:rPr>
                <w:rFonts w:cs="Calibri"/>
                <w:color w:val="000000" w:themeColor="text1"/>
                <w:sz w:val="18"/>
              </w:rPr>
            </w:pPr>
            <w:r w:rsidRPr="001C21B0">
              <w:rPr>
                <w:rFonts w:cs="Calibri"/>
                <w:color w:val="000000" w:themeColor="text1"/>
                <w:spacing w:val="-2"/>
                <w:sz w:val="18"/>
              </w:rPr>
              <w:t>122,520</w:t>
            </w:r>
          </w:p>
        </w:tc>
        <w:tc>
          <w:tcPr>
            <w:tcW w:w="1492" w:type="dxa"/>
            <w:tcBorders>
              <w:top w:val="single" w:sz="2" w:space="0" w:color="73777A"/>
              <w:left w:val="single" w:sz="8" w:space="0" w:color="FFFFFF"/>
              <w:bottom w:val="single" w:sz="2" w:space="0" w:color="73777A"/>
              <w:right w:val="nil"/>
            </w:tcBorders>
            <w:shd w:val="clear" w:color="auto" w:fill="EDEFF0"/>
            <w:tcMar>
              <w:right w:w="57" w:type="dxa"/>
            </w:tcMar>
          </w:tcPr>
          <w:p w14:paraId="27A4D1F9" w14:textId="77777777" w:rsidR="00FA4226" w:rsidRPr="001C21B0" w:rsidRDefault="00000000" w:rsidP="0043303B">
            <w:pPr>
              <w:pStyle w:val="TableParagraph"/>
              <w:rPr>
                <w:rFonts w:cs="Calibri"/>
                <w:color w:val="000000" w:themeColor="text1"/>
                <w:sz w:val="18"/>
              </w:rPr>
            </w:pPr>
            <w:r w:rsidRPr="001C21B0">
              <w:rPr>
                <w:rFonts w:cs="Calibri"/>
                <w:color w:val="000000" w:themeColor="text1"/>
                <w:sz w:val="18"/>
              </w:rPr>
              <w:t>-</w:t>
            </w:r>
          </w:p>
        </w:tc>
      </w:tr>
      <w:tr w:rsidR="001C21B0" w:rsidRPr="001C21B0" w14:paraId="39BE0F19" w14:textId="77777777" w:rsidTr="00BD4ABD">
        <w:trPr>
          <w:trHeight w:val="278"/>
        </w:trPr>
        <w:tc>
          <w:tcPr>
            <w:tcW w:w="6633" w:type="dxa"/>
            <w:tcBorders>
              <w:top w:val="single" w:sz="2" w:space="0" w:color="73777A"/>
              <w:left w:val="nil"/>
              <w:bottom w:val="single" w:sz="6" w:space="0" w:color="73777A"/>
              <w:right w:val="nil"/>
            </w:tcBorders>
            <w:tcMar>
              <w:right w:w="57" w:type="dxa"/>
            </w:tcMar>
          </w:tcPr>
          <w:p w14:paraId="27E46297" w14:textId="77777777" w:rsidR="00FA4226" w:rsidRPr="001C21B0" w:rsidRDefault="00000000" w:rsidP="0043303B">
            <w:pPr>
              <w:pStyle w:val="TableParagraph"/>
              <w:jc w:val="left"/>
              <w:rPr>
                <w:rFonts w:cs="Calibri"/>
                <w:color w:val="000000" w:themeColor="text1"/>
                <w:sz w:val="18"/>
              </w:rPr>
            </w:pPr>
            <w:r w:rsidRPr="001C21B0">
              <w:rPr>
                <w:rFonts w:cs="Calibri"/>
                <w:color w:val="000000" w:themeColor="text1"/>
                <w:sz w:val="18"/>
              </w:rPr>
              <w:t>Total</w:t>
            </w:r>
            <w:r w:rsidRPr="001C21B0">
              <w:rPr>
                <w:rFonts w:cs="Calibri"/>
                <w:color w:val="000000" w:themeColor="text1"/>
                <w:spacing w:val="-8"/>
                <w:sz w:val="18"/>
              </w:rPr>
              <w:t xml:space="preserve"> </w:t>
            </w:r>
            <w:r w:rsidRPr="001C21B0">
              <w:rPr>
                <w:rFonts w:cs="Calibri"/>
                <w:color w:val="000000" w:themeColor="text1"/>
                <w:spacing w:val="-2"/>
                <w:sz w:val="18"/>
              </w:rPr>
              <w:t>receipts</w:t>
            </w:r>
          </w:p>
        </w:tc>
        <w:tc>
          <w:tcPr>
            <w:tcW w:w="1492" w:type="dxa"/>
            <w:tcBorders>
              <w:top w:val="single" w:sz="2" w:space="0" w:color="73777A"/>
              <w:left w:val="nil"/>
              <w:bottom w:val="single" w:sz="6" w:space="0" w:color="73777A"/>
              <w:right w:val="single" w:sz="8" w:space="0" w:color="FFFFFF"/>
            </w:tcBorders>
            <w:shd w:val="clear" w:color="auto" w:fill="FFF0E7"/>
            <w:tcMar>
              <w:right w:w="57" w:type="dxa"/>
            </w:tcMar>
          </w:tcPr>
          <w:p w14:paraId="7FA70C26" w14:textId="77777777" w:rsidR="00FA4226" w:rsidRPr="001C21B0" w:rsidRDefault="00000000" w:rsidP="0043303B">
            <w:pPr>
              <w:pStyle w:val="TableParagraph"/>
              <w:rPr>
                <w:rFonts w:cs="Calibri"/>
                <w:color w:val="000000" w:themeColor="text1"/>
                <w:sz w:val="18"/>
              </w:rPr>
            </w:pPr>
            <w:r w:rsidRPr="001C21B0">
              <w:rPr>
                <w:rFonts w:cs="Calibri"/>
                <w:color w:val="000000" w:themeColor="text1"/>
                <w:spacing w:val="-2"/>
                <w:sz w:val="18"/>
              </w:rPr>
              <w:t>10,000,197</w:t>
            </w:r>
          </w:p>
        </w:tc>
        <w:tc>
          <w:tcPr>
            <w:tcW w:w="1492" w:type="dxa"/>
            <w:tcBorders>
              <w:top w:val="single" w:sz="2" w:space="0" w:color="73777A"/>
              <w:left w:val="single" w:sz="8" w:space="0" w:color="FFFFFF"/>
              <w:bottom w:val="single" w:sz="6" w:space="0" w:color="73777A"/>
              <w:right w:val="nil"/>
            </w:tcBorders>
            <w:shd w:val="clear" w:color="auto" w:fill="EDEFF0"/>
            <w:tcMar>
              <w:right w:w="57" w:type="dxa"/>
            </w:tcMar>
          </w:tcPr>
          <w:p w14:paraId="468A1114" w14:textId="77777777" w:rsidR="00FA4226" w:rsidRPr="001C21B0" w:rsidRDefault="00000000" w:rsidP="0043303B">
            <w:pPr>
              <w:pStyle w:val="TableParagraph"/>
              <w:rPr>
                <w:rFonts w:cs="Calibri"/>
                <w:color w:val="000000" w:themeColor="text1"/>
                <w:sz w:val="18"/>
              </w:rPr>
            </w:pPr>
            <w:r w:rsidRPr="001C21B0">
              <w:rPr>
                <w:rFonts w:cs="Calibri"/>
                <w:color w:val="000000" w:themeColor="text1"/>
                <w:spacing w:val="-2"/>
                <w:sz w:val="18"/>
              </w:rPr>
              <w:t>8,646,777</w:t>
            </w:r>
          </w:p>
        </w:tc>
      </w:tr>
      <w:tr w:rsidR="001C21B0" w:rsidRPr="001C21B0" w14:paraId="500CCCC6" w14:textId="77777777" w:rsidTr="00BD4ABD">
        <w:trPr>
          <w:trHeight w:val="567"/>
        </w:trPr>
        <w:tc>
          <w:tcPr>
            <w:tcW w:w="6633" w:type="dxa"/>
            <w:tcBorders>
              <w:top w:val="single" w:sz="6" w:space="0" w:color="73777A"/>
              <w:left w:val="nil"/>
              <w:bottom w:val="single" w:sz="2" w:space="0" w:color="73777A"/>
              <w:right w:val="nil"/>
            </w:tcBorders>
            <w:tcMar>
              <w:right w:w="57" w:type="dxa"/>
            </w:tcMar>
          </w:tcPr>
          <w:p w14:paraId="4B55FBF6" w14:textId="77777777" w:rsidR="00FA4226" w:rsidRPr="001C21B0" w:rsidRDefault="00FA4226" w:rsidP="0043303B">
            <w:pPr>
              <w:pStyle w:val="TableParagraph"/>
              <w:spacing w:before="7"/>
              <w:jc w:val="left"/>
              <w:rPr>
                <w:rFonts w:cs="Calibri"/>
                <w:color w:val="000000" w:themeColor="text1"/>
                <w:sz w:val="20"/>
              </w:rPr>
            </w:pPr>
          </w:p>
          <w:p w14:paraId="3CAFE9F4" w14:textId="77777777" w:rsidR="00FA4226" w:rsidRPr="001C21B0" w:rsidRDefault="00000000" w:rsidP="0043303B">
            <w:pPr>
              <w:pStyle w:val="TableParagraph"/>
              <w:jc w:val="left"/>
              <w:rPr>
                <w:rFonts w:cs="Calibri"/>
                <w:color w:val="000000" w:themeColor="text1"/>
                <w:sz w:val="18"/>
              </w:rPr>
            </w:pPr>
            <w:r w:rsidRPr="001C21B0">
              <w:rPr>
                <w:rFonts w:cs="Calibri"/>
                <w:color w:val="000000" w:themeColor="text1"/>
                <w:spacing w:val="-2"/>
                <w:sz w:val="18"/>
              </w:rPr>
              <w:t>Payments</w:t>
            </w:r>
          </w:p>
        </w:tc>
        <w:tc>
          <w:tcPr>
            <w:tcW w:w="1492" w:type="dxa"/>
            <w:tcBorders>
              <w:top w:val="single" w:sz="6" w:space="0" w:color="73777A"/>
              <w:left w:val="nil"/>
              <w:bottom w:val="single" w:sz="2" w:space="0" w:color="73777A"/>
              <w:right w:val="single" w:sz="8" w:space="0" w:color="FFFFFF"/>
            </w:tcBorders>
            <w:shd w:val="clear" w:color="auto" w:fill="FFF0E7"/>
            <w:tcMar>
              <w:right w:w="57" w:type="dxa"/>
            </w:tcMar>
          </w:tcPr>
          <w:p w14:paraId="43AF0A76" w14:textId="77777777" w:rsidR="00FA4226" w:rsidRPr="001C21B0" w:rsidRDefault="00FA4226" w:rsidP="0043303B">
            <w:pPr>
              <w:pStyle w:val="TableParagraph"/>
              <w:jc w:val="left"/>
              <w:rPr>
                <w:rFonts w:cs="Calibri"/>
                <w:color w:val="000000" w:themeColor="text1"/>
                <w:sz w:val="16"/>
              </w:rPr>
            </w:pPr>
          </w:p>
        </w:tc>
        <w:tc>
          <w:tcPr>
            <w:tcW w:w="1492" w:type="dxa"/>
            <w:tcBorders>
              <w:top w:val="single" w:sz="6" w:space="0" w:color="73777A"/>
              <w:left w:val="single" w:sz="8" w:space="0" w:color="FFFFFF"/>
              <w:bottom w:val="single" w:sz="2" w:space="0" w:color="73777A"/>
              <w:right w:val="nil"/>
            </w:tcBorders>
            <w:shd w:val="clear" w:color="auto" w:fill="EDEFF0"/>
            <w:tcMar>
              <w:right w:w="57" w:type="dxa"/>
            </w:tcMar>
          </w:tcPr>
          <w:p w14:paraId="2D311C06" w14:textId="77777777" w:rsidR="00FA4226" w:rsidRPr="001C21B0" w:rsidRDefault="00FA4226" w:rsidP="0043303B">
            <w:pPr>
              <w:pStyle w:val="TableParagraph"/>
              <w:jc w:val="left"/>
              <w:rPr>
                <w:rFonts w:cs="Calibri"/>
                <w:color w:val="000000" w:themeColor="text1"/>
                <w:sz w:val="16"/>
              </w:rPr>
            </w:pPr>
          </w:p>
        </w:tc>
      </w:tr>
      <w:tr w:rsidR="001C21B0" w:rsidRPr="001C21B0" w14:paraId="5CF830E8" w14:textId="77777777" w:rsidTr="00BD4ABD">
        <w:trPr>
          <w:trHeight w:val="283"/>
        </w:trPr>
        <w:tc>
          <w:tcPr>
            <w:tcW w:w="6633" w:type="dxa"/>
            <w:tcBorders>
              <w:top w:val="single" w:sz="2" w:space="0" w:color="73777A"/>
              <w:left w:val="nil"/>
              <w:bottom w:val="single" w:sz="2" w:space="0" w:color="73777A"/>
              <w:right w:val="nil"/>
            </w:tcBorders>
            <w:tcMar>
              <w:right w:w="57" w:type="dxa"/>
            </w:tcMar>
          </w:tcPr>
          <w:p w14:paraId="1618A36C" w14:textId="77777777" w:rsidR="00FA4226" w:rsidRPr="001C21B0" w:rsidRDefault="00000000" w:rsidP="0043303B">
            <w:pPr>
              <w:pStyle w:val="TableParagraph"/>
              <w:jc w:val="left"/>
              <w:rPr>
                <w:rFonts w:cs="Calibri"/>
                <w:color w:val="000000" w:themeColor="text1"/>
                <w:sz w:val="10"/>
              </w:rPr>
            </w:pPr>
            <w:r w:rsidRPr="001C21B0">
              <w:rPr>
                <w:rFonts w:cs="Calibri"/>
                <w:color w:val="000000" w:themeColor="text1"/>
                <w:sz w:val="18"/>
              </w:rPr>
              <w:t>Payments</w:t>
            </w:r>
            <w:r w:rsidRPr="001C21B0">
              <w:rPr>
                <w:rFonts w:cs="Calibri"/>
                <w:color w:val="000000" w:themeColor="text1"/>
                <w:spacing w:val="2"/>
                <w:sz w:val="18"/>
              </w:rPr>
              <w:t xml:space="preserve"> </w:t>
            </w:r>
            <w:r w:rsidRPr="001C21B0">
              <w:rPr>
                <w:rFonts w:cs="Calibri"/>
                <w:color w:val="000000" w:themeColor="text1"/>
                <w:sz w:val="18"/>
              </w:rPr>
              <w:t>to</w:t>
            </w:r>
            <w:r w:rsidRPr="001C21B0">
              <w:rPr>
                <w:rFonts w:cs="Calibri"/>
                <w:color w:val="000000" w:themeColor="text1"/>
                <w:spacing w:val="4"/>
                <w:sz w:val="18"/>
              </w:rPr>
              <w:t xml:space="preserve"> </w:t>
            </w:r>
            <w:r w:rsidRPr="001C21B0">
              <w:rPr>
                <w:rFonts w:cs="Calibri"/>
                <w:color w:val="000000" w:themeColor="text1"/>
                <w:sz w:val="18"/>
              </w:rPr>
              <w:t>suppliers</w:t>
            </w:r>
            <w:r w:rsidRPr="001C21B0">
              <w:rPr>
                <w:rFonts w:cs="Calibri"/>
                <w:color w:val="000000" w:themeColor="text1"/>
                <w:spacing w:val="4"/>
                <w:sz w:val="18"/>
              </w:rPr>
              <w:t xml:space="preserve"> </w:t>
            </w:r>
            <w:r w:rsidRPr="001C21B0">
              <w:rPr>
                <w:rFonts w:cs="Calibri"/>
                <w:color w:val="000000" w:themeColor="text1"/>
                <w:sz w:val="18"/>
              </w:rPr>
              <w:t>and</w:t>
            </w:r>
            <w:r w:rsidRPr="001C21B0">
              <w:rPr>
                <w:rFonts w:cs="Calibri"/>
                <w:color w:val="000000" w:themeColor="text1"/>
                <w:spacing w:val="4"/>
                <w:sz w:val="18"/>
              </w:rPr>
              <w:t xml:space="preserve"> </w:t>
            </w:r>
            <w:r w:rsidRPr="001C21B0">
              <w:rPr>
                <w:rFonts w:cs="Calibri"/>
                <w:color w:val="000000" w:themeColor="text1"/>
                <w:sz w:val="18"/>
              </w:rPr>
              <w:t>employees</w:t>
            </w:r>
            <w:r w:rsidRPr="001C21B0">
              <w:rPr>
                <w:rFonts w:cs="Calibri"/>
                <w:color w:val="000000" w:themeColor="text1"/>
                <w:spacing w:val="5"/>
                <w:sz w:val="18"/>
              </w:rPr>
              <w:t xml:space="preserve"> </w:t>
            </w:r>
            <w:r w:rsidRPr="001C21B0">
              <w:rPr>
                <w:rFonts w:cs="Calibri"/>
                <w:color w:val="000000" w:themeColor="text1"/>
                <w:spacing w:val="-5"/>
                <w:position w:val="6"/>
                <w:sz w:val="10"/>
              </w:rPr>
              <w:t>(i)</w:t>
            </w:r>
          </w:p>
        </w:tc>
        <w:tc>
          <w:tcPr>
            <w:tcW w:w="1492" w:type="dxa"/>
            <w:tcBorders>
              <w:top w:val="single" w:sz="2" w:space="0" w:color="73777A"/>
              <w:left w:val="nil"/>
              <w:bottom w:val="single" w:sz="2" w:space="0" w:color="73777A"/>
              <w:right w:val="single" w:sz="8" w:space="0" w:color="FFFFFF"/>
            </w:tcBorders>
            <w:shd w:val="clear" w:color="auto" w:fill="FFF0E7"/>
            <w:tcMar>
              <w:right w:w="57" w:type="dxa"/>
            </w:tcMar>
          </w:tcPr>
          <w:p w14:paraId="4A421165" w14:textId="77777777" w:rsidR="00FA4226" w:rsidRPr="001C21B0" w:rsidRDefault="00000000" w:rsidP="0043303B">
            <w:pPr>
              <w:pStyle w:val="TableParagraph"/>
              <w:rPr>
                <w:rFonts w:cs="Calibri"/>
                <w:color w:val="000000" w:themeColor="text1"/>
                <w:sz w:val="18"/>
              </w:rPr>
            </w:pPr>
            <w:r w:rsidRPr="001C21B0">
              <w:rPr>
                <w:rFonts w:cs="Calibri"/>
                <w:color w:val="000000" w:themeColor="text1"/>
                <w:spacing w:val="-2"/>
                <w:sz w:val="18"/>
              </w:rPr>
              <w:t>(9,526,400)</w:t>
            </w:r>
          </w:p>
        </w:tc>
        <w:tc>
          <w:tcPr>
            <w:tcW w:w="1492" w:type="dxa"/>
            <w:tcBorders>
              <w:top w:val="single" w:sz="2" w:space="0" w:color="73777A"/>
              <w:left w:val="single" w:sz="8" w:space="0" w:color="FFFFFF"/>
              <w:bottom w:val="single" w:sz="2" w:space="0" w:color="73777A"/>
              <w:right w:val="nil"/>
            </w:tcBorders>
            <w:shd w:val="clear" w:color="auto" w:fill="EDEFF0"/>
            <w:tcMar>
              <w:right w:w="57" w:type="dxa"/>
            </w:tcMar>
          </w:tcPr>
          <w:p w14:paraId="63A21B24" w14:textId="77777777" w:rsidR="00FA4226" w:rsidRPr="001C21B0" w:rsidRDefault="00000000" w:rsidP="0043303B">
            <w:pPr>
              <w:pStyle w:val="TableParagraph"/>
              <w:rPr>
                <w:rFonts w:cs="Calibri"/>
                <w:color w:val="000000" w:themeColor="text1"/>
                <w:sz w:val="18"/>
              </w:rPr>
            </w:pPr>
            <w:r w:rsidRPr="001C21B0">
              <w:rPr>
                <w:rFonts w:cs="Calibri"/>
                <w:color w:val="000000" w:themeColor="text1"/>
                <w:spacing w:val="-2"/>
                <w:sz w:val="18"/>
              </w:rPr>
              <w:t>(8,245,253)</w:t>
            </w:r>
          </w:p>
        </w:tc>
      </w:tr>
      <w:tr w:rsidR="001C21B0" w:rsidRPr="001C21B0" w14:paraId="26BA19E0" w14:textId="77777777" w:rsidTr="00BD4ABD">
        <w:trPr>
          <w:trHeight w:val="283"/>
        </w:trPr>
        <w:tc>
          <w:tcPr>
            <w:tcW w:w="6633" w:type="dxa"/>
            <w:tcBorders>
              <w:top w:val="single" w:sz="2" w:space="0" w:color="73777A"/>
              <w:left w:val="nil"/>
              <w:bottom w:val="single" w:sz="2" w:space="0" w:color="73777A"/>
              <w:right w:val="nil"/>
            </w:tcBorders>
            <w:tcMar>
              <w:right w:w="57" w:type="dxa"/>
            </w:tcMar>
          </w:tcPr>
          <w:p w14:paraId="387925A6" w14:textId="77777777" w:rsidR="00FA4226" w:rsidRPr="001C21B0" w:rsidRDefault="00000000" w:rsidP="0043303B">
            <w:pPr>
              <w:pStyle w:val="TableParagraph"/>
              <w:jc w:val="left"/>
              <w:rPr>
                <w:rFonts w:cs="Calibri"/>
                <w:color w:val="000000" w:themeColor="text1"/>
                <w:sz w:val="10"/>
              </w:rPr>
            </w:pPr>
            <w:r w:rsidRPr="001C21B0">
              <w:rPr>
                <w:rFonts w:cs="Calibri"/>
                <w:color w:val="000000" w:themeColor="text1"/>
                <w:sz w:val="18"/>
              </w:rPr>
              <w:t>Interest</w:t>
            </w:r>
            <w:r w:rsidRPr="001C21B0">
              <w:rPr>
                <w:rFonts w:cs="Calibri"/>
                <w:color w:val="000000" w:themeColor="text1"/>
                <w:spacing w:val="1"/>
                <w:sz w:val="18"/>
              </w:rPr>
              <w:t xml:space="preserve"> </w:t>
            </w:r>
            <w:r w:rsidRPr="001C21B0">
              <w:rPr>
                <w:rFonts w:cs="Calibri"/>
                <w:color w:val="000000" w:themeColor="text1"/>
                <w:sz w:val="18"/>
              </w:rPr>
              <w:t>and</w:t>
            </w:r>
            <w:r w:rsidRPr="001C21B0">
              <w:rPr>
                <w:rFonts w:cs="Calibri"/>
                <w:color w:val="000000" w:themeColor="text1"/>
                <w:spacing w:val="4"/>
                <w:sz w:val="18"/>
              </w:rPr>
              <w:t xml:space="preserve"> </w:t>
            </w:r>
            <w:r w:rsidRPr="001C21B0">
              <w:rPr>
                <w:rFonts w:cs="Calibri"/>
                <w:color w:val="000000" w:themeColor="text1"/>
                <w:sz w:val="18"/>
              </w:rPr>
              <w:t>other</w:t>
            </w:r>
            <w:r w:rsidRPr="001C21B0">
              <w:rPr>
                <w:rFonts w:cs="Calibri"/>
                <w:color w:val="000000" w:themeColor="text1"/>
                <w:spacing w:val="4"/>
                <w:sz w:val="18"/>
              </w:rPr>
              <w:t xml:space="preserve"> </w:t>
            </w:r>
            <w:r w:rsidRPr="001C21B0">
              <w:rPr>
                <w:rFonts w:cs="Calibri"/>
                <w:color w:val="000000" w:themeColor="text1"/>
                <w:sz w:val="18"/>
              </w:rPr>
              <w:t>finance</w:t>
            </w:r>
            <w:r w:rsidRPr="001C21B0">
              <w:rPr>
                <w:rFonts w:cs="Calibri"/>
                <w:color w:val="000000" w:themeColor="text1"/>
                <w:spacing w:val="4"/>
                <w:sz w:val="18"/>
              </w:rPr>
              <w:t xml:space="preserve"> </w:t>
            </w:r>
            <w:r w:rsidRPr="001C21B0">
              <w:rPr>
                <w:rFonts w:cs="Calibri"/>
                <w:color w:val="000000" w:themeColor="text1"/>
                <w:sz w:val="18"/>
              </w:rPr>
              <w:t>costs</w:t>
            </w:r>
            <w:r w:rsidRPr="001C21B0">
              <w:rPr>
                <w:rFonts w:cs="Calibri"/>
                <w:color w:val="000000" w:themeColor="text1"/>
                <w:spacing w:val="4"/>
                <w:sz w:val="18"/>
              </w:rPr>
              <w:t xml:space="preserve"> </w:t>
            </w:r>
            <w:r w:rsidRPr="001C21B0">
              <w:rPr>
                <w:rFonts w:cs="Calibri"/>
                <w:color w:val="000000" w:themeColor="text1"/>
                <w:sz w:val="18"/>
              </w:rPr>
              <w:t>paid</w:t>
            </w:r>
            <w:r w:rsidRPr="001C21B0">
              <w:rPr>
                <w:rFonts w:cs="Calibri"/>
                <w:color w:val="000000" w:themeColor="text1"/>
                <w:spacing w:val="4"/>
                <w:sz w:val="18"/>
              </w:rPr>
              <w:t xml:space="preserve"> </w:t>
            </w:r>
            <w:r w:rsidRPr="001C21B0">
              <w:rPr>
                <w:rFonts w:cs="Calibri"/>
                <w:color w:val="000000" w:themeColor="text1"/>
                <w:spacing w:val="-5"/>
                <w:position w:val="6"/>
                <w:sz w:val="10"/>
              </w:rPr>
              <w:t>(i)</w:t>
            </w:r>
          </w:p>
        </w:tc>
        <w:tc>
          <w:tcPr>
            <w:tcW w:w="1492" w:type="dxa"/>
            <w:tcBorders>
              <w:top w:val="single" w:sz="2" w:space="0" w:color="73777A"/>
              <w:left w:val="nil"/>
              <w:bottom w:val="single" w:sz="2" w:space="0" w:color="73777A"/>
              <w:right w:val="single" w:sz="8" w:space="0" w:color="FFFFFF"/>
            </w:tcBorders>
            <w:shd w:val="clear" w:color="auto" w:fill="FFF0E7"/>
            <w:tcMar>
              <w:right w:w="57" w:type="dxa"/>
            </w:tcMar>
          </w:tcPr>
          <w:p w14:paraId="1AA62454" w14:textId="77777777" w:rsidR="00FA4226" w:rsidRPr="001C21B0" w:rsidRDefault="00000000" w:rsidP="0043303B">
            <w:pPr>
              <w:pStyle w:val="TableParagraph"/>
              <w:rPr>
                <w:rFonts w:cs="Calibri"/>
                <w:color w:val="000000" w:themeColor="text1"/>
                <w:sz w:val="18"/>
              </w:rPr>
            </w:pPr>
            <w:r w:rsidRPr="001C21B0">
              <w:rPr>
                <w:rFonts w:cs="Calibri"/>
                <w:color w:val="000000" w:themeColor="text1"/>
                <w:spacing w:val="-2"/>
                <w:sz w:val="18"/>
              </w:rPr>
              <w:t>(57,129)</w:t>
            </w:r>
          </w:p>
        </w:tc>
        <w:tc>
          <w:tcPr>
            <w:tcW w:w="1492" w:type="dxa"/>
            <w:tcBorders>
              <w:top w:val="single" w:sz="2" w:space="0" w:color="73777A"/>
              <w:left w:val="single" w:sz="8" w:space="0" w:color="FFFFFF"/>
              <w:bottom w:val="single" w:sz="2" w:space="0" w:color="73777A"/>
              <w:right w:val="nil"/>
            </w:tcBorders>
            <w:shd w:val="clear" w:color="auto" w:fill="EDEFF0"/>
            <w:tcMar>
              <w:right w:w="57" w:type="dxa"/>
            </w:tcMar>
          </w:tcPr>
          <w:p w14:paraId="72CC67E1" w14:textId="77777777" w:rsidR="00FA4226" w:rsidRPr="001C21B0" w:rsidRDefault="00000000" w:rsidP="0043303B">
            <w:pPr>
              <w:pStyle w:val="TableParagraph"/>
              <w:rPr>
                <w:rFonts w:cs="Calibri"/>
                <w:color w:val="000000" w:themeColor="text1"/>
                <w:sz w:val="18"/>
              </w:rPr>
            </w:pPr>
            <w:r w:rsidRPr="001C21B0">
              <w:rPr>
                <w:rFonts w:cs="Calibri"/>
                <w:color w:val="000000" w:themeColor="text1"/>
                <w:spacing w:val="-2"/>
                <w:sz w:val="18"/>
              </w:rPr>
              <w:t>(65,486)</w:t>
            </w:r>
          </w:p>
        </w:tc>
      </w:tr>
      <w:tr w:rsidR="001C21B0" w:rsidRPr="001C21B0" w14:paraId="6EF400CD" w14:textId="77777777" w:rsidTr="00BD4ABD">
        <w:trPr>
          <w:trHeight w:val="278"/>
        </w:trPr>
        <w:tc>
          <w:tcPr>
            <w:tcW w:w="6633" w:type="dxa"/>
            <w:tcBorders>
              <w:top w:val="single" w:sz="2" w:space="0" w:color="73777A"/>
              <w:left w:val="nil"/>
              <w:bottom w:val="single" w:sz="6" w:space="0" w:color="73777A"/>
              <w:right w:val="nil"/>
            </w:tcBorders>
            <w:tcMar>
              <w:right w:w="57" w:type="dxa"/>
            </w:tcMar>
          </w:tcPr>
          <w:p w14:paraId="4C7F78DF" w14:textId="77777777" w:rsidR="00FA4226" w:rsidRPr="001C21B0" w:rsidRDefault="00000000" w:rsidP="0043303B">
            <w:pPr>
              <w:pStyle w:val="TableParagraph"/>
              <w:jc w:val="left"/>
              <w:rPr>
                <w:rFonts w:cs="Calibri"/>
                <w:color w:val="000000" w:themeColor="text1"/>
                <w:sz w:val="10"/>
              </w:rPr>
            </w:pPr>
            <w:r w:rsidRPr="001C21B0">
              <w:rPr>
                <w:rFonts w:cs="Calibri"/>
                <w:color w:val="000000" w:themeColor="text1"/>
                <w:sz w:val="18"/>
              </w:rPr>
              <w:t>Total payments</w:t>
            </w:r>
            <w:r w:rsidRPr="001C21B0">
              <w:rPr>
                <w:rFonts w:cs="Calibri"/>
                <w:color w:val="000000" w:themeColor="text1"/>
                <w:spacing w:val="1"/>
                <w:sz w:val="18"/>
              </w:rPr>
              <w:t xml:space="preserve"> </w:t>
            </w:r>
            <w:r w:rsidRPr="001C21B0">
              <w:rPr>
                <w:rFonts w:cs="Calibri"/>
                <w:color w:val="000000" w:themeColor="text1"/>
                <w:spacing w:val="-5"/>
                <w:position w:val="6"/>
                <w:sz w:val="10"/>
              </w:rPr>
              <w:t>(i)</w:t>
            </w:r>
          </w:p>
        </w:tc>
        <w:tc>
          <w:tcPr>
            <w:tcW w:w="1492" w:type="dxa"/>
            <w:tcBorders>
              <w:top w:val="single" w:sz="2" w:space="0" w:color="73777A"/>
              <w:left w:val="nil"/>
              <w:bottom w:val="single" w:sz="6" w:space="0" w:color="73777A"/>
              <w:right w:val="single" w:sz="8" w:space="0" w:color="FFFFFF"/>
            </w:tcBorders>
            <w:shd w:val="clear" w:color="auto" w:fill="FFF0E7"/>
            <w:tcMar>
              <w:right w:w="57" w:type="dxa"/>
            </w:tcMar>
          </w:tcPr>
          <w:p w14:paraId="514CDC53" w14:textId="77777777" w:rsidR="00FA4226" w:rsidRPr="001C21B0" w:rsidRDefault="00000000" w:rsidP="0043303B">
            <w:pPr>
              <w:pStyle w:val="TableParagraph"/>
              <w:rPr>
                <w:rFonts w:cs="Calibri"/>
                <w:color w:val="000000" w:themeColor="text1"/>
                <w:sz w:val="18"/>
              </w:rPr>
            </w:pPr>
            <w:r w:rsidRPr="001C21B0">
              <w:rPr>
                <w:rFonts w:cs="Calibri"/>
                <w:color w:val="000000" w:themeColor="text1"/>
                <w:spacing w:val="-2"/>
                <w:sz w:val="18"/>
              </w:rPr>
              <w:t>(9,583,529)</w:t>
            </w:r>
          </w:p>
        </w:tc>
        <w:tc>
          <w:tcPr>
            <w:tcW w:w="1492" w:type="dxa"/>
            <w:tcBorders>
              <w:top w:val="single" w:sz="2" w:space="0" w:color="73777A"/>
              <w:left w:val="single" w:sz="8" w:space="0" w:color="FFFFFF"/>
              <w:bottom w:val="single" w:sz="6" w:space="0" w:color="73777A"/>
              <w:right w:val="nil"/>
            </w:tcBorders>
            <w:shd w:val="clear" w:color="auto" w:fill="EDEFF0"/>
            <w:tcMar>
              <w:right w:w="57" w:type="dxa"/>
            </w:tcMar>
          </w:tcPr>
          <w:p w14:paraId="0CAD49C7" w14:textId="77777777" w:rsidR="00FA4226" w:rsidRPr="001C21B0" w:rsidRDefault="00000000" w:rsidP="0043303B">
            <w:pPr>
              <w:pStyle w:val="TableParagraph"/>
              <w:rPr>
                <w:rFonts w:cs="Calibri"/>
                <w:color w:val="000000" w:themeColor="text1"/>
                <w:sz w:val="18"/>
              </w:rPr>
            </w:pPr>
            <w:r w:rsidRPr="001C21B0">
              <w:rPr>
                <w:rFonts w:cs="Calibri"/>
                <w:color w:val="000000" w:themeColor="text1"/>
                <w:spacing w:val="-2"/>
                <w:sz w:val="18"/>
              </w:rPr>
              <w:t>(8,310,739)</w:t>
            </w:r>
          </w:p>
        </w:tc>
      </w:tr>
      <w:tr w:rsidR="001C21B0" w:rsidRPr="001C21B0" w14:paraId="15BCE259" w14:textId="77777777" w:rsidTr="00BD4ABD">
        <w:trPr>
          <w:trHeight w:val="278"/>
        </w:trPr>
        <w:tc>
          <w:tcPr>
            <w:tcW w:w="6633" w:type="dxa"/>
            <w:tcBorders>
              <w:top w:val="single" w:sz="6" w:space="0" w:color="73777A"/>
              <w:left w:val="nil"/>
              <w:bottom w:val="single" w:sz="2" w:space="0" w:color="73777A"/>
              <w:right w:val="nil"/>
            </w:tcBorders>
            <w:tcMar>
              <w:right w:w="57" w:type="dxa"/>
            </w:tcMar>
          </w:tcPr>
          <w:p w14:paraId="21CFAA71" w14:textId="77777777" w:rsidR="00FA4226" w:rsidRPr="001C21B0" w:rsidRDefault="00FA4226" w:rsidP="0043303B">
            <w:pPr>
              <w:pStyle w:val="TableParagraph"/>
              <w:jc w:val="left"/>
              <w:rPr>
                <w:rFonts w:cs="Calibri"/>
                <w:color w:val="000000" w:themeColor="text1"/>
                <w:sz w:val="16"/>
              </w:rPr>
            </w:pPr>
          </w:p>
        </w:tc>
        <w:tc>
          <w:tcPr>
            <w:tcW w:w="1492" w:type="dxa"/>
            <w:tcBorders>
              <w:top w:val="single" w:sz="6" w:space="0" w:color="73777A"/>
              <w:left w:val="nil"/>
              <w:bottom w:val="single" w:sz="2" w:space="0" w:color="73777A"/>
              <w:right w:val="single" w:sz="8" w:space="0" w:color="FFFFFF"/>
            </w:tcBorders>
            <w:shd w:val="clear" w:color="auto" w:fill="FFF0E7"/>
            <w:tcMar>
              <w:right w:w="57" w:type="dxa"/>
            </w:tcMar>
          </w:tcPr>
          <w:p w14:paraId="36CA6F2B" w14:textId="77777777" w:rsidR="00FA4226" w:rsidRPr="001C21B0" w:rsidRDefault="00FA4226" w:rsidP="0043303B">
            <w:pPr>
              <w:pStyle w:val="TableParagraph"/>
              <w:jc w:val="left"/>
              <w:rPr>
                <w:rFonts w:cs="Calibri"/>
                <w:color w:val="000000" w:themeColor="text1"/>
                <w:sz w:val="16"/>
              </w:rPr>
            </w:pPr>
          </w:p>
        </w:tc>
        <w:tc>
          <w:tcPr>
            <w:tcW w:w="1492" w:type="dxa"/>
            <w:tcBorders>
              <w:top w:val="single" w:sz="6" w:space="0" w:color="73777A"/>
              <w:left w:val="single" w:sz="8" w:space="0" w:color="FFFFFF"/>
              <w:bottom w:val="single" w:sz="2" w:space="0" w:color="73777A"/>
              <w:right w:val="nil"/>
            </w:tcBorders>
            <w:shd w:val="clear" w:color="auto" w:fill="EDEFF0"/>
            <w:tcMar>
              <w:right w:w="57" w:type="dxa"/>
            </w:tcMar>
          </w:tcPr>
          <w:p w14:paraId="0F178E5B" w14:textId="77777777" w:rsidR="00FA4226" w:rsidRPr="001C21B0" w:rsidRDefault="00FA4226" w:rsidP="0043303B">
            <w:pPr>
              <w:pStyle w:val="TableParagraph"/>
              <w:jc w:val="left"/>
              <w:rPr>
                <w:rFonts w:cs="Calibri"/>
                <w:color w:val="000000" w:themeColor="text1"/>
                <w:sz w:val="16"/>
              </w:rPr>
            </w:pPr>
          </w:p>
        </w:tc>
      </w:tr>
      <w:tr w:rsidR="001C21B0" w:rsidRPr="001C21B0" w14:paraId="0AEA1F5E" w14:textId="77777777" w:rsidTr="00BD4ABD">
        <w:trPr>
          <w:trHeight w:val="278"/>
        </w:trPr>
        <w:tc>
          <w:tcPr>
            <w:tcW w:w="6633" w:type="dxa"/>
            <w:tcBorders>
              <w:top w:val="single" w:sz="2" w:space="0" w:color="73777A"/>
              <w:left w:val="nil"/>
              <w:bottom w:val="single" w:sz="6" w:space="0" w:color="73777A"/>
              <w:right w:val="nil"/>
            </w:tcBorders>
            <w:tcMar>
              <w:right w:w="57" w:type="dxa"/>
            </w:tcMar>
          </w:tcPr>
          <w:p w14:paraId="0A442709" w14:textId="77777777" w:rsidR="00FA4226" w:rsidRPr="001C21B0" w:rsidRDefault="00000000" w:rsidP="0043303B">
            <w:pPr>
              <w:pStyle w:val="TableParagraph"/>
              <w:tabs>
                <w:tab w:val="right" w:pos="6531"/>
              </w:tabs>
              <w:jc w:val="left"/>
              <w:rPr>
                <w:rFonts w:cs="Calibri"/>
                <w:color w:val="000000" w:themeColor="text1"/>
                <w:sz w:val="18"/>
              </w:rPr>
            </w:pPr>
            <w:r w:rsidRPr="001C21B0">
              <w:rPr>
                <w:rFonts w:cs="Calibri"/>
                <w:color w:val="000000" w:themeColor="text1"/>
                <w:sz w:val="18"/>
              </w:rPr>
              <w:t>Net</w:t>
            </w:r>
            <w:r w:rsidRPr="001C21B0">
              <w:rPr>
                <w:rFonts w:cs="Calibri"/>
                <w:color w:val="000000" w:themeColor="text1"/>
                <w:spacing w:val="5"/>
                <w:sz w:val="18"/>
              </w:rPr>
              <w:t xml:space="preserve"> </w:t>
            </w:r>
            <w:r w:rsidRPr="001C21B0">
              <w:rPr>
                <w:rFonts w:cs="Calibri"/>
                <w:color w:val="000000" w:themeColor="text1"/>
                <w:sz w:val="18"/>
              </w:rPr>
              <w:t>cash</w:t>
            </w:r>
            <w:r w:rsidRPr="001C21B0">
              <w:rPr>
                <w:rFonts w:cs="Calibri"/>
                <w:color w:val="000000" w:themeColor="text1"/>
                <w:spacing w:val="7"/>
                <w:sz w:val="18"/>
              </w:rPr>
              <w:t xml:space="preserve"> </w:t>
            </w:r>
            <w:r w:rsidRPr="001C21B0">
              <w:rPr>
                <w:rFonts w:cs="Calibri"/>
                <w:color w:val="000000" w:themeColor="text1"/>
                <w:sz w:val="18"/>
              </w:rPr>
              <w:t>flows</w:t>
            </w:r>
            <w:r w:rsidRPr="001C21B0">
              <w:rPr>
                <w:rFonts w:cs="Calibri"/>
                <w:color w:val="000000" w:themeColor="text1"/>
                <w:spacing w:val="7"/>
                <w:sz w:val="18"/>
              </w:rPr>
              <w:t xml:space="preserve"> </w:t>
            </w:r>
            <w:r w:rsidRPr="001C21B0">
              <w:rPr>
                <w:rFonts w:cs="Calibri"/>
                <w:color w:val="000000" w:themeColor="text1"/>
                <w:sz w:val="18"/>
              </w:rPr>
              <w:t>from/(used</w:t>
            </w:r>
            <w:r w:rsidRPr="001C21B0">
              <w:rPr>
                <w:rFonts w:cs="Calibri"/>
                <w:color w:val="000000" w:themeColor="text1"/>
                <w:spacing w:val="7"/>
                <w:sz w:val="18"/>
              </w:rPr>
              <w:t xml:space="preserve"> </w:t>
            </w:r>
            <w:r w:rsidRPr="001C21B0">
              <w:rPr>
                <w:rFonts w:cs="Calibri"/>
                <w:color w:val="000000" w:themeColor="text1"/>
                <w:sz w:val="18"/>
              </w:rPr>
              <w:t>in)</w:t>
            </w:r>
            <w:r w:rsidRPr="001C21B0">
              <w:rPr>
                <w:rFonts w:cs="Calibri"/>
                <w:color w:val="000000" w:themeColor="text1"/>
                <w:spacing w:val="7"/>
                <w:sz w:val="18"/>
              </w:rPr>
              <w:t xml:space="preserve"> </w:t>
            </w:r>
            <w:r w:rsidRPr="001C21B0">
              <w:rPr>
                <w:rFonts w:cs="Calibri"/>
                <w:color w:val="000000" w:themeColor="text1"/>
                <w:sz w:val="18"/>
              </w:rPr>
              <w:t>operating</w:t>
            </w:r>
            <w:r w:rsidRPr="001C21B0">
              <w:rPr>
                <w:rFonts w:cs="Calibri"/>
                <w:color w:val="000000" w:themeColor="text1"/>
                <w:spacing w:val="7"/>
                <w:sz w:val="18"/>
              </w:rPr>
              <w:t xml:space="preserve"> </w:t>
            </w:r>
            <w:r w:rsidRPr="001C21B0">
              <w:rPr>
                <w:rFonts w:cs="Calibri"/>
                <w:color w:val="000000" w:themeColor="text1"/>
                <w:sz w:val="18"/>
              </w:rPr>
              <w:t>activities</w:t>
            </w:r>
            <w:r w:rsidRPr="001C21B0">
              <w:rPr>
                <w:rFonts w:cs="Calibri"/>
                <w:color w:val="000000" w:themeColor="text1"/>
                <w:spacing w:val="8"/>
                <w:sz w:val="18"/>
              </w:rPr>
              <w:t xml:space="preserve"> </w:t>
            </w:r>
            <w:r w:rsidRPr="001C21B0">
              <w:rPr>
                <w:rFonts w:cs="Calibri"/>
                <w:color w:val="000000" w:themeColor="text1"/>
                <w:spacing w:val="-5"/>
                <w:position w:val="6"/>
                <w:sz w:val="10"/>
              </w:rPr>
              <w:t>(i)</w:t>
            </w:r>
            <w:r w:rsidRPr="001C21B0">
              <w:rPr>
                <w:rFonts w:cs="Calibri"/>
                <w:color w:val="000000" w:themeColor="text1"/>
                <w:position w:val="6"/>
                <w:sz w:val="10"/>
              </w:rPr>
              <w:tab/>
            </w:r>
            <w:r w:rsidRPr="001C21B0">
              <w:rPr>
                <w:rFonts w:cs="Calibri"/>
                <w:color w:val="000000" w:themeColor="text1"/>
                <w:spacing w:val="-5"/>
                <w:sz w:val="18"/>
              </w:rPr>
              <w:t>6.2</w:t>
            </w:r>
          </w:p>
        </w:tc>
        <w:tc>
          <w:tcPr>
            <w:tcW w:w="1492" w:type="dxa"/>
            <w:tcBorders>
              <w:top w:val="single" w:sz="2" w:space="0" w:color="73777A"/>
              <w:left w:val="nil"/>
              <w:bottom w:val="single" w:sz="6" w:space="0" w:color="73777A"/>
              <w:right w:val="single" w:sz="8" w:space="0" w:color="FFFFFF"/>
            </w:tcBorders>
            <w:shd w:val="clear" w:color="auto" w:fill="FFF0E7"/>
            <w:tcMar>
              <w:right w:w="57" w:type="dxa"/>
            </w:tcMar>
          </w:tcPr>
          <w:p w14:paraId="739A284F" w14:textId="77777777" w:rsidR="00FA4226" w:rsidRPr="001C21B0" w:rsidRDefault="00000000" w:rsidP="0043303B">
            <w:pPr>
              <w:pStyle w:val="TableParagraph"/>
              <w:rPr>
                <w:rFonts w:cs="Calibri"/>
                <w:color w:val="000000" w:themeColor="text1"/>
                <w:sz w:val="18"/>
              </w:rPr>
            </w:pPr>
            <w:r w:rsidRPr="001C21B0">
              <w:rPr>
                <w:rFonts w:cs="Calibri"/>
                <w:color w:val="000000" w:themeColor="text1"/>
                <w:spacing w:val="-2"/>
                <w:sz w:val="18"/>
              </w:rPr>
              <w:t>416,668</w:t>
            </w:r>
          </w:p>
        </w:tc>
        <w:tc>
          <w:tcPr>
            <w:tcW w:w="1492" w:type="dxa"/>
            <w:tcBorders>
              <w:top w:val="single" w:sz="2" w:space="0" w:color="73777A"/>
              <w:left w:val="single" w:sz="8" w:space="0" w:color="FFFFFF"/>
              <w:bottom w:val="single" w:sz="6" w:space="0" w:color="73777A"/>
              <w:right w:val="nil"/>
            </w:tcBorders>
            <w:shd w:val="clear" w:color="auto" w:fill="EDEFF0"/>
            <w:tcMar>
              <w:right w:w="57" w:type="dxa"/>
            </w:tcMar>
          </w:tcPr>
          <w:p w14:paraId="7C0946B2" w14:textId="77777777" w:rsidR="00FA4226" w:rsidRPr="001C21B0" w:rsidRDefault="00000000" w:rsidP="0043303B">
            <w:pPr>
              <w:pStyle w:val="TableParagraph"/>
              <w:rPr>
                <w:rFonts w:cs="Calibri"/>
                <w:color w:val="000000" w:themeColor="text1"/>
                <w:sz w:val="18"/>
              </w:rPr>
            </w:pPr>
            <w:r w:rsidRPr="001C21B0">
              <w:rPr>
                <w:rFonts w:cs="Calibri"/>
                <w:color w:val="000000" w:themeColor="text1"/>
                <w:spacing w:val="-2"/>
                <w:sz w:val="18"/>
              </w:rPr>
              <w:t>336,038</w:t>
            </w:r>
          </w:p>
        </w:tc>
      </w:tr>
      <w:tr w:rsidR="001C21B0" w:rsidRPr="001C21B0" w14:paraId="03514229" w14:textId="77777777" w:rsidTr="00BD4ABD">
        <w:trPr>
          <w:trHeight w:val="567"/>
        </w:trPr>
        <w:tc>
          <w:tcPr>
            <w:tcW w:w="6633" w:type="dxa"/>
            <w:tcBorders>
              <w:top w:val="single" w:sz="6" w:space="0" w:color="73777A"/>
              <w:left w:val="nil"/>
              <w:bottom w:val="single" w:sz="2" w:space="0" w:color="73777A"/>
              <w:right w:val="nil"/>
            </w:tcBorders>
            <w:tcMar>
              <w:right w:w="57" w:type="dxa"/>
            </w:tcMar>
          </w:tcPr>
          <w:p w14:paraId="52C200A3" w14:textId="77777777" w:rsidR="00FA4226" w:rsidRPr="001C21B0" w:rsidRDefault="00FA4226" w:rsidP="0043303B">
            <w:pPr>
              <w:pStyle w:val="TableParagraph"/>
              <w:spacing w:before="7"/>
              <w:jc w:val="left"/>
              <w:rPr>
                <w:rFonts w:cs="Calibri"/>
                <w:color w:val="000000" w:themeColor="text1"/>
                <w:sz w:val="20"/>
              </w:rPr>
            </w:pPr>
          </w:p>
          <w:p w14:paraId="779F3C7C" w14:textId="77777777" w:rsidR="00FA4226" w:rsidRPr="001C21B0" w:rsidRDefault="00000000" w:rsidP="0043303B">
            <w:pPr>
              <w:pStyle w:val="TableParagraph"/>
              <w:jc w:val="left"/>
              <w:rPr>
                <w:rFonts w:cs="Calibri"/>
                <w:color w:val="000000" w:themeColor="text1"/>
                <w:sz w:val="18"/>
              </w:rPr>
            </w:pPr>
            <w:r w:rsidRPr="001C21B0">
              <w:rPr>
                <w:rFonts w:cs="Calibri"/>
                <w:color w:val="000000" w:themeColor="text1"/>
                <w:sz w:val="18"/>
              </w:rPr>
              <w:t>Cash</w:t>
            </w:r>
            <w:r w:rsidRPr="001C21B0">
              <w:rPr>
                <w:rFonts w:cs="Calibri"/>
                <w:color w:val="000000" w:themeColor="text1"/>
                <w:spacing w:val="5"/>
                <w:sz w:val="18"/>
              </w:rPr>
              <w:t xml:space="preserve"> </w:t>
            </w:r>
            <w:r w:rsidRPr="001C21B0">
              <w:rPr>
                <w:rFonts w:cs="Calibri"/>
                <w:color w:val="000000" w:themeColor="text1"/>
                <w:sz w:val="18"/>
              </w:rPr>
              <w:t>flows</w:t>
            </w:r>
            <w:r w:rsidRPr="001C21B0">
              <w:rPr>
                <w:rFonts w:cs="Calibri"/>
                <w:color w:val="000000" w:themeColor="text1"/>
                <w:spacing w:val="5"/>
                <w:sz w:val="18"/>
              </w:rPr>
              <w:t xml:space="preserve"> </w:t>
            </w:r>
            <w:r w:rsidRPr="001C21B0">
              <w:rPr>
                <w:rFonts w:cs="Calibri"/>
                <w:color w:val="000000" w:themeColor="text1"/>
                <w:sz w:val="18"/>
              </w:rPr>
              <w:t>from</w:t>
            </w:r>
            <w:r w:rsidRPr="001C21B0">
              <w:rPr>
                <w:rFonts w:cs="Calibri"/>
                <w:color w:val="000000" w:themeColor="text1"/>
                <w:spacing w:val="5"/>
                <w:sz w:val="18"/>
              </w:rPr>
              <w:t xml:space="preserve"> </w:t>
            </w:r>
            <w:r w:rsidRPr="001C21B0">
              <w:rPr>
                <w:rFonts w:cs="Calibri"/>
                <w:color w:val="000000" w:themeColor="text1"/>
                <w:sz w:val="18"/>
              </w:rPr>
              <w:t>investing</w:t>
            </w:r>
            <w:r w:rsidRPr="001C21B0">
              <w:rPr>
                <w:rFonts w:cs="Calibri"/>
                <w:color w:val="000000" w:themeColor="text1"/>
                <w:spacing w:val="5"/>
                <w:sz w:val="18"/>
              </w:rPr>
              <w:t xml:space="preserve"> </w:t>
            </w:r>
            <w:r w:rsidRPr="001C21B0">
              <w:rPr>
                <w:rFonts w:cs="Calibri"/>
                <w:color w:val="000000" w:themeColor="text1"/>
                <w:spacing w:val="-2"/>
                <w:sz w:val="18"/>
              </w:rPr>
              <w:t>activities</w:t>
            </w:r>
          </w:p>
        </w:tc>
        <w:tc>
          <w:tcPr>
            <w:tcW w:w="1492" w:type="dxa"/>
            <w:tcBorders>
              <w:top w:val="single" w:sz="6" w:space="0" w:color="73777A"/>
              <w:left w:val="nil"/>
              <w:bottom w:val="single" w:sz="2" w:space="0" w:color="73777A"/>
              <w:right w:val="single" w:sz="8" w:space="0" w:color="FFFFFF"/>
            </w:tcBorders>
            <w:shd w:val="clear" w:color="auto" w:fill="FFF0E7"/>
            <w:tcMar>
              <w:right w:w="57" w:type="dxa"/>
            </w:tcMar>
          </w:tcPr>
          <w:p w14:paraId="32E067FE" w14:textId="77777777" w:rsidR="00FA4226" w:rsidRPr="001C21B0" w:rsidRDefault="00FA4226" w:rsidP="0043303B">
            <w:pPr>
              <w:pStyle w:val="TableParagraph"/>
              <w:jc w:val="left"/>
              <w:rPr>
                <w:rFonts w:cs="Calibri"/>
                <w:color w:val="000000" w:themeColor="text1"/>
                <w:sz w:val="16"/>
              </w:rPr>
            </w:pPr>
          </w:p>
        </w:tc>
        <w:tc>
          <w:tcPr>
            <w:tcW w:w="1492" w:type="dxa"/>
            <w:tcBorders>
              <w:top w:val="single" w:sz="6" w:space="0" w:color="73777A"/>
              <w:left w:val="single" w:sz="8" w:space="0" w:color="FFFFFF"/>
              <w:bottom w:val="single" w:sz="2" w:space="0" w:color="73777A"/>
              <w:right w:val="nil"/>
            </w:tcBorders>
            <w:shd w:val="clear" w:color="auto" w:fill="EDEFF0"/>
            <w:tcMar>
              <w:right w:w="57" w:type="dxa"/>
            </w:tcMar>
          </w:tcPr>
          <w:p w14:paraId="66025A5B" w14:textId="77777777" w:rsidR="00FA4226" w:rsidRPr="001C21B0" w:rsidRDefault="00FA4226" w:rsidP="0043303B">
            <w:pPr>
              <w:pStyle w:val="TableParagraph"/>
              <w:jc w:val="left"/>
              <w:rPr>
                <w:rFonts w:cs="Calibri"/>
                <w:color w:val="000000" w:themeColor="text1"/>
                <w:sz w:val="16"/>
              </w:rPr>
            </w:pPr>
          </w:p>
        </w:tc>
      </w:tr>
      <w:tr w:rsidR="001C21B0" w:rsidRPr="001C21B0" w14:paraId="0A24D09B" w14:textId="77777777" w:rsidTr="00BD4ABD">
        <w:trPr>
          <w:trHeight w:val="283"/>
        </w:trPr>
        <w:tc>
          <w:tcPr>
            <w:tcW w:w="6633" w:type="dxa"/>
            <w:tcBorders>
              <w:top w:val="single" w:sz="2" w:space="0" w:color="73777A"/>
              <w:left w:val="nil"/>
              <w:bottom w:val="single" w:sz="2" w:space="0" w:color="73777A"/>
              <w:right w:val="nil"/>
            </w:tcBorders>
            <w:tcMar>
              <w:right w:w="57" w:type="dxa"/>
            </w:tcMar>
          </w:tcPr>
          <w:p w14:paraId="5F63BDFD" w14:textId="77777777" w:rsidR="00FA4226" w:rsidRPr="001C21B0" w:rsidRDefault="00000000" w:rsidP="0043303B">
            <w:pPr>
              <w:pStyle w:val="TableParagraph"/>
              <w:jc w:val="left"/>
              <w:rPr>
                <w:rFonts w:cs="Calibri"/>
                <w:color w:val="000000" w:themeColor="text1"/>
                <w:sz w:val="18"/>
              </w:rPr>
            </w:pPr>
            <w:r w:rsidRPr="001C21B0">
              <w:rPr>
                <w:rFonts w:cs="Calibri"/>
                <w:color w:val="000000" w:themeColor="text1"/>
                <w:sz w:val="18"/>
              </w:rPr>
              <w:t>Purchases</w:t>
            </w:r>
            <w:r w:rsidRPr="001C21B0">
              <w:rPr>
                <w:rFonts w:cs="Calibri"/>
                <w:color w:val="000000" w:themeColor="text1"/>
                <w:spacing w:val="5"/>
                <w:sz w:val="18"/>
              </w:rPr>
              <w:t xml:space="preserve"> </w:t>
            </w:r>
            <w:r w:rsidRPr="001C21B0">
              <w:rPr>
                <w:rFonts w:cs="Calibri"/>
                <w:color w:val="000000" w:themeColor="text1"/>
                <w:sz w:val="18"/>
              </w:rPr>
              <w:t>of</w:t>
            </w:r>
            <w:r w:rsidRPr="001C21B0">
              <w:rPr>
                <w:rFonts w:cs="Calibri"/>
                <w:color w:val="000000" w:themeColor="text1"/>
                <w:spacing w:val="5"/>
                <w:sz w:val="18"/>
              </w:rPr>
              <w:t xml:space="preserve"> </w:t>
            </w:r>
            <w:r w:rsidRPr="001C21B0">
              <w:rPr>
                <w:rFonts w:cs="Calibri"/>
                <w:color w:val="000000" w:themeColor="text1"/>
                <w:sz w:val="18"/>
              </w:rPr>
              <w:t>non-financial</w:t>
            </w:r>
            <w:r w:rsidRPr="001C21B0">
              <w:rPr>
                <w:rFonts w:cs="Calibri"/>
                <w:color w:val="000000" w:themeColor="text1"/>
                <w:spacing w:val="6"/>
                <w:sz w:val="18"/>
              </w:rPr>
              <w:t xml:space="preserve"> </w:t>
            </w:r>
            <w:r w:rsidRPr="001C21B0">
              <w:rPr>
                <w:rFonts w:cs="Calibri"/>
                <w:color w:val="000000" w:themeColor="text1"/>
                <w:spacing w:val="-2"/>
                <w:sz w:val="18"/>
              </w:rPr>
              <w:t>assets</w:t>
            </w:r>
          </w:p>
        </w:tc>
        <w:tc>
          <w:tcPr>
            <w:tcW w:w="1492" w:type="dxa"/>
            <w:tcBorders>
              <w:top w:val="single" w:sz="2" w:space="0" w:color="73777A"/>
              <w:left w:val="nil"/>
              <w:bottom w:val="single" w:sz="2" w:space="0" w:color="73777A"/>
              <w:right w:val="single" w:sz="8" w:space="0" w:color="FFFFFF"/>
            </w:tcBorders>
            <w:shd w:val="clear" w:color="auto" w:fill="FFF0E7"/>
            <w:tcMar>
              <w:right w:w="57" w:type="dxa"/>
            </w:tcMar>
          </w:tcPr>
          <w:p w14:paraId="107C7B5E" w14:textId="77777777" w:rsidR="00FA4226" w:rsidRPr="001C21B0" w:rsidRDefault="00000000" w:rsidP="0043303B">
            <w:pPr>
              <w:pStyle w:val="TableParagraph"/>
              <w:rPr>
                <w:rFonts w:cs="Calibri"/>
                <w:color w:val="000000" w:themeColor="text1"/>
                <w:sz w:val="18"/>
              </w:rPr>
            </w:pPr>
            <w:r w:rsidRPr="001C21B0">
              <w:rPr>
                <w:rFonts w:cs="Calibri"/>
                <w:color w:val="000000" w:themeColor="text1"/>
                <w:spacing w:val="-2"/>
                <w:sz w:val="18"/>
              </w:rPr>
              <w:t>(53,815)</w:t>
            </w:r>
          </w:p>
        </w:tc>
        <w:tc>
          <w:tcPr>
            <w:tcW w:w="1492" w:type="dxa"/>
            <w:tcBorders>
              <w:top w:val="single" w:sz="2" w:space="0" w:color="73777A"/>
              <w:left w:val="single" w:sz="8" w:space="0" w:color="FFFFFF"/>
              <w:bottom w:val="single" w:sz="2" w:space="0" w:color="73777A"/>
              <w:right w:val="nil"/>
            </w:tcBorders>
            <w:shd w:val="clear" w:color="auto" w:fill="EDEFF0"/>
            <w:tcMar>
              <w:right w:w="57" w:type="dxa"/>
            </w:tcMar>
          </w:tcPr>
          <w:p w14:paraId="12957136" w14:textId="77777777" w:rsidR="00FA4226" w:rsidRPr="001C21B0" w:rsidRDefault="00000000" w:rsidP="0043303B">
            <w:pPr>
              <w:pStyle w:val="TableParagraph"/>
              <w:rPr>
                <w:rFonts w:cs="Calibri"/>
                <w:color w:val="000000" w:themeColor="text1"/>
                <w:sz w:val="18"/>
              </w:rPr>
            </w:pPr>
            <w:r w:rsidRPr="001C21B0">
              <w:rPr>
                <w:rFonts w:cs="Calibri"/>
                <w:color w:val="000000" w:themeColor="text1"/>
                <w:sz w:val="18"/>
              </w:rPr>
              <w:t>-</w:t>
            </w:r>
          </w:p>
        </w:tc>
      </w:tr>
      <w:tr w:rsidR="001C21B0" w:rsidRPr="001C21B0" w14:paraId="73864164" w14:textId="77777777" w:rsidTr="00BD4ABD">
        <w:trPr>
          <w:trHeight w:val="278"/>
        </w:trPr>
        <w:tc>
          <w:tcPr>
            <w:tcW w:w="6633" w:type="dxa"/>
            <w:tcBorders>
              <w:top w:val="single" w:sz="2" w:space="0" w:color="73777A"/>
              <w:left w:val="nil"/>
              <w:bottom w:val="single" w:sz="6" w:space="0" w:color="73777A"/>
              <w:right w:val="nil"/>
            </w:tcBorders>
            <w:tcMar>
              <w:right w:w="57" w:type="dxa"/>
            </w:tcMar>
          </w:tcPr>
          <w:p w14:paraId="41636F53" w14:textId="77777777" w:rsidR="00FA4226" w:rsidRPr="001C21B0" w:rsidRDefault="00000000" w:rsidP="0043303B">
            <w:pPr>
              <w:pStyle w:val="TableParagraph"/>
              <w:jc w:val="left"/>
              <w:rPr>
                <w:rFonts w:cs="Calibri"/>
                <w:color w:val="000000" w:themeColor="text1"/>
                <w:sz w:val="18"/>
              </w:rPr>
            </w:pPr>
            <w:r w:rsidRPr="001C21B0">
              <w:rPr>
                <w:rFonts w:cs="Calibri"/>
                <w:color w:val="000000" w:themeColor="text1"/>
                <w:sz w:val="18"/>
              </w:rPr>
              <w:t>Net</w:t>
            </w:r>
            <w:r w:rsidRPr="001C21B0">
              <w:rPr>
                <w:rFonts w:cs="Calibri"/>
                <w:color w:val="000000" w:themeColor="text1"/>
                <w:spacing w:val="2"/>
                <w:sz w:val="18"/>
              </w:rPr>
              <w:t xml:space="preserve"> </w:t>
            </w:r>
            <w:r w:rsidRPr="001C21B0">
              <w:rPr>
                <w:rFonts w:cs="Calibri"/>
                <w:color w:val="000000" w:themeColor="text1"/>
                <w:sz w:val="18"/>
              </w:rPr>
              <w:t>cash</w:t>
            </w:r>
            <w:r w:rsidRPr="001C21B0">
              <w:rPr>
                <w:rFonts w:cs="Calibri"/>
                <w:color w:val="000000" w:themeColor="text1"/>
                <w:spacing w:val="5"/>
                <w:sz w:val="18"/>
              </w:rPr>
              <w:t xml:space="preserve"> </w:t>
            </w:r>
            <w:r w:rsidRPr="001C21B0">
              <w:rPr>
                <w:rFonts w:cs="Calibri"/>
                <w:color w:val="000000" w:themeColor="text1"/>
                <w:sz w:val="18"/>
              </w:rPr>
              <w:t>flows</w:t>
            </w:r>
            <w:r w:rsidRPr="001C21B0">
              <w:rPr>
                <w:rFonts w:cs="Calibri"/>
                <w:color w:val="000000" w:themeColor="text1"/>
                <w:spacing w:val="5"/>
                <w:sz w:val="18"/>
              </w:rPr>
              <w:t xml:space="preserve"> </w:t>
            </w:r>
            <w:r w:rsidRPr="001C21B0">
              <w:rPr>
                <w:rFonts w:cs="Calibri"/>
                <w:color w:val="000000" w:themeColor="text1"/>
                <w:sz w:val="18"/>
              </w:rPr>
              <w:t>from/(used</w:t>
            </w:r>
            <w:r w:rsidRPr="001C21B0">
              <w:rPr>
                <w:rFonts w:cs="Calibri"/>
                <w:color w:val="000000" w:themeColor="text1"/>
                <w:spacing w:val="4"/>
                <w:sz w:val="18"/>
              </w:rPr>
              <w:t xml:space="preserve"> </w:t>
            </w:r>
            <w:r w:rsidRPr="001C21B0">
              <w:rPr>
                <w:rFonts w:cs="Calibri"/>
                <w:color w:val="000000" w:themeColor="text1"/>
                <w:sz w:val="18"/>
              </w:rPr>
              <w:t>in)</w:t>
            </w:r>
            <w:r w:rsidRPr="001C21B0">
              <w:rPr>
                <w:rFonts w:cs="Calibri"/>
                <w:color w:val="000000" w:themeColor="text1"/>
                <w:spacing w:val="5"/>
                <w:sz w:val="18"/>
              </w:rPr>
              <w:t xml:space="preserve"> </w:t>
            </w:r>
            <w:r w:rsidRPr="001C21B0">
              <w:rPr>
                <w:rFonts w:cs="Calibri"/>
                <w:color w:val="000000" w:themeColor="text1"/>
                <w:sz w:val="18"/>
              </w:rPr>
              <w:t>investing</w:t>
            </w:r>
            <w:r w:rsidRPr="001C21B0">
              <w:rPr>
                <w:rFonts w:cs="Calibri"/>
                <w:color w:val="000000" w:themeColor="text1"/>
                <w:spacing w:val="5"/>
                <w:sz w:val="18"/>
              </w:rPr>
              <w:t xml:space="preserve"> </w:t>
            </w:r>
            <w:r w:rsidRPr="001C21B0">
              <w:rPr>
                <w:rFonts w:cs="Calibri"/>
                <w:color w:val="000000" w:themeColor="text1"/>
                <w:spacing w:val="-2"/>
                <w:sz w:val="18"/>
              </w:rPr>
              <w:t>activities</w:t>
            </w:r>
          </w:p>
        </w:tc>
        <w:tc>
          <w:tcPr>
            <w:tcW w:w="1492" w:type="dxa"/>
            <w:tcBorders>
              <w:top w:val="single" w:sz="2" w:space="0" w:color="73777A"/>
              <w:left w:val="nil"/>
              <w:bottom w:val="single" w:sz="6" w:space="0" w:color="73777A"/>
              <w:right w:val="single" w:sz="8" w:space="0" w:color="FFFFFF"/>
            </w:tcBorders>
            <w:shd w:val="clear" w:color="auto" w:fill="FFF0E7"/>
            <w:tcMar>
              <w:right w:w="57" w:type="dxa"/>
            </w:tcMar>
          </w:tcPr>
          <w:p w14:paraId="1EB292A7" w14:textId="77777777" w:rsidR="00FA4226" w:rsidRPr="001C21B0" w:rsidRDefault="00000000" w:rsidP="0043303B">
            <w:pPr>
              <w:pStyle w:val="TableParagraph"/>
              <w:rPr>
                <w:rFonts w:cs="Calibri"/>
                <w:color w:val="000000" w:themeColor="text1"/>
                <w:sz w:val="18"/>
              </w:rPr>
            </w:pPr>
            <w:r w:rsidRPr="001C21B0">
              <w:rPr>
                <w:rFonts w:cs="Calibri"/>
                <w:color w:val="000000" w:themeColor="text1"/>
                <w:spacing w:val="-2"/>
                <w:sz w:val="18"/>
              </w:rPr>
              <w:t>(53,815)</w:t>
            </w:r>
          </w:p>
        </w:tc>
        <w:tc>
          <w:tcPr>
            <w:tcW w:w="1492" w:type="dxa"/>
            <w:tcBorders>
              <w:top w:val="single" w:sz="2" w:space="0" w:color="73777A"/>
              <w:left w:val="single" w:sz="8" w:space="0" w:color="FFFFFF"/>
              <w:bottom w:val="single" w:sz="6" w:space="0" w:color="73777A"/>
              <w:right w:val="nil"/>
            </w:tcBorders>
            <w:shd w:val="clear" w:color="auto" w:fill="EDEFF0"/>
            <w:tcMar>
              <w:right w:w="57" w:type="dxa"/>
            </w:tcMar>
          </w:tcPr>
          <w:p w14:paraId="43B0DFCB" w14:textId="77777777" w:rsidR="00FA4226" w:rsidRPr="001C21B0" w:rsidRDefault="00000000" w:rsidP="0043303B">
            <w:pPr>
              <w:pStyle w:val="TableParagraph"/>
              <w:rPr>
                <w:rFonts w:cs="Calibri"/>
                <w:color w:val="000000" w:themeColor="text1"/>
                <w:sz w:val="18"/>
              </w:rPr>
            </w:pPr>
            <w:r w:rsidRPr="001C21B0">
              <w:rPr>
                <w:rFonts w:cs="Calibri"/>
                <w:color w:val="000000" w:themeColor="text1"/>
                <w:sz w:val="18"/>
              </w:rPr>
              <w:t>-</w:t>
            </w:r>
          </w:p>
        </w:tc>
      </w:tr>
      <w:tr w:rsidR="001C21B0" w:rsidRPr="001C21B0" w14:paraId="354E0511" w14:textId="77777777" w:rsidTr="00BD4ABD">
        <w:trPr>
          <w:trHeight w:val="567"/>
        </w:trPr>
        <w:tc>
          <w:tcPr>
            <w:tcW w:w="6633" w:type="dxa"/>
            <w:tcBorders>
              <w:top w:val="single" w:sz="6" w:space="0" w:color="73777A"/>
              <w:left w:val="nil"/>
              <w:bottom w:val="single" w:sz="2" w:space="0" w:color="73777A"/>
              <w:right w:val="nil"/>
            </w:tcBorders>
            <w:tcMar>
              <w:right w:w="57" w:type="dxa"/>
            </w:tcMar>
          </w:tcPr>
          <w:p w14:paraId="00878095" w14:textId="77777777" w:rsidR="00FA4226" w:rsidRPr="001C21B0" w:rsidRDefault="00FA4226" w:rsidP="0043303B">
            <w:pPr>
              <w:pStyle w:val="TableParagraph"/>
              <w:spacing w:before="7"/>
              <w:jc w:val="left"/>
              <w:rPr>
                <w:rFonts w:cs="Calibri"/>
                <w:color w:val="000000" w:themeColor="text1"/>
                <w:sz w:val="20"/>
              </w:rPr>
            </w:pPr>
          </w:p>
          <w:p w14:paraId="695C9324" w14:textId="77777777" w:rsidR="00FA4226" w:rsidRPr="001C21B0" w:rsidRDefault="00000000" w:rsidP="0043303B">
            <w:pPr>
              <w:pStyle w:val="TableParagraph"/>
              <w:jc w:val="left"/>
              <w:rPr>
                <w:rFonts w:cs="Calibri"/>
                <w:color w:val="000000" w:themeColor="text1"/>
                <w:sz w:val="18"/>
              </w:rPr>
            </w:pPr>
            <w:r w:rsidRPr="001C21B0">
              <w:rPr>
                <w:rFonts w:cs="Calibri"/>
                <w:color w:val="000000" w:themeColor="text1"/>
                <w:sz w:val="18"/>
              </w:rPr>
              <w:t>Cash</w:t>
            </w:r>
            <w:r w:rsidRPr="001C21B0">
              <w:rPr>
                <w:rFonts w:cs="Calibri"/>
                <w:color w:val="000000" w:themeColor="text1"/>
                <w:spacing w:val="4"/>
                <w:sz w:val="18"/>
              </w:rPr>
              <w:t xml:space="preserve"> </w:t>
            </w:r>
            <w:r w:rsidRPr="001C21B0">
              <w:rPr>
                <w:rFonts w:cs="Calibri"/>
                <w:color w:val="000000" w:themeColor="text1"/>
                <w:sz w:val="18"/>
              </w:rPr>
              <w:t>flows</w:t>
            </w:r>
            <w:r w:rsidRPr="001C21B0">
              <w:rPr>
                <w:rFonts w:cs="Calibri"/>
                <w:color w:val="000000" w:themeColor="text1"/>
                <w:spacing w:val="6"/>
                <w:sz w:val="18"/>
              </w:rPr>
              <w:t xml:space="preserve"> </w:t>
            </w:r>
            <w:r w:rsidRPr="001C21B0">
              <w:rPr>
                <w:rFonts w:cs="Calibri"/>
                <w:color w:val="000000" w:themeColor="text1"/>
                <w:sz w:val="18"/>
              </w:rPr>
              <w:t>from</w:t>
            </w:r>
            <w:r w:rsidRPr="001C21B0">
              <w:rPr>
                <w:rFonts w:cs="Calibri"/>
                <w:color w:val="000000" w:themeColor="text1"/>
                <w:spacing w:val="6"/>
                <w:sz w:val="18"/>
              </w:rPr>
              <w:t xml:space="preserve"> </w:t>
            </w:r>
            <w:r w:rsidRPr="001C21B0">
              <w:rPr>
                <w:rFonts w:cs="Calibri"/>
                <w:color w:val="000000" w:themeColor="text1"/>
                <w:sz w:val="18"/>
              </w:rPr>
              <w:t>financing</w:t>
            </w:r>
            <w:r w:rsidRPr="001C21B0">
              <w:rPr>
                <w:rFonts w:cs="Calibri"/>
                <w:color w:val="000000" w:themeColor="text1"/>
                <w:spacing w:val="7"/>
                <w:sz w:val="18"/>
              </w:rPr>
              <w:t xml:space="preserve"> </w:t>
            </w:r>
            <w:r w:rsidRPr="001C21B0">
              <w:rPr>
                <w:rFonts w:cs="Calibri"/>
                <w:color w:val="000000" w:themeColor="text1"/>
                <w:spacing w:val="-2"/>
                <w:sz w:val="18"/>
              </w:rPr>
              <w:t>activities</w:t>
            </w:r>
          </w:p>
        </w:tc>
        <w:tc>
          <w:tcPr>
            <w:tcW w:w="1492" w:type="dxa"/>
            <w:tcBorders>
              <w:top w:val="single" w:sz="6" w:space="0" w:color="73777A"/>
              <w:left w:val="nil"/>
              <w:bottom w:val="single" w:sz="2" w:space="0" w:color="73777A"/>
              <w:right w:val="single" w:sz="8" w:space="0" w:color="FFFFFF"/>
            </w:tcBorders>
            <w:shd w:val="clear" w:color="auto" w:fill="FFF0E7"/>
            <w:tcMar>
              <w:right w:w="57" w:type="dxa"/>
            </w:tcMar>
          </w:tcPr>
          <w:p w14:paraId="1F85C311" w14:textId="77777777" w:rsidR="00FA4226" w:rsidRPr="001C21B0" w:rsidRDefault="00FA4226" w:rsidP="0043303B">
            <w:pPr>
              <w:pStyle w:val="TableParagraph"/>
              <w:jc w:val="left"/>
              <w:rPr>
                <w:rFonts w:cs="Calibri"/>
                <w:color w:val="000000" w:themeColor="text1"/>
                <w:sz w:val="16"/>
              </w:rPr>
            </w:pPr>
          </w:p>
        </w:tc>
        <w:tc>
          <w:tcPr>
            <w:tcW w:w="1492" w:type="dxa"/>
            <w:tcBorders>
              <w:top w:val="single" w:sz="6" w:space="0" w:color="73777A"/>
              <w:left w:val="single" w:sz="8" w:space="0" w:color="FFFFFF"/>
              <w:bottom w:val="single" w:sz="2" w:space="0" w:color="73777A"/>
              <w:right w:val="nil"/>
            </w:tcBorders>
            <w:shd w:val="clear" w:color="auto" w:fill="EDEFF0"/>
            <w:tcMar>
              <w:right w:w="57" w:type="dxa"/>
            </w:tcMar>
          </w:tcPr>
          <w:p w14:paraId="69993332" w14:textId="77777777" w:rsidR="00FA4226" w:rsidRPr="001C21B0" w:rsidRDefault="00FA4226" w:rsidP="0043303B">
            <w:pPr>
              <w:pStyle w:val="TableParagraph"/>
              <w:jc w:val="left"/>
              <w:rPr>
                <w:rFonts w:cs="Calibri"/>
                <w:color w:val="000000" w:themeColor="text1"/>
                <w:sz w:val="16"/>
              </w:rPr>
            </w:pPr>
          </w:p>
        </w:tc>
      </w:tr>
      <w:tr w:rsidR="001C21B0" w:rsidRPr="001C21B0" w14:paraId="196C24F7" w14:textId="77777777" w:rsidTr="00BD4ABD">
        <w:trPr>
          <w:trHeight w:val="283"/>
        </w:trPr>
        <w:tc>
          <w:tcPr>
            <w:tcW w:w="6633" w:type="dxa"/>
            <w:tcBorders>
              <w:top w:val="single" w:sz="2" w:space="0" w:color="73777A"/>
              <w:left w:val="nil"/>
              <w:bottom w:val="single" w:sz="2" w:space="0" w:color="73777A"/>
              <w:right w:val="nil"/>
            </w:tcBorders>
            <w:tcMar>
              <w:right w:w="57" w:type="dxa"/>
            </w:tcMar>
          </w:tcPr>
          <w:p w14:paraId="0D253957" w14:textId="77777777" w:rsidR="00FA4226" w:rsidRPr="001C21B0" w:rsidRDefault="00000000" w:rsidP="0043303B">
            <w:pPr>
              <w:pStyle w:val="TableParagraph"/>
              <w:jc w:val="left"/>
              <w:rPr>
                <w:rFonts w:cs="Calibri"/>
                <w:color w:val="000000" w:themeColor="text1"/>
                <w:sz w:val="10"/>
              </w:rPr>
            </w:pPr>
            <w:r w:rsidRPr="001C21B0">
              <w:rPr>
                <w:rFonts w:cs="Calibri"/>
                <w:color w:val="000000" w:themeColor="text1"/>
                <w:sz w:val="18"/>
              </w:rPr>
              <w:t>Repayment</w:t>
            </w:r>
            <w:r w:rsidRPr="001C21B0">
              <w:rPr>
                <w:rFonts w:cs="Calibri"/>
                <w:color w:val="000000" w:themeColor="text1"/>
                <w:spacing w:val="3"/>
                <w:sz w:val="18"/>
              </w:rPr>
              <w:t xml:space="preserve"> </w:t>
            </w:r>
            <w:r w:rsidRPr="001C21B0">
              <w:rPr>
                <w:rFonts w:cs="Calibri"/>
                <w:color w:val="000000" w:themeColor="text1"/>
                <w:sz w:val="18"/>
              </w:rPr>
              <w:t>of</w:t>
            </w:r>
            <w:r w:rsidRPr="001C21B0">
              <w:rPr>
                <w:rFonts w:cs="Calibri"/>
                <w:color w:val="000000" w:themeColor="text1"/>
                <w:spacing w:val="6"/>
                <w:sz w:val="18"/>
              </w:rPr>
              <w:t xml:space="preserve"> </w:t>
            </w:r>
            <w:r w:rsidRPr="001C21B0">
              <w:rPr>
                <w:rFonts w:cs="Calibri"/>
                <w:color w:val="000000" w:themeColor="text1"/>
                <w:sz w:val="18"/>
              </w:rPr>
              <w:t>leases</w:t>
            </w:r>
            <w:r w:rsidRPr="001C21B0">
              <w:rPr>
                <w:rFonts w:cs="Calibri"/>
                <w:color w:val="000000" w:themeColor="text1"/>
                <w:spacing w:val="6"/>
                <w:sz w:val="18"/>
              </w:rPr>
              <w:t xml:space="preserve"> </w:t>
            </w:r>
            <w:r w:rsidRPr="001C21B0">
              <w:rPr>
                <w:rFonts w:cs="Calibri"/>
                <w:color w:val="000000" w:themeColor="text1"/>
                <w:spacing w:val="-5"/>
                <w:position w:val="6"/>
                <w:sz w:val="10"/>
              </w:rPr>
              <w:t>(i)</w:t>
            </w:r>
          </w:p>
        </w:tc>
        <w:tc>
          <w:tcPr>
            <w:tcW w:w="1492" w:type="dxa"/>
            <w:tcBorders>
              <w:top w:val="single" w:sz="2" w:space="0" w:color="73777A"/>
              <w:left w:val="nil"/>
              <w:bottom w:val="single" w:sz="2" w:space="0" w:color="73777A"/>
              <w:right w:val="single" w:sz="8" w:space="0" w:color="FFFFFF"/>
            </w:tcBorders>
            <w:shd w:val="clear" w:color="auto" w:fill="FFF0E7"/>
            <w:tcMar>
              <w:right w:w="57" w:type="dxa"/>
            </w:tcMar>
          </w:tcPr>
          <w:p w14:paraId="6815821D" w14:textId="77777777" w:rsidR="00FA4226" w:rsidRPr="001C21B0" w:rsidRDefault="00000000" w:rsidP="0043303B">
            <w:pPr>
              <w:pStyle w:val="TableParagraph"/>
              <w:rPr>
                <w:rFonts w:cs="Calibri"/>
                <w:color w:val="000000" w:themeColor="text1"/>
                <w:sz w:val="18"/>
              </w:rPr>
            </w:pPr>
            <w:r w:rsidRPr="001C21B0">
              <w:rPr>
                <w:rFonts w:cs="Calibri"/>
                <w:color w:val="000000" w:themeColor="text1"/>
                <w:spacing w:val="-2"/>
                <w:sz w:val="18"/>
              </w:rPr>
              <w:t>(362,853)</w:t>
            </w:r>
          </w:p>
        </w:tc>
        <w:tc>
          <w:tcPr>
            <w:tcW w:w="1492" w:type="dxa"/>
            <w:tcBorders>
              <w:top w:val="single" w:sz="2" w:space="0" w:color="73777A"/>
              <w:left w:val="single" w:sz="8" w:space="0" w:color="FFFFFF"/>
              <w:bottom w:val="single" w:sz="2" w:space="0" w:color="73777A"/>
              <w:right w:val="nil"/>
            </w:tcBorders>
            <w:shd w:val="clear" w:color="auto" w:fill="EDEFF0"/>
            <w:tcMar>
              <w:right w:w="57" w:type="dxa"/>
            </w:tcMar>
          </w:tcPr>
          <w:p w14:paraId="1C2D85A1" w14:textId="77777777" w:rsidR="00FA4226" w:rsidRPr="001C21B0" w:rsidRDefault="00000000" w:rsidP="0043303B">
            <w:pPr>
              <w:pStyle w:val="TableParagraph"/>
              <w:rPr>
                <w:rFonts w:cs="Calibri"/>
                <w:color w:val="000000" w:themeColor="text1"/>
                <w:sz w:val="18"/>
              </w:rPr>
            </w:pPr>
            <w:r w:rsidRPr="001C21B0">
              <w:rPr>
                <w:rFonts w:cs="Calibri"/>
                <w:color w:val="000000" w:themeColor="text1"/>
                <w:spacing w:val="-2"/>
                <w:sz w:val="18"/>
              </w:rPr>
              <w:t>(336,038)</w:t>
            </w:r>
          </w:p>
        </w:tc>
      </w:tr>
      <w:tr w:rsidR="001C21B0" w:rsidRPr="001C21B0" w14:paraId="26DDDD5A" w14:textId="77777777" w:rsidTr="00BD4ABD">
        <w:trPr>
          <w:trHeight w:val="278"/>
        </w:trPr>
        <w:tc>
          <w:tcPr>
            <w:tcW w:w="6633" w:type="dxa"/>
            <w:tcBorders>
              <w:top w:val="single" w:sz="2" w:space="0" w:color="73777A"/>
              <w:left w:val="nil"/>
              <w:bottom w:val="single" w:sz="6" w:space="0" w:color="73777A"/>
              <w:right w:val="nil"/>
            </w:tcBorders>
            <w:tcMar>
              <w:right w:w="57" w:type="dxa"/>
            </w:tcMar>
          </w:tcPr>
          <w:p w14:paraId="64D2E966" w14:textId="77777777" w:rsidR="00FA4226" w:rsidRPr="001C21B0" w:rsidRDefault="00000000" w:rsidP="0043303B">
            <w:pPr>
              <w:pStyle w:val="TableParagraph"/>
              <w:jc w:val="left"/>
              <w:rPr>
                <w:rFonts w:cs="Calibri"/>
                <w:color w:val="000000" w:themeColor="text1"/>
                <w:sz w:val="10"/>
              </w:rPr>
            </w:pPr>
            <w:r w:rsidRPr="001C21B0">
              <w:rPr>
                <w:rFonts w:cs="Calibri"/>
                <w:color w:val="000000" w:themeColor="text1"/>
                <w:sz w:val="18"/>
              </w:rPr>
              <w:t>Net</w:t>
            </w:r>
            <w:r w:rsidRPr="001C21B0">
              <w:rPr>
                <w:rFonts w:cs="Calibri"/>
                <w:color w:val="000000" w:themeColor="text1"/>
                <w:spacing w:val="4"/>
                <w:sz w:val="18"/>
              </w:rPr>
              <w:t xml:space="preserve"> </w:t>
            </w:r>
            <w:r w:rsidRPr="001C21B0">
              <w:rPr>
                <w:rFonts w:cs="Calibri"/>
                <w:color w:val="000000" w:themeColor="text1"/>
                <w:sz w:val="18"/>
              </w:rPr>
              <w:t>cash</w:t>
            </w:r>
            <w:r w:rsidRPr="001C21B0">
              <w:rPr>
                <w:rFonts w:cs="Calibri"/>
                <w:color w:val="000000" w:themeColor="text1"/>
                <w:spacing w:val="7"/>
                <w:sz w:val="18"/>
              </w:rPr>
              <w:t xml:space="preserve"> </w:t>
            </w:r>
            <w:r w:rsidRPr="001C21B0">
              <w:rPr>
                <w:rFonts w:cs="Calibri"/>
                <w:color w:val="000000" w:themeColor="text1"/>
                <w:sz w:val="18"/>
              </w:rPr>
              <w:t>flows</w:t>
            </w:r>
            <w:r w:rsidRPr="001C21B0">
              <w:rPr>
                <w:rFonts w:cs="Calibri"/>
                <w:color w:val="000000" w:themeColor="text1"/>
                <w:spacing w:val="6"/>
                <w:sz w:val="18"/>
              </w:rPr>
              <w:t xml:space="preserve"> </w:t>
            </w:r>
            <w:r w:rsidRPr="001C21B0">
              <w:rPr>
                <w:rFonts w:cs="Calibri"/>
                <w:color w:val="000000" w:themeColor="text1"/>
                <w:sz w:val="18"/>
              </w:rPr>
              <w:t>from/(used</w:t>
            </w:r>
            <w:r w:rsidRPr="001C21B0">
              <w:rPr>
                <w:rFonts w:cs="Calibri"/>
                <w:color w:val="000000" w:themeColor="text1"/>
                <w:spacing w:val="7"/>
                <w:sz w:val="18"/>
              </w:rPr>
              <w:t xml:space="preserve"> </w:t>
            </w:r>
            <w:r w:rsidRPr="001C21B0">
              <w:rPr>
                <w:rFonts w:cs="Calibri"/>
                <w:color w:val="000000" w:themeColor="text1"/>
                <w:sz w:val="18"/>
              </w:rPr>
              <w:t>in)</w:t>
            </w:r>
            <w:r w:rsidRPr="001C21B0">
              <w:rPr>
                <w:rFonts w:cs="Calibri"/>
                <w:color w:val="000000" w:themeColor="text1"/>
                <w:spacing w:val="6"/>
                <w:sz w:val="18"/>
              </w:rPr>
              <w:t xml:space="preserve"> </w:t>
            </w:r>
            <w:r w:rsidRPr="001C21B0">
              <w:rPr>
                <w:rFonts w:cs="Calibri"/>
                <w:color w:val="000000" w:themeColor="text1"/>
                <w:sz w:val="18"/>
              </w:rPr>
              <w:t>financing</w:t>
            </w:r>
            <w:r w:rsidRPr="001C21B0">
              <w:rPr>
                <w:rFonts w:cs="Calibri"/>
                <w:color w:val="000000" w:themeColor="text1"/>
                <w:spacing w:val="7"/>
                <w:sz w:val="18"/>
              </w:rPr>
              <w:t xml:space="preserve"> </w:t>
            </w:r>
            <w:r w:rsidRPr="001C21B0">
              <w:rPr>
                <w:rFonts w:cs="Calibri"/>
                <w:color w:val="000000" w:themeColor="text1"/>
                <w:sz w:val="18"/>
              </w:rPr>
              <w:t>activities</w:t>
            </w:r>
            <w:r w:rsidRPr="001C21B0">
              <w:rPr>
                <w:rFonts w:cs="Calibri"/>
                <w:color w:val="000000" w:themeColor="text1"/>
                <w:spacing w:val="7"/>
                <w:sz w:val="18"/>
              </w:rPr>
              <w:t xml:space="preserve"> </w:t>
            </w:r>
            <w:r w:rsidRPr="001C21B0">
              <w:rPr>
                <w:rFonts w:cs="Calibri"/>
                <w:color w:val="000000" w:themeColor="text1"/>
                <w:spacing w:val="-5"/>
                <w:position w:val="6"/>
                <w:sz w:val="10"/>
              </w:rPr>
              <w:t>(i)</w:t>
            </w:r>
          </w:p>
        </w:tc>
        <w:tc>
          <w:tcPr>
            <w:tcW w:w="1492" w:type="dxa"/>
            <w:tcBorders>
              <w:top w:val="single" w:sz="2" w:space="0" w:color="73777A"/>
              <w:left w:val="nil"/>
              <w:bottom w:val="single" w:sz="6" w:space="0" w:color="73777A"/>
              <w:right w:val="single" w:sz="8" w:space="0" w:color="FFFFFF"/>
            </w:tcBorders>
            <w:shd w:val="clear" w:color="auto" w:fill="FFF0E7"/>
            <w:tcMar>
              <w:right w:w="57" w:type="dxa"/>
            </w:tcMar>
          </w:tcPr>
          <w:p w14:paraId="0A50EDD0" w14:textId="77777777" w:rsidR="00FA4226" w:rsidRPr="001C21B0" w:rsidRDefault="00000000" w:rsidP="0043303B">
            <w:pPr>
              <w:pStyle w:val="TableParagraph"/>
              <w:rPr>
                <w:rFonts w:cs="Calibri"/>
                <w:color w:val="000000" w:themeColor="text1"/>
                <w:sz w:val="18"/>
              </w:rPr>
            </w:pPr>
            <w:r w:rsidRPr="001C21B0">
              <w:rPr>
                <w:rFonts w:cs="Calibri"/>
                <w:color w:val="000000" w:themeColor="text1"/>
                <w:spacing w:val="-2"/>
                <w:sz w:val="18"/>
              </w:rPr>
              <w:t>(362,853)</w:t>
            </w:r>
          </w:p>
        </w:tc>
        <w:tc>
          <w:tcPr>
            <w:tcW w:w="1492" w:type="dxa"/>
            <w:tcBorders>
              <w:top w:val="single" w:sz="2" w:space="0" w:color="73777A"/>
              <w:left w:val="single" w:sz="8" w:space="0" w:color="FFFFFF"/>
              <w:bottom w:val="single" w:sz="6" w:space="0" w:color="73777A"/>
              <w:right w:val="nil"/>
            </w:tcBorders>
            <w:shd w:val="clear" w:color="auto" w:fill="EDEFF0"/>
            <w:tcMar>
              <w:right w:w="57" w:type="dxa"/>
            </w:tcMar>
          </w:tcPr>
          <w:p w14:paraId="5DBFEC6C" w14:textId="77777777" w:rsidR="00FA4226" w:rsidRPr="001C21B0" w:rsidRDefault="00000000" w:rsidP="0043303B">
            <w:pPr>
              <w:pStyle w:val="TableParagraph"/>
              <w:rPr>
                <w:rFonts w:cs="Calibri"/>
                <w:color w:val="000000" w:themeColor="text1"/>
                <w:sz w:val="18"/>
              </w:rPr>
            </w:pPr>
            <w:r w:rsidRPr="001C21B0">
              <w:rPr>
                <w:rFonts w:cs="Calibri"/>
                <w:color w:val="000000" w:themeColor="text1"/>
                <w:spacing w:val="-2"/>
                <w:sz w:val="18"/>
              </w:rPr>
              <w:t>(336,038)</w:t>
            </w:r>
          </w:p>
        </w:tc>
      </w:tr>
      <w:tr w:rsidR="001C21B0" w:rsidRPr="001C21B0" w14:paraId="0E49100E" w14:textId="77777777" w:rsidTr="00BD4ABD">
        <w:trPr>
          <w:trHeight w:val="567"/>
        </w:trPr>
        <w:tc>
          <w:tcPr>
            <w:tcW w:w="6633" w:type="dxa"/>
            <w:tcBorders>
              <w:top w:val="single" w:sz="6" w:space="0" w:color="73777A"/>
              <w:left w:val="nil"/>
              <w:bottom w:val="single" w:sz="2" w:space="0" w:color="73777A"/>
              <w:right w:val="nil"/>
            </w:tcBorders>
            <w:tcMar>
              <w:right w:w="57" w:type="dxa"/>
            </w:tcMar>
          </w:tcPr>
          <w:p w14:paraId="288191AD" w14:textId="77777777" w:rsidR="00FA4226" w:rsidRPr="001C21B0" w:rsidRDefault="00FA4226" w:rsidP="0043303B">
            <w:pPr>
              <w:pStyle w:val="TableParagraph"/>
              <w:spacing w:before="7"/>
              <w:jc w:val="left"/>
              <w:rPr>
                <w:rFonts w:cs="Calibri"/>
                <w:color w:val="000000" w:themeColor="text1"/>
                <w:sz w:val="20"/>
              </w:rPr>
            </w:pPr>
          </w:p>
          <w:p w14:paraId="0DBE545F" w14:textId="77777777" w:rsidR="00FA4226" w:rsidRPr="001C21B0" w:rsidRDefault="00000000" w:rsidP="0043303B">
            <w:pPr>
              <w:pStyle w:val="TableParagraph"/>
              <w:jc w:val="left"/>
              <w:rPr>
                <w:rFonts w:cs="Calibri"/>
                <w:color w:val="000000" w:themeColor="text1"/>
                <w:sz w:val="18"/>
              </w:rPr>
            </w:pPr>
            <w:r w:rsidRPr="001C21B0">
              <w:rPr>
                <w:rFonts w:cs="Calibri"/>
                <w:color w:val="000000" w:themeColor="text1"/>
                <w:sz w:val="18"/>
              </w:rPr>
              <w:t>Net</w:t>
            </w:r>
            <w:r w:rsidRPr="001C21B0">
              <w:rPr>
                <w:rFonts w:cs="Calibri"/>
                <w:color w:val="000000" w:themeColor="text1"/>
                <w:spacing w:val="5"/>
                <w:sz w:val="18"/>
              </w:rPr>
              <w:t xml:space="preserve"> </w:t>
            </w:r>
            <w:r w:rsidRPr="001C21B0">
              <w:rPr>
                <w:rFonts w:cs="Calibri"/>
                <w:color w:val="000000" w:themeColor="text1"/>
                <w:sz w:val="18"/>
              </w:rPr>
              <w:t>increase/(decrease)</w:t>
            </w:r>
            <w:r w:rsidRPr="001C21B0">
              <w:rPr>
                <w:rFonts w:cs="Calibri"/>
                <w:color w:val="000000" w:themeColor="text1"/>
                <w:spacing w:val="7"/>
                <w:sz w:val="18"/>
              </w:rPr>
              <w:t xml:space="preserve"> </w:t>
            </w:r>
            <w:r w:rsidRPr="001C21B0">
              <w:rPr>
                <w:rFonts w:cs="Calibri"/>
                <w:color w:val="000000" w:themeColor="text1"/>
                <w:sz w:val="18"/>
              </w:rPr>
              <w:t>in</w:t>
            </w:r>
            <w:r w:rsidRPr="001C21B0">
              <w:rPr>
                <w:rFonts w:cs="Calibri"/>
                <w:color w:val="000000" w:themeColor="text1"/>
                <w:spacing w:val="6"/>
                <w:sz w:val="18"/>
              </w:rPr>
              <w:t xml:space="preserve"> </w:t>
            </w:r>
            <w:r w:rsidRPr="001C21B0">
              <w:rPr>
                <w:rFonts w:cs="Calibri"/>
                <w:color w:val="000000" w:themeColor="text1"/>
                <w:sz w:val="18"/>
              </w:rPr>
              <w:t>cash</w:t>
            </w:r>
            <w:r w:rsidRPr="001C21B0">
              <w:rPr>
                <w:rFonts w:cs="Calibri"/>
                <w:color w:val="000000" w:themeColor="text1"/>
                <w:spacing w:val="8"/>
                <w:sz w:val="18"/>
              </w:rPr>
              <w:t xml:space="preserve"> </w:t>
            </w:r>
            <w:r w:rsidRPr="001C21B0">
              <w:rPr>
                <w:rFonts w:cs="Calibri"/>
                <w:color w:val="000000" w:themeColor="text1"/>
                <w:sz w:val="18"/>
              </w:rPr>
              <w:t>and</w:t>
            </w:r>
            <w:r w:rsidRPr="001C21B0">
              <w:rPr>
                <w:rFonts w:cs="Calibri"/>
                <w:color w:val="000000" w:themeColor="text1"/>
                <w:spacing w:val="7"/>
                <w:sz w:val="18"/>
              </w:rPr>
              <w:t xml:space="preserve"> </w:t>
            </w:r>
            <w:r w:rsidRPr="001C21B0">
              <w:rPr>
                <w:rFonts w:cs="Calibri"/>
                <w:color w:val="000000" w:themeColor="text1"/>
                <w:sz w:val="18"/>
              </w:rPr>
              <w:t>cash</w:t>
            </w:r>
            <w:r w:rsidRPr="001C21B0">
              <w:rPr>
                <w:rFonts w:cs="Calibri"/>
                <w:color w:val="000000" w:themeColor="text1"/>
                <w:spacing w:val="8"/>
                <w:sz w:val="18"/>
              </w:rPr>
              <w:t xml:space="preserve"> </w:t>
            </w:r>
            <w:r w:rsidRPr="001C21B0">
              <w:rPr>
                <w:rFonts w:cs="Calibri"/>
                <w:color w:val="000000" w:themeColor="text1"/>
                <w:spacing w:val="-2"/>
                <w:sz w:val="18"/>
              </w:rPr>
              <w:t>equivalents</w:t>
            </w:r>
          </w:p>
        </w:tc>
        <w:tc>
          <w:tcPr>
            <w:tcW w:w="1492" w:type="dxa"/>
            <w:tcBorders>
              <w:top w:val="single" w:sz="6" w:space="0" w:color="73777A"/>
              <w:left w:val="nil"/>
              <w:bottom w:val="single" w:sz="2" w:space="0" w:color="73777A"/>
              <w:right w:val="single" w:sz="8" w:space="0" w:color="FFFFFF"/>
            </w:tcBorders>
            <w:shd w:val="clear" w:color="auto" w:fill="FFF0E7"/>
            <w:tcMar>
              <w:right w:w="57" w:type="dxa"/>
            </w:tcMar>
          </w:tcPr>
          <w:p w14:paraId="59B76EAB" w14:textId="77777777" w:rsidR="00FA4226" w:rsidRPr="001C21B0" w:rsidRDefault="00FA4226" w:rsidP="0043303B">
            <w:pPr>
              <w:pStyle w:val="TableParagraph"/>
              <w:spacing w:before="7"/>
              <w:jc w:val="left"/>
              <w:rPr>
                <w:rFonts w:cs="Calibri"/>
                <w:color w:val="000000" w:themeColor="text1"/>
                <w:sz w:val="20"/>
              </w:rPr>
            </w:pPr>
          </w:p>
          <w:p w14:paraId="6D1D6BC3" w14:textId="77777777" w:rsidR="00FA4226" w:rsidRPr="001C21B0" w:rsidRDefault="00000000" w:rsidP="0043303B">
            <w:pPr>
              <w:pStyle w:val="TableParagraph"/>
              <w:rPr>
                <w:rFonts w:cs="Calibri"/>
                <w:color w:val="000000" w:themeColor="text1"/>
                <w:sz w:val="18"/>
              </w:rPr>
            </w:pPr>
            <w:r w:rsidRPr="001C21B0">
              <w:rPr>
                <w:rFonts w:cs="Calibri"/>
                <w:color w:val="000000" w:themeColor="text1"/>
                <w:sz w:val="18"/>
              </w:rPr>
              <w:t>-</w:t>
            </w:r>
          </w:p>
        </w:tc>
        <w:tc>
          <w:tcPr>
            <w:tcW w:w="1492" w:type="dxa"/>
            <w:tcBorders>
              <w:top w:val="single" w:sz="6" w:space="0" w:color="73777A"/>
              <w:left w:val="single" w:sz="8" w:space="0" w:color="FFFFFF"/>
              <w:bottom w:val="single" w:sz="2" w:space="0" w:color="73777A"/>
              <w:right w:val="nil"/>
            </w:tcBorders>
            <w:shd w:val="clear" w:color="auto" w:fill="EDEFF0"/>
            <w:tcMar>
              <w:right w:w="57" w:type="dxa"/>
            </w:tcMar>
          </w:tcPr>
          <w:p w14:paraId="1CBC0949" w14:textId="77777777" w:rsidR="00FA4226" w:rsidRPr="001C21B0" w:rsidRDefault="00FA4226" w:rsidP="0043303B">
            <w:pPr>
              <w:pStyle w:val="TableParagraph"/>
              <w:spacing w:before="7"/>
              <w:jc w:val="left"/>
              <w:rPr>
                <w:rFonts w:cs="Calibri"/>
                <w:color w:val="000000" w:themeColor="text1"/>
                <w:sz w:val="20"/>
              </w:rPr>
            </w:pPr>
          </w:p>
          <w:p w14:paraId="74BCE924" w14:textId="77777777" w:rsidR="00FA4226" w:rsidRPr="001C21B0" w:rsidRDefault="00000000" w:rsidP="0043303B">
            <w:pPr>
              <w:pStyle w:val="TableParagraph"/>
              <w:rPr>
                <w:rFonts w:cs="Calibri"/>
                <w:color w:val="000000" w:themeColor="text1"/>
                <w:sz w:val="18"/>
              </w:rPr>
            </w:pPr>
            <w:r w:rsidRPr="001C21B0">
              <w:rPr>
                <w:rFonts w:cs="Calibri"/>
                <w:color w:val="000000" w:themeColor="text1"/>
                <w:sz w:val="18"/>
              </w:rPr>
              <w:t>-</w:t>
            </w:r>
          </w:p>
        </w:tc>
      </w:tr>
      <w:tr w:rsidR="001C21B0" w:rsidRPr="001C21B0" w14:paraId="587972E4" w14:textId="77777777" w:rsidTr="00BD4ABD">
        <w:trPr>
          <w:trHeight w:val="283"/>
        </w:trPr>
        <w:tc>
          <w:tcPr>
            <w:tcW w:w="6633" w:type="dxa"/>
            <w:tcBorders>
              <w:top w:val="single" w:sz="2" w:space="0" w:color="73777A"/>
              <w:left w:val="nil"/>
              <w:bottom w:val="single" w:sz="2" w:space="0" w:color="73777A"/>
              <w:right w:val="nil"/>
            </w:tcBorders>
            <w:tcMar>
              <w:right w:w="57" w:type="dxa"/>
            </w:tcMar>
          </w:tcPr>
          <w:p w14:paraId="23F993DF" w14:textId="77777777" w:rsidR="00FA4226" w:rsidRPr="001C21B0" w:rsidRDefault="00000000" w:rsidP="0043303B">
            <w:pPr>
              <w:pStyle w:val="TableParagraph"/>
              <w:jc w:val="left"/>
              <w:rPr>
                <w:rFonts w:cs="Calibri"/>
                <w:color w:val="000000" w:themeColor="text1"/>
                <w:sz w:val="18"/>
              </w:rPr>
            </w:pPr>
            <w:r w:rsidRPr="001C21B0">
              <w:rPr>
                <w:rFonts w:cs="Calibri"/>
                <w:color w:val="000000" w:themeColor="text1"/>
                <w:sz w:val="18"/>
              </w:rPr>
              <w:t>Cash</w:t>
            </w:r>
            <w:r w:rsidRPr="001C21B0">
              <w:rPr>
                <w:rFonts w:cs="Calibri"/>
                <w:color w:val="000000" w:themeColor="text1"/>
                <w:spacing w:val="3"/>
                <w:sz w:val="18"/>
              </w:rPr>
              <w:t xml:space="preserve"> </w:t>
            </w:r>
            <w:r w:rsidRPr="001C21B0">
              <w:rPr>
                <w:rFonts w:cs="Calibri"/>
                <w:color w:val="000000" w:themeColor="text1"/>
                <w:sz w:val="18"/>
              </w:rPr>
              <w:t>and</w:t>
            </w:r>
            <w:r w:rsidRPr="001C21B0">
              <w:rPr>
                <w:rFonts w:cs="Calibri"/>
                <w:color w:val="000000" w:themeColor="text1"/>
                <w:spacing w:val="5"/>
                <w:sz w:val="18"/>
              </w:rPr>
              <w:t xml:space="preserve"> </w:t>
            </w:r>
            <w:r w:rsidRPr="001C21B0">
              <w:rPr>
                <w:rFonts w:cs="Calibri"/>
                <w:color w:val="000000" w:themeColor="text1"/>
                <w:sz w:val="18"/>
              </w:rPr>
              <w:t>cash</w:t>
            </w:r>
            <w:r w:rsidRPr="001C21B0">
              <w:rPr>
                <w:rFonts w:cs="Calibri"/>
                <w:color w:val="000000" w:themeColor="text1"/>
                <w:spacing w:val="5"/>
                <w:sz w:val="18"/>
              </w:rPr>
              <w:t xml:space="preserve"> </w:t>
            </w:r>
            <w:r w:rsidRPr="001C21B0">
              <w:rPr>
                <w:rFonts w:cs="Calibri"/>
                <w:color w:val="000000" w:themeColor="text1"/>
                <w:sz w:val="18"/>
              </w:rPr>
              <w:t>equivalents</w:t>
            </w:r>
            <w:r w:rsidRPr="001C21B0">
              <w:rPr>
                <w:rFonts w:cs="Calibri"/>
                <w:color w:val="000000" w:themeColor="text1"/>
                <w:spacing w:val="5"/>
                <w:sz w:val="18"/>
              </w:rPr>
              <w:t xml:space="preserve"> </w:t>
            </w:r>
            <w:r w:rsidRPr="001C21B0">
              <w:rPr>
                <w:rFonts w:cs="Calibri"/>
                <w:color w:val="000000" w:themeColor="text1"/>
                <w:sz w:val="18"/>
              </w:rPr>
              <w:t>at</w:t>
            </w:r>
            <w:r w:rsidRPr="001C21B0">
              <w:rPr>
                <w:rFonts w:cs="Calibri"/>
                <w:color w:val="000000" w:themeColor="text1"/>
                <w:spacing w:val="5"/>
                <w:sz w:val="18"/>
              </w:rPr>
              <w:t xml:space="preserve"> </w:t>
            </w:r>
            <w:r w:rsidRPr="001C21B0">
              <w:rPr>
                <w:rFonts w:cs="Calibri"/>
                <w:color w:val="000000" w:themeColor="text1"/>
                <w:sz w:val="18"/>
              </w:rPr>
              <w:t>beginning</w:t>
            </w:r>
            <w:r w:rsidRPr="001C21B0">
              <w:rPr>
                <w:rFonts w:cs="Calibri"/>
                <w:color w:val="000000" w:themeColor="text1"/>
                <w:spacing w:val="5"/>
                <w:sz w:val="18"/>
              </w:rPr>
              <w:t xml:space="preserve"> </w:t>
            </w:r>
            <w:r w:rsidRPr="001C21B0">
              <w:rPr>
                <w:rFonts w:cs="Calibri"/>
                <w:color w:val="000000" w:themeColor="text1"/>
                <w:sz w:val="18"/>
              </w:rPr>
              <w:t>of</w:t>
            </w:r>
            <w:r w:rsidRPr="001C21B0">
              <w:rPr>
                <w:rFonts w:cs="Calibri"/>
                <w:color w:val="000000" w:themeColor="text1"/>
                <w:spacing w:val="5"/>
                <w:sz w:val="18"/>
              </w:rPr>
              <w:t xml:space="preserve"> </w:t>
            </w:r>
            <w:r w:rsidRPr="001C21B0">
              <w:rPr>
                <w:rFonts w:cs="Calibri"/>
                <w:color w:val="000000" w:themeColor="text1"/>
                <w:sz w:val="18"/>
              </w:rPr>
              <w:t>financial</w:t>
            </w:r>
            <w:r w:rsidRPr="001C21B0">
              <w:rPr>
                <w:rFonts w:cs="Calibri"/>
                <w:color w:val="000000" w:themeColor="text1"/>
                <w:spacing w:val="6"/>
                <w:sz w:val="18"/>
              </w:rPr>
              <w:t xml:space="preserve"> </w:t>
            </w:r>
            <w:r w:rsidRPr="001C21B0">
              <w:rPr>
                <w:rFonts w:cs="Calibri"/>
                <w:color w:val="000000" w:themeColor="text1"/>
                <w:spacing w:val="-4"/>
                <w:sz w:val="18"/>
              </w:rPr>
              <w:t>year</w:t>
            </w:r>
          </w:p>
        </w:tc>
        <w:tc>
          <w:tcPr>
            <w:tcW w:w="1492" w:type="dxa"/>
            <w:tcBorders>
              <w:top w:val="single" w:sz="2" w:space="0" w:color="73777A"/>
              <w:left w:val="nil"/>
              <w:bottom w:val="single" w:sz="2" w:space="0" w:color="73777A"/>
              <w:right w:val="single" w:sz="8" w:space="0" w:color="FFFFFF"/>
            </w:tcBorders>
            <w:shd w:val="clear" w:color="auto" w:fill="FFF0E7"/>
            <w:tcMar>
              <w:right w:w="57" w:type="dxa"/>
            </w:tcMar>
          </w:tcPr>
          <w:p w14:paraId="38AAA0FD" w14:textId="77777777" w:rsidR="00FA4226" w:rsidRPr="001C21B0" w:rsidRDefault="00000000" w:rsidP="0043303B">
            <w:pPr>
              <w:pStyle w:val="TableParagraph"/>
              <w:rPr>
                <w:rFonts w:cs="Calibri"/>
                <w:color w:val="000000" w:themeColor="text1"/>
                <w:sz w:val="18"/>
              </w:rPr>
            </w:pPr>
            <w:r w:rsidRPr="001C21B0">
              <w:rPr>
                <w:rFonts w:cs="Calibri"/>
                <w:color w:val="000000" w:themeColor="text1"/>
                <w:sz w:val="18"/>
              </w:rPr>
              <w:t>-</w:t>
            </w:r>
          </w:p>
        </w:tc>
        <w:tc>
          <w:tcPr>
            <w:tcW w:w="1492" w:type="dxa"/>
            <w:tcBorders>
              <w:top w:val="single" w:sz="2" w:space="0" w:color="73777A"/>
              <w:left w:val="single" w:sz="8" w:space="0" w:color="FFFFFF"/>
              <w:bottom w:val="single" w:sz="2" w:space="0" w:color="73777A"/>
              <w:right w:val="nil"/>
            </w:tcBorders>
            <w:shd w:val="clear" w:color="auto" w:fill="EDEFF0"/>
            <w:tcMar>
              <w:right w:w="57" w:type="dxa"/>
            </w:tcMar>
          </w:tcPr>
          <w:p w14:paraId="04EECEA0" w14:textId="77777777" w:rsidR="00FA4226" w:rsidRPr="001C21B0" w:rsidRDefault="00000000" w:rsidP="0043303B">
            <w:pPr>
              <w:pStyle w:val="TableParagraph"/>
              <w:rPr>
                <w:rFonts w:cs="Calibri"/>
                <w:color w:val="000000" w:themeColor="text1"/>
                <w:sz w:val="18"/>
              </w:rPr>
            </w:pPr>
            <w:r w:rsidRPr="001C21B0">
              <w:rPr>
                <w:rFonts w:cs="Calibri"/>
                <w:color w:val="000000" w:themeColor="text1"/>
                <w:sz w:val="18"/>
              </w:rPr>
              <w:t>-</w:t>
            </w:r>
          </w:p>
        </w:tc>
      </w:tr>
      <w:tr w:rsidR="001C21B0" w:rsidRPr="001C21B0" w14:paraId="29A01A24" w14:textId="77777777" w:rsidTr="00BD4ABD">
        <w:trPr>
          <w:trHeight w:val="278"/>
        </w:trPr>
        <w:tc>
          <w:tcPr>
            <w:tcW w:w="6633" w:type="dxa"/>
            <w:tcBorders>
              <w:top w:val="single" w:sz="2" w:space="0" w:color="73777A"/>
              <w:left w:val="nil"/>
              <w:bottom w:val="single" w:sz="6" w:space="0" w:color="73777A"/>
              <w:right w:val="nil"/>
            </w:tcBorders>
            <w:tcMar>
              <w:right w:w="57" w:type="dxa"/>
            </w:tcMar>
          </w:tcPr>
          <w:p w14:paraId="46397975" w14:textId="77777777" w:rsidR="00FA4226" w:rsidRPr="001C21B0" w:rsidRDefault="00000000" w:rsidP="0043303B">
            <w:pPr>
              <w:pStyle w:val="TableParagraph"/>
              <w:jc w:val="left"/>
              <w:rPr>
                <w:rFonts w:cs="Calibri"/>
                <w:color w:val="000000" w:themeColor="text1"/>
                <w:sz w:val="18"/>
              </w:rPr>
            </w:pPr>
            <w:r w:rsidRPr="001C21B0">
              <w:rPr>
                <w:rFonts w:cs="Calibri"/>
                <w:color w:val="000000" w:themeColor="text1"/>
                <w:sz w:val="18"/>
              </w:rPr>
              <w:t>Cash</w:t>
            </w:r>
            <w:r w:rsidRPr="001C21B0">
              <w:rPr>
                <w:rFonts w:cs="Calibri"/>
                <w:color w:val="000000" w:themeColor="text1"/>
                <w:spacing w:val="3"/>
                <w:sz w:val="18"/>
              </w:rPr>
              <w:t xml:space="preserve"> </w:t>
            </w:r>
            <w:r w:rsidRPr="001C21B0">
              <w:rPr>
                <w:rFonts w:cs="Calibri"/>
                <w:color w:val="000000" w:themeColor="text1"/>
                <w:sz w:val="18"/>
              </w:rPr>
              <w:t>and</w:t>
            </w:r>
            <w:r w:rsidRPr="001C21B0">
              <w:rPr>
                <w:rFonts w:cs="Calibri"/>
                <w:color w:val="000000" w:themeColor="text1"/>
                <w:spacing w:val="5"/>
                <w:sz w:val="18"/>
              </w:rPr>
              <w:t xml:space="preserve"> </w:t>
            </w:r>
            <w:r w:rsidRPr="001C21B0">
              <w:rPr>
                <w:rFonts w:cs="Calibri"/>
                <w:color w:val="000000" w:themeColor="text1"/>
                <w:sz w:val="18"/>
              </w:rPr>
              <w:t>cash</w:t>
            </w:r>
            <w:r w:rsidRPr="001C21B0">
              <w:rPr>
                <w:rFonts w:cs="Calibri"/>
                <w:color w:val="000000" w:themeColor="text1"/>
                <w:spacing w:val="5"/>
                <w:sz w:val="18"/>
              </w:rPr>
              <w:t xml:space="preserve"> </w:t>
            </w:r>
            <w:r w:rsidRPr="001C21B0">
              <w:rPr>
                <w:rFonts w:cs="Calibri"/>
                <w:color w:val="000000" w:themeColor="text1"/>
                <w:sz w:val="18"/>
              </w:rPr>
              <w:t>equivalents</w:t>
            </w:r>
            <w:r w:rsidRPr="001C21B0">
              <w:rPr>
                <w:rFonts w:cs="Calibri"/>
                <w:color w:val="000000" w:themeColor="text1"/>
                <w:spacing w:val="6"/>
                <w:sz w:val="18"/>
              </w:rPr>
              <w:t xml:space="preserve"> </w:t>
            </w:r>
            <w:r w:rsidRPr="001C21B0">
              <w:rPr>
                <w:rFonts w:cs="Calibri"/>
                <w:color w:val="000000" w:themeColor="text1"/>
                <w:sz w:val="18"/>
              </w:rPr>
              <w:t>at</w:t>
            </w:r>
            <w:r w:rsidRPr="001C21B0">
              <w:rPr>
                <w:rFonts w:cs="Calibri"/>
                <w:color w:val="000000" w:themeColor="text1"/>
                <w:spacing w:val="5"/>
                <w:sz w:val="18"/>
              </w:rPr>
              <w:t xml:space="preserve"> </w:t>
            </w:r>
            <w:r w:rsidRPr="001C21B0">
              <w:rPr>
                <w:rFonts w:cs="Calibri"/>
                <w:color w:val="000000" w:themeColor="text1"/>
                <w:sz w:val="18"/>
              </w:rPr>
              <w:t>end</w:t>
            </w:r>
            <w:r w:rsidRPr="001C21B0">
              <w:rPr>
                <w:rFonts w:cs="Calibri"/>
                <w:color w:val="000000" w:themeColor="text1"/>
                <w:spacing w:val="5"/>
                <w:sz w:val="18"/>
              </w:rPr>
              <w:t xml:space="preserve"> </w:t>
            </w:r>
            <w:r w:rsidRPr="001C21B0">
              <w:rPr>
                <w:rFonts w:cs="Calibri"/>
                <w:color w:val="000000" w:themeColor="text1"/>
                <w:sz w:val="18"/>
              </w:rPr>
              <w:t>of</w:t>
            </w:r>
            <w:r w:rsidRPr="001C21B0">
              <w:rPr>
                <w:rFonts w:cs="Calibri"/>
                <w:color w:val="000000" w:themeColor="text1"/>
                <w:spacing w:val="6"/>
                <w:sz w:val="18"/>
              </w:rPr>
              <w:t xml:space="preserve"> </w:t>
            </w:r>
            <w:r w:rsidRPr="001C21B0">
              <w:rPr>
                <w:rFonts w:cs="Calibri"/>
                <w:color w:val="000000" w:themeColor="text1"/>
                <w:spacing w:val="-4"/>
                <w:sz w:val="18"/>
              </w:rPr>
              <w:t>year</w:t>
            </w:r>
          </w:p>
        </w:tc>
        <w:tc>
          <w:tcPr>
            <w:tcW w:w="1492" w:type="dxa"/>
            <w:tcBorders>
              <w:top w:val="single" w:sz="2" w:space="0" w:color="73777A"/>
              <w:left w:val="nil"/>
              <w:bottom w:val="single" w:sz="6" w:space="0" w:color="73777A"/>
              <w:right w:val="single" w:sz="8" w:space="0" w:color="FFFFFF"/>
            </w:tcBorders>
            <w:shd w:val="clear" w:color="auto" w:fill="FFF0E7"/>
            <w:tcMar>
              <w:right w:w="57" w:type="dxa"/>
            </w:tcMar>
          </w:tcPr>
          <w:p w14:paraId="25F5552C" w14:textId="77777777" w:rsidR="00FA4226" w:rsidRPr="001C21B0" w:rsidRDefault="00000000" w:rsidP="0043303B">
            <w:pPr>
              <w:pStyle w:val="TableParagraph"/>
              <w:rPr>
                <w:rFonts w:cs="Calibri"/>
                <w:color w:val="000000" w:themeColor="text1"/>
                <w:sz w:val="18"/>
              </w:rPr>
            </w:pPr>
            <w:r w:rsidRPr="001C21B0">
              <w:rPr>
                <w:rFonts w:cs="Calibri"/>
                <w:color w:val="000000" w:themeColor="text1"/>
                <w:sz w:val="18"/>
              </w:rPr>
              <w:t>-</w:t>
            </w:r>
          </w:p>
        </w:tc>
        <w:tc>
          <w:tcPr>
            <w:tcW w:w="1492" w:type="dxa"/>
            <w:tcBorders>
              <w:top w:val="single" w:sz="2" w:space="0" w:color="73777A"/>
              <w:left w:val="single" w:sz="8" w:space="0" w:color="FFFFFF"/>
              <w:bottom w:val="single" w:sz="6" w:space="0" w:color="73777A"/>
              <w:right w:val="nil"/>
            </w:tcBorders>
            <w:shd w:val="clear" w:color="auto" w:fill="EDEFF0"/>
            <w:tcMar>
              <w:right w:w="57" w:type="dxa"/>
            </w:tcMar>
          </w:tcPr>
          <w:p w14:paraId="4FD14064" w14:textId="77777777" w:rsidR="00FA4226" w:rsidRPr="001C21B0" w:rsidRDefault="00000000" w:rsidP="0043303B">
            <w:pPr>
              <w:pStyle w:val="TableParagraph"/>
              <w:rPr>
                <w:rFonts w:cs="Calibri"/>
                <w:color w:val="000000" w:themeColor="text1"/>
                <w:sz w:val="18"/>
              </w:rPr>
            </w:pPr>
            <w:r w:rsidRPr="001C21B0">
              <w:rPr>
                <w:rFonts w:cs="Calibri"/>
                <w:color w:val="000000" w:themeColor="text1"/>
                <w:sz w:val="18"/>
              </w:rPr>
              <w:t>-</w:t>
            </w:r>
          </w:p>
        </w:tc>
      </w:tr>
    </w:tbl>
    <w:p w14:paraId="7E179A6F" w14:textId="77777777" w:rsidR="00FA4226" w:rsidRPr="001C21B0" w:rsidRDefault="00FA4226" w:rsidP="0043303B">
      <w:pPr>
        <w:pStyle w:val="BodyText"/>
        <w:spacing w:before="6"/>
        <w:rPr>
          <w:rFonts w:cs="Calibri"/>
          <w:sz w:val="17"/>
        </w:rPr>
      </w:pPr>
    </w:p>
    <w:p w14:paraId="6A8C9FD7" w14:textId="77777777" w:rsidR="00FA4226" w:rsidRPr="001C21B0" w:rsidRDefault="00000000" w:rsidP="0043303B">
      <w:pPr>
        <w:pStyle w:val="ListParagraph"/>
        <w:numPr>
          <w:ilvl w:val="0"/>
          <w:numId w:val="16"/>
        </w:numPr>
        <w:tabs>
          <w:tab w:val="left" w:pos="1289"/>
        </w:tabs>
        <w:spacing w:before="0"/>
        <w:ind w:left="0" w:firstLine="0"/>
        <w:rPr>
          <w:rFonts w:cs="Calibri"/>
          <w:i/>
          <w:sz w:val="16"/>
        </w:rPr>
      </w:pPr>
      <w:r w:rsidRPr="001C21B0">
        <w:rPr>
          <w:rFonts w:cs="Calibri"/>
          <w:i/>
          <w:sz w:val="16"/>
        </w:rPr>
        <w:t>The</w:t>
      </w:r>
      <w:r w:rsidRPr="001C21B0">
        <w:rPr>
          <w:rFonts w:cs="Calibri"/>
          <w:i/>
          <w:spacing w:val="-4"/>
          <w:sz w:val="16"/>
        </w:rPr>
        <w:t xml:space="preserve"> </w:t>
      </w:r>
      <w:r w:rsidRPr="001C21B0">
        <w:rPr>
          <w:rFonts w:cs="Calibri"/>
          <w:i/>
          <w:sz w:val="16"/>
        </w:rPr>
        <w:t>2021-22</w:t>
      </w:r>
      <w:r w:rsidRPr="001C21B0">
        <w:rPr>
          <w:rFonts w:cs="Calibri"/>
          <w:i/>
          <w:spacing w:val="-4"/>
          <w:sz w:val="16"/>
        </w:rPr>
        <w:t xml:space="preserve"> </w:t>
      </w:r>
      <w:r w:rsidRPr="001C21B0">
        <w:rPr>
          <w:rFonts w:cs="Calibri"/>
          <w:i/>
          <w:sz w:val="16"/>
        </w:rPr>
        <w:t>comparative</w:t>
      </w:r>
      <w:r w:rsidRPr="001C21B0">
        <w:rPr>
          <w:rFonts w:cs="Calibri"/>
          <w:i/>
          <w:spacing w:val="-4"/>
          <w:sz w:val="16"/>
        </w:rPr>
        <w:t xml:space="preserve"> </w:t>
      </w:r>
      <w:r w:rsidRPr="001C21B0">
        <w:rPr>
          <w:rFonts w:cs="Calibri"/>
          <w:i/>
          <w:sz w:val="16"/>
        </w:rPr>
        <w:t>figures</w:t>
      </w:r>
      <w:r w:rsidRPr="001C21B0">
        <w:rPr>
          <w:rFonts w:cs="Calibri"/>
          <w:i/>
          <w:spacing w:val="-4"/>
          <w:sz w:val="16"/>
        </w:rPr>
        <w:t xml:space="preserve"> </w:t>
      </w:r>
      <w:r w:rsidRPr="001C21B0">
        <w:rPr>
          <w:rFonts w:cs="Calibri"/>
          <w:i/>
          <w:sz w:val="16"/>
        </w:rPr>
        <w:t>have</w:t>
      </w:r>
      <w:r w:rsidRPr="001C21B0">
        <w:rPr>
          <w:rFonts w:cs="Calibri"/>
          <w:i/>
          <w:spacing w:val="-4"/>
          <w:sz w:val="16"/>
        </w:rPr>
        <w:t xml:space="preserve"> </w:t>
      </w:r>
      <w:r w:rsidRPr="001C21B0">
        <w:rPr>
          <w:rFonts w:cs="Calibri"/>
          <w:i/>
          <w:sz w:val="16"/>
        </w:rPr>
        <w:t>been</w:t>
      </w:r>
      <w:r w:rsidRPr="001C21B0">
        <w:rPr>
          <w:rFonts w:cs="Calibri"/>
          <w:i/>
          <w:spacing w:val="-4"/>
          <w:sz w:val="16"/>
        </w:rPr>
        <w:t xml:space="preserve"> </w:t>
      </w:r>
      <w:r w:rsidRPr="001C21B0">
        <w:rPr>
          <w:rFonts w:cs="Calibri"/>
          <w:i/>
          <w:sz w:val="16"/>
        </w:rPr>
        <w:t>adjusted</w:t>
      </w:r>
      <w:r w:rsidRPr="001C21B0">
        <w:rPr>
          <w:rFonts w:cs="Calibri"/>
          <w:i/>
          <w:spacing w:val="-4"/>
          <w:sz w:val="16"/>
        </w:rPr>
        <w:t xml:space="preserve"> </w:t>
      </w:r>
      <w:r w:rsidRPr="001C21B0">
        <w:rPr>
          <w:rFonts w:cs="Calibri"/>
          <w:i/>
          <w:sz w:val="16"/>
        </w:rPr>
        <w:t>to</w:t>
      </w:r>
      <w:r w:rsidRPr="001C21B0">
        <w:rPr>
          <w:rFonts w:cs="Calibri"/>
          <w:i/>
          <w:spacing w:val="-4"/>
          <w:sz w:val="16"/>
        </w:rPr>
        <w:t xml:space="preserve"> </w:t>
      </w:r>
      <w:r w:rsidRPr="001C21B0">
        <w:rPr>
          <w:rFonts w:cs="Calibri"/>
          <w:i/>
          <w:sz w:val="16"/>
        </w:rPr>
        <w:t>correct a prior period error. Refer to note 8.5 for more information.</w:t>
      </w:r>
    </w:p>
    <w:p w14:paraId="2FDCDD30" w14:textId="77777777" w:rsidR="00FA4226" w:rsidRPr="001C21B0" w:rsidRDefault="00FA4226" w:rsidP="0043303B">
      <w:pPr>
        <w:pStyle w:val="BodyText"/>
        <w:rPr>
          <w:rFonts w:cs="Calibri"/>
          <w:i/>
        </w:rPr>
      </w:pPr>
    </w:p>
    <w:p w14:paraId="471E4B5C" w14:textId="77777777" w:rsidR="00FA4226" w:rsidRPr="001C21B0" w:rsidRDefault="00FA4226" w:rsidP="0043303B">
      <w:pPr>
        <w:pStyle w:val="BodyText"/>
        <w:spacing w:before="10"/>
        <w:rPr>
          <w:rFonts w:cs="Calibri"/>
          <w:i/>
          <w:sz w:val="15"/>
        </w:rPr>
      </w:pPr>
    </w:p>
    <w:p w14:paraId="703DE8DA" w14:textId="77777777" w:rsidR="00FA4226" w:rsidRPr="001C21B0" w:rsidRDefault="00000000" w:rsidP="0043303B">
      <w:pPr>
        <w:pStyle w:val="BodyText"/>
        <w:rPr>
          <w:rFonts w:cs="Calibri"/>
        </w:rPr>
      </w:pPr>
      <w:r w:rsidRPr="001C21B0">
        <w:rPr>
          <w:rFonts w:cs="Calibri"/>
        </w:rPr>
        <w:t>The</w:t>
      </w:r>
      <w:r w:rsidRPr="001C21B0">
        <w:rPr>
          <w:rFonts w:cs="Calibri"/>
          <w:spacing w:val="-6"/>
        </w:rPr>
        <w:t xml:space="preserve"> </w:t>
      </w:r>
      <w:r w:rsidRPr="001C21B0">
        <w:rPr>
          <w:rFonts w:cs="Calibri"/>
        </w:rPr>
        <w:t>above</w:t>
      </w:r>
      <w:r w:rsidRPr="001C21B0">
        <w:rPr>
          <w:rFonts w:cs="Calibri"/>
          <w:spacing w:val="-6"/>
        </w:rPr>
        <w:t xml:space="preserve"> </w:t>
      </w:r>
      <w:r w:rsidRPr="001C21B0">
        <w:rPr>
          <w:rFonts w:cs="Calibri"/>
        </w:rPr>
        <w:t>cash</w:t>
      </w:r>
      <w:r w:rsidRPr="001C21B0">
        <w:rPr>
          <w:rFonts w:cs="Calibri"/>
          <w:spacing w:val="-6"/>
        </w:rPr>
        <w:t xml:space="preserve"> </w:t>
      </w:r>
      <w:r w:rsidRPr="001C21B0">
        <w:rPr>
          <w:rFonts w:cs="Calibri"/>
        </w:rPr>
        <w:t>flow</w:t>
      </w:r>
      <w:r w:rsidRPr="001C21B0">
        <w:rPr>
          <w:rFonts w:cs="Calibri"/>
          <w:spacing w:val="-6"/>
        </w:rPr>
        <w:t xml:space="preserve"> </w:t>
      </w:r>
      <w:r w:rsidRPr="001C21B0">
        <w:rPr>
          <w:rFonts w:cs="Calibri"/>
        </w:rPr>
        <w:t>statement</w:t>
      </w:r>
      <w:r w:rsidRPr="001C21B0">
        <w:rPr>
          <w:rFonts w:cs="Calibri"/>
          <w:spacing w:val="-6"/>
        </w:rPr>
        <w:t xml:space="preserve"> </w:t>
      </w:r>
      <w:r w:rsidRPr="001C21B0">
        <w:rPr>
          <w:rFonts w:cs="Calibri"/>
        </w:rPr>
        <w:t>should</w:t>
      </w:r>
      <w:r w:rsidRPr="001C21B0">
        <w:rPr>
          <w:rFonts w:cs="Calibri"/>
          <w:spacing w:val="-6"/>
        </w:rPr>
        <w:t xml:space="preserve"> </w:t>
      </w:r>
      <w:r w:rsidRPr="001C21B0">
        <w:rPr>
          <w:rFonts w:cs="Calibri"/>
        </w:rPr>
        <w:t>be</w:t>
      </w:r>
      <w:r w:rsidRPr="001C21B0">
        <w:rPr>
          <w:rFonts w:cs="Calibri"/>
          <w:spacing w:val="-6"/>
        </w:rPr>
        <w:t xml:space="preserve"> </w:t>
      </w:r>
      <w:r w:rsidRPr="001C21B0">
        <w:rPr>
          <w:rFonts w:cs="Calibri"/>
        </w:rPr>
        <w:t>read in conjunction with the accompanying notes.</w:t>
      </w:r>
    </w:p>
    <w:p w14:paraId="121AEAA2" w14:textId="77777777" w:rsidR="00FA4226" w:rsidRPr="001C21B0" w:rsidRDefault="00FA4226" w:rsidP="0043303B">
      <w:pPr>
        <w:pStyle w:val="BodyText"/>
        <w:rPr>
          <w:rFonts w:cs="Calibri"/>
          <w:sz w:val="20"/>
        </w:rPr>
      </w:pPr>
    </w:p>
    <w:p w14:paraId="2DA810DC" w14:textId="77777777" w:rsidR="00FA4226" w:rsidRPr="001C21B0" w:rsidRDefault="00FA4226" w:rsidP="0043303B">
      <w:pPr>
        <w:pStyle w:val="BodyText"/>
        <w:rPr>
          <w:rFonts w:cs="Calibri"/>
          <w:sz w:val="20"/>
        </w:rPr>
      </w:pPr>
    </w:p>
    <w:p w14:paraId="239B90C1" w14:textId="77777777" w:rsidR="00FA4226" w:rsidRPr="001C21B0" w:rsidRDefault="00FA4226" w:rsidP="0043303B">
      <w:pPr>
        <w:pStyle w:val="BodyText"/>
        <w:rPr>
          <w:rFonts w:cs="Calibri"/>
          <w:sz w:val="20"/>
        </w:rPr>
      </w:pPr>
    </w:p>
    <w:p w14:paraId="220D04DF" w14:textId="77777777" w:rsidR="00FA4226" w:rsidRPr="001C21B0" w:rsidRDefault="00FA4226" w:rsidP="0043303B">
      <w:pPr>
        <w:pStyle w:val="BodyText"/>
        <w:rPr>
          <w:rFonts w:cs="Calibri"/>
          <w:sz w:val="20"/>
        </w:rPr>
      </w:pPr>
    </w:p>
    <w:p w14:paraId="6880A0CC" w14:textId="77777777" w:rsidR="00FA4226" w:rsidRPr="001C21B0" w:rsidRDefault="00FA4226" w:rsidP="0043303B">
      <w:pPr>
        <w:pStyle w:val="BodyText"/>
        <w:rPr>
          <w:rFonts w:cs="Calibri"/>
          <w:sz w:val="20"/>
        </w:rPr>
      </w:pPr>
    </w:p>
    <w:p w14:paraId="29A59E62" w14:textId="77777777" w:rsidR="00FA4226" w:rsidRPr="001C21B0" w:rsidRDefault="00FA4226" w:rsidP="0043303B">
      <w:pPr>
        <w:pStyle w:val="BodyText"/>
        <w:rPr>
          <w:rFonts w:cs="Calibri"/>
          <w:sz w:val="20"/>
        </w:rPr>
      </w:pPr>
    </w:p>
    <w:p w14:paraId="51B9DB22" w14:textId="77777777" w:rsidR="00FA4226" w:rsidRPr="001C21B0" w:rsidRDefault="00FA4226" w:rsidP="0043303B">
      <w:pPr>
        <w:pStyle w:val="BodyText"/>
        <w:rPr>
          <w:rFonts w:cs="Calibri"/>
          <w:sz w:val="20"/>
        </w:rPr>
      </w:pPr>
    </w:p>
    <w:p w14:paraId="621896C5" w14:textId="77777777" w:rsidR="00FA4226" w:rsidRPr="001C21B0" w:rsidRDefault="00FA4226" w:rsidP="0043303B">
      <w:pPr>
        <w:pStyle w:val="BodyText"/>
        <w:rPr>
          <w:rFonts w:cs="Calibri"/>
          <w:sz w:val="20"/>
        </w:rPr>
      </w:pPr>
    </w:p>
    <w:p w14:paraId="645CE13A" w14:textId="77777777" w:rsidR="00FA4226" w:rsidRPr="001C21B0" w:rsidRDefault="00FA4226" w:rsidP="0043303B">
      <w:pPr>
        <w:pStyle w:val="BodyText"/>
        <w:rPr>
          <w:rFonts w:cs="Calibri"/>
          <w:sz w:val="20"/>
        </w:rPr>
      </w:pPr>
    </w:p>
    <w:p w14:paraId="5A3949DB" w14:textId="77777777" w:rsidR="00FA4226" w:rsidRPr="001C21B0" w:rsidRDefault="00FA4226" w:rsidP="0043303B">
      <w:pPr>
        <w:pStyle w:val="BodyText"/>
        <w:rPr>
          <w:rFonts w:cs="Calibri"/>
          <w:sz w:val="20"/>
        </w:rPr>
      </w:pPr>
    </w:p>
    <w:p w14:paraId="62D343F4" w14:textId="77777777" w:rsidR="00FA4226" w:rsidRPr="001C21B0" w:rsidRDefault="00FA4226" w:rsidP="0043303B">
      <w:pPr>
        <w:pStyle w:val="BodyText"/>
        <w:rPr>
          <w:rFonts w:cs="Calibri"/>
          <w:sz w:val="20"/>
        </w:rPr>
      </w:pPr>
    </w:p>
    <w:p w14:paraId="5DE2C8F9" w14:textId="77777777" w:rsidR="00FA4226" w:rsidRPr="001C21B0" w:rsidRDefault="00FA4226" w:rsidP="0043303B">
      <w:pPr>
        <w:pStyle w:val="BodyText"/>
        <w:spacing w:before="9"/>
        <w:rPr>
          <w:rFonts w:cs="Calibri"/>
          <w:sz w:val="15"/>
        </w:rPr>
      </w:pPr>
    </w:p>
    <w:p w14:paraId="0E00E205" w14:textId="77777777" w:rsidR="00FA4226" w:rsidRPr="001C21B0" w:rsidRDefault="00000000" w:rsidP="0043303B">
      <w:pPr>
        <w:pStyle w:val="Heading3"/>
        <w:spacing w:before="36"/>
        <w:rPr>
          <w:rFonts w:cs="Calibri"/>
          <w:color w:val="000000" w:themeColor="text1"/>
        </w:rPr>
      </w:pPr>
      <w:bookmarkStart w:id="125" w:name="_bookmark70"/>
      <w:bookmarkEnd w:id="125"/>
      <w:r w:rsidRPr="001C21B0">
        <w:rPr>
          <w:rFonts w:cs="Calibri"/>
          <w:color w:val="000000" w:themeColor="text1"/>
        </w:rPr>
        <w:t xml:space="preserve">Statement of changes in </w:t>
      </w:r>
      <w:r w:rsidRPr="001C21B0">
        <w:rPr>
          <w:rFonts w:cs="Calibri"/>
          <w:color w:val="000000" w:themeColor="text1"/>
          <w:spacing w:val="-2"/>
        </w:rPr>
        <w:t>equity</w:t>
      </w:r>
    </w:p>
    <w:p w14:paraId="52EB8A85" w14:textId="77777777" w:rsidR="00FA4226" w:rsidRPr="001C21B0" w:rsidRDefault="00000000" w:rsidP="0043303B">
      <w:pPr>
        <w:pStyle w:val="Heading7"/>
        <w:spacing w:before="181"/>
        <w:rPr>
          <w:rFonts w:cs="Calibri"/>
          <w:color w:val="000000" w:themeColor="text1"/>
        </w:rPr>
      </w:pPr>
      <w:r w:rsidRPr="001C21B0">
        <w:rPr>
          <w:rFonts w:cs="Calibri"/>
          <w:color w:val="000000" w:themeColor="text1"/>
        </w:rPr>
        <w:t xml:space="preserve">For the financial year ended 30 June </w:t>
      </w:r>
      <w:r w:rsidRPr="001C21B0">
        <w:rPr>
          <w:rFonts w:cs="Calibri"/>
          <w:color w:val="000000" w:themeColor="text1"/>
          <w:spacing w:val="-4"/>
        </w:rPr>
        <w:t>2023</w:t>
      </w:r>
    </w:p>
    <w:p w14:paraId="312DECB4" w14:textId="77777777" w:rsidR="00FA4226" w:rsidRPr="001C21B0" w:rsidRDefault="00FA4226" w:rsidP="0043303B">
      <w:pPr>
        <w:pStyle w:val="BodyText"/>
        <w:spacing w:before="6"/>
        <w:rPr>
          <w:rFonts w:cs="Calibri"/>
          <w:sz w:val="9"/>
        </w:rPr>
      </w:pPr>
    </w:p>
    <w:tbl>
      <w:tblPr>
        <w:tblW w:w="9637" w:type="dxa"/>
        <w:tblBorders>
          <w:top w:val="single" w:sz="4" w:space="0" w:color="C48F1B"/>
          <w:left w:val="single" w:sz="4" w:space="0" w:color="C48F1B"/>
          <w:bottom w:val="single" w:sz="4" w:space="0" w:color="C48F1B"/>
          <w:right w:val="single" w:sz="4" w:space="0" w:color="C48F1B"/>
          <w:insideH w:val="single" w:sz="4" w:space="0" w:color="C48F1B"/>
          <w:insideV w:val="single" w:sz="4" w:space="0" w:color="C48F1B"/>
        </w:tblBorders>
        <w:tblLayout w:type="fixed"/>
        <w:tblCellMar>
          <w:left w:w="0" w:type="dxa"/>
          <w:right w:w="0" w:type="dxa"/>
        </w:tblCellMar>
        <w:tblLook w:val="01E0" w:firstRow="1" w:lastRow="1" w:firstColumn="1" w:lastColumn="1" w:noHBand="0" w:noVBand="0"/>
      </w:tblPr>
      <w:tblGrid>
        <w:gridCol w:w="6633"/>
        <w:gridCol w:w="1502"/>
        <w:gridCol w:w="1502"/>
      </w:tblGrid>
      <w:tr w:rsidR="001C21B0" w:rsidRPr="001C21B0" w14:paraId="19079CEA" w14:textId="77777777" w:rsidTr="00443DA2">
        <w:trPr>
          <w:trHeight w:val="824"/>
        </w:trPr>
        <w:tc>
          <w:tcPr>
            <w:tcW w:w="6633" w:type="dxa"/>
            <w:tcBorders>
              <w:top w:val="nil"/>
              <w:left w:val="nil"/>
              <w:right w:val="nil"/>
            </w:tcBorders>
          </w:tcPr>
          <w:p w14:paraId="49DE8DCE" w14:textId="77777777" w:rsidR="00FA4226" w:rsidRPr="001C21B0" w:rsidRDefault="00FA4226" w:rsidP="0043303B">
            <w:pPr>
              <w:pStyle w:val="TableParagraph"/>
              <w:jc w:val="left"/>
              <w:rPr>
                <w:rFonts w:cs="Calibri"/>
                <w:color w:val="000000" w:themeColor="text1"/>
                <w:sz w:val="16"/>
              </w:rPr>
            </w:pPr>
          </w:p>
        </w:tc>
        <w:tc>
          <w:tcPr>
            <w:tcW w:w="1502" w:type="dxa"/>
            <w:tcBorders>
              <w:top w:val="nil"/>
              <w:left w:val="nil"/>
              <w:right w:val="single" w:sz="8" w:space="0" w:color="FFFFFF"/>
            </w:tcBorders>
            <w:shd w:val="clear" w:color="auto" w:fill="FFF0E7"/>
            <w:tcMar>
              <w:right w:w="57" w:type="dxa"/>
            </w:tcMar>
          </w:tcPr>
          <w:p w14:paraId="79F2FE8F" w14:textId="77777777" w:rsidR="00FA4226" w:rsidRPr="001C21B0" w:rsidRDefault="00000000" w:rsidP="0043303B">
            <w:pPr>
              <w:pStyle w:val="TableParagraph"/>
              <w:spacing w:before="39"/>
              <w:rPr>
                <w:rFonts w:cs="Calibri"/>
                <w:color w:val="000000" w:themeColor="text1"/>
                <w:sz w:val="17"/>
              </w:rPr>
            </w:pPr>
            <w:r w:rsidRPr="001C21B0">
              <w:rPr>
                <w:rFonts w:cs="Calibri"/>
                <w:color w:val="000000" w:themeColor="text1"/>
                <w:spacing w:val="-2"/>
                <w:sz w:val="17"/>
              </w:rPr>
              <w:t>Accumulated</w:t>
            </w:r>
          </w:p>
          <w:p w14:paraId="7A1CB546" w14:textId="77777777" w:rsidR="00FA4226" w:rsidRPr="001C21B0" w:rsidRDefault="00000000" w:rsidP="0043303B">
            <w:pPr>
              <w:pStyle w:val="TableParagraph"/>
              <w:rPr>
                <w:rFonts w:cs="Calibri"/>
                <w:color w:val="000000" w:themeColor="text1"/>
                <w:sz w:val="17"/>
              </w:rPr>
            </w:pPr>
            <w:r w:rsidRPr="001C21B0">
              <w:rPr>
                <w:rFonts w:cs="Calibri"/>
                <w:color w:val="000000" w:themeColor="text1"/>
                <w:spacing w:val="-2"/>
                <w:sz w:val="17"/>
              </w:rPr>
              <w:t>surplus</w:t>
            </w:r>
          </w:p>
          <w:p w14:paraId="3A632BE7" w14:textId="77777777" w:rsidR="00FA4226" w:rsidRPr="001C21B0" w:rsidRDefault="00000000" w:rsidP="0043303B">
            <w:pPr>
              <w:pStyle w:val="TableParagraph"/>
              <w:spacing w:before="81"/>
              <w:rPr>
                <w:rFonts w:cs="Calibri"/>
                <w:color w:val="000000" w:themeColor="text1"/>
                <w:sz w:val="17"/>
              </w:rPr>
            </w:pPr>
            <w:r w:rsidRPr="001C21B0">
              <w:rPr>
                <w:rFonts w:cs="Calibri"/>
                <w:color w:val="000000" w:themeColor="text1"/>
                <w:sz w:val="17"/>
              </w:rPr>
              <w:t>$</w:t>
            </w:r>
          </w:p>
        </w:tc>
        <w:tc>
          <w:tcPr>
            <w:tcW w:w="1502" w:type="dxa"/>
            <w:tcBorders>
              <w:top w:val="nil"/>
              <w:left w:val="single" w:sz="8" w:space="0" w:color="FFFFFF"/>
              <w:right w:val="nil"/>
            </w:tcBorders>
            <w:shd w:val="clear" w:color="auto" w:fill="EDEFF0"/>
            <w:tcMar>
              <w:right w:w="57" w:type="dxa"/>
            </w:tcMar>
          </w:tcPr>
          <w:p w14:paraId="0997FEEF" w14:textId="77777777" w:rsidR="00FA4226" w:rsidRPr="001C21B0" w:rsidRDefault="00FA4226" w:rsidP="0043303B">
            <w:pPr>
              <w:pStyle w:val="TableParagraph"/>
              <w:spacing w:before="5"/>
              <w:jc w:val="left"/>
              <w:rPr>
                <w:rFonts w:cs="Calibri"/>
                <w:color w:val="000000" w:themeColor="text1"/>
                <w:sz w:val="17"/>
              </w:rPr>
            </w:pPr>
          </w:p>
          <w:p w14:paraId="271BCB47" w14:textId="77777777" w:rsidR="00FA4226" w:rsidRPr="001C21B0" w:rsidRDefault="00000000" w:rsidP="0043303B">
            <w:pPr>
              <w:pStyle w:val="TableParagraph"/>
              <w:rPr>
                <w:rFonts w:cs="Calibri"/>
                <w:color w:val="000000" w:themeColor="text1"/>
                <w:sz w:val="17"/>
              </w:rPr>
            </w:pPr>
            <w:r w:rsidRPr="001C21B0">
              <w:rPr>
                <w:rFonts w:cs="Calibri"/>
                <w:color w:val="000000" w:themeColor="text1"/>
                <w:spacing w:val="-2"/>
                <w:sz w:val="17"/>
              </w:rPr>
              <w:t>Total</w:t>
            </w:r>
          </w:p>
          <w:p w14:paraId="70521BF6" w14:textId="77777777" w:rsidR="00FA4226" w:rsidRPr="001C21B0" w:rsidRDefault="00000000" w:rsidP="0043303B">
            <w:pPr>
              <w:pStyle w:val="TableParagraph"/>
              <w:spacing w:before="82"/>
              <w:rPr>
                <w:rFonts w:cs="Calibri"/>
                <w:color w:val="000000" w:themeColor="text1"/>
                <w:sz w:val="17"/>
              </w:rPr>
            </w:pPr>
            <w:r w:rsidRPr="001C21B0">
              <w:rPr>
                <w:rFonts w:cs="Calibri"/>
                <w:color w:val="000000" w:themeColor="text1"/>
                <w:sz w:val="17"/>
              </w:rPr>
              <w:t>$</w:t>
            </w:r>
          </w:p>
        </w:tc>
      </w:tr>
      <w:tr w:rsidR="001C21B0" w:rsidRPr="001C21B0" w14:paraId="29063675" w14:textId="77777777" w:rsidTr="00443DA2">
        <w:trPr>
          <w:trHeight w:val="606"/>
        </w:trPr>
        <w:tc>
          <w:tcPr>
            <w:tcW w:w="6633" w:type="dxa"/>
            <w:tcBorders>
              <w:left w:val="nil"/>
              <w:bottom w:val="single" w:sz="6" w:space="0" w:color="73777A"/>
              <w:right w:val="nil"/>
            </w:tcBorders>
          </w:tcPr>
          <w:p w14:paraId="541B69BD" w14:textId="77777777" w:rsidR="00FA4226" w:rsidRPr="001C21B0" w:rsidRDefault="00FA4226" w:rsidP="0043303B">
            <w:pPr>
              <w:pStyle w:val="TableParagraph"/>
              <w:spacing w:before="10"/>
              <w:jc w:val="left"/>
              <w:rPr>
                <w:rFonts w:cs="Calibri"/>
                <w:color w:val="000000" w:themeColor="text1"/>
                <w:sz w:val="23"/>
              </w:rPr>
            </w:pPr>
          </w:p>
          <w:p w14:paraId="3AB4625C" w14:textId="77777777" w:rsidR="00FA4226" w:rsidRPr="001C21B0" w:rsidRDefault="00000000" w:rsidP="0043303B">
            <w:pPr>
              <w:pStyle w:val="TableParagraph"/>
              <w:jc w:val="left"/>
              <w:rPr>
                <w:rFonts w:cs="Calibri"/>
                <w:color w:val="000000" w:themeColor="text1"/>
                <w:sz w:val="10"/>
              </w:rPr>
            </w:pPr>
            <w:r w:rsidRPr="001C21B0">
              <w:rPr>
                <w:rFonts w:cs="Calibri"/>
                <w:color w:val="000000" w:themeColor="text1"/>
                <w:sz w:val="18"/>
              </w:rPr>
              <w:t>Balance</w:t>
            </w:r>
            <w:r w:rsidRPr="001C21B0">
              <w:rPr>
                <w:rFonts w:cs="Calibri"/>
                <w:color w:val="000000" w:themeColor="text1"/>
                <w:spacing w:val="4"/>
                <w:sz w:val="18"/>
              </w:rPr>
              <w:t xml:space="preserve"> </w:t>
            </w:r>
            <w:r w:rsidRPr="001C21B0">
              <w:rPr>
                <w:rFonts w:cs="Calibri"/>
                <w:color w:val="000000" w:themeColor="text1"/>
                <w:sz w:val="18"/>
              </w:rPr>
              <w:t>at</w:t>
            </w:r>
            <w:r w:rsidRPr="001C21B0">
              <w:rPr>
                <w:rFonts w:cs="Calibri"/>
                <w:color w:val="000000" w:themeColor="text1"/>
                <w:spacing w:val="4"/>
                <w:sz w:val="18"/>
              </w:rPr>
              <w:t xml:space="preserve"> </w:t>
            </w:r>
            <w:r w:rsidRPr="001C21B0">
              <w:rPr>
                <w:rFonts w:cs="Calibri"/>
                <w:color w:val="000000" w:themeColor="text1"/>
                <w:sz w:val="18"/>
              </w:rPr>
              <w:t>1</w:t>
            </w:r>
            <w:r w:rsidRPr="001C21B0">
              <w:rPr>
                <w:rFonts w:cs="Calibri"/>
                <w:color w:val="000000" w:themeColor="text1"/>
                <w:spacing w:val="4"/>
                <w:sz w:val="18"/>
              </w:rPr>
              <w:t xml:space="preserve"> </w:t>
            </w:r>
            <w:r w:rsidRPr="001C21B0">
              <w:rPr>
                <w:rFonts w:cs="Calibri"/>
                <w:color w:val="000000" w:themeColor="text1"/>
                <w:sz w:val="18"/>
              </w:rPr>
              <w:t>July</w:t>
            </w:r>
            <w:r w:rsidRPr="001C21B0">
              <w:rPr>
                <w:rFonts w:cs="Calibri"/>
                <w:color w:val="000000" w:themeColor="text1"/>
                <w:spacing w:val="4"/>
                <w:sz w:val="18"/>
              </w:rPr>
              <w:t xml:space="preserve"> </w:t>
            </w:r>
            <w:r w:rsidRPr="001C21B0">
              <w:rPr>
                <w:rFonts w:cs="Calibri"/>
                <w:color w:val="000000" w:themeColor="text1"/>
                <w:sz w:val="18"/>
              </w:rPr>
              <w:t>2021</w:t>
            </w:r>
            <w:r w:rsidRPr="001C21B0">
              <w:rPr>
                <w:rFonts w:cs="Calibri"/>
                <w:color w:val="000000" w:themeColor="text1"/>
                <w:spacing w:val="5"/>
                <w:sz w:val="18"/>
              </w:rPr>
              <w:t xml:space="preserve"> </w:t>
            </w:r>
            <w:r w:rsidRPr="001C21B0">
              <w:rPr>
                <w:rFonts w:cs="Calibri"/>
                <w:color w:val="000000" w:themeColor="text1"/>
                <w:spacing w:val="-5"/>
                <w:position w:val="6"/>
                <w:sz w:val="10"/>
              </w:rPr>
              <w:t>(i)</w:t>
            </w:r>
          </w:p>
        </w:tc>
        <w:tc>
          <w:tcPr>
            <w:tcW w:w="1502" w:type="dxa"/>
            <w:tcBorders>
              <w:left w:val="nil"/>
              <w:bottom w:val="single" w:sz="6" w:space="0" w:color="73777A"/>
              <w:right w:val="single" w:sz="8" w:space="0" w:color="FFFFFF"/>
            </w:tcBorders>
            <w:shd w:val="clear" w:color="auto" w:fill="FFF0E7"/>
            <w:tcMar>
              <w:right w:w="57" w:type="dxa"/>
            </w:tcMar>
          </w:tcPr>
          <w:p w14:paraId="352E3013" w14:textId="77777777" w:rsidR="00FA4226" w:rsidRPr="001C21B0" w:rsidRDefault="00FA4226" w:rsidP="0043303B">
            <w:pPr>
              <w:pStyle w:val="TableParagraph"/>
              <w:spacing w:before="10"/>
              <w:jc w:val="left"/>
              <w:rPr>
                <w:rFonts w:cs="Calibri"/>
                <w:color w:val="000000" w:themeColor="text1"/>
                <w:sz w:val="23"/>
              </w:rPr>
            </w:pPr>
          </w:p>
          <w:p w14:paraId="47F71BC6" w14:textId="77777777" w:rsidR="00FA4226" w:rsidRPr="001C21B0" w:rsidRDefault="00000000" w:rsidP="0043303B">
            <w:pPr>
              <w:pStyle w:val="TableParagraph"/>
              <w:rPr>
                <w:rFonts w:cs="Calibri"/>
                <w:color w:val="000000" w:themeColor="text1"/>
                <w:sz w:val="18"/>
              </w:rPr>
            </w:pPr>
            <w:r w:rsidRPr="001C21B0">
              <w:rPr>
                <w:rFonts w:cs="Calibri"/>
                <w:color w:val="000000" w:themeColor="text1"/>
                <w:spacing w:val="-2"/>
                <w:sz w:val="18"/>
              </w:rPr>
              <w:t>439,622</w:t>
            </w:r>
          </w:p>
        </w:tc>
        <w:tc>
          <w:tcPr>
            <w:tcW w:w="1502" w:type="dxa"/>
            <w:tcBorders>
              <w:left w:val="single" w:sz="8" w:space="0" w:color="FFFFFF"/>
              <w:bottom w:val="single" w:sz="6" w:space="0" w:color="73777A"/>
              <w:right w:val="nil"/>
            </w:tcBorders>
            <w:shd w:val="clear" w:color="auto" w:fill="EDEFF0"/>
            <w:tcMar>
              <w:right w:w="57" w:type="dxa"/>
            </w:tcMar>
          </w:tcPr>
          <w:p w14:paraId="6DF150B8" w14:textId="77777777" w:rsidR="00FA4226" w:rsidRPr="001C21B0" w:rsidRDefault="00FA4226" w:rsidP="0043303B">
            <w:pPr>
              <w:pStyle w:val="TableParagraph"/>
              <w:spacing w:before="10"/>
              <w:jc w:val="left"/>
              <w:rPr>
                <w:rFonts w:cs="Calibri"/>
                <w:color w:val="000000" w:themeColor="text1"/>
                <w:sz w:val="23"/>
              </w:rPr>
            </w:pPr>
          </w:p>
          <w:p w14:paraId="5DB2A238" w14:textId="77777777" w:rsidR="00FA4226" w:rsidRPr="001C21B0" w:rsidRDefault="00000000" w:rsidP="0043303B">
            <w:pPr>
              <w:pStyle w:val="TableParagraph"/>
              <w:rPr>
                <w:rFonts w:cs="Calibri"/>
                <w:color w:val="000000" w:themeColor="text1"/>
                <w:sz w:val="18"/>
              </w:rPr>
            </w:pPr>
            <w:r w:rsidRPr="001C21B0">
              <w:rPr>
                <w:rFonts w:cs="Calibri"/>
                <w:color w:val="000000" w:themeColor="text1"/>
                <w:spacing w:val="-2"/>
                <w:sz w:val="18"/>
              </w:rPr>
              <w:t>439,622</w:t>
            </w:r>
          </w:p>
        </w:tc>
      </w:tr>
      <w:tr w:rsidR="001C21B0" w:rsidRPr="001C21B0" w14:paraId="0D3FB704" w14:textId="77777777" w:rsidTr="00443DA2">
        <w:trPr>
          <w:trHeight w:val="289"/>
        </w:trPr>
        <w:tc>
          <w:tcPr>
            <w:tcW w:w="6633" w:type="dxa"/>
            <w:tcBorders>
              <w:top w:val="single" w:sz="6" w:space="0" w:color="73777A"/>
              <w:left w:val="nil"/>
              <w:bottom w:val="single" w:sz="2" w:space="0" w:color="73777A"/>
              <w:right w:val="nil"/>
            </w:tcBorders>
          </w:tcPr>
          <w:p w14:paraId="6E63E07F" w14:textId="77777777" w:rsidR="00FA4226" w:rsidRPr="001C21B0" w:rsidRDefault="00000000" w:rsidP="0043303B">
            <w:pPr>
              <w:pStyle w:val="TableParagraph"/>
              <w:jc w:val="left"/>
              <w:rPr>
                <w:rFonts w:cs="Calibri"/>
                <w:color w:val="000000" w:themeColor="text1"/>
                <w:sz w:val="10"/>
              </w:rPr>
            </w:pPr>
            <w:r w:rsidRPr="001C21B0">
              <w:rPr>
                <w:rFonts w:cs="Calibri"/>
                <w:color w:val="000000" w:themeColor="text1"/>
                <w:sz w:val="18"/>
              </w:rPr>
              <w:t>Net</w:t>
            </w:r>
            <w:r w:rsidRPr="001C21B0">
              <w:rPr>
                <w:rFonts w:cs="Calibri"/>
                <w:color w:val="000000" w:themeColor="text1"/>
                <w:spacing w:val="2"/>
                <w:sz w:val="18"/>
              </w:rPr>
              <w:t xml:space="preserve"> </w:t>
            </w:r>
            <w:r w:rsidRPr="001C21B0">
              <w:rPr>
                <w:rFonts w:cs="Calibri"/>
                <w:color w:val="000000" w:themeColor="text1"/>
                <w:sz w:val="18"/>
              </w:rPr>
              <w:t>result</w:t>
            </w:r>
            <w:r w:rsidRPr="001C21B0">
              <w:rPr>
                <w:rFonts w:cs="Calibri"/>
                <w:color w:val="000000" w:themeColor="text1"/>
                <w:spacing w:val="3"/>
                <w:sz w:val="18"/>
              </w:rPr>
              <w:t xml:space="preserve"> </w:t>
            </w:r>
            <w:r w:rsidRPr="001C21B0">
              <w:rPr>
                <w:rFonts w:cs="Calibri"/>
                <w:color w:val="000000" w:themeColor="text1"/>
                <w:sz w:val="18"/>
              </w:rPr>
              <w:t>for</w:t>
            </w:r>
            <w:r w:rsidRPr="001C21B0">
              <w:rPr>
                <w:rFonts w:cs="Calibri"/>
                <w:color w:val="000000" w:themeColor="text1"/>
                <w:spacing w:val="3"/>
                <w:sz w:val="18"/>
              </w:rPr>
              <w:t xml:space="preserve"> </w:t>
            </w:r>
            <w:r w:rsidRPr="001C21B0">
              <w:rPr>
                <w:rFonts w:cs="Calibri"/>
                <w:color w:val="000000" w:themeColor="text1"/>
                <w:sz w:val="18"/>
              </w:rPr>
              <w:t>year</w:t>
            </w:r>
            <w:r w:rsidRPr="001C21B0">
              <w:rPr>
                <w:rFonts w:cs="Calibri"/>
                <w:color w:val="000000" w:themeColor="text1"/>
                <w:spacing w:val="3"/>
                <w:sz w:val="18"/>
              </w:rPr>
              <w:t xml:space="preserve"> </w:t>
            </w:r>
            <w:r w:rsidRPr="001C21B0">
              <w:rPr>
                <w:rFonts w:cs="Calibri"/>
                <w:color w:val="000000" w:themeColor="text1"/>
                <w:spacing w:val="-4"/>
                <w:position w:val="6"/>
                <w:sz w:val="10"/>
              </w:rPr>
              <w:t>(ii)</w:t>
            </w:r>
          </w:p>
        </w:tc>
        <w:tc>
          <w:tcPr>
            <w:tcW w:w="1502" w:type="dxa"/>
            <w:tcBorders>
              <w:top w:val="single" w:sz="6" w:space="0" w:color="73777A"/>
              <w:left w:val="nil"/>
              <w:bottom w:val="single" w:sz="2" w:space="0" w:color="73777A"/>
              <w:right w:val="single" w:sz="8" w:space="0" w:color="FFFFFF"/>
            </w:tcBorders>
            <w:shd w:val="clear" w:color="auto" w:fill="FFF0E7"/>
            <w:tcMar>
              <w:right w:w="57" w:type="dxa"/>
            </w:tcMar>
          </w:tcPr>
          <w:p w14:paraId="08A8589C" w14:textId="77777777" w:rsidR="00FA4226" w:rsidRPr="001C21B0" w:rsidRDefault="00000000" w:rsidP="0043303B">
            <w:pPr>
              <w:pStyle w:val="TableParagraph"/>
              <w:rPr>
                <w:rFonts w:cs="Calibri"/>
                <w:color w:val="000000" w:themeColor="text1"/>
                <w:sz w:val="18"/>
              </w:rPr>
            </w:pPr>
            <w:r w:rsidRPr="001C21B0">
              <w:rPr>
                <w:rFonts w:cs="Calibri"/>
                <w:color w:val="000000" w:themeColor="text1"/>
                <w:spacing w:val="-2"/>
                <w:sz w:val="18"/>
              </w:rPr>
              <w:t>592,053</w:t>
            </w:r>
          </w:p>
        </w:tc>
        <w:tc>
          <w:tcPr>
            <w:tcW w:w="1502" w:type="dxa"/>
            <w:tcBorders>
              <w:top w:val="single" w:sz="6" w:space="0" w:color="73777A"/>
              <w:left w:val="single" w:sz="8" w:space="0" w:color="FFFFFF"/>
              <w:bottom w:val="single" w:sz="2" w:space="0" w:color="73777A"/>
              <w:right w:val="nil"/>
            </w:tcBorders>
            <w:shd w:val="clear" w:color="auto" w:fill="EDEFF0"/>
            <w:tcMar>
              <w:right w:w="57" w:type="dxa"/>
            </w:tcMar>
          </w:tcPr>
          <w:p w14:paraId="3D5BFE83" w14:textId="77777777" w:rsidR="00FA4226" w:rsidRPr="001C21B0" w:rsidRDefault="00000000" w:rsidP="0043303B">
            <w:pPr>
              <w:pStyle w:val="TableParagraph"/>
              <w:rPr>
                <w:rFonts w:cs="Calibri"/>
                <w:color w:val="000000" w:themeColor="text1"/>
                <w:sz w:val="18"/>
              </w:rPr>
            </w:pPr>
            <w:r w:rsidRPr="001C21B0">
              <w:rPr>
                <w:rFonts w:cs="Calibri"/>
                <w:color w:val="000000" w:themeColor="text1"/>
                <w:spacing w:val="-2"/>
                <w:sz w:val="18"/>
              </w:rPr>
              <w:t>592,053</w:t>
            </w:r>
          </w:p>
        </w:tc>
      </w:tr>
      <w:tr w:rsidR="001C21B0" w:rsidRPr="001C21B0" w14:paraId="339F8B37" w14:textId="77777777" w:rsidTr="00443DA2">
        <w:trPr>
          <w:trHeight w:val="293"/>
        </w:trPr>
        <w:tc>
          <w:tcPr>
            <w:tcW w:w="6633" w:type="dxa"/>
            <w:tcBorders>
              <w:top w:val="single" w:sz="2" w:space="0" w:color="73777A"/>
              <w:left w:val="nil"/>
              <w:bottom w:val="single" w:sz="2" w:space="0" w:color="73777A"/>
              <w:right w:val="nil"/>
            </w:tcBorders>
          </w:tcPr>
          <w:p w14:paraId="605CDC9C" w14:textId="77777777" w:rsidR="00FA4226" w:rsidRPr="001C21B0" w:rsidRDefault="00FA4226" w:rsidP="0043303B">
            <w:pPr>
              <w:pStyle w:val="TableParagraph"/>
              <w:jc w:val="left"/>
              <w:rPr>
                <w:rFonts w:cs="Calibri"/>
                <w:color w:val="000000" w:themeColor="text1"/>
                <w:sz w:val="16"/>
              </w:rPr>
            </w:pPr>
          </w:p>
        </w:tc>
        <w:tc>
          <w:tcPr>
            <w:tcW w:w="1502" w:type="dxa"/>
            <w:tcBorders>
              <w:top w:val="single" w:sz="2" w:space="0" w:color="73777A"/>
              <w:left w:val="nil"/>
              <w:bottom w:val="single" w:sz="2" w:space="0" w:color="73777A"/>
              <w:right w:val="single" w:sz="8" w:space="0" w:color="FFFFFF"/>
            </w:tcBorders>
            <w:shd w:val="clear" w:color="auto" w:fill="FFF0E7"/>
            <w:tcMar>
              <w:right w:w="57" w:type="dxa"/>
            </w:tcMar>
          </w:tcPr>
          <w:p w14:paraId="65882370" w14:textId="77777777" w:rsidR="00FA4226" w:rsidRPr="001C21B0" w:rsidRDefault="00FA4226" w:rsidP="0043303B">
            <w:pPr>
              <w:pStyle w:val="TableParagraph"/>
              <w:jc w:val="left"/>
              <w:rPr>
                <w:rFonts w:cs="Calibri"/>
                <w:color w:val="000000" w:themeColor="text1"/>
                <w:sz w:val="16"/>
              </w:rPr>
            </w:pPr>
          </w:p>
        </w:tc>
        <w:tc>
          <w:tcPr>
            <w:tcW w:w="1502" w:type="dxa"/>
            <w:tcBorders>
              <w:top w:val="single" w:sz="2" w:space="0" w:color="73777A"/>
              <w:left w:val="single" w:sz="8" w:space="0" w:color="FFFFFF"/>
              <w:bottom w:val="single" w:sz="2" w:space="0" w:color="73777A"/>
              <w:right w:val="nil"/>
            </w:tcBorders>
            <w:shd w:val="clear" w:color="auto" w:fill="EDEFF0"/>
            <w:tcMar>
              <w:right w:w="57" w:type="dxa"/>
            </w:tcMar>
          </w:tcPr>
          <w:p w14:paraId="32C46691" w14:textId="77777777" w:rsidR="00FA4226" w:rsidRPr="001C21B0" w:rsidRDefault="00FA4226" w:rsidP="0043303B">
            <w:pPr>
              <w:pStyle w:val="TableParagraph"/>
              <w:jc w:val="left"/>
              <w:rPr>
                <w:rFonts w:cs="Calibri"/>
                <w:color w:val="000000" w:themeColor="text1"/>
                <w:sz w:val="16"/>
              </w:rPr>
            </w:pPr>
          </w:p>
        </w:tc>
      </w:tr>
      <w:tr w:rsidR="001C21B0" w:rsidRPr="001C21B0" w14:paraId="652574B4" w14:textId="77777777" w:rsidTr="00443DA2">
        <w:trPr>
          <w:trHeight w:val="289"/>
        </w:trPr>
        <w:tc>
          <w:tcPr>
            <w:tcW w:w="6633" w:type="dxa"/>
            <w:tcBorders>
              <w:top w:val="single" w:sz="2" w:space="0" w:color="73777A"/>
              <w:left w:val="nil"/>
              <w:bottom w:val="single" w:sz="6" w:space="0" w:color="73777A"/>
              <w:right w:val="nil"/>
            </w:tcBorders>
          </w:tcPr>
          <w:p w14:paraId="0AAC7BD9" w14:textId="77777777" w:rsidR="00FA4226" w:rsidRPr="001C21B0" w:rsidRDefault="00000000" w:rsidP="0043303B">
            <w:pPr>
              <w:pStyle w:val="TableParagraph"/>
              <w:spacing w:before="9"/>
              <w:jc w:val="left"/>
              <w:rPr>
                <w:rFonts w:cs="Calibri"/>
                <w:color w:val="000000" w:themeColor="text1"/>
                <w:sz w:val="10"/>
              </w:rPr>
            </w:pPr>
            <w:r w:rsidRPr="001C21B0">
              <w:rPr>
                <w:rFonts w:cs="Calibri"/>
                <w:color w:val="000000" w:themeColor="text1"/>
                <w:sz w:val="18"/>
              </w:rPr>
              <w:t>Balance</w:t>
            </w:r>
            <w:r w:rsidRPr="001C21B0">
              <w:rPr>
                <w:rFonts w:cs="Calibri"/>
                <w:color w:val="000000" w:themeColor="text1"/>
                <w:spacing w:val="5"/>
                <w:sz w:val="18"/>
              </w:rPr>
              <w:t xml:space="preserve"> </w:t>
            </w:r>
            <w:r w:rsidRPr="001C21B0">
              <w:rPr>
                <w:rFonts w:cs="Calibri"/>
                <w:color w:val="000000" w:themeColor="text1"/>
                <w:sz w:val="18"/>
              </w:rPr>
              <w:t>at</w:t>
            </w:r>
            <w:r w:rsidRPr="001C21B0">
              <w:rPr>
                <w:rFonts w:cs="Calibri"/>
                <w:color w:val="000000" w:themeColor="text1"/>
                <w:spacing w:val="5"/>
                <w:sz w:val="18"/>
              </w:rPr>
              <w:t xml:space="preserve"> </w:t>
            </w:r>
            <w:r w:rsidRPr="001C21B0">
              <w:rPr>
                <w:rFonts w:cs="Calibri"/>
                <w:color w:val="000000" w:themeColor="text1"/>
                <w:sz w:val="18"/>
              </w:rPr>
              <w:t>30</w:t>
            </w:r>
            <w:r w:rsidRPr="001C21B0">
              <w:rPr>
                <w:rFonts w:cs="Calibri"/>
                <w:color w:val="000000" w:themeColor="text1"/>
                <w:spacing w:val="5"/>
                <w:sz w:val="18"/>
              </w:rPr>
              <w:t xml:space="preserve"> </w:t>
            </w:r>
            <w:r w:rsidRPr="001C21B0">
              <w:rPr>
                <w:rFonts w:cs="Calibri"/>
                <w:color w:val="000000" w:themeColor="text1"/>
                <w:sz w:val="18"/>
              </w:rPr>
              <w:t>June</w:t>
            </w:r>
            <w:r w:rsidRPr="001C21B0">
              <w:rPr>
                <w:rFonts w:cs="Calibri"/>
                <w:color w:val="000000" w:themeColor="text1"/>
                <w:spacing w:val="5"/>
                <w:sz w:val="18"/>
              </w:rPr>
              <w:t xml:space="preserve"> </w:t>
            </w:r>
            <w:r w:rsidRPr="001C21B0">
              <w:rPr>
                <w:rFonts w:cs="Calibri"/>
                <w:color w:val="000000" w:themeColor="text1"/>
                <w:sz w:val="18"/>
              </w:rPr>
              <w:t>2022</w:t>
            </w:r>
            <w:r w:rsidRPr="001C21B0">
              <w:rPr>
                <w:rFonts w:cs="Calibri"/>
                <w:color w:val="000000" w:themeColor="text1"/>
                <w:spacing w:val="5"/>
                <w:sz w:val="18"/>
              </w:rPr>
              <w:t xml:space="preserve"> </w:t>
            </w:r>
            <w:r w:rsidRPr="001C21B0">
              <w:rPr>
                <w:rFonts w:cs="Calibri"/>
                <w:color w:val="000000" w:themeColor="text1"/>
                <w:spacing w:val="-2"/>
                <w:position w:val="6"/>
                <w:sz w:val="10"/>
              </w:rPr>
              <w:t>(i)(ii)</w:t>
            </w:r>
          </w:p>
        </w:tc>
        <w:tc>
          <w:tcPr>
            <w:tcW w:w="1502" w:type="dxa"/>
            <w:tcBorders>
              <w:top w:val="single" w:sz="2" w:space="0" w:color="73777A"/>
              <w:left w:val="nil"/>
              <w:bottom w:val="single" w:sz="6" w:space="0" w:color="73777A"/>
              <w:right w:val="single" w:sz="8" w:space="0" w:color="FFFFFF"/>
            </w:tcBorders>
            <w:shd w:val="clear" w:color="auto" w:fill="FFF0E7"/>
            <w:tcMar>
              <w:right w:w="57" w:type="dxa"/>
            </w:tcMar>
          </w:tcPr>
          <w:p w14:paraId="1617F685" w14:textId="77777777" w:rsidR="00FA4226" w:rsidRPr="001C21B0" w:rsidRDefault="00000000" w:rsidP="0043303B">
            <w:pPr>
              <w:pStyle w:val="TableParagraph"/>
              <w:spacing w:before="9"/>
              <w:rPr>
                <w:rFonts w:cs="Calibri"/>
                <w:color w:val="000000" w:themeColor="text1"/>
                <w:sz w:val="18"/>
              </w:rPr>
            </w:pPr>
            <w:r w:rsidRPr="001C21B0">
              <w:rPr>
                <w:rFonts w:cs="Calibri"/>
                <w:color w:val="000000" w:themeColor="text1"/>
                <w:spacing w:val="-2"/>
                <w:sz w:val="18"/>
              </w:rPr>
              <w:t>1,031,675</w:t>
            </w:r>
          </w:p>
        </w:tc>
        <w:tc>
          <w:tcPr>
            <w:tcW w:w="1502" w:type="dxa"/>
            <w:tcBorders>
              <w:top w:val="single" w:sz="2" w:space="0" w:color="73777A"/>
              <w:left w:val="single" w:sz="8" w:space="0" w:color="FFFFFF"/>
              <w:bottom w:val="single" w:sz="6" w:space="0" w:color="73777A"/>
              <w:right w:val="nil"/>
            </w:tcBorders>
            <w:shd w:val="clear" w:color="auto" w:fill="EDEFF0"/>
            <w:tcMar>
              <w:right w:w="57" w:type="dxa"/>
            </w:tcMar>
          </w:tcPr>
          <w:p w14:paraId="3059191F" w14:textId="77777777" w:rsidR="00FA4226" w:rsidRPr="001C21B0" w:rsidRDefault="00000000" w:rsidP="0043303B">
            <w:pPr>
              <w:pStyle w:val="TableParagraph"/>
              <w:spacing w:before="9"/>
              <w:rPr>
                <w:rFonts w:cs="Calibri"/>
                <w:color w:val="000000" w:themeColor="text1"/>
                <w:sz w:val="18"/>
              </w:rPr>
            </w:pPr>
            <w:r w:rsidRPr="001C21B0">
              <w:rPr>
                <w:rFonts w:cs="Calibri"/>
                <w:color w:val="000000" w:themeColor="text1"/>
                <w:spacing w:val="-2"/>
                <w:sz w:val="18"/>
              </w:rPr>
              <w:t>1,031,675</w:t>
            </w:r>
          </w:p>
        </w:tc>
      </w:tr>
      <w:tr w:rsidR="001C21B0" w:rsidRPr="001C21B0" w14:paraId="79982E50" w14:textId="77777777" w:rsidTr="00443DA2">
        <w:trPr>
          <w:trHeight w:val="288"/>
        </w:trPr>
        <w:tc>
          <w:tcPr>
            <w:tcW w:w="6633" w:type="dxa"/>
            <w:tcBorders>
              <w:top w:val="single" w:sz="6" w:space="0" w:color="73777A"/>
              <w:left w:val="nil"/>
              <w:bottom w:val="single" w:sz="2" w:space="0" w:color="73777A"/>
              <w:right w:val="nil"/>
            </w:tcBorders>
          </w:tcPr>
          <w:p w14:paraId="68FB114D" w14:textId="77777777" w:rsidR="00FA4226" w:rsidRPr="001C21B0" w:rsidRDefault="00000000" w:rsidP="0043303B">
            <w:pPr>
              <w:pStyle w:val="TableParagraph"/>
              <w:jc w:val="left"/>
              <w:rPr>
                <w:rFonts w:cs="Calibri"/>
                <w:color w:val="000000" w:themeColor="text1"/>
                <w:sz w:val="18"/>
              </w:rPr>
            </w:pPr>
            <w:r w:rsidRPr="001C21B0">
              <w:rPr>
                <w:rFonts w:cs="Calibri"/>
                <w:color w:val="000000" w:themeColor="text1"/>
                <w:sz w:val="18"/>
              </w:rPr>
              <w:t>Net</w:t>
            </w:r>
            <w:r w:rsidRPr="001C21B0">
              <w:rPr>
                <w:rFonts w:cs="Calibri"/>
                <w:color w:val="000000" w:themeColor="text1"/>
                <w:spacing w:val="2"/>
                <w:sz w:val="18"/>
              </w:rPr>
              <w:t xml:space="preserve"> </w:t>
            </w:r>
            <w:r w:rsidRPr="001C21B0">
              <w:rPr>
                <w:rFonts w:cs="Calibri"/>
                <w:color w:val="000000" w:themeColor="text1"/>
                <w:sz w:val="18"/>
              </w:rPr>
              <w:t>result</w:t>
            </w:r>
            <w:r w:rsidRPr="001C21B0">
              <w:rPr>
                <w:rFonts w:cs="Calibri"/>
                <w:color w:val="000000" w:themeColor="text1"/>
                <w:spacing w:val="3"/>
                <w:sz w:val="18"/>
              </w:rPr>
              <w:t xml:space="preserve"> </w:t>
            </w:r>
            <w:r w:rsidRPr="001C21B0">
              <w:rPr>
                <w:rFonts w:cs="Calibri"/>
                <w:color w:val="000000" w:themeColor="text1"/>
                <w:sz w:val="18"/>
              </w:rPr>
              <w:t>for</w:t>
            </w:r>
            <w:r w:rsidRPr="001C21B0">
              <w:rPr>
                <w:rFonts w:cs="Calibri"/>
                <w:color w:val="000000" w:themeColor="text1"/>
                <w:spacing w:val="3"/>
                <w:sz w:val="18"/>
              </w:rPr>
              <w:t xml:space="preserve"> </w:t>
            </w:r>
            <w:r w:rsidRPr="001C21B0">
              <w:rPr>
                <w:rFonts w:cs="Calibri"/>
                <w:color w:val="000000" w:themeColor="text1"/>
                <w:spacing w:val="-4"/>
                <w:sz w:val="18"/>
              </w:rPr>
              <w:t>year</w:t>
            </w:r>
          </w:p>
        </w:tc>
        <w:tc>
          <w:tcPr>
            <w:tcW w:w="1502" w:type="dxa"/>
            <w:tcBorders>
              <w:top w:val="single" w:sz="6" w:space="0" w:color="73777A"/>
              <w:left w:val="nil"/>
              <w:bottom w:val="single" w:sz="2" w:space="0" w:color="73777A"/>
              <w:right w:val="single" w:sz="8" w:space="0" w:color="FFFFFF"/>
            </w:tcBorders>
            <w:shd w:val="clear" w:color="auto" w:fill="FFF0E7"/>
            <w:tcMar>
              <w:right w:w="57" w:type="dxa"/>
            </w:tcMar>
          </w:tcPr>
          <w:p w14:paraId="02D3B71B" w14:textId="77777777" w:rsidR="00FA4226" w:rsidRPr="001C21B0" w:rsidRDefault="00000000" w:rsidP="0043303B">
            <w:pPr>
              <w:pStyle w:val="TableParagraph"/>
              <w:rPr>
                <w:rFonts w:cs="Calibri"/>
                <w:color w:val="000000" w:themeColor="text1"/>
                <w:sz w:val="18"/>
              </w:rPr>
            </w:pPr>
            <w:r w:rsidRPr="001C21B0">
              <w:rPr>
                <w:rFonts w:cs="Calibri"/>
                <w:color w:val="000000" w:themeColor="text1"/>
                <w:spacing w:val="-2"/>
                <w:sz w:val="18"/>
              </w:rPr>
              <w:t>(61,764)</w:t>
            </w:r>
          </w:p>
        </w:tc>
        <w:tc>
          <w:tcPr>
            <w:tcW w:w="1502" w:type="dxa"/>
            <w:tcBorders>
              <w:top w:val="single" w:sz="6" w:space="0" w:color="73777A"/>
              <w:left w:val="single" w:sz="8" w:space="0" w:color="FFFFFF"/>
              <w:bottom w:val="single" w:sz="2" w:space="0" w:color="73777A"/>
              <w:right w:val="nil"/>
            </w:tcBorders>
            <w:shd w:val="clear" w:color="auto" w:fill="EDEFF0"/>
            <w:tcMar>
              <w:right w:w="57" w:type="dxa"/>
            </w:tcMar>
          </w:tcPr>
          <w:p w14:paraId="0F242B27" w14:textId="77777777" w:rsidR="00FA4226" w:rsidRPr="001C21B0" w:rsidRDefault="00000000" w:rsidP="0043303B">
            <w:pPr>
              <w:pStyle w:val="TableParagraph"/>
              <w:rPr>
                <w:rFonts w:cs="Calibri"/>
                <w:color w:val="000000" w:themeColor="text1"/>
                <w:sz w:val="18"/>
              </w:rPr>
            </w:pPr>
            <w:r w:rsidRPr="001C21B0">
              <w:rPr>
                <w:rFonts w:cs="Calibri"/>
                <w:color w:val="000000" w:themeColor="text1"/>
                <w:spacing w:val="-2"/>
                <w:sz w:val="18"/>
              </w:rPr>
              <w:t>(61,764)</w:t>
            </w:r>
          </w:p>
        </w:tc>
      </w:tr>
      <w:tr w:rsidR="001C21B0" w:rsidRPr="001C21B0" w14:paraId="7724E9BB" w14:textId="77777777" w:rsidTr="00443DA2">
        <w:trPr>
          <w:trHeight w:val="278"/>
        </w:trPr>
        <w:tc>
          <w:tcPr>
            <w:tcW w:w="6633" w:type="dxa"/>
            <w:tcBorders>
              <w:top w:val="single" w:sz="2" w:space="0" w:color="73777A"/>
              <w:left w:val="nil"/>
              <w:bottom w:val="single" w:sz="6" w:space="0" w:color="73777A"/>
              <w:right w:val="nil"/>
            </w:tcBorders>
          </w:tcPr>
          <w:p w14:paraId="5E35BE47" w14:textId="77777777" w:rsidR="00FA4226" w:rsidRPr="001C21B0" w:rsidRDefault="00FA4226" w:rsidP="0043303B">
            <w:pPr>
              <w:pStyle w:val="TableParagraph"/>
              <w:jc w:val="left"/>
              <w:rPr>
                <w:rFonts w:cs="Calibri"/>
                <w:color w:val="000000" w:themeColor="text1"/>
                <w:sz w:val="16"/>
              </w:rPr>
            </w:pPr>
          </w:p>
        </w:tc>
        <w:tc>
          <w:tcPr>
            <w:tcW w:w="1502" w:type="dxa"/>
            <w:tcBorders>
              <w:top w:val="single" w:sz="2" w:space="0" w:color="73777A"/>
              <w:left w:val="nil"/>
              <w:bottom w:val="single" w:sz="6" w:space="0" w:color="73777A"/>
              <w:right w:val="single" w:sz="8" w:space="0" w:color="FFFFFF"/>
            </w:tcBorders>
            <w:shd w:val="clear" w:color="auto" w:fill="FFF0E7"/>
            <w:tcMar>
              <w:right w:w="57" w:type="dxa"/>
            </w:tcMar>
          </w:tcPr>
          <w:p w14:paraId="4ED1965D" w14:textId="77777777" w:rsidR="00FA4226" w:rsidRPr="001C21B0" w:rsidRDefault="00FA4226" w:rsidP="0043303B">
            <w:pPr>
              <w:pStyle w:val="TableParagraph"/>
              <w:jc w:val="left"/>
              <w:rPr>
                <w:rFonts w:cs="Calibri"/>
                <w:color w:val="000000" w:themeColor="text1"/>
                <w:sz w:val="16"/>
              </w:rPr>
            </w:pPr>
          </w:p>
        </w:tc>
        <w:tc>
          <w:tcPr>
            <w:tcW w:w="1502" w:type="dxa"/>
            <w:tcBorders>
              <w:top w:val="single" w:sz="2" w:space="0" w:color="73777A"/>
              <w:left w:val="single" w:sz="8" w:space="0" w:color="FFFFFF"/>
              <w:bottom w:val="single" w:sz="6" w:space="0" w:color="73777A"/>
              <w:right w:val="nil"/>
            </w:tcBorders>
            <w:shd w:val="clear" w:color="auto" w:fill="EDEFF0"/>
            <w:tcMar>
              <w:right w:w="57" w:type="dxa"/>
            </w:tcMar>
          </w:tcPr>
          <w:p w14:paraId="59824F31" w14:textId="77777777" w:rsidR="00FA4226" w:rsidRPr="001C21B0" w:rsidRDefault="00FA4226" w:rsidP="0043303B">
            <w:pPr>
              <w:pStyle w:val="TableParagraph"/>
              <w:jc w:val="left"/>
              <w:rPr>
                <w:rFonts w:cs="Calibri"/>
                <w:color w:val="000000" w:themeColor="text1"/>
                <w:sz w:val="16"/>
              </w:rPr>
            </w:pPr>
          </w:p>
        </w:tc>
      </w:tr>
      <w:tr w:rsidR="001C21B0" w:rsidRPr="001C21B0" w14:paraId="46AA29AE" w14:textId="77777777" w:rsidTr="00443DA2">
        <w:trPr>
          <w:trHeight w:val="258"/>
        </w:trPr>
        <w:tc>
          <w:tcPr>
            <w:tcW w:w="6633" w:type="dxa"/>
            <w:tcBorders>
              <w:top w:val="single" w:sz="6" w:space="0" w:color="73777A"/>
              <w:left w:val="nil"/>
              <w:bottom w:val="double" w:sz="6" w:space="0" w:color="73777A"/>
              <w:right w:val="nil"/>
            </w:tcBorders>
          </w:tcPr>
          <w:p w14:paraId="5E27B074" w14:textId="77777777" w:rsidR="00FA4226" w:rsidRPr="001C21B0" w:rsidRDefault="00000000" w:rsidP="0043303B">
            <w:pPr>
              <w:pStyle w:val="TableParagraph"/>
              <w:jc w:val="left"/>
              <w:rPr>
                <w:rFonts w:cs="Calibri"/>
                <w:color w:val="000000" w:themeColor="text1"/>
                <w:sz w:val="18"/>
              </w:rPr>
            </w:pPr>
            <w:r w:rsidRPr="001C21B0">
              <w:rPr>
                <w:rFonts w:cs="Calibri"/>
                <w:color w:val="000000" w:themeColor="text1"/>
                <w:sz w:val="18"/>
              </w:rPr>
              <w:t>Balance</w:t>
            </w:r>
            <w:r w:rsidRPr="001C21B0">
              <w:rPr>
                <w:rFonts w:cs="Calibri"/>
                <w:color w:val="000000" w:themeColor="text1"/>
                <w:spacing w:val="3"/>
                <w:sz w:val="18"/>
              </w:rPr>
              <w:t xml:space="preserve"> </w:t>
            </w:r>
            <w:r w:rsidRPr="001C21B0">
              <w:rPr>
                <w:rFonts w:cs="Calibri"/>
                <w:color w:val="000000" w:themeColor="text1"/>
                <w:sz w:val="18"/>
              </w:rPr>
              <w:t>at</w:t>
            </w:r>
            <w:r w:rsidRPr="001C21B0">
              <w:rPr>
                <w:rFonts w:cs="Calibri"/>
                <w:color w:val="000000" w:themeColor="text1"/>
                <w:spacing w:val="5"/>
                <w:sz w:val="18"/>
              </w:rPr>
              <w:t xml:space="preserve"> </w:t>
            </w:r>
            <w:r w:rsidRPr="001C21B0">
              <w:rPr>
                <w:rFonts w:cs="Calibri"/>
                <w:color w:val="000000" w:themeColor="text1"/>
                <w:sz w:val="18"/>
              </w:rPr>
              <w:t>30</w:t>
            </w:r>
            <w:r w:rsidRPr="001C21B0">
              <w:rPr>
                <w:rFonts w:cs="Calibri"/>
                <w:color w:val="000000" w:themeColor="text1"/>
                <w:spacing w:val="5"/>
                <w:sz w:val="18"/>
              </w:rPr>
              <w:t xml:space="preserve"> </w:t>
            </w:r>
            <w:r w:rsidRPr="001C21B0">
              <w:rPr>
                <w:rFonts w:cs="Calibri"/>
                <w:color w:val="000000" w:themeColor="text1"/>
                <w:sz w:val="18"/>
              </w:rPr>
              <w:t>June</w:t>
            </w:r>
            <w:r w:rsidRPr="001C21B0">
              <w:rPr>
                <w:rFonts w:cs="Calibri"/>
                <w:color w:val="000000" w:themeColor="text1"/>
                <w:spacing w:val="6"/>
                <w:sz w:val="18"/>
              </w:rPr>
              <w:t xml:space="preserve"> </w:t>
            </w:r>
            <w:r w:rsidRPr="001C21B0">
              <w:rPr>
                <w:rFonts w:cs="Calibri"/>
                <w:color w:val="000000" w:themeColor="text1"/>
                <w:spacing w:val="-4"/>
                <w:sz w:val="18"/>
              </w:rPr>
              <w:t>2023</w:t>
            </w:r>
          </w:p>
        </w:tc>
        <w:tc>
          <w:tcPr>
            <w:tcW w:w="1502" w:type="dxa"/>
            <w:tcBorders>
              <w:top w:val="single" w:sz="6" w:space="0" w:color="73777A"/>
              <w:left w:val="nil"/>
              <w:bottom w:val="double" w:sz="4" w:space="0" w:color="73777A"/>
              <w:right w:val="single" w:sz="8" w:space="0" w:color="FFFFFF"/>
            </w:tcBorders>
            <w:shd w:val="clear" w:color="auto" w:fill="FFF0E7"/>
            <w:tcMar>
              <w:right w:w="57" w:type="dxa"/>
            </w:tcMar>
          </w:tcPr>
          <w:p w14:paraId="33A94635" w14:textId="77777777" w:rsidR="00FA4226" w:rsidRPr="001C21B0" w:rsidRDefault="00000000" w:rsidP="0043303B">
            <w:pPr>
              <w:pStyle w:val="TableParagraph"/>
              <w:rPr>
                <w:rFonts w:cs="Calibri"/>
                <w:color w:val="000000" w:themeColor="text1"/>
                <w:sz w:val="18"/>
              </w:rPr>
            </w:pPr>
            <w:r w:rsidRPr="001C21B0">
              <w:rPr>
                <w:rFonts w:cs="Calibri"/>
                <w:color w:val="000000" w:themeColor="text1"/>
                <w:spacing w:val="-2"/>
                <w:sz w:val="18"/>
              </w:rPr>
              <w:t>969,911</w:t>
            </w:r>
          </w:p>
        </w:tc>
        <w:tc>
          <w:tcPr>
            <w:tcW w:w="1502" w:type="dxa"/>
            <w:tcBorders>
              <w:top w:val="single" w:sz="6" w:space="0" w:color="73777A"/>
              <w:left w:val="single" w:sz="8" w:space="0" w:color="FFFFFF"/>
              <w:bottom w:val="double" w:sz="4" w:space="0" w:color="73777A"/>
              <w:right w:val="nil"/>
            </w:tcBorders>
            <w:shd w:val="clear" w:color="auto" w:fill="EDEFF0"/>
            <w:tcMar>
              <w:right w:w="57" w:type="dxa"/>
            </w:tcMar>
          </w:tcPr>
          <w:p w14:paraId="7FF72096" w14:textId="77777777" w:rsidR="00FA4226" w:rsidRPr="001C21B0" w:rsidRDefault="00000000" w:rsidP="0043303B">
            <w:pPr>
              <w:pStyle w:val="TableParagraph"/>
              <w:rPr>
                <w:rFonts w:cs="Calibri"/>
                <w:color w:val="000000" w:themeColor="text1"/>
                <w:sz w:val="18"/>
              </w:rPr>
            </w:pPr>
            <w:r w:rsidRPr="001C21B0">
              <w:rPr>
                <w:rFonts w:cs="Calibri"/>
                <w:color w:val="000000" w:themeColor="text1"/>
                <w:spacing w:val="-2"/>
                <w:sz w:val="18"/>
              </w:rPr>
              <w:t>969,911</w:t>
            </w:r>
          </w:p>
        </w:tc>
      </w:tr>
    </w:tbl>
    <w:p w14:paraId="090DD68D" w14:textId="77777777" w:rsidR="00FA4226" w:rsidRPr="001C21B0" w:rsidRDefault="00FA4226" w:rsidP="0043303B">
      <w:pPr>
        <w:pStyle w:val="BodyText"/>
        <w:spacing w:before="9"/>
        <w:rPr>
          <w:rFonts w:cs="Calibri"/>
          <w:sz w:val="17"/>
        </w:rPr>
      </w:pPr>
    </w:p>
    <w:p w14:paraId="72EC86A2" w14:textId="77777777" w:rsidR="00FA4226" w:rsidRPr="001C21B0" w:rsidRDefault="00000000" w:rsidP="0043303B">
      <w:pPr>
        <w:pStyle w:val="ListParagraph"/>
        <w:numPr>
          <w:ilvl w:val="0"/>
          <w:numId w:val="1"/>
        </w:numPr>
        <w:tabs>
          <w:tab w:val="left" w:pos="1289"/>
        </w:tabs>
        <w:spacing w:before="0"/>
        <w:ind w:left="0" w:firstLine="0"/>
        <w:rPr>
          <w:rFonts w:cs="Calibri"/>
          <w:i/>
          <w:sz w:val="16"/>
        </w:rPr>
      </w:pPr>
      <w:r w:rsidRPr="001C21B0">
        <w:rPr>
          <w:rFonts w:cs="Calibri"/>
          <w:i/>
          <w:sz w:val="16"/>
        </w:rPr>
        <w:t>The</w:t>
      </w:r>
      <w:r w:rsidRPr="001C21B0">
        <w:rPr>
          <w:rFonts w:cs="Calibri"/>
          <w:i/>
          <w:spacing w:val="-4"/>
          <w:sz w:val="16"/>
        </w:rPr>
        <w:t xml:space="preserve"> </w:t>
      </w:r>
      <w:r w:rsidRPr="001C21B0">
        <w:rPr>
          <w:rFonts w:cs="Calibri"/>
          <w:i/>
          <w:sz w:val="16"/>
        </w:rPr>
        <w:t>2021-22</w:t>
      </w:r>
      <w:r w:rsidRPr="001C21B0">
        <w:rPr>
          <w:rFonts w:cs="Calibri"/>
          <w:i/>
          <w:spacing w:val="-4"/>
          <w:sz w:val="16"/>
        </w:rPr>
        <w:t xml:space="preserve"> </w:t>
      </w:r>
      <w:r w:rsidRPr="001C21B0">
        <w:rPr>
          <w:rFonts w:cs="Calibri"/>
          <w:i/>
          <w:sz w:val="16"/>
        </w:rPr>
        <w:t>comparative</w:t>
      </w:r>
      <w:r w:rsidRPr="001C21B0">
        <w:rPr>
          <w:rFonts w:cs="Calibri"/>
          <w:i/>
          <w:spacing w:val="-4"/>
          <w:sz w:val="16"/>
        </w:rPr>
        <w:t xml:space="preserve"> </w:t>
      </w:r>
      <w:r w:rsidRPr="001C21B0">
        <w:rPr>
          <w:rFonts w:cs="Calibri"/>
          <w:i/>
          <w:sz w:val="16"/>
        </w:rPr>
        <w:t>figures</w:t>
      </w:r>
      <w:r w:rsidRPr="001C21B0">
        <w:rPr>
          <w:rFonts w:cs="Calibri"/>
          <w:i/>
          <w:spacing w:val="-4"/>
          <w:sz w:val="16"/>
        </w:rPr>
        <w:t xml:space="preserve"> </w:t>
      </w:r>
      <w:r w:rsidRPr="001C21B0">
        <w:rPr>
          <w:rFonts w:cs="Calibri"/>
          <w:i/>
          <w:sz w:val="16"/>
        </w:rPr>
        <w:t>have</w:t>
      </w:r>
      <w:r w:rsidRPr="001C21B0">
        <w:rPr>
          <w:rFonts w:cs="Calibri"/>
          <w:i/>
          <w:spacing w:val="-4"/>
          <w:sz w:val="16"/>
        </w:rPr>
        <w:t xml:space="preserve"> </w:t>
      </w:r>
      <w:r w:rsidRPr="001C21B0">
        <w:rPr>
          <w:rFonts w:cs="Calibri"/>
          <w:i/>
          <w:sz w:val="16"/>
        </w:rPr>
        <w:t>been</w:t>
      </w:r>
      <w:r w:rsidRPr="001C21B0">
        <w:rPr>
          <w:rFonts w:cs="Calibri"/>
          <w:i/>
          <w:spacing w:val="-4"/>
          <w:sz w:val="16"/>
        </w:rPr>
        <w:t xml:space="preserve"> </w:t>
      </w:r>
      <w:r w:rsidRPr="001C21B0">
        <w:rPr>
          <w:rFonts w:cs="Calibri"/>
          <w:i/>
          <w:sz w:val="16"/>
        </w:rPr>
        <w:t>adjusted</w:t>
      </w:r>
      <w:r w:rsidRPr="001C21B0">
        <w:rPr>
          <w:rFonts w:cs="Calibri"/>
          <w:i/>
          <w:spacing w:val="-4"/>
          <w:sz w:val="16"/>
        </w:rPr>
        <w:t xml:space="preserve"> </w:t>
      </w:r>
      <w:r w:rsidRPr="001C21B0">
        <w:rPr>
          <w:rFonts w:cs="Calibri"/>
          <w:i/>
          <w:sz w:val="16"/>
        </w:rPr>
        <w:t>to</w:t>
      </w:r>
      <w:r w:rsidRPr="001C21B0">
        <w:rPr>
          <w:rFonts w:cs="Calibri"/>
          <w:i/>
          <w:spacing w:val="-4"/>
          <w:sz w:val="16"/>
        </w:rPr>
        <w:t xml:space="preserve"> </w:t>
      </w:r>
      <w:r w:rsidRPr="001C21B0">
        <w:rPr>
          <w:rFonts w:cs="Calibri"/>
          <w:i/>
          <w:sz w:val="16"/>
        </w:rPr>
        <w:t>correct a rounding error.</w:t>
      </w:r>
    </w:p>
    <w:p w14:paraId="76F5E385" w14:textId="77777777" w:rsidR="00FA4226" w:rsidRPr="001C21B0" w:rsidRDefault="00000000" w:rsidP="0043303B">
      <w:pPr>
        <w:pStyle w:val="ListParagraph"/>
        <w:numPr>
          <w:ilvl w:val="0"/>
          <w:numId w:val="1"/>
        </w:numPr>
        <w:tabs>
          <w:tab w:val="left" w:pos="1319"/>
        </w:tabs>
        <w:spacing w:before="119"/>
        <w:ind w:left="0" w:firstLine="0"/>
        <w:rPr>
          <w:rFonts w:cs="Calibri"/>
          <w:i/>
          <w:sz w:val="16"/>
        </w:rPr>
      </w:pPr>
      <w:r w:rsidRPr="001C21B0">
        <w:rPr>
          <w:rFonts w:cs="Calibri"/>
          <w:i/>
          <w:sz w:val="16"/>
        </w:rPr>
        <w:t>The</w:t>
      </w:r>
      <w:r w:rsidRPr="001C21B0">
        <w:rPr>
          <w:rFonts w:cs="Calibri"/>
          <w:i/>
          <w:spacing w:val="-6"/>
          <w:sz w:val="16"/>
        </w:rPr>
        <w:t xml:space="preserve"> </w:t>
      </w:r>
      <w:r w:rsidRPr="001C21B0">
        <w:rPr>
          <w:rFonts w:cs="Calibri"/>
          <w:i/>
          <w:sz w:val="16"/>
        </w:rPr>
        <w:t>2021-22</w:t>
      </w:r>
      <w:r w:rsidRPr="001C21B0">
        <w:rPr>
          <w:rFonts w:cs="Calibri"/>
          <w:i/>
          <w:spacing w:val="-4"/>
          <w:sz w:val="16"/>
        </w:rPr>
        <w:t xml:space="preserve"> </w:t>
      </w:r>
      <w:r w:rsidRPr="001C21B0">
        <w:rPr>
          <w:rFonts w:cs="Calibri"/>
          <w:i/>
          <w:sz w:val="16"/>
        </w:rPr>
        <w:t>comparative</w:t>
      </w:r>
      <w:r w:rsidRPr="001C21B0">
        <w:rPr>
          <w:rFonts w:cs="Calibri"/>
          <w:i/>
          <w:spacing w:val="-4"/>
          <w:sz w:val="16"/>
        </w:rPr>
        <w:t xml:space="preserve"> </w:t>
      </w:r>
      <w:r w:rsidRPr="001C21B0">
        <w:rPr>
          <w:rFonts w:cs="Calibri"/>
          <w:i/>
          <w:sz w:val="16"/>
        </w:rPr>
        <w:t>figures</w:t>
      </w:r>
      <w:r w:rsidRPr="001C21B0">
        <w:rPr>
          <w:rFonts w:cs="Calibri"/>
          <w:i/>
          <w:spacing w:val="-4"/>
          <w:sz w:val="16"/>
        </w:rPr>
        <w:t xml:space="preserve"> </w:t>
      </w:r>
      <w:r w:rsidRPr="001C21B0">
        <w:rPr>
          <w:rFonts w:cs="Calibri"/>
          <w:i/>
          <w:sz w:val="16"/>
        </w:rPr>
        <w:t>have</w:t>
      </w:r>
      <w:r w:rsidRPr="001C21B0">
        <w:rPr>
          <w:rFonts w:cs="Calibri"/>
          <w:i/>
          <w:spacing w:val="-4"/>
          <w:sz w:val="16"/>
        </w:rPr>
        <w:t xml:space="preserve"> </w:t>
      </w:r>
      <w:r w:rsidRPr="001C21B0">
        <w:rPr>
          <w:rFonts w:cs="Calibri"/>
          <w:i/>
          <w:sz w:val="16"/>
        </w:rPr>
        <w:t>been</w:t>
      </w:r>
      <w:r w:rsidRPr="001C21B0">
        <w:rPr>
          <w:rFonts w:cs="Calibri"/>
          <w:i/>
          <w:spacing w:val="-4"/>
          <w:sz w:val="16"/>
        </w:rPr>
        <w:t xml:space="preserve"> </w:t>
      </w:r>
      <w:r w:rsidRPr="001C21B0">
        <w:rPr>
          <w:rFonts w:cs="Calibri"/>
          <w:i/>
          <w:sz w:val="16"/>
        </w:rPr>
        <w:t>adjusted</w:t>
      </w:r>
      <w:r w:rsidRPr="001C21B0">
        <w:rPr>
          <w:rFonts w:cs="Calibri"/>
          <w:i/>
          <w:spacing w:val="-4"/>
          <w:sz w:val="16"/>
        </w:rPr>
        <w:t xml:space="preserve"> </w:t>
      </w:r>
      <w:r w:rsidRPr="001C21B0">
        <w:rPr>
          <w:rFonts w:cs="Calibri"/>
          <w:i/>
          <w:sz w:val="16"/>
        </w:rPr>
        <w:t>to</w:t>
      </w:r>
      <w:r w:rsidRPr="001C21B0">
        <w:rPr>
          <w:rFonts w:cs="Calibri"/>
          <w:i/>
          <w:spacing w:val="-4"/>
          <w:sz w:val="16"/>
        </w:rPr>
        <w:t xml:space="preserve"> </w:t>
      </w:r>
      <w:r w:rsidRPr="001C21B0">
        <w:rPr>
          <w:rFonts w:cs="Calibri"/>
          <w:i/>
          <w:sz w:val="16"/>
        </w:rPr>
        <w:t>correct a prior period error. Refer to note 8.5 for more information.</w:t>
      </w:r>
    </w:p>
    <w:p w14:paraId="52264A18" w14:textId="77777777" w:rsidR="00FA4226" w:rsidRPr="001C21B0" w:rsidRDefault="00FA4226" w:rsidP="0043303B">
      <w:pPr>
        <w:pStyle w:val="BodyText"/>
        <w:rPr>
          <w:rFonts w:cs="Calibri"/>
          <w:i/>
        </w:rPr>
      </w:pPr>
    </w:p>
    <w:p w14:paraId="21F56066" w14:textId="77777777" w:rsidR="00FA4226" w:rsidRPr="001C21B0" w:rsidRDefault="00FA4226" w:rsidP="0043303B">
      <w:pPr>
        <w:pStyle w:val="BodyText"/>
        <w:spacing w:before="10"/>
        <w:rPr>
          <w:rFonts w:cs="Calibri"/>
          <w:i/>
          <w:sz w:val="15"/>
        </w:rPr>
      </w:pPr>
    </w:p>
    <w:p w14:paraId="5D7FEF30" w14:textId="77777777" w:rsidR="00FA4226" w:rsidRPr="001C21B0" w:rsidRDefault="00000000" w:rsidP="0043303B">
      <w:pPr>
        <w:pStyle w:val="BodyText"/>
        <w:rPr>
          <w:rFonts w:cs="Calibri"/>
        </w:rPr>
      </w:pPr>
      <w:r w:rsidRPr="001C21B0">
        <w:rPr>
          <w:rFonts w:cs="Calibri"/>
        </w:rPr>
        <w:t>The</w:t>
      </w:r>
      <w:r w:rsidRPr="001C21B0">
        <w:rPr>
          <w:rFonts w:cs="Calibri"/>
          <w:spacing w:val="-4"/>
        </w:rPr>
        <w:t xml:space="preserve"> </w:t>
      </w:r>
      <w:r w:rsidRPr="001C21B0">
        <w:rPr>
          <w:rFonts w:cs="Calibri"/>
        </w:rPr>
        <w:t>above</w:t>
      </w:r>
      <w:r w:rsidRPr="001C21B0">
        <w:rPr>
          <w:rFonts w:cs="Calibri"/>
          <w:spacing w:val="-4"/>
        </w:rPr>
        <w:t xml:space="preserve"> </w:t>
      </w:r>
      <w:r w:rsidRPr="001C21B0">
        <w:rPr>
          <w:rFonts w:cs="Calibri"/>
        </w:rPr>
        <w:t>statement</w:t>
      </w:r>
      <w:r w:rsidRPr="001C21B0">
        <w:rPr>
          <w:rFonts w:cs="Calibri"/>
          <w:spacing w:val="-4"/>
        </w:rPr>
        <w:t xml:space="preserve"> </w:t>
      </w:r>
      <w:r w:rsidRPr="001C21B0">
        <w:rPr>
          <w:rFonts w:cs="Calibri"/>
        </w:rPr>
        <w:t>of</w:t>
      </w:r>
      <w:r w:rsidRPr="001C21B0">
        <w:rPr>
          <w:rFonts w:cs="Calibri"/>
          <w:spacing w:val="-4"/>
        </w:rPr>
        <w:t xml:space="preserve"> </w:t>
      </w:r>
      <w:r w:rsidRPr="001C21B0">
        <w:rPr>
          <w:rFonts w:cs="Calibri"/>
        </w:rPr>
        <w:t>changes</w:t>
      </w:r>
      <w:r w:rsidRPr="001C21B0">
        <w:rPr>
          <w:rFonts w:cs="Calibri"/>
          <w:spacing w:val="-4"/>
        </w:rPr>
        <w:t xml:space="preserve"> </w:t>
      </w:r>
      <w:r w:rsidRPr="001C21B0">
        <w:rPr>
          <w:rFonts w:cs="Calibri"/>
        </w:rPr>
        <w:t>in</w:t>
      </w:r>
      <w:r w:rsidRPr="001C21B0">
        <w:rPr>
          <w:rFonts w:cs="Calibri"/>
          <w:spacing w:val="-4"/>
        </w:rPr>
        <w:t xml:space="preserve"> </w:t>
      </w:r>
      <w:r w:rsidRPr="001C21B0">
        <w:rPr>
          <w:rFonts w:cs="Calibri"/>
        </w:rPr>
        <w:t>equity</w:t>
      </w:r>
      <w:r w:rsidRPr="001C21B0">
        <w:rPr>
          <w:rFonts w:cs="Calibri"/>
          <w:spacing w:val="-4"/>
        </w:rPr>
        <w:t xml:space="preserve"> </w:t>
      </w:r>
      <w:r w:rsidRPr="001C21B0">
        <w:rPr>
          <w:rFonts w:cs="Calibri"/>
        </w:rPr>
        <w:t>should</w:t>
      </w:r>
      <w:r w:rsidRPr="001C21B0">
        <w:rPr>
          <w:rFonts w:cs="Calibri"/>
          <w:spacing w:val="-4"/>
        </w:rPr>
        <w:t xml:space="preserve"> </w:t>
      </w:r>
      <w:r w:rsidRPr="001C21B0">
        <w:rPr>
          <w:rFonts w:cs="Calibri"/>
        </w:rPr>
        <w:t>be</w:t>
      </w:r>
      <w:r w:rsidRPr="001C21B0">
        <w:rPr>
          <w:rFonts w:cs="Calibri"/>
          <w:spacing w:val="-4"/>
        </w:rPr>
        <w:t xml:space="preserve"> </w:t>
      </w:r>
      <w:r w:rsidRPr="001C21B0">
        <w:rPr>
          <w:rFonts w:cs="Calibri"/>
        </w:rPr>
        <w:t>read in conjunction with the accompanying notes.</w:t>
      </w:r>
    </w:p>
    <w:p w14:paraId="4CB83C57" w14:textId="77777777" w:rsidR="00FA4226" w:rsidRPr="001C21B0" w:rsidRDefault="00FA4226" w:rsidP="0043303B">
      <w:pPr>
        <w:pStyle w:val="BodyText"/>
        <w:rPr>
          <w:rFonts w:cs="Calibri"/>
        </w:rPr>
        <w:sectPr w:rsidR="00FA4226" w:rsidRPr="001C21B0" w:rsidSect="00E941A5">
          <w:pgSz w:w="11910" w:h="16840"/>
          <w:pgMar w:top="1134" w:right="1278" w:bottom="1134" w:left="1134" w:header="720" w:footer="720" w:gutter="0"/>
          <w:cols w:space="720"/>
        </w:sectPr>
      </w:pPr>
    </w:p>
    <w:p w14:paraId="697E5D53" w14:textId="16D31610" w:rsidR="00076040" w:rsidRPr="001C21B0" w:rsidRDefault="00076040" w:rsidP="00076040">
      <w:pPr>
        <w:pStyle w:val="Heading1"/>
        <w:rPr>
          <w:rFonts w:cs="Calibri"/>
          <w:color w:val="000000" w:themeColor="text1"/>
        </w:rPr>
      </w:pPr>
      <w:r w:rsidRPr="001C21B0">
        <w:rPr>
          <w:rFonts w:cs="Calibri"/>
          <w:color w:val="000000" w:themeColor="text1"/>
        </w:rPr>
        <w:t>Notes to the financial statements</w:t>
      </w:r>
    </w:p>
    <w:p w14:paraId="698C67A0" w14:textId="451FA15E" w:rsidR="00FA4226" w:rsidRPr="001C21B0" w:rsidRDefault="00000000" w:rsidP="0043303B">
      <w:pPr>
        <w:pStyle w:val="Heading3"/>
        <w:numPr>
          <w:ilvl w:val="0"/>
          <w:numId w:val="15"/>
        </w:numPr>
        <w:tabs>
          <w:tab w:val="left" w:pos="851"/>
          <w:tab w:val="left" w:pos="1134"/>
          <w:tab w:val="left" w:pos="1488"/>
        </w:tabs>
        <w:spacing w:before="160"/>
        <w:ind w:left="0" w:firstLine="0"/>
        <w:rPr>
          <w:rFonts w:cs="Calibri"/>
          <w:color w:val="000000" w:themeColor="text1"/>
        </w:rPr>
      </w:pPr>
      <w:r w:rsidRPr="001C21B0">
        <w:rPr>
          <w:rFonts w:cs="Calibri"/>
          <w:color w:val="000000" w:themeColor="text1"/>
        </w:rPr>
        <w:t xml:space="preserve">About this </w:t>
      </w:r>
      <w:r w:rsidRPr="001C21B0">
        <w:rPr>
          <w:rFonts w:cs="Calibri"/>
          <w:color w:val="000000" w:themeColor="text1"/>
          <w:spacing w:val="-2"/>
        </w:rPr>
        <w:t>report</w:t>
      </w:r>
    </w:p>
    <w:p w14:paraId="4A706062" w14:textId="77777777" w:rsidR="00FA4226" w:rsidRPr="00CA2CC1" w:rsidRDefault="00000000" w:rsidP="0043303B">
      <w:pPr>
        <w:spacing w:before="87"/>
        <w:rPr>
          <w:rFonts w:cs="Calibri"/>
          <w:sz w:val="18"/>
        </w:rPr>
      </w:pPr>
      <w:r w:rsidRPr="00CA2CC1">
        <w:rPr>
          <w:rFonts w:cs="Calibri"/>
          <w:color w:val="414042"/>
          <w:sz w:val="18"/>
        </w:rPr>
        <w:t xml:space="preserve">Infrastructure Victoria was established by the </w:t>
      </w:r>
      <w:r w:rsidRPr="00CA2CC1">
        <w:rPr>
          <w:rFonts w:cs="Calibri"/>
          <w:i/>
          <w:color w:val="414042"/>
          <w:sz w:val="18"/>
        </w:rPr>
        <w:t>Infrastructure Victoria</w:t>
      </w:r>
      <w:r w:rsidRPr="00CA2CC1">
        <w:rPr>
          <w:rFonts w:cs="Calibri"/>
          <w:i/>
          <w:color w:val="414042"/>
          <w:spacing w:val="-6"/>
          <w:sz w:val="18"/>
        </w:rPr>
        <w:t xml:space="preserve"> </w:t>
      </w:r>
      <w:r w:rsidRPr="00CA2CC1">
        <w:rPr>
          <w:rFonts w:cs="Calibri"/>
          <w:i/>
          <w:color w:val="414042"/>
          <w:sz w:val="18"/>
        </w:rPr>
        <w:t>Act</w:t>
      </w:r>
      <w:r w:rsidRPr="00CA2CC1">
        <w:rPr>
          <w:rFonts w:cs="Calibri"/>
          <w:i/>
          <w:color w:val="414042"/>
          <w:spacing w:val="-6"/>
          <w:sz w:val="18"/>
        </w:rPr>
        <w:t xml:space="preserve"> </w:t>
      </w:r>
      <w:r w:rsidRPr="00CA2CC1">
        <w:rPr>
          <w:rFonts w:cs="Calibri"/>
          <w:i/>
          <w:color w:val="414042"/>
          <w:sz w:val="18"/>
        </w:rPr>
        <w:t>2015</w:t>
      </w:r>
      <w:r w:rsidRPr="00CA2CC1">
        <w:rPr>
          <w:rFonts w:cs="Calibri"/>
          <w:i/>
          <w:color w:val="414042"/>
          <w:spacing w:val="-7"/>
          <w:sz w:val="18"/>
        </w:rPr>
        <w:t xml:space="preserve"> </w:t>
      </w:r>
      <w:r w:rsidRPr="00CA2CC1">
        <w:rPr>
          <w:rFonts w:cs="Calibri"/>
          <w:color w:val="414042"/>
          <w:sz w:val="18"/>
        </w:rPr>
        <w:t>and</w:t>
      </w:r>
      <w:r w:rsidRPr="00CA2CC1">
        <w:rPr>
          <w:rFonts w:cs="Calibri"/>
          <w:color w:val="414042"/>
          <w:spacing w:val="-6"/>
          <w:sz w:val="18"/>
        </w:rPr>
        <w:t xml:space="preserve"> </w:t>
      </w:r>
      <w:r w:rsidRPr="00CA2CC1">
        <w:rPr>
          <w:rFonts w:cs="Calibri"/>
          <w:color w:val="414042"/>
          <w:sz w:val="18"/>
        </w:rPr>
        <w:t>commenced</w:t>
      </w:r>
      <w:r w:rsidRPr="00CA2CC1">
        <w:rPr>
          <w:rFonts w:cs="Calibri"/>
          <w:color w:val="414042"/>
          <w:spacing w:val="-6"/>
          <w:sz w:val="18"/>
        </w:rPr>
        <w:t xml:space="preserve"> </w:t>
      </w:r>
      <w:r w:rsidRPr="00CA2CC1">
        <w:rPr>
          <w:rFonts w:cs="Calibri"/>
          <w:color w:val="414042"/>
          <w:sz w:val="18"/>
        </w:rPr>
        <w:t>operations</w:t>
      </w:r>
      <w:r w:rsidRPr="00CA2CC1">
        <w:rPr>
          <w:rFonts w:cs="Calibri"/>
          <w:color w:val="414042"/>
          <w:spacing w:val="-6"/>
          <w:sz w:val="18"/>
        </w:rPr>
        <w:t xml:space="preserve"> </w:t>
      </w:r>
      <w:r w:rsidRPr="00CA2CC1">
        <w:rPr>
          <w:rFonts w:cs="Calibri"/>
          <w:color w:val="414042"/>
          <w:sz w:val="18"/>
        </w:rPr>
        <w:t>on</w:t>
      </w:r>
      <w:r w:rsidRPr="00CA2CC1">
        <w:rPr>
          <w:rFonts w:cs="Calibri"/>
          <w:color w:val="414042"/>
          <w:spacing w:val="-6"/>
          <w:sz w:val="18"/>
        </w:rPr>
        <w:t xml:space="preserve"> </w:t>
      </w:r>
      <w:r w:rsidRPr="00CA2CC1">
        <w:rPr>
          <w:rFonts w:cs="Calibri"/>
          <w:color w:val="414042"/>
          <w:sz w:val="18"/>
        </w:rPr>
        <w:t>1</w:t>
      </w:r>
      <w:r w:rsidRPr="00CA2CC1">
        <w:rPr>
          <w:rFonts w:cs="Calibri"/>
          <w:color w:val="414042"/>
          <w:spacing w:val="-6"/>
          <w:sz w:val="18"/>
        </w:rPr>
        <w:t xml:space="preserve"> </w:t>
      </w:r>
      <w:r w:rsidRPr="00CA2CC1">
        <w:rPr>
          <w:rFonts w:cs="Calibri"/>
          <w:color w:val="414042"/>
          <w:sz w:val="18"/>
        </w:rPr>
        <w:t xml:space="preserve">October </w:t>
      </w:r>
      <w:r w:rsidRPr="00CA2CC1">
        <w:rPr>
          <w:rFonts w:cs="Calibri"/>
          <w:color w:val="414042"/>
          <w:spacing w:val="-4"/>
          <w:sz w:val="18"/>
        </w:rPr>
        <w:t>2015.</w:t>
      </w:r>
    </w:p>
    <w:p w14:paraId="542E61B9" w14:textId="77777777" w:rsidR="00FA4226" w:rsidRPr="00CA2CC1" w:rsidRDefault="00000000" w:rsidP="0043303B">
      <w:pPr>
        <w:pStyle w:val="BodyText"/>
        <w:spacing w:before="111"/>
        <w:rPr>
          <w:rFonts w:cs="Calibri"/>
        </w:rPr>
      </w:pPr>
      <w:r w:rsidRPr="00CA2CC1">
        <w:rPr>
          <w:rFonts w:cs="Calibri"/>
          <w:color w:val="414042"/>
        </w:rPr>
        <w:t>The</w:t>
      </w:r>
      <w:r w:rsidRPr="00CA2CC1">
        <w:rPr>
          <w:rFonts w:cs="Calibri"/>
          <w:color w:val="414042"/>
          <w:spacing w:val="-2"/>
        </w:rPr>
        <w:t xml:space="preserve"> </w:t>
      </w:r>
      <w:r w:rsidRPr="00CA2CC1">
        <w:rPr>
          <w:rFonts w:cs="Calibri"/>
          <w:color w:val="414042"/>
        </w:rPr>
        <w:t>principal</w:t>
      </w:r>
      <w:r w:rsidRPr="00CA2CC1">
        <w:rPr>
          <w:rFonts w:cs="Calibri"/>
          <w:color w:val="414042"/>
          <w:spacing w:val="-1"/>
        </w:rPr>
        <w:t xml:space="preserve"> </w:t>
      </w:r>
      <w:r w:rsidRPr="00CA2CC1">
        <w:rPr>
          <w:rFonts w:cs="Calibri"/>
          <w:color w:val="414042"/>
        </w:rPr>
        <w:t>address</w:t>
      </w:r>
      <w:r w:rsidRPr="00CA2CC1">
        <w:rPr>
          <w:rFonts w:cs="Calibri"/>
          <w:color w:val="414042"/>
          <w:spacing w:val="-1"/>
        </w:rPr>
        <w:t xml:space="preserve"> </w:t>
      </w:r>
      <w:r w:rsidRPr="00CA2CC1">
        <w:rPr>
          <w:rFonts w:cs="Calibri"/>
          <w:color w:val="414042"/>
          <w:spacing w:val="-5"/>
        </w:rPr>
        <w:t>is:</w:t>
      </w:r>
    </w:p>
    <w:p w14:paraId="1DE44DED" w14:textId="398EC61D" w:rsidR="00FA4226" w:rsidRPr="00CA2CC1" w:rsidRDefault="00000000" w:rsidP="0043303B">
      <w:pPr>
        <w:pStyle w:val="BodyText"/>
        <w:spacing w:before="120"/>
        <w:rPr>
          <w:rFonts w:cs="Calibri"/>
          <w:b/>
          <w:bCs/>
        </w:rPr>
      </w:pPr>
      <w:r w:rsidRPr="00CA2CC1">
        <w:rPr>
          <w:rFonts w:cs="Calibri"/>
          <w:b/>
          <w:bCs/>
          <w:color w:val="414042"/>
        </w:rPr>
        <w:t>Infrastructure</w:t>
      </w:r>
      <w:r w:rsidRPr="00CA2CC1">
        <w:rPr>
          <w:rFonts w:cs="Calibri"/>
          <w:b/>
          <w:bCs/>
          <w:color w:val="414042"/>
          <w:spacing w:val="-13"/>
        </w:rPr>
        <w:t xml:space="preserve"> </w:t>
      </w:r>
      <w:r w:rsidRPr="00CA2CC1">
        <w:rPr>
          <w:rFonts w:cs="Calibri"/>
          <w:b/>
          <w:bCs/>
          <w:color w:val="414042"/>
        </w:rPr>
        <w:t xml:space="preserve">Victoria </w:t>
      </w:r>
      <w:r w:rsidR="007D6B0B" w:rsidRPr="00CA2CC1">
        <w:rPr>
          <w:rFonts w:cs="Calibri"/>
          <w:b/>
          <w:bCs/>
          <w:color w:val="414042"/>
        </w:rPr>
        <w:br/>
      </w:r>
      <w:r w:rsidRPr="00CA2CC1">
        <w:rPr>
          <w:rFonts w:cs="Calibri"/>
          <w:b/>
          <w:bCs/>
          <w:color w:val="414042"/>
        </w:rPr>
        <w:t>Level 33</w:t>
      </w:r>
      <w:r w:rsidR="007D6B0B" w:rsidRPr="00CA2CC1">
        <w:rPr>
          <w:rFonts w:cs="Calibri"/>
          <w:b/>
          <w:bCs/>
        </w:rPr>
        <w:br/>
      </w:r>
      <w:r w:rsidRPr="00CA2CC1">
        <w:rPr>
          <w:rFonts w:cs="Calibri"/>
          <w:b/>
          <w:bCs/>
          <w:color w:val="414042"/>
        </w:rPr>
        <w:t xml:space="preserve">140 William </w:t>
      </w:r>
      <w:r w:rsidRPr="00CA2CC1">
        <w:rPr>
          <w:rFonts w:cs="Calibri"/>
          <w:b/>
          <w:bCs/>
          <w:color w:val="414042"/>
          <w:spacing w:val="-2"/>
        </w:rPr>
        <w:t>Street</w:t>
      </w:r>
      <w:r w:rsidR="007D6B0B" w:rsidRPr="00CA2CC1">
        <w:rPr>
          <w:rFonts w:cs="Calibri"/>
          <w:b/>
          <w:bCs/>
        </w:rPr>
        <w:br/>
      </w:r>
      <w:r w:rsidRPr="00CA2CC1">
        <w:rPr>
          <w:rFonts w:cs="Calibri"/>
          <w:b/>
          <w:bCs/>
          <w:color w:val="414042"/>
        </w:rPr>
        <w:t>Melbourne</w:t>
      </w:r>
      <w:r w:rsidRPr="00CA2CC1">
        <w:rPr>
          <w:rFonts w:cs="Calibri"/>
          <w:b/>
          <w:bCs/>
          <w:color w:val="414042"/>
          <w:spacing w:val="1"/>
        </w:rPr>
        <w:t xml:space="preserve"> </w:t>
      </w:r>
      <w:r w:rsidRPr="00CA2CC1">
        <w:rPr>
          <w:rFonts w:cs="Calibri"/>
          <w:b/>
          <w:bCs/>
          <w:color w:val="414042"/>
        </w:rPr>
        <w:t>VIC</w:t>
      </w:r>
      <w:r w:rsidRPr="00CA2CC1">
        <w:rPr>
          <w:rFonts w:cs="Calibri"/>
          <w:b/>
          <w:bCs/>
          <w:color w:val="414042"/>
          <w:spacing w:val="2"/>
        </w:rPr>
        <w:t xml:space="preserve"> </w:t>
      </w:r>
      <w:r w:rsidRPr="00CA2CC1">
        <w:rPr>
          <w:rFonts w:cs="Calibri"/>
          <w:b/>
          <w:bCs/>
          <w:color w:val="414042"/>
          <w:spacing w:val="-4"/>
        </w:rPr>
        <w:t>3000</w:t>
      </w:r>
    </w:p>
    <w:p w14:paraId="5A8E33F2" w14:textId="77777777" w:rsidR="00FA4226" w:rsidRPr="00CA2CC1" w:rsidRDefault="00000000" w:rsidP="0043303B">
      <w:pPr>
        <w:pStyle w:val="BodyText"/>
        <w:spacing w:before="119"/>
        <w:rPr>
          <w:rFonts w:cs="Calibri"/>
        </w:rPr>
      </w:pPr>
      <w:r w:rsidRPr="00CA2CC1">
        <w:rPr>
          <w:rFonts w:cs="Calibri"/>
          <w:color w:val="414042"/>
        </w:rPr>
        <w:t>A description of the nature of Infrastructure Victoria’s operations and its principal services are included in the “</w:t>
      </w:r>
      <w:r w:rsidRPr="00CA2CC1">
        <w:rPr>
          <w:rFonts w:cs="Calibri"/>
          <w:b/>
          <w:bCs/>
          <w:color w:val="414042"/>
        </w:rPr>
        <w:t>Report</w:t>
      </w:r>
      <w:r w:rsidRPr="00CA2CC1">
        <w:rPr>
          <w:rFonts w:cs="Calibri"/>
          <w:b/>
          <w:bCs/>
          <w:color w:val="414042"/>
          <w:spacing w:val="-5"/>
        </w:rPr>
        <w:t xml:space="preserve"> </w:t>
      </w:r>
      <w:r w:rsidRPr="00CA2CC1">
        <w:rPr>
          <w:rFonts w:cs="Calibri"/>
          <w:b/>
          <w:bCs/>
          <w:color w:val="414042"/>
        </w:rPr>
        <w:t>of</w:t>
      </w:r>
      <w:r w:rsidRPr="00CA2CC1">
        <w:rPr>
          <w:rFonts w:cs="Calibri"/>
          <w:b/>
          <w:bCs/>
          <w:color w:val="414042"/>
          <w:spacing w:val="-5"/>
        </w:rPr>
        <w:t xml:space="preserve"> </w:t>
      </w:r>
      <w:r w:rsidRPr="00CA2CC1">
        <w:rPr>
          <w:rFonts w:cs="Calibri"/>
          <w:b/>
          <w:bCs/>
          <w:color w:val="414042"/>
        </w:rPr>
        <w:t>Operations</w:t>
      </w:r>
      <w:r w:rsidRPr="00CA2CC1">
        <w:rPr>
          <w:rFonts w:cs="Calibri"/>
          <w:color w:val="414042"/>
        </w:rPr>
        <w:t>”</w:t>
      </w:r>
      <w:r w:rsidRPr="00CA2CC1">
        <w:rPr>
          <w:rFonts w:cs="Calibri"/>
          <w:color w:val="414042"/>
          <w:spacing w:val="-6"/>
        </w:rPr>
        <w:t xml:space="preserve"> </w:t>
      </w:r>
      <w:r w:rsidRPr="00CA2CC1">
        <w:rPr>
          <w:rFonts w:cs="Calibri"/>
          <w:color w:val="414042"/>
        </w:rPr>
        <w:t>of</w:t>
      </w:r>
      <w:r w:rsidRPr="00CA2CC1">
        <w:rPr>
          <w:rFonts w:cs="Calibri"/>
          <w:color w:val="414042"/>
          <w:spacing w:val="-5"/>
        </w:rPr>
        <w:t xml:space="preserve"> </w:t>
      </w:r>
      <w:r w:rsidRPr="00CA2CC1">
        <w:rPr>
          <w:rFonts w:cs="Calibri"/>
          <w:color w:val="414042"/>
        </w:rPr>
        <w:t>the</w:t>
      </w:r>
      <w:r w:rsidRPr="00CA2CC1">
        <w:rPr>
          <w:rFonts w:cs="Calibri"/>
          <w:color w:val="414042"/>
          <w:spacing w:val="-5"/>
        </w:rPr>
        <w:t xml:space="preserve"> </w:t>
      </w:r>
      <w:r w:rsidRPr="00CA2CC1">
        <w:rPr>
          <w:rFonts w:cs="Calibri"/>
          <w:color w:val="414042"/>
        </w:rPr>
        <w:t>Annual</w:t>
      </w:r>
      <w:r w:rsidRPr="00CA2CC1">
        <w:rPr>
          <w:rFonts w:cs="Calibri"/>
          <w:color w:val="414042"/>
          <w:spacing w:val="-5"/>
        </w:rPr>
        <w:t xml:space="preserve"> </w:t>
      </w:r>
      <w:r w:rsidRPr="00CA2CC1">
        <w:rPr>
          <w:rFonts w:cs="Calibri"/>
          <w:color w:val="414042"/>
        </w:rPr>
        <w:t>Report</w:t>
      </w:r>
      <w:r w:rsidRPr="00CA2CC1">
        <w:rPr>
          <w:rFonts w:cs="Calibri"/>
          <w:color w:val="414042"/>
          <w:spacing w:val="-5"/>
        </w:rPr>
        <w:t xml:space="preserve"> </w:t>
      </w:r>
      <w:r w:rsidRPr="00CA2CC1">
        <w:rPr>
          <w:rFonts w:cs="Calibri"/>
          <w:color w:val="414042"/>
        </w:rPr>
        <w:t>which</w:t>
      </w:r>
      <w:r w:rsidRPr="00CA2CC1">
        <w:rPr>
          <w:rFonts w:cs="Calibri"/>
          <w:color w:val="414042"/>
          <w:spacing w:val="-5"/>
        </w:rPr>
        <w:t xml:space="preserve"> </w:t>
      </w:r>
      <w:r w:rsidRPr="00CA2CC1">
        <w:rPr>
          <w:rFonts w:cs="Calibri"/>
          <w:color w:val="414042"/>
        </w:rPr>
        <w:t>does not form part of these financial statements.</w:t>
      </w:r>
    </w:p>
    <w:p w14:paraId="1C6BA342" w14:textId="77777777" w:rsidR="00FA4226" w:rsidRPr="00CA2CC1" w:rsidRDefault="00FA4226" w:rsidP="0043303B">
      <w:pPr>
        <w:pStyle w:val="BodyText"/>
        <w:spacing w:before="8"/>
        <w:rPr>
          <w:rFonts w:cs="Calibri"/>
          <w:sz w:val="15"/>
        </w:rPr>
      </w:pPr>
    </w:p>
    <w:p w14:paraId="6862D45F" w14:textId="77777777" w:rsidR="00FA4226" w:rsidRPr="00CA2CC1" w:rsidRDefault="00000000" w:rsidP="001C21B0">
      <w:pPr>
        <w:pStyle w:val="Heading4"/>
      </w:pPr>
      <w:r w:rsidRPr="00CA2CC1">
        <w:t>Basis of preparation</w:t>
      </w:r>
    </w:p>
    <w:p w14:paraId="327A1F99" w14:textId="77777777" w:rsidR="00FA4226" w:rsidRPr="00CA2CC1" w:rsidRDefault="00000000" w:rsidP="0043303B">
      <w:pPr>
        <w:pStyle w:val="BodyText"/>
        <w:spacing w:before="112"/>
        <w:rPr>
          <w:rFonts w:cs="Calibri"/>
        </w:rPr>
      </w:pPr>
      <w:r w:rsidRPr="00CA2CC1">
        <w:rPr>
          <w:rFonts w:cs="Calibri"/>
          <w:color w:val="414042"/>
        </w:rPr>
        <w:t>These</w:t>
      </w:r>
      <w:r w:rsidRPr="00CA2CC1">
        <w:rPr>
          <w:rFonts w:cs="Calibri"/>
          <w:color w:val="414042"/>
          <w:spacing w:val="-7"/>
        </w:rPr>
        <w:t xml:space="preserve"> </w:t>
      </w:r>
      <w:r w:rsidRPr="00CA2CC1">
        <w:rPr>
          <w:rFonts w:cs="Calibri"/>
          <w:color w:val="414042"/>
        </w:rPr>
        <w:t>financial</w:t>
      </w:r>
      <w:r w:rsidRPr="00CA2CC1">
        <w:rPr>
          <w:rFonts w:cs="Calibri"/>
          <w:color w:val="414042"/>
          <w:spacing w:val="-7"/>
        </w:rPr>
        <w:t xml:space="preserve"> </w:t>
      </w:r>
      <w:r w:rsidRPr="00CA2CC1">
        <w:rPr>
          <w:rFonts w:cs="Calibri"/>
          <w:color w:val="414042"/>
        </w:rPr>
        <w:t>statements</w:t>
      </w:r>
      <w:r w:rsidRPr="00CA2CC1">
        <w:rPr>
          <w:rFonts w:cs="Calibri"/>
          <w:color w:val="414042"/>
          <w:spacing w:val="-7"/>
        </w:rPr>
        <w:t xml:space="preserve"> </w:t>
      </w:r>
      <w:r w:rsidRPr="00CA2CC1">
        <w:rPr>
          <w:rFonts w:cs="Calibri"/>
          <w:color w:val="414042"/>
        </w:rPr>
        <w:t>are</w:t>
      </w:r>
      <w:r w:rsidRPr="00CA2CC1">
        <w:rPr>
          <w:rFonts w:cs="Calibri"/>
          <w:color w:val="414042"/>
          <w:spacing w:val="-7"/>
        </w:rPr>
        <w:t xml:space="preserve"> </w:t>
      </w:r>
      <w:r w:rsidRPr="00CA2CC1">
        <w:rPr>
          <w:rFonts w:cs="Calibri"/>
          <w:color w:val="414042"/>
        </w:rPr>
        <w:t>prepared</w:t>
      </w:r>
      <w:r w:rsidRPr="00CA2CC1">
        <w:rPr>
          <w:rFonts w:cs="Calibri"/>
          <w:color w:val="414042"/>
          <w:spacing w:val="-7"/>
        </w:rPr>
        <w:t xml:space="preserve"> </w:t>
      </w:r>
      <w:r w:rsidRPr="00CA2CC1">
        <w:rPr>
          <w:rFonts w:cs="Calibri"/>
          <w:color w:val="414042"/>
        </w:rPr>
        <w:t>in</w:t>
      </w:r>
      <w:r w:rsidRPr="00CA2CC1">
        <w:rPr>
          <w:rFonts w:cs="Calibri"/>
          <w:color w:val="414042"/>
          <w:spacing w:val="-7"/>
        </w:rPr>
        <w:t xml:space="preserve"> </w:t>
      </w:r>
      <w:r w:rsidRPr="00CA2CC1">
        <w:rPr>
          <w:rFonts w:cs="Calibri"/>
          <w:color w:val="414042"/>
        </w:rPr>
        <w:t>Australian</w:t>
      </w:r>
      <w:r w:rsidRPr="00CA2CC1">
        <w:rPr>
          <w:rFonts w:cs="Calibri"/>
          <w:color w:val="414042"/>
          <w:spacing w:val="-7"/>
        </w:rPr>
        <w:t xml:space="preserve"> </w:t>
      </w:r>
      <w:r w:rsidRPr="00CA2CC1">
        <w:rPr>
          <w:rFonts w:cs="Calibri"/>
          <w:color w:val="414042"/>
        </w:rPr>
        <w:t>dollars and the historical cost convention is used unless a different measurement basis is specifically disclosed in the note associated with the item measured on a different basis.</w:t>
      </w:r>
    </w:p>
    <w:p w14:paraId="121AF751" w14:textId="77777777" w:rsidR="00FA4226" w:rsidRPr="00CA2CC1" w:rsidRDefault="00000000" w:rsidP="0043303B">
      <w:pPr>
        <w:pStyle w:val="BodyText"/>
        <w:spacing w:before="115"/>
        <w:rPr>
          <w:rFonts w:cs="Calibri"/>
        </w:rPr>
      </w:pPr>
      <w:r w:rsidRPr="00CA2CC1">
        <w:rPr>
          <w:rFonts w:cs="Calibri"/>
          <w:color w:val="414042"/>
        </w:rPr>
        <w:t>The accrual basis of accounting has been applied in preparing these financial statements, whereby assets, liabilities, equity, income and expenses are recognised in</w:t>
      </w:r>
      <w:r w:rsidRPr="00CA2CC1">
        <w:rPr>
          <w:rFonts w:cs="Calibri"/>
          <w:color w:val="414042"/>
          <w:spacing w:val="40"/>
        </w:rPr>
        <w:t xml:space="preserve"> </w:t>
      </w:r>
      <w:r w:rsidRPr="00CA2CC1">
        <w:rPr>
          <w:rFonts w:cs="Calibri"/>
          <w:color w:val="414042"/>
        </w:rPr>
        <w:t>the</w:t>
      </w:r>
      <w:r w:rsidRPr="00CA2CC1">
        <w:rPr>
          <w:rFonts w:cs="Calibri"/>
          <w:color w:val="414042"/>
          <w:spacing w:val="-6"/>
        </w:rPr>
        <w:t xml:space="preserve"> </w:t>
      </w:r>
      <w:r w:rsidRPr="00CA2CC1">
        <w:rPr>
          <w:rFonts w:cs="Calibri"/>
          <w:color w:val="414042"/>
        </w:rPr>
        <w:t>reporting</w:t>
      </w:r>
      <w:r w:rsidRPr="00CA2CC1">
        <w:rPr>
          <w:rFonts w:cs="Calibri"/>
          <w:color w:val="414042"/>
          <w:spacing w:val="-6"/>
        </w:rPr>
        <w:t xml:space="preserve"> </w:t>
      </w:r>
      <w:r w:rsidRPr="00CA2CC1">
        <w:rPr>
          <w:rFonts w:cs="Calibri"/>
          <w:color w:val="414042"/>
        </w:rPr>
        <w:t>period</w:t>
      </w:r>
      <w:r w:rsidRPr="00CA2CC1">
        <w:rPr>
          <w:rFonts w:cs="Calibri"/>
          <w:color w:val="414042"/>
          <w:spacing w:val="-6"/>
        </w:rPr>
        <w:t xml:space="preserve"> </w:t>
      </w:r>
      <w:r w:rsidRPr="00CA2CC1">
        <w:rPr>
          <w:rFonts w:cs="Calibri"/>
          <w:color w:val="414042"/>
        </w:rPr>
        <w:t>to</w:t>
      </w:r>
      <w:r w:rsidRPr="00CA2CC1">
        <w:rPr>
          <w:rFonts w:cs="Calibri"/>
          <w:color w:val="414042"/>
          <w:spacing w:val="-6"/>
        </w:rPr>
        <w:t xml:space="preserve"> </w:t>
      </w:r>
      <w:r w:rsidRPr="00CA2CC1">
        <w:rPr>
          <w:rFonts w:cs="Calibri"/>
          <w:color w:val="414042"/>
        </w:rPr>
        <w:t>which</w:t>
      </w:r>
      <w:r w:rsidRPr="00CA2CC1">
        <w:rPr>
          <w:rFonts w:cs="Calibri"/>
          <w:color w:val="414042"/>
          <w:spacing w:val="-6"/>
        </w:rPr>
        <w:t xml:space="preserve"> </w:t>
      </w:r>
      <w:r w:rsidRPr="00CA2CC1">
        <w:rPr>
          <w:rFonts w:cs="Calibri"/>
          <w:color w:val="414042"/>
        </w:rPr>
        <w:t>they</w:t>
      </w:r>
      <w:r w:rsidRPr="00CA2CC1">
        <w:rPr>
          <w:rFonts w:cs="Calibri"/>
          <w:color w:val="414042"/>
          <w:spacing w:val="-6"/>
        </w:rPr>
        <w:t xml:space="preserve"> </w:t>
      </w:r>
      <w:r w:rsidRPr="00CA2CC1">
        <w:rPr>
          <w:rFonts w:cs="Calibri"/>
          <w:color w:val="414042"/>
        </w:rPr>
        <w:t>relate,</w:t>
      </w:r>
      <w:r w:rsidRPr="00CA2CC1">
        <w:rPr>
          <w:rFonts w:cs="Calibri"/>
          <w:color w:val="414042"/>
          <w:spacing w:val="-6"/>
        </w:rPr>
        <w:t xml:space="preserve"> </w:t>
      </w:r>
      <w:r w:rsidRPr="00CA2CC1">
        <w:rPr>
          <w:rFonts w:cs="Calibri"/>
          <w:color w:val="414042"/>
        </w:rPr>
        <w:t>regardless</w:t>
      </w:r>
      <w:r w:rsidRPr="00CA2CC1">
        <w:rPr>
          <w:rFonts w:cs="Calibri"/>
          <w:color w:val="414042"/>
          <w:spacing w:val="-6"/>
        </w:rPr>
        <w:t xml:space="preserve"> </w:t>
      </w:r>
      <w:r w:rsidRPr="00CA2CC1">
        <w:rPr>
          <w:rFonts w:cs="Calibri"/>
          <w:color w:val="414042"/>
        </w:rPr>
        <w:t>of</w:t>
      </w:r>
      <w:r w:rsidRPr="00CA2CC1">
        <w:rPr>
          <w:rFonts w:cs="Calibri"/>
          <w:color w:val="414042"/>
          <w:spacing w:val="-6"/>
        </w:rPr>
        <w:t xml:space="preserve"> </w:t>
      </w:r>
      <w:r w:rsidRPr="00CA2CC1">
        <w:rPr>
          <w:rFonts w:cs="Calibri"/>
          <w:color w:val="414042"/>
        </w:rPr>
        <w:t>when cash is received or paid.</w:t>
      </w:r>
    </w:p>
    <w:p w14:paraId="2F8EA3E3" w14:textId="77777777" w:rsidR="00FA4226" w:rsidRPr="00CA2CC1" w:rsidRDefault="00000000" w:rsidP="0043303B">
      <w:pPr>
        <w:pStyle w:val="BodyText"/>
        <w:spacing w:before="115"/>
        <w:rPr>
          <w:rFonts w:cs="Calibri"/>
        </w:rPr>
      </w:pPr>
      <w:r w:rsidRPr="00CA2CC1">
        <w:rPr>
          <w:rFonts w:cs="Calibri"/>
          <w:color w:val="414042"/>
        </w:rPr>
        <w:t xml:space="preserve">Consistent with the requirements of AASB 1004 </w:t>
      </w:r>
      <w:r w:rsidRPr="00CA2CC1">
        <w:rPr>
          <w:rFonts w:cs="Calibri"/>
          <w:i/>
          <w:color w:val="414042"/>
        </w:rPr>
        <w:t>Contributions</w:t>
      </w:r>
      <w:r w:rsidRPr="00CA2CC1">
        <w:rPr>
          <w:rFonts w:cs="Calibri"/>
          <w:color w:val="414042"/>
        </w:rPr>
        <w:t>, contributions by owners (that is, contributed capital</w:t>
      </w:r>
      <w:r w:rsidRPr="00CA2CC1">
        <w:rPr>
          <w:rFonts w:cs="Calibri"/>
          <w:color w:val="414042"/>
          <w:spacing w:val="-3"/>
        </w:rPr>
        <w:t xml:space="preserve"> </w:t>
      </w:r>
      <w:r w:rsidRPr="00CA2CC1">
        <w:rPr>
          <w:rFonts w:cs="Calibri"/>
          <w:color w:val="414042"/>
        </w:rPr>
        <w:t>and</w:t>
      </w:r>
      <w:r w:rsidRPr="00CA2CC1">
        <w:rPr>
          <w:rFonts w:cs="Calibri"/>
          <w:color w:val="414042"/>
          <w:spacing w:val="-3"/>
        </w:rPr>
        <w:t xml:space="preserve"> </w:t>
      </w:r>
      <w:r w:rsidRPr="00CA2CC1">
        <w:rPr>
          <w:rFonts w:cs="Calibri"/>
          <w:color w:val="414042"/>
        </w:rPr>
        <w:t>its</w:t>
      </w:r>
      <w:r w:rsidRPr="00CA2CC1">
        <w:rPr>
          <w:rFonts w:cs="Calibri"/>
          <w:color w:val="414042"/>
          <w:spacing w:val="-3"/>
        </w:rPr>
        <w:t xml:space="preserve"> </w:t>
      </w:r>
      <w:r w:rsidRPr="00CA2CC1">
        <w:rPr>
          <w:rFonts w:cs="Calibri"/>
          <w:color w:val="414042"/>
        </w:rPr>
        <w:t>repayment)</w:t>
      </w:r>
      <w:r w:rsidRPr="00CA2CC1">
        <w:rPr>
          <w:rFonts w:cs="Calibri"/>
          <w:color w:val="414042"/>
          <w:spacing w:val="-3"/>
        </w:rPr>
        <w:t xml:space="preserve"> </w:t>
      </w:r>
      <w:r w:rsidRPr="00CA2CC1">
        <w:rPr>
          <w:rFonts w:cs="Calibri"/>
          <w:color w:val="414042"/>
        </w:rPr>
        <w:t>are</w:t>
      </w:r>
      <w:r w:rsidRPr="00CA2CC1">
        <w:rPr>
          <w:rFonts w:cs="Calibri"/>
          <w:color w:val="414042"/>
          <w:spacing w:val="-3"/>
        </w:rPr>
        <w:t xml:space="preserve"> </w:t>
      </w:r>
      <w:r w:rsidRPr="00CA2CC1">
        <w:rPr>
          <w:rFonts w:cs="Calibri"/>
          <w:color w:val="414042"/>
        </w:rPr>
        <w:t>treated</w:t>
      </w:r>
      <w:r w:rsidRPr="00CA2CC1">
        <w:rPr>
          <w:rFonts w:cs="Calibri"/>
          <w:color w:val="414042"/>
          <w:spacing w:val="-3"/>
        </w:rPr>
        <w:t xml:space="preserve"> </w:t>
      </w:r>
      <w:r w:rsidRPr="00CA2CC1">
        <w:rPr>
          <w:rFonts w:cs="Calibri"/>
          <w:color w:val="414042"/>
        </w:rPr>
        <w:t>as</w:t>
      </w:r>
      <w:r w:rsidRPr="00CA2CC1">
        <w:rPr>
          <w:rFonts w:cs="Calibri"/>
          <w:color w:val="414042"/>
          <w:spacing w:val="-3"/>
        </w:rPr>
        <w:t xml:space="preserve"> </w:t>
      </w:r>
      <w:r w:rsidRPr="00CA2CC1">
        <w:rPr>
          <w:rFonts w:cs="Calibri"/>
          <w:color w:val="414042"/>
        </w:rPr>
        <w:t>equity</w:t>
      </w:r>
      <w:r w:rsidRPr="00CA2CC1">
        <w:rPr>
          <w:rFonts w:cs="Calibri"/>
          <w:color w:val="414042"/>
          <w:spacing w:val="-3"/>
        </w:rPr>
        <w:t xml:space="preserve"> </w:t>
      </w:r>
      <w:r w:rsidRPr="00CA2CC1">
        <w:rPr>
          <w:rFonts w:cs="Calibri"/>
          <w:color w:val="414042"/>
        </w:rPr>
        <w:t>transactions and</w:t>
      </w:r>
      <w:r w:rsidRPr="00CA2CC1">
        <w:rPr>
          <w:rFonts w:cs="Calibri"/>
          <w:color w:val="414042"/>
          <w:spacing w:val="-5"/>
        </w:rPr>
        <w:t xml:space="preserve"> </w:t>
      </w:r>
      <w:r w:rsidRPr="00CA2CC1">
        <w:rPr>
          <w:rFonts w:cs="Calibri"/>
          <w:color w:val="414042"/>
        </w:rPr>
        <w:t>therefore,</w:t>
      </w:r>
      <w:r w:rsidRPr="00CA2CC1">
        <w:rPr>
          <w:rFonts w:cs="Calibri"/>
          <w:color w:val="414042"/>
          <w:spacing w:val="-5"/>
        </w:rPr>
        <w:t xml:space="preserve"> </w:t>
      </w:r>
      <w:r w:rsidRPr="00CA2CC1">
        <w:rPr>
          <w:rFonts w:cs="Calibri"/>
          <w:color w:val="414042"/>
        </w:rPr>
        <w:t>do</w:t>
      </w:r>
      <w:r w:rsidRPr="00CA2CC1">
        <w:rPr>
          <w:rFonts w:cs="Calibri"/>
          <w:color w:val="414042"/>
          <w:spacing w:val="-5"/>
        </w:rPr>
        <w:t xml:space="preserve"> </w:t>
      </w:r>
      <w:r w:rsidRPr="00CA2CC1">
        <w:rPr>
          <w:rFonts w:cs="Calibri"/>
          <w:color w:val="414042"/>
        </w:rPr>
        <w:t>not</w:t>
      </w:r>
      <w:r w:rsidRPr="00CA2CC1">
        <w:rPr>
          <w:rFonts w:cs="Calibri"/>
          <w:color w:val="414042"/>
          <w:spacing w:val="-5"/>
        </w:rPr>
        <w:t xml:space="preserve"> </w:t>
      </w:r>
      <w:r w:rsidRPr="00CA2CC1">
        <w:rPr>
          <w:rFonts w:cs="Calibri"/>
          <w:color w:val="414042"/>
        </w:rPr>
        <w:t>form</w:t>
      </w:r>
      <w:r w:rsidRPr="00CA2CC1">
        <w:rPr>
          <w:rFonts w:cs="Calibri"/>
          <w:color w:val="414042"/>
          <w:spacing w:val="-5"/>
        </w:rPr>
        <w:t xml:space="preserve"> </w:t>
      </w:r>
      <w:r w:rsidRPr="00CA2CC1">
        <w:rPr>
          <w:rFonts w:cs="Calibri"/>
          <w:color w:val="414042"/>
        </w:rPr>
        <w:t>part</w:t>
      </w:r>
      <w:r w:rsidRPr="00CA2CC1">
        <w:rPr>
          <w:rFonts w:cs="Calibri"/>
          <w:color w:val="414042"/>
          <w:spacing w:val="-5"/>
        </w:rPr>
        <w:t xml:space="preserve"> </w:t>
      </w:r>
      <w:r w:rsidRPr="00CA2CC1">
        <w:rPr>
          <w:rFonts w:cs="Calibri"/>
          <w:color w:val="414042"/>
        </w:rPr>
        <w:t>of</w:t>
      </w:r>
      <w:r w:rsidRPr="00CA2CC1">
        <w:rPr>
          <w:rFonts w:cs="Calibri"/>
          <w:color w:val="414042"/>
          <w:spacing w:val="-5"/>
        </w:rPr>
        <w:t xml:space="preserve"> </w:t>
      </w:r>
      <w:r w:rsidRPr="00CA2CC1">
        <w:rPr>
          <w:rFonts w:cs="Calibri"/>
          <w:color w:val="414042"/>
        </w:rPr>
        <w:t>the</w:t>
      </w:r>
      <w:r w:rsidRPr="00CA2CC1">
        <w:rPr>
          <w:rFonts w:cs="Calibri"/>
          <w:color w:val="414042"/>
          <w:spacing w:val="-5"/>
        </w:rPr>
        <w:t xml:space="preserve"> </w:t>
      </w:r>
      <w:r w:rsidRPr="00CA2CC1">
        <w:rPr>
          <w:rFonts w:cs="Calibri"/>
          <w:color w:val="414042"/>
        </w:rPr>
        <w:t>income</w:t>
      </w:r>
      <w:r w:rsidRPr="00CA2CC1">
        <w:rPr>
          <w:rFonts w:cs="Calibri"/>
          <w:color w:val="414042"/>
          <w:spacing w:val="-5"/>
        </w:rPr>
        <w:t xml:space="preserve"> </w:t>
      </w:r>
      <w:r w:rsidRPr="00CA2CC1">
        <w:rPr>
          <w:rFonts w:cs="Calibri"/>
          <w:color w:val="414042"/>
        </w:rPr>
        <w:t>and</w:t>
      </w:r>
      <w:r w:rsidRPr="00CA2CC1">
        <w:rPr>
          <w:rFonts w:cs="Calibri"/>
          <w:color w:val="414042"/>
          <w:spacing w:val="-5"/>
        </w:rPr>
        <w:t xml:space="preserve"> </w:t>
      </w:r>
      <w:r w:rsidRPr="00CA2CC1">
        <w:rPr>
          <w:rFonts w:cs="Calibri"/>
          <w:color w:val="414042"/>
        </w:rPr>
        <w:t>expenses of Infrastructure Victoria.</w:t>
      </w:r>
    </w:p>
    <w:p w14:paraId="2ED8EC01" w14:textId="19522CE5" w:rsidR="00FA4226" w:rsidRPr="00CA2CC1" w:rsidRDefault="00000000" w:rsidP="0043303B">
      <w:pPr>
        <w:pStyle w:val="BodyText"/>
        <w:spacing w:before="114"/>
        <w:rPr>
          <w:rFonts w:cs="Calibri"/>
        </w:rPr>
      </w:pPr>
      <w:r w:rsidRPr="00CA2CC1">
        <w:rPr>
          <w:rFonts w:cs="Calibri"/>
          <w:color w:val="414042"/>
        </w:rPr>
        <w:t>Judgements,</w:t>
      </w:r>
      <w:r w:rsidRPr="00CA2CC1">
        <w:rPr>
          <w:rFonts w:cs="Calibri"/>
          <w:color w:val="414042"/>
          <w:spacing w:val="-7"/>
        </w:rPr>
        <w:t xml:space="preserve"> </w:t>
      </w:r>
      <w:r w:rsidRPr="00CA2CC1">
        <w:rPr>
          <w:rFonts w:cs="Calibri"/>
          <w:color w:val="414042"/>
        </w:rPr>
        <w:t>estimates</w:t>
      </w:r>
      <w:r w:rsidRPr="00CA2CC1">
        <w:rPr>
          <w:rFonts w:cs="Calibri"/>
          <w:color w:val="414042"/>
          <w:spacing w:val="-7"/>
        </w:rPr>
        <w:t xml:space="preserve"> </w:t>
      </w:r>
      <w:r w:rsidRPr="00CA2CC1">
        <w:rPr>
          <w:rFonts w:cs="Calibri"/>
          <w:color w:val="414042"/>
        </w:rPr>
        <w:t>and</w:t>
      </w:r>
      <w:r w:rsidRPr="00CA2CC1">
        <w:rPr>
          <w:rFonts w:cs="Calibri"/>
          <w:color w:val="414042"/>
          <w:spacing w:val="-7"/>
        </w:rPr>
        <w:t xml:space="preserve"> </w:t>
      </w:r>
      <w:r w:rsidRPr="00CA2CC1">
        <w:rPr>
          <w:rFonts w:cs="Calibri"/>
          <w:color w:val="414042"/>
        </w:rPr>
        <w:t>assumptions</w:t>
      </w:r>
      <w:r w:rsidRPr="00CA2CC1">
        <w:rPr>
          <w:rFonts w:cs="Calibri"/>
          <w:color w:val="414042"/>
          <w:spacing w:val="-7"/>
        </w:rPr>
        <w:t xml:space="preserve"> </w:t>
      </w:r>
      <w:r w:rsidRPr="00CA2CC1">
        <w:rPr>
          <w:rFonts w:cs="Calibri"/>
          <w:color w:val="414042"/>
        </w:rPr>
        <w:t>are</w:t>
      </w:r>
      <w:r w:rsidRPr="00CA2CC1">
        <w:rPr>
          <w:rFonts w:cs="Calibri"/>
          <w:color w:val="414042"/>
          <w:spacing w:val="-7"/>
        </w:rPr>
        <w:t xml:space="preserve"> </w:t>
      </w:r>
      <w:r w:rsidRPr="00CA2CC1">
        <w:rPr>
          <w:rFonts w:cs="Calibri"/>
          <w:color w:val="414042"/>
        </w:rPr>
        <w:t>required</w:t>
      </w:r>
      <w:r w:rsidRPr="00CA2CC1">
        <w:rPr>
          <w:rFonts w:cs="Calibri"/>
          <w:color w:val="414042"/>
          <w:spacing w:val="-7"/>
        </w:rPr>
        <w:t xml:space="preserve"> </w:t>
      </w:r>
      <w:r w:rsidRPr="00CA2CC1">
        <w:rPr>
          <w:rFonts w:cs="Calibri"/>
          <w:color w:val="414042"/>
        </w:rPr>
        <w:t>to</w:t>
      </w:r>
      <w:r w:rsidRPr="00CA2CC1">
        <w:rPr>
          <w:rFonts w:cs="Calibri"/>
          <w:color w:val="414042"/>
          <w:spacing w:val="-7"/>
        </w:rPr>
        <w:t xml:space="preserve"> </w:t>
      </w:r>
      <w:r w:rsidRPr="00CA2CC1">
        <w:rPr>
          <w:rFonts w:cs="Calibri"/>
          <w:color w:val="414042"/>
        </w:rPr>
        <w:t>be made about the carrying values of assets and liabilities that are not readily apparent from other sources. The estimates and associated assumptions are based on professional judgements derived from historical experience and various other factors that are believed to be reasonable under</w:t>
      </w:r>
      <w:r w:rsidR="00151E6F" w:rsidRPr="00CA2CC1">
        <w:rPr>
          <w:rFonts w:cs="Calibri"/>
        </w:rPr>
        <w:t xml:space="preserve"> </w:t>
      </w:r>
      <w:r w:rsidRPr="00CA2CC1">
        <w:rPr>
          <w:rFonts w:cs="Calibri"/>
          <w:color w:val="414042"/>
        </w:rPr>
        <w:t>the</w:t>
      </w:r>
      <w:r w:rsidRPr="00CA2CC1">
        <w:rPr>
          <w:rFonts w:cs="Calibri"/>
          <w:color w:val="414042"/>
          <w:spacing w:val="-7"/>
        </w:rPr>
        <w:t xml:space="preserve"> </w:t>
      </w:r>
      <w:r w:rsidRPr="00CA2CC1">
        <w:rPr>
          <w:rFonts w:cs="Calibri"/>
          <w:color w:val="414042"/>
        </w:rPr>
        <w:t>circumstances.</w:t>
      </w:r>
      <w:r w:rsidR="00151E6F" w:rsidRPr="00CA2CC1">
        <w:rPr>
          <w:rFonts w:cs="Calibri"/>
          <w:color w:val="414042"/>
          <w:spacing w:val="37"/>
        </w:rPr>
        <w:t xml:space="preserve"> </w:t>
      </w:r>
      <w:r w:rsidRPr="00CA2CC1">
        <w:rPr>
          <w:rFonts w:cs="Calibri"/>
          <w:color w:val="414042"/>
        </w:rPr>
        <w:t>Actual</w:t>
      </w:r>
      <w:r w:rsidRPr="00CA2CC1">
        <w:rPr>
          <w:rFonts w:cs="Calibri"/>
          <w:color w:val="414042"/>
          <w:spacing w:val="-7"/>
        </w:rPr>
        <w:t xml:space="preserve"> </w:t>
      </w:r>
      <w:r w:rsidRPr="00CA2CC1">
        <w:rPr>
          <w:rFonts w:cs="Calibri"/>
          <w:color w:val="414042"/>
        </w:rPr>
        <w:t>results</w:t>
      </w:r>
      <w:r w:rsidRPr="00CA2CC1">
        <w:rPr>
          <w:rFonts w:cs="Calibri"/>
          <w:color w:val="414042"/>
          <w:spacing w:val="-7"/>
        </w:rPr>
        <w:t xml:space="preserve"> </w:t>
      </w:r>
      <w:r w:rsidRPr="00CA2CC1">
        <w:rPr>
          <w:rFonts w:cs="Calibri"/>
          <w:color w:val="414042"/>
        </w:rPr>
        <w:t>may</w:t>
      </w:r>
      <w:r w:rsidRPr="00CA2CC1">
        <w:rPr>
          <w:rFonts w:cs="Calibri"/>
          <w:color w:val="414042"/>
          <w:spacing w:val="-7"/>
        </w:rPr>
        <w:t xml:space="preserve"> </w:t>
      </w:r>
      <w:r w:rsidRPr="00CA2CC1">
        <w:rPr>
          <w:rFonts w:cs="Calibri"/>
          <w:color w:val="414042"/>
        </w:rPr>
        <w:t>differ</w:t>
      </w:r>
      <w:r w:rsidRPr="00CA2CC1">
        <w:rPr>
          <w:rFonts w:cs="Calibri"/>
          <w:color w:val="414042"/>
          <w:spacing w:val="-7"/>
        </w:rPr>
        <w:t xml:space="preserve"> </w:t>
      </w:r>
      <w:r w:rsidRPr="00CA2CC1">
        <w:rPr>
          <w:rFonts w:cs="Calibri"/>
          <w:color w:val="414042"/>
        </w:rPr>
        <w:t>from</w:t>
      </w:r>
      <w:r w:rsidRPr="00CA2CC1">
        <w:rPr>
          <w:rFonts w:cs="Calibri"/>
          <w:color w:val="414042"/>
          <w:spacing w:val="-7"/>
        </w:rPr>
        <w:t xml:space="preserve"> </w:t>
      </w:r>
      <w:r w:rsidRPr="00CA2CC1">
        <w:rPr>
          <w:rFonts w:cs="Calibri"/>
          <w:color w:val="414042"/>
        </w:rPr>
        <w:t xml:space="preserve">these </w:t>
      </w:r>
      <w:r w:rsidRPr="00CA2CC1">
        <w:rPr>
          <w:rFonts w:cs="Calibri"/>
          <w:color w:val="414042"/>
          <w:spacing w:val="-2"/>
        </w:rPr>
        <w:t>estimates.</w:t>
      </w:r>
    </w:p>
    <w:p w14:paraId="495F6568" w14:textId="77777777" w:rsidR="00FA4226" w:rsidRPr="00CA2CC1" w:rsidRDefault="00000000" w:rsidP="0043303B">
      <w:pPr>
        <w:pStyle w:val="BodyText"/>
        <w:spacing w:before="114"/>
        <w:rPr>
          <w:rFonts w:cs="Calibri"/>
        </w:rPr>
      </w:pPr>
      <w:r w:rsidRPr="00CA2CC1">
        <w:rPr>
          <w:rFonts w:cs="Calibri"/>
          <w:color w:val="414042"/>
        </w:rPr>
        <w:t>Revisions to accounting estimates are recognised in the period in which the estimate is revised and also in future periods that are affected by the revision. Judgements and assumptions made by management in applying Australian Accounting</w:t>
      </w:r>
      <w:r w:rsidRPr="00CA2CC1">
        <w:rPr>
          <w:rFonts w:cs="Calibri"/>
          <w:color w:val="414042"/>
          <w:spacing w:val="-6"/>
        </w:rPr>
        <w:t xml:space="preserve"> </w:t>
      </w:r>
      <w:r w:rsidRPr="00CA2CC1">
        <w:rPr>
          <w:rFonts w:cs="Calibri"/>
          <w:color w:val="414042"/>
        </w:rPr>
        <w:t>Standards</w:t>
      </w:r>
      <w:r w:rsidRPr="00CA2CC1">
        <w:rPr>
          <w:rFonts w:cs="Calibri"/>
          <w:color w:val="414042"/>
          <w:spacing w:val="-6"/>
        </w:rPr>
        <w:t xml:space="preserve"> </w:t>
      </w:r>
      <w:r w:rsidRPr="00CA2CC1">
        <w:rPr>
          <w:rFonts w:cs="Calibri"/>
          <w:color w:val="414042"/>
        </w:rPr>
        <w:t>(AASs)</w:t>
      </w:r>
      <w:r w:rsidRPr="00CA2CC1">
        <w:rPr>
          <w:rFonts w:cs="Calibri"/>
          <w:color w:val="414042"/>
          <w:spacing w:val="-6"/>
        </w:rPr>
        <w:t xml:space="preserve"> </w:t>
      </w:r>
      <w:r w:rsidRPr="00CA2CC1">
        <w:rPr>
          <w:rFonts w:cs="Calibri"/>
          <w:color w:val="414042"/>
        </w:rPr>
        <w:t>that</w:t>
      </w:r>
      <w:r w:rsidRPr="00CA2CC1">
        <w:rPr>
          <w:rFonts w:cs="Calibri"/>
          <w:color w:val="414042"/>
          <w:spacing w:val="-6"/>
        </w:rPr>
        <w:t xml:space="preserve"> </w:t>
      </w:r>
      <w:r w:rsidRPr="00CA2CC1">
        <w:rPr>
          <w:rFonts w:cs="Calibri"/>
          <w:color w:val="414042"/>
        </w:rPr>
        <w:t>have</w:t>
      </w:r>
      <w:r w:rsidRPr="00CA2CC1">
        <w:rPr>
          <w:rFonts w:cs="Calibri"/>
          <w:color w:val="414042"/>
          <w:spacing w:val="-6"/>
        </w:rPr>
        <w:t xml:space="preserve"> </w:t>
      </w:r>
      <w:r w:rsidRPr="00CA2CC1">
        <w:rPr>
          <w:rFonts w:cs="Calibri"/>
          <w:color w:val="414042"/>
        </w:rPr>
        <w:t>significant</w:t>
      </w:r>
      <w:r w:rsidRPr="00CA2CC1">
        <w:rPr>
          <w:rFonts w:cs="Calibri"/>
          <w:color w:val="414042"/>
          <w:spacing w:val="-6"/>
        </w:rPr>
        <w:t xml:space="preserve"> </w:t>
      </w:r>
      <w:r w:rsidRPr="00CA2CC1">
        <w:rPr>
          <w:rFonts w:cs="Calibri"/>
          <w:color w:val="414042"/>
        </w:rPr>
        <w:t>effects</w:t>
      </w:r>
      <w:r w:rsidRPr="00CA2CC1">
        <w:rPr>
          <w:rFonts w:cs="Calibri"/>
          <w:color w:val="414042"/>
          <w:spacing w:val="-6"/>
        </w:rPr>
        <w:t xml:space="preserve"> </w:t>
      </w:r>
      <w:r w:rsidRPr="00CA2CC1">
        <w:rPr>
          <w:rFonts w:cs="Calibri"/>
          <w:color w:val="414042"/>
        </w:rPr>
        <w:t>on the financial statements and estimates are disclosed in the notes to which they relate.</w:t>
      </w:r>
    </w:p>
    <w:p w14:paraId="6BC21CDF" w14:textId="77777777" w:rsidR="00FA4226" w:rsidRPr="00CA2CC1" w:rsidRDefault="00000000" w:rsidP="0043303B">
      <w:pPr>
        <w:pStyle w:val="BodyText"/>
        <w:spacing w:before="112"/>
        <w:rPr>
          <w:rFonts w:cs="Calibri"/>
        </w:rPr>
      </w:pPr>
      <w:r w:rsidRPr="00CA2CC1">
        <w:rPr>
          <w:rFonts w:cs="Calibri"/>
          <w:color w:val="414042"/>
        </w:rPr>
        <w:t>These</w:t>
      </w:r>
      <w:r w:rsidRPr="00CA2CC1">
        <w:rPr>
          <w:rFonts w:cs="Calibri"/>
          <w:color w:val="414042"/>
          <w:spacing w:val="-6"/>
        </w:rPr>
        <w:t xml:space="preserve"> </w:t>
      </w:r>
      <w:r w:rsidRPr="00CA2CC1">
        <w:rPr>
          <w:rFonts w:cs="Calibri"/>
          <w:color w:val="414042"/>
        </w:rPr>
        <w:t>financial</w:t>
      </w:r>
      <w:r w:rsidRPr="00CA2CC1">
        <w:rPr>
          <w:rFonts w:cs="Calibri"/>
          <w:color w:val="414042"/>
          <w:spacing w:val="-6"/>
        </w:rPr>
        <w:t xml:space="preserve"> </w:t>
      </w:r>
      <w:r w:rsidRPr="00CA2CC1">
        <w:rPr>
          <w:rFonts w:cs="Calibri"/>
          <w:color w:val="414042"/>
        </w:rPr>
        <w:t>statements</w:t>
      </w:r>
      <w:r w:rsidRPr="00CA2CC1">
        <w:rPr>
          <w:rFonts w:cs="Calibri"/>
          <w:color w:val="414042"/>
          <w:spacing w:val="-6"/>
        </w:rPr>
        <w:t xml:space="preserve"> </w:t>
      </w:r>
      <w:r w:rsidRPr="00CA2CC1">
        <w:rPr>
          <w:rFonts w:cs="Calibri"/>
          <w:color w:val="414042"/>
        </w:rPr>
        <w:t>cover</w:t>
      </w:r>
      <w:r w:rsidRPr="00CA2CC1">
        <w:rPr>
          <w:rFonts w:cs="Calibri"/>
          <w:color w:val="414042"/>
          <w:spacing w:val="-6"/>
        </w:rPr>
        <w:t xml:space="preserve"> </w:t>
      </w:r>
      <w:r w:rsidRPr="00CA2CC1">
        <w:rPr>
          <w:rFonts w:cs="Calibri"/>
          <w:color w:val="414042"/>
        </w:rPr>
        <w:t>Infrastructure</w:t>
      </w:r>
      <w:r w:rsidRPr="00CA2CC1">
        <w:rPr>
          <w:rFonts w:cs="Calibri"/>
          <w:color w:val="414042"/>
          <w:spacing w:val="-6"/>
        </w:rPr>
        <w:t xml:space="preserve"> </w:t>
      </w:r>
      <w:r w:rsidRPr="00CA2CC1">
        <w:rPr>
          <w:rFonts w:cs="Calibri"/>
          <w:color w:val="414042"/>
        </w:rPr>
        <w:t>Victoria</w:t>
      </w:r>
      <w:r w:rsidRPr="00CA2CC1">
        <w:rPr>
          <w:rFonts w:cs="Calibri"/>
          <w:color w:val="414042"/>
          <w:spacing w:val="-6"/>
        </w:rPr>
        <w:t xml:space="preserve"> </w:t>
      </w:r>
      <w:r w:rsidRPr="00CA2CC1">
        <w:rPr>
          <w:rFonts w:cs="Calibri"/>
          <w:color w:val="414042"/>
        </w:rPr>
        <w:t xml:space="preserve">as an individual reporting entity and include all its controlled </w:t>
      </w:r>
      <w:r w:rsidRPr="00CA2CC1">
        <w:rPr>
          <w:rFonts w:cs="Calibri"/>
          <w:color w:val="414042"/>
          <w:spacing w:val="-2"/>
        </w:rPr>
        <w:t>activities.</w:t>
      </w:r>
    </w:p>
    <w:p w14:paraId="10DA8BE7" w14:textId="77777777" w:rsidR="00FA4226" w:rsidRPr="00CA2CC1" w:rsidRDefault="00000000" w:rsidP="0043303B">
      <w:pPr>
        <w:pStyle w:val="BodyText"/>
        <w:spacing w:before="116"/>
        <w:rPr>
          <w:rFonts w:cs="Calibri"/>
        </w:rPr>
      </w:pPr>
      <w:r w:rsidRPr="00CA2CC1">
        <w:rPr>
          <w:rFonts w:cs="Calibri"/>
          <w:color w:val="414042"/>
        </w:rPr>
        <w:t>All</w:t>
      </w:r>
      <w:r w:rsidRPr="00CA2CC1">
        <w:rPr>
          <w:rFonts w:cs="Calibri"/>
          <w:color w:val="414042"/>
          <w:spacing w:val="-5"/>
        </w:rPr>
        <w:t xml:space="preserve"> </w:t>
      </w:r>
      <w:r w:rsidRPr="00CA2CC1">
        <w:rPr>
          <w:rFonts w:cs="Calibri"/>
          <w:color w:val="414042"/>
        </w:rPr>
        <w:t>amounts</w:t>
      </w:r>
      <w:r w:rsidRPr="00CA2CC1">
        <w:rPr>
          <w:rFonts w:cs="Calibri"/>
          <w:color w:val="414042"/>
          <w:spacing w:val="-5"/>
        </w:rPr>
        <w:t xml:space="preserve"> </w:t>
      </w:r>
      <w:r w:rsidRPr="00CA2CC1">
        <w:rPr>
          <w:rFonts w:cs="Calibri"/>
          <w:color w:val="414042"/>
        </w:rPr>
        <w:t>in</w:t>
      </w:r>
      <w:r w:rsidRPr="00CA2CC1">
        <w:rPr>
          <w:rFonts w:cs="Calibri"/>
          <w:color w:val="414042"/>
          <w:spacing w:val="-5"/>
        </w:rPr>
        <w:t xml:space="preserve"> </w:t>
      </w:r>
      <w:r w:rsidRPr="00CA2CC1">
        <w:rPr>
          <w:rFonts w:cs="Calibri"/>
          <w:color w:val="414042"/>
        </w:rPr>
        <w:t>the</w:t>
      </w:r>
      <w:r w:rsidRPr="00CA2CC1">
        <w:rPr>
          <w:rFonts w:cs="Calibri"/>
          <w:color w:val="414042"/>
          <w:spacing w:val="-5"/>
        </w:rPr>
        <w:t xml:space="preserve"> </w:t>
      </w:r>
      <w:r w:rsidRPr="00CA2CC1">
        <w:rPr>
          <w:rFonts w:cs="Calibri"/>
          <w:color w:val="414042"/>
        </w:rPr>
        <w:t>financial</w:t>
      </w:r>
      <w:r w:rsidRPr="00CA2CC1">
        <w:rPr>
          <w:rFonts w:cs="Calibri"/>
          <w:color w:val="414042"/>
          <w:spacing w:val="-5"/>
        </w:rPr>
        <w:t xml:space="preserve"> </w:t>
      </w:r>
      <w:r w:rsidRPr="00CA2CC1">
        <w:rPr>
          <w:rFonts w:cs="Calibri"/>
          <w:color w:val="414042"/>
        </w:rPr>
        <w:t>statements</w:t>
      </w:r>
      <w:r w:rsidRPr="00CA2CC1">
        <w:rPr>
          <w:rFonts w:cs="Calibri"/>
          <w:color w:val="414042"/>
          <w:spacing w:val="-5"/>
        </w:rPr>
        <w:t xml:space="preserve"> </w:t>
      </w:r>
      <w:r w:rsidRPr="00CA2CC1">
        <w:rPr>
          <w:rFonts w:cs="Calibri"/>
          <w:color w:val="414042"/>
        </w:rPr>
        <w:t>have</w:t>
      </w:r>
      <w:r w:rsidRPr="00CA2CC1">
        <w:rPr>
          <w:rFonts w:cs="Calibri"/>
          <w:color w:val="414042"/>
          <w:spacing w:val="-5"/>
        </w:rPr>
        <w:t xml:space="preserve"> </w:t>
      </w:r>
      <w:r w:rsidRPr="00CA2CC1">
        <w:rPr>
          <w:rFonts w:cs="Calibri"/>
          <w:color w:val="414042"/>
        </w:rPr>
        <w:t>been</w:t>
      </w:r>
      <w:r w:rsidRPr="00CA2CC1">
        <w:rPr>
          <w:rFonts w:cs="Calibri"/>
          <w:color w:val="414042"/>
          <w:spacing w:val="-5"/>
        </w:rPr>
        <w:t xml:space="preserve"> </w:t>
      </w:r>
      <w:r w:rsidRPr="00CA2CC1">
        <w:rPr>
          <w:rFonts w:cs="Calibri"/>
          <w:color w:val="414042"/>
        </w:rPr>
        <w:t>rounded to the nearest dollar unless otherwise stated.</w:t>
      </w:r>
    </w:p>
    <w:p w14:paraId="2B35DE2F" w14:textId="77777777" w:rsidR="00FA4226" w:rsidRPr="00CA2CC1" w:rsidRDefault="00FA4226" w:rsidP="0043303B">
      <w:pPr>
        <w:pStyle w:val="BodyText"/>
        <w:spacing w:before="4"/>
        <w:rPr>
          <w:rFonts w:cs="Calibri"/>
          <w:sz w:val="15"/>
        </w:rPr>
      </w:pPr>
    </w:p>
    <w:p w14:paraId="4C996C91" w14:textId="77777777" w:rsidR="00FA4226" w:rsidRPr="00CA2CC1" w:rsidRDefault="00000000" w:rsidP="001C21B0">
      <w:pPr>
        <w:pStyle w:val="Heading4"/>
      </w:pPr>
      <w:r w:rsidRPr="00CA2CC1">
        <w:t xml:space="preserve">Compliance </w:t>
      </w:r>
      <w:r w:rsidRPr="00CA2CC1">
        <w:rPr>
          <w:spacing w:val="-2"/>
        </w:rPr>
        <w:t>information</w:t>
      </w:r>
    </w:p>
    <w:p w14:paraId="1721DAE2" w14:textId="687505FC" w:rsidR="00FA4226" w:rsidRPr="00CA2CC1" w:rsidRDefault="00000000" w:rsidP="0043303B">
      <w:pPr>
        <w:pStyle w:val="BodyText"/>
        <w:spacing w:before="112"/>
        <w:rPr>
          <w:rFonts w:cs="Calibri"/>
        </w:rPr>
      </w:pPr>
      <w:r w:rsidRPr="00CA2CC1">
        <w:rPr>
          <w:rFonts w:cs="Calibri"/>
          <w:color w:val="414042"/>
        </w:rPr>
        <w:t>These general-purpose financial statements have been prepared on a going concern basis in accordance with</w:t>
      </w:r>
      <w:r w:rsidRPr="00CA2CC1">
        <w:rPr>
          <w:rFonts w:cs="Calibri"/>
          <w:color w:val="414042"/>
          <w:spacing w:val="40"/>
        </w:rPr>
        <w:t xml:space="preserve"> </w:t>
      </w:r>
      <w:r w:rsidRPr="00CA2CC1">
        <w:rPr>
          <w:rFonts w:cs="Calibri"/>
          <w:color w:val="414042"/>
        </w:rPr>
        <w:t>the</w:t>
      </w:r>
      <w:r w:rsidRPr="00CA2CC1">
        <w:rPr>
          <w:rFonts w:cs="Calibri"/>
          <w:color w:val="414042"/>
          <w:spacing w:val="-5"/>
        </w:rPr>
        <w:t xml:space="preserve"> </w:t>
      </w:r>
      <w:r w:rsidRPr="00CA2CC1">
        <w:rPr>
          <w:rFonts w:cs="Calibri"/>
          <w:i/>
          <w:color w:val="414042"/>
        </w:rPr>
        <w:t>Financial</w:t>
      </w:r>
      <w:r w:rsidRPr="00CA2CC1">
        <w:rPr>
          <w:rFonts w:cs="Calibri"/>
          <w:i/>
          <w:color w:val="414042"/>
          <w:spacing w:val="-5"/>
        </w:rPr>
        <w:t xml:space="preserve"> </w:t>
      </w:r>
      <w:r w:rsidRPr="00CA2CC1">
        <w:rPr>
          <w:rFonts w:cs="Calibri"/>
          <w:i/>
          <w:color w:val="414042"/>
        </w:rPr>
        <w:t>Management</w:t>
      </w:r>
      <w:r w:rsidRPr="00CA2CC1">
        <w:rPr>
          <w:rFonts w:cs="Calibri"/>
          <w:i/>
          <w:color w:val="414042"/>
          <w:spacing w:val="-5"/>
        </w:rPr>
        <w:t xml:space="preserve"> </w:t>
      </w:r>
      <w:r w:rsidRPr="00CA2CC1">
        <w:rPr>
          <w:rFonts w:cs="Calibri"/>
          <w:i/>
          <w:color w:val="414042"/>
        </w:rPr>
        <w:t>Act</w:t>
      </w:r>
      <w:r w:rsidRPr="00CA2CC1">
        <w:rPr>
          <w:rFonts w:cs="Calibri"/>
          <w:i/>
          <w:color w:val="414042"/>
          <w:spacing w:val="-5"/>
        </w:rPr>
        <w:t xml:space="preserve"> </w:t>
      </w:r>
      <w:r w:rsidRPr="00CA2CC1">
        <w:rPr>
          <w:rFonts w:cs="Calibri"/>
          <w:i/>
          <w:color w:val="414042"/>
        </w:rPr>
        <w:t>1994</w:t>
      </w:r>
      <w:r w:rsidRPr="00CA2CC1">
        <w:rPr>
          <w:rFonts w:cs="Calibri"/>
          <w:i/>
          <w:color w:val="414042"/>
          <w:spacing w:val="-6"/>
        </w:rPr>
        <w:t xml:space="preserve"> </w:t>
      </w:r>
      <w:r w:rsidRPr="00CA2CC1">
        <w:rPr>
          <w:rFonts w:cs="Calibri"/>
          <w:color w:val="414042"/>
        </w:rPr>
        <w:t>and</w:t>
      </w:r>
      <w:r w:rsidRPr="00CA2CC1">
        <w:rPr>
          <w:rFonts w:cs="Calibri"/>
          <w:color w:val="414042"/>
          <w:spacing w:val="-5"/>
        </w:rPr>
        <w:t xml:space="preserve"> </w:t>
      </w:r>
      <w:r w:rsidRPr="00CA2CC1">
        <w:rPr>
          <w:rFonts w:cs="Calibri"/>
          <w:color w:val="414042"/>
        </w:rPr>
        <w:t>applicable</w:t>
      </w:r>
      <w:r w:rsidRPr="00CA2CC1">
        <w:rPr>
          <w:rFonts w:cs="Calibri"/>
          <w:color w:val="414042"/>
          <w:spacing w:val="-5"/>
        </w:rPr>
        <w:t xml:space="preserve"> </w:t>
      </w:r>
      <w:r w:rsidRPr="00CA2CC1">
        <w:rPr>
          <w:rFonts w:cs="Calibri"/>
          <w:color w:val="414042"/>
        </w:rPr>
        <w:t>AASs, which include Interpretations, issued by the Australian</w:t>
      </w:r>
      <w:r w:rsidR="006A64B1" w:rsidRPr="00CA2CC1">
        <w:rPr>
          <w:rFonts w:cs="Calibri"/>
        </w:rPr>
        <w:t xml:space="preserve"> </w:t>
      </w:r>
      <w:r w:rsidRPr="00CA2CC1">
        <w:rPr>
          <w:rFonts w:cs="Calibri"/>
        </w:rPr>
        <w:t>Accounting Standards Board (AASB). In particular, they are presented in a manner consistent with the requirements of AASB</w:t>
      </w:r>
      <w:r w:rsidRPr="00CA2CC1">
        <w:rPr>
          <w:rFonts w:cs="Calibri"/>
          <w:spacing w:val="-5"/>
        </w:rPr>
        <w:t xml:space="preserve"> </w:t>
      </w:r>
      <w:r w:rsidRPr="00CA2CC1">
        <w:rPr>
          <w:rFonts w:cs="Calibri"/>
        </w:rPr>
        <w:t>1049</w:t>
      </w:r>
      <w:r w:rsidRPr="00CA2CC1">
        <w:rPr>
          <w:rFonts w:cs="Calibri"/>
          <w:spacing w:val="-5"/>
        </w:rPr>
        <w:t xml:space="preserve"> </w:t>
      </w:r>
      <w:r w:rsidRPr="00CA2CC1">
        <w:rPr>
          <w:rFonts w:cs="Calibri"/>
          <w:i/>
        </w:rPr>
        <w:t>Whole</w:t>
      </w:r>
      <w:r w:rsidRPr="00CA2CC1">
        <w:rPr>
          <w:rFonts w:cs="Calibri"/>
          <w:i/>
          <w:spacing w:val="-5"/>
        </w:rPr>
        <w:t xml:space="preserve"> </w:t>
      </w:r>
      <w:r w:rsidRPr="00CA2CC1">
        <w:rPr>
          <w:rFonts w:cs="Calibri"/>
          <w:i/>
        </w:rPr>
        <w:t>of</w:t>
      </w:r>
      <w:r w:rsidRPr="00CA2CC1">
        <w:rPr>
          <w:rFonts w:cs="Calibri"/>
          <w:i/>
          <w:spacing w:val="-5"/>
        </w:rPr>
        <w:t xml:space="preserve"> </w:t>
      </w:r>
      <w:r w:rsidRPr="00CA2CC1">
        <w:rPr>
          <w:rFonts w:cs="Calibri"/>
          <w:i/>
        </w:rPr>
        <w:t>Government</w:t>
      </w:r>
      <w:r w:rsidRPr="00CA2CC1">
        <w:rPr>
          <w:rFonts w:cs="Calibri"/>
          <w:i/>
          <w:spacing w:val="-5"/>
        </w:rPr>
        <w:t xml:space="preserve"> </w:t>
      </w:r>
      <w:r w:rsidRPr="00CA2CC1">
        <w:rPr>
          <w:rFonts w:cs="Calibri"/>
          <w:i/>
        </w:rPr>
        <w:t>and</w:t>
      </w:r>
      <w:r w:rsidRPr="00CA2CC1">
        <w:rPr>
          <w:rFonts w:cs="Calibri"/>
          <w:i/>
          <w:spacing w:val="-5"/>
        </w:rPr>
        <w:t xml:space="preserve"> </w:t>
      </w:r>
      <w:r w:rsidRPr="00CA2CC1">
        <w:rPr>
          <w:rFonts w:cs="Calibri"/>
          <w:i/>
        </w:rPr>
        <w:t>General</w:t>
      </w:r>
      <w:r w:rsidRPr="00CA2CC1">
        <w:rPr>
          <w:rFonts w:cs="Calibri"/>
          <w:i/>
          <w:spacing w:val="-5"/>
        </w:rPr>
        <w:t xml:space="preserve"> </w:t>
      </w:r>
      <w:r w:rsidRPr="00CA2CC1">
        <w:rPr>
          <w:rFonts w:cs="Calibri"/>
          <w:i/>
        </w:rPr>
        <w:t>Government Sector Financial Reporting</w:t>
      </w:r>
      <w:r w:rsidRPr="00CA2CC1">
        <w:rPr>
          <w:rFonts w:cs="Calibri"/>
        </w:rPr>
        <w:t>.</w:t>
      </w:r>
    </w:p>
    <w:p w14:paraId="365E254B" w14:textId="25DCC0EE" w:rsidR="00FA4226" w:rsidRPr="00CA2CC1" w:rsidRDefault="00000000" w:rsidP="0043303B">
      <w:pPr>
        <w:pStyle w:val="BodyText"/>
        <w:spacing w:before="111"/>
        <w:rPr>
          <w:rFonts w:cs="Calibri"/>
        </w:rPr>
      </w:pPr>
      <w:r w:rsidRPr="00CA2CC1">
        <w:rPr>
          <w:rFonts w:cs="Calibri"/>
          <w:color w:val="414042"/>
        </w:rPr>
        <w:t>Where</w:t>
      </w:r>
      <w:r w:rsidRPr="00CA2CC1">
        <w:rPr>
          <w:rFonts w:cs="Calibri"/>
          <w:color w:val="414042"/>
          <w:spacing w:val="-8"/>
        </w:rPr>
        <w:t xml:space="preserve"> </w:t>
      </w:r>
      <w:r w:rsidRPr="00CA2CC1">
        <w:rPr>
          <w:rFonts w:cs="Calibri"/>
          <w:color w:val="414042"/>
        </w:rPr>
        <w:t>appropriate,</w:t>
      </w:r>
      <w:r w:rsidRPr="00CA2CC1">
        <w:rPr>
          <w:rFonts w:cs="Calibri"/>
          <w:color w:val="414042"/>
          <w:spacing w:val="-8"/>
        </w:rPr>
        <w:t xml:space="preserve"> </w:t>
      </w:r>
      <w:r w:rsidRPr="00CA2CC1">
        <w:rPr>
          <w:rFonts w:cs="Calibri"/>
          <w:color w:val="414042"/>
        </w:rPr>
        <w:t>those</w:t>
      </w:r>
      <w:r w:rsidRPr="00CA2CC1">
        <w:rPr>
          <w:rFonts w:cs="Calibri"/>
          <w:color w:val="414042"/>
          <w:spacing w:val="-8"/>
        </w:rPr>
        <w:t xml:space="preserve"> </w:t>
      </w:r>
      <w:r w:rsidRPr="00CA2CC1">
        <w:rPr>
          <w:rFonts w:cs="Calibri"/>
          <w:color w:val="414042"/>
        </w:rPr>
        <w:t>AASs</w:t>
      </w:r>
      <w:r w:rsidRPr="00CA2CC1">
        <w:rPr>
          <w:rFonts w:cs="Calibri"/>
          <w:color w:val="414042"/>
          <w:spacing w:val="-8"/>
        </w:rPr>
        <w:t xml:space="preserve"> </w:t>
      </w:r>
      <w:r w:rsidRPr="00CA2CC1">
        <w:rPr>
          <w:rFonts w:cs="Calibri"/>
          <w:color w:val="414042"/>
        </w:rPr>
        <w:t>paragraphs</w:t>
      </w:r>
      <w:r w:rsidRPr="00CA2CC1">
        <w:rPr>
          <w:rFonts w:cs="Calibri"/>
          <w:color w:val="414042"/>
          <w:spacing w:val="-8"/>
        </w:rPr>
        <w:t xml:space="preserve"> </w:t>
      </w:r>
      <w:r w:rsidRPr="00CA2CC1">
        <w:rPr>
          <w:rFonts w:cs="Calibri"/>
          <w:color w:val="414042"/>
        </w:rPr>
        <w:t>applicable to</w:t>
      </w:r>
      <w:r w:rsidRPr="00CA2CC1">
        <w:rPr>
          <w:rFonts w:cs="Calibri"/>
          <w:color w:val="414042"/>
          <w:spacing w:val="-3"/>
        </w:rPr>
        <w:t xml:space="preserve"> </w:t>
      </w:r>
      <w:r w:rsidRPr="00CA2CC1">
        <w:rPr>
          <w:rFonts w:cs="Calibri"/>
          <w:color w:val="414042"/>
        </w:rPr>
        <w:t>not-for-profit</w:t>
      </w:r>
      <w:r w:rsidRPr="00CA2CC1">
        <w:rPr>
          <w:rFonts w:cs="Calibri"/>
          <w:color w:val="414042"/>
          <w:spacing w:val="-2"/>
        </w:rPr>
        <w:t xml:space="preserve"> </w:t>
      </w:r>
      <w:r w:rsidRPr="00CA2CC1">
        <w:rPr>
          <w:rFonts w:cs="Calibri"/>
          <w:color w:val="414042"/>
        </w:rPr>
        <w:t>entities</w:t>
      </w:r>
      <w:r w:rsidRPr="00CA2CC1">
        <w:rPr>
          <w:rFonts w:cs="Calibri"/>
          <w:color w:val="414042"/>
          <w:spacing w:val="-2"/>
        </w:rPr>
        <w:t xml:space="preserve"> </w:t>
      </w:r>
      <w:r w:rsidRPr="00CA2CC1">
        <w:rPr>
          <w:rFonts w:cs="Calibri"/>
          <w:color w:val="414042"/>
        </w:rPr>
        <w:t>have</w:t>
      </w:r>
      <w:r w:rsidRPr="00CA2CC1">
        <w:rPr>
          <w:rFonts w:cs="Calibri"/>
          <w:color w:val="414042"/>
          <w:spacing w:val="-3"/>
        </w:rPr>
        <w:t xml:space="preserve"> </w:t>
      </w:r>
      <w:r w:rsidRPr="00CA2CC1">
        <w:rPr>
          <w:rFonts w:cs="Calibri"/>
          <w:color w:val="414042"/>
        </w:rPr>
        <w:t>been</w:t>
      </w:r>
      <w:r w:rsidRPr="00CA2CC1">
        <w:rPr>
          <w:rFonts w:cs="Calibri"/>
          <w:color w:val="414042"/>
          <w:spacing w:val="-2"/>
        </w:rPr>
        <w:t xml:space="preserve"> </w:t>
      </w:r>
      <w:r w:rsidRPr="00CA2CC1">
        <w:rPr>
          <w:rFonts w:cs="Calibri"/>
          <w:color w:val="414042"/>
        </w:rPr>
        <w:t>applied.</w:t>
      </w:r>
      <w:r w:rsidRPr="00CA2CC1">
        <w:rPr>
          <w:rFonts w:cs="Calibri"/>
          <w:color w:val="414042"/>
          <w:spacing w:val="-2"/>
        </w:rPr>
        <w:t xml:space="preserve"> Accounting</w:t>
      </w:r>
      <w:r w:rsidR="006A64B1" w:rsidRPr="00CA2CC1">
        <w:rPr>
          <w:rFonts w:cs="Calibri"/>
        </w:rPr>
        <w:t xml:space="preserve"> </w:t>
      </w:r>
      <w:r w:rsidRPr="00CA2CC1">
        <w:rPr>
          <w:rFonts w:cs="Calibri"/>
          <w:color w:val="414042"/>
        </w:rPr>
        <w:t>policies</w:t>
      </w:r>
      <w:r w:rsidRPr="00CA2CC1">
        <w:rPr>
          <w:rFonts w:cs="Calibri"/>
          <w:color w:val="414042"/>
          <w:spacing w:val="-5"/>
        </w:rPr>
        <w:t xml:space="preserve"> </w:t>
      </w:r>
      <w:r w:rsidRPr="00CA2CC1">
        <w:rPr>
          <w:rFonts w:cs="Calibri"/>
          <w:color w:val="414042"/>
        </w:rPr>
        <w:t>selected</w:t>
      </w:r>
      <w:r w:rsidRPr="00CA2CC1">
        <w:rPr>
          <w:rFonts w:cs="Calibri"/>
          <w:color w:val="414042"/>
          <w:spacing w:val="-5"/>
        </w:rPr>
        <w:t xml:space="preserve"> </w:t>
      </w:r>
      <w:r w:rsidRPr="00CA2CC1">
        <w:rPr>
          <w:rFonts w:cs="Calibri"/>
          <w:color w:val="414042"/>
        </w:rPr>
        <w:t>and</w:t>
      </w:r>
      <w:r w:rsidRPr="00CA2CC1">
        <w:rPr>
          <w:rFonts w:cs="Calibri"/>
          <w:color w:val="414042"/>
          <w:spacing w:val="-5"/>
        </w:rPr>
        <w:t xml:space="preserve"> </w:t>
      </w:r>
      <w:r w:rsidRPr="00CA2CC1">
        <w:rPr>
          <w:rFonts w:cs="Calibri"/>
          <w:color w:val="414042"/>
        </w:rPr>
        <w:t>applied</w:t>
      </w:r>
      <w:r w:rsidRPr="00CA2CC1">
        <w:rPr>
          <w:rFonts w:cs="Calibri"/>
          <w:color w:val="414042"/>
          <w:spacing w:val="-5"/>
        </w:rPr>
        <w:t xml:space="preserve"> </w:t>
      </w:r>
      <w:r w:rsidRPr="00CA2CC1">
        <w:rPr>
          <w:rFonts w:cs="Calibri"/>
          <w:color w:val="414042"/>
        </w:rPr>
        <w:t>in</w:t>
      </w:r>
      <w:r w:rsidRPr="00CA2CC1">
        <w:rPr>
          <w:rFonts w:cs="Calibri"/>
          <w:color w:val="414042"/>
          <w:spacing w:val="-5"/>
        </w:rPr>
        <w:t xml:space="preserve"> </w:t>
      </w:r>
      <w:r w:rsidRPr="00CA2CC1">
        <w:rPr>
          <w:rFonts w:cs="Calibri"/>
          <w:color w:val="414042"/>
        </w:rPr>
        <w:t>these</w:t>
      </w:r>
      <w:r w:rsidRPr="00CA2CC1">
        <w:rPr>
          <w:rFonts w:cs="Calibri"/>
          <w:color w:val="414042"/>
          <w:spacing w:val="-5"/>
        </w:rPr>
        <w:t xml:space="preserve"> </w:t>
      </w:r>
      <w:r w:rsidRPr="00CA2CC1">
        <w:rPr>
          <w:rFonts w:cs="Calibri"/>
          <w:color w:val="414042"/>
        </w:rPr>
        <w:t>financial</w:t>
      </w:r>
      <w:r w:rsidRPr="00CA2CC1">
        <w:rPr>
          <w:rFonts w:cs="Calibri"/>
          <w:color w:val="414042"/>
          <w:spacing w:val="-5"/>
        </w:rPr>
        <w:t xml:space="preserve"> </w:t>
      </w:r>
      <w:r w:rsidRPr="00CA2CC1">
        <w:rPr>
          <w:rFonts w:cs="Calibri"/>
          <w:color w:val="414042"/>
        </w:rPr>
        <w:t>statements ensure that the resulting financial information satisfies the concepts</w:t>
      </w:r>
      <w:r w:rsidRPr="00CA2CC1">
        <w:rPr>
          <w:rFonts w:cs="Calibri"/>
          <w:color w:val="414042"/>
          <w:spacing w:val="-7"/>
        </w:rPr>
        <w:t xml:space="preserve"> </w:t>
      </w:r>
      <w:r w:rsidRPr="00CA2CC1">
        <w:rPr>
          <w:rFonts w:cs="Calibri"/>
          <w:color w:val="414042"/>
        </w:rPr>
        <w:t>of</w:t>
      </w:r>
      <w:r w:rsidRPr="00CA2CC1">
        <w:rPr>
          <w:rFonts w:cs="Calibri"/>
          <w:color w:val="414042"/>
          <w:spacing w:val="-7"/>
        </w:rPr>
        <w:t xml:space="preserve"> </w:t>
      </w:r>
      <w:r w:rsidRPr="00CA2CC1">
        <w:rPr>
          <w:rFonts w:cs="Calibri"/>
          <w:color w:val="414042"/>
        </w:rPr>
        <w:t>relevance</w:t>
      </w:r>
      <w:r w:rsidRPr="00CA2CC1">
        <w:rPr>
          <w:rFonts w:cs="Calibri"/>
          <w:color w:val="414042"/>
          <w:spacing w:val="-7"/>
        </w:rPr>
        <w:t xml:space="preserve"> </w:t>
      </w:r>
      <w:r w:rsidRPr="00CA2CC1">
        <w:rPr>
          <w:rFonts w:cs="Calibri"/>
          <w:color w:val="414042"/>
        </w:rPr>
        <w:t>and</w:t>
      </w:r>
      <w:r w:rsidRPr="00CA2CC1">
        <w:rPr>
          <w:rFonts w:cs="Calibri"/>
          <w:color w:val="414042"/>
          <w:spacing w:val="-7"/>
        </w:rPr>
        <w:t xml:space="preserve"> </w:t>
      </w:r>
      <w:r w:rsidRPr="00CA2CC1">
        <w:rPr>
          <w:rFonts w:cs="Calibri"/>
          <w:color w:val="414042"/>
        </w:rPr>
        <w:t>reliability,</w:t>
      </w:r>
      <w:r w:rsidRPr="00CA2CC1">
        <w:rPr>
          <w:rFonts w:cs="Calibri"/>
          <w:color w:val="414042"/>
          <w:spacing w:val="-7"/>
        </w:rPr>
        <w:t xml:space="preserve"> </w:t>
      </w:r>
      <w:r w:rsidRPr="00CA2CC1">
        <w:rPr>
          <w:rFonts w:cs="Calibri"/>
          <w:color w:val="414042"/>
        </w:rPr>
        <w:t>and</w:t>
      </w:r>
      <w:r w:rsidRPr="00CA2CC1">
        <w:rPr>
          <w:rFonts w:cs="Calibri"/>
          <w:color w:val="414042"/>
          <w:spacing w:val="-7"/>
        </w:rPr>
        <w:t xml:space="preserve"> </w:t>
      </w:r>
      <w:r w:rsidRPr="00CA2CC1">
        <w:rPr>
          <w:rFonts w:cs="Calibri"/>
          <w:color w:val="414042"/>
        </w:rPr>
        <w:t>the</w:t>
      </w:r>
      <w:r w:rsidRPr="00CA2CC1">
        <w:rPr>
          <w:rFonts w:cs="Calibri"/>
          <w:color w:val="414042"/>
          <w:spacing w:val="-7"/>
        </w:rPr>
        <w:t xml:space="preserve"> </w:t>
      </w:r>
      <w:r w:rsidRPr="00CA2CC1">
        <w:rPr>
          <w:rFonts w:cs="Calibri"/>
          <w:color w:val="414042"/>
        </w:rPr>
        <w:t>substance</w:t>
      </w:r>
      <w:r w:rsidRPr="00CA2CC1">
        <w:rPr>
          <w:rFonts w:cs="Calibri"/>
          <w:color w:val="414042"/>
          <w:spacing w:val="-7"/>
        </w:rPr>
        <w:t xml:space="preserve"> </w:t>
      </w:r>
      <w:r w:rsidRPr="00CA2CC1">
        <w:rPr>
          <w:rFonts w:cs="Calibri"/>
          <w:color w:val="414042"/>
        </w:rPr>
        <w:t>of the underlying transactions or other events.</w:t>
      </w:r>
    </w:p>
    <w:p w14:paraId="54C98E87" w14:textId="77777777" w:rsidR="00FA4226" w:rsidRPr="00CA2CC1" w:rsidRDefault="00FA4226" w:rsidP="0043303B">
      <w:pPr>
        <w:pStyle w:val="BodyText"/>
        <w:rPr>
          <w:rFonts w:cs="Calibri"/>
          <w:sz w:val="15"/>
        </w:rPr>
      </w:pPr>
    </w:p>
    <w:p w14:paraId="536DBA8B" w14:textId="77777777" w:rsidR="00FA4226" w:rsidRPr="00CA2CC1" w:rsidRDefault="00000000" w:rsidP="001C21B0">
      <w:pPr>
        <w:pStyle w:val="Heading4"/>
      </w:pPr>
      <w:r w:rsidRPr="00CA2CC1">
        <w:t xml:space="preserve">Other accounting </w:t>
      </w:r>
      <w:r w:rsidRPr="00CA2CC1">
        <w:rPr>
          <w:spacing w:val="-2"/>
        </w:rPr>
        <w:t>policies</w:t>
      </w:r>
    </w:p>
    <w:p w14:paraId="5BA0DFEC" w14:textId="338AB7A1" w:rsidR="00FA4226" w:rsidRPr="00CA2CC1" w:rsidRDefault="00000000" w:rsidP="0043303B">
      <w:pPr>
        <w:pStyle w:val="BodyText"/>
        <w:spacing w:before="112"/>
        <w:rPr>
          <w:rFonts w:cs="Calibri"/>
          <w:sz w:val="20"/>
        </w:rPr>
      </w:pPr>
      <w:r w:rsidRPr="00CA2CC1">
        <w:rPr>
          <w:rFonts w:cs="Calibri"/>
          <w:color w:val="414042"/>
        </w:rPr>
        <w:t>Significant</w:t>
      </w:r>
      <w:r w:rsidRPr="00CA2CC1">
        <w:rPr>
          <w:rFonts w:cs="Calibri"/>
          <w:color w:val="414042"/>
          <w:spacing w:val="-2"/>
        </w:rPr>
        <w:t xml:space="preserve"> </w:t>
      </w:r>
      <w:r w:rsidRPr="00CA2CC1">
        <w:rPr>
          <w:rFonts w:cs="Calibri"/>
          <w:color w:val="414042"/>
        </w:rPr>
        <w:t>and</w:t>
      </w:r>
      <w:r w:rsidRPr="00CA2CC1">
        <w:rPr>
          <w:rFonts w:cs="Calibri"/>
          <w:color w:val="414042"/>
          <w:spacing w:val="-2"/>
        </w:rPr>
        <w:t xml:space="preserve"> </w:t>
      </w:r>
      <w:r w:rsidRPr="00CA2CC1">
        <w:rPr>
          <w:rFonts w:cs="Calibri"/>
          <w:color w:val="414042"/>
        </w:rPr>
        <w:t>other</w:t>
      </w:r>
      <w:r w:rsidRPr="00CA2CC1">
        <w:rPr>
          <w:rFonts w:cs="Calibri"/>
          <w:color w:val="414042"/>
          <w:spacing w:val="-2"/>
        </w:rPr>
        <w:t xml:space="preserve"> </w:t>
      </w:r>
      <w:r w:rsidRPr="00CA2CC1">
        <w:rPr>
          <w:rFonts w:cs="Calibri"/>
          <w:color w:val="414042"/>
        </w:rPr>
        <w:t>accounting</w:t>
      </w:r>
      <w:r w:rsidRPr="00CA2CC1">
        <w:rPr>
          <w:rFonts w:cs="Calibri"/>
          <w:color w:val="414042"/>
          <w:spacing w:val="-2"/>
        </w:rPr>
        <w:t xml:space="preserve"> </w:t>
      </w:r>
      <w:r w:rsidRPr="00CA2CC1">
        <w:rPr>
          <w:rFonts w:cs="Calibri"/>
          <w:color w:val="414042"/>
        </w:rPr>
        <w:t>policies</w:t>
      </w:r>
      <w:r w:rsidRPr="00CA2CC1">
        <w:rPr>
          <w:rFonts w:cs="Calibri"/>
          <w:color w:val="414042"/>
          <w:spacing w:val="-2"/>
        </w:rPr>
        <w:t xml:space="preserve"> </w:t>
      </w:r>
      <w:r w:rsidRPr="00CA2CC1">
        <w:rPr>
          <w:rFonts w:cs="Calibri"/>
          <w:color w:val="414042"/>
        </w:rPr>
        <w:t>that</w:t>
      </w:r>
      <w:r w:rsidRPr="00CA2CC1">
        <w:rPr>
          <w:rFonts w:cs="Calibri"/>
          <w:color w:val="414042"/>
          <w:spacing w:val="-2"/>
        </w:rPr>
        <w:t xml:space="preserve"> </w:t>
      </w:r>
      <w:r w:rsidRPr="00CA2CC1">
        <w:rPr>
          <w:rFonts w:cs="Calibri"/>
          <w:color w:val="414042"/>
        </w:rPr>
        <w:t>summarise</w:t>
      </w:r>
      <w:r w:rsidRPr="00CA2CC1">
        <w:rPr>
          <w:rFonts w:cs="Calibri"/>
          <w:color w:val="414042"/>
          <w:spacing w:val="-2"/>
        </w:rPr>
        <w:t xml:space="preserve"> </w:t>
      </w:r>
      <w:r w:rsidRPr="00CA2CC1">
        <w:rPr>
          <w:rFonts w:cs="Calibri"/>
          <w:color w:val="414042"/>
        </w:rPr>
        <w:t>the recognition</w:t>
      </w:r>
      <w:r w:rsidRPr="00CA2CC1">
        <w:rPr>
          <w:rFonts w:cs="Calibri"/>
          <w:color w:val="414042"/>
          <w:spacing w:val="-6"/>
        </w:rPr>
        <w:t xml:space="preserve"> </w:t>
      </w:r>
      <w:r w:rsidRPr="00CA2CC1">
        <w:rPr>
          <w:rFonts w:cs="Calibri"/>
          <w:color w:val="414042"/>
        </w:rPr>
        <w:t>and</w:t>
      </w:r>
      <w:r w:rsidRPr="00CA2CC1">
        <w:rPr>
          <w:rFonts w:cs="Calibri"/>
          <w:color w:val="414042"/>
          <w:spacing w:val="-6"/>
        </w:rPr>
        <w:t xml:space="preserve"> </w:t>
      </w:r>
      <w:r w:rsidRPr="00CA2CC1">
        <w:rPr>
          <w:rFonts w:cs="Calibri"/>
          <w:color w:val="414042"/>
        </w:rPr>
        <w:t>measurement</w:t>
      </w:r>
      <w:r w:rsidRPr="00CA2CC1">
        <w:rPr>
          <w:rFonts w:cs="Calibri"/>
          <w:color w:val="414042"/>
          <w:spacing w:val="-6"/>
        </w:rPr>
        <w:t xml:space="preserve"> </w:t>
      </w:r>
      <w:r w:rsidRPr="00CA2CC1">
        <w:rPr>
          <w:rFonts w:cs="Calibri"/>
          <w:color w:val="414042"/>
        </w:rPr>
        <w:t>basis</w:t>
      </w:r>
      <w:r w:rsidRPr="00CA2CC1">
        <w:rPr>
          <w:rFonts w:cs="Calibri"/>
          <w:color w:val="414042"/>
          <w:spacing w:val="-6"/>
        </w:rPr>
        <w:t xml:space="preserve"> </w:t>
      </w:r>
      <w:r w:rsidRPr="00CA2CC1">
        <w:rPr>
          <w:rFonts w:cs="Calibri"/>
          <w:color w:val="414042"/>
        </w:rPr>
        <w:t>used</w:t>
      </w:r>
      <w:r w:rsidRPr="00CA2CC1">
        <w:rPr>
          <w:rFonts w:cs="Calibri"/>
          <w:color w:val="414042"/>
          <w:spacing w:val="-6"/>
        </w:rPr>
        <w:t xml:space="preserve"> </w:t>
      </w:r>
      <w:r w:rsidRPr="00CA2CC1">
        <w:rPr>
          <w:rFonts w:cs="Calibri"/>
          <w:color w:val="414042"/>
        </w:rPr>
        <w:t>and</w:t>
      </w:r>
      <w:r w:rsidRPr="00CA2CC1">
        <w:rPr>
          <w:rFonts w:cs="Calibri"/>
          <w:color w:val="414042"/>
          <w:spacing w:val="-6"/>
        </w:rPr>
        <w:t xml:space="preserve"> </w:t>
      </w:r>
      <w:r w:rsidRPr="00CA2CC1">
        <w:rPr>
          <w:rFonts w:cs="Calibri"/>
          <w:color w:val="414042"/>
        </w:rPr>
        <w:t>are</w:t>
      </w:r>
      <w:r w:rsidRPr="00CA2CC1">
        <w:rPr>
          <w:rFonts w:cs="Calibri"/>
          <w:color w:val="414042"/>
          <w:spacing w:val="-6"/>
        </w:rPr>
        <w:t xml:space="preserve"> </w:t>
      </w:r>
      <w:r w:rsidRPr="00CA2CC1">
        <w:rPr>
          <w:rFonts w:cs="Calibri"/>
          <w:color w:val="414042"/>
        </w:rPr>
        <w:t>relevant</w:t>
      </w:r>
      <w:r w:rsidRPr="00CA2CC1">
        <w:rPr>
          <w:rFonts w:cs="Calibri"/>
          <w:color w:val="414042"/>
          <w:spacing w:val="-6"/>
        </w:rPr>
        <w:t xml:space="preserve"> </w:t>
      </w:r>
      <w:r w:rsidRPr="00CA2CC1">
        <w:rPr>
          <w:rFonts w:cs="Calibri"/>
          <w:color w:val="414042"/>
        </w:rPr>
        <w:t>to an understanding of the financial statements, are provided throughout the notes to the financ</w:t>
      </w:r>
      <w:r w:rsidR="008E6726" w:rsidRPr="00CA2CC1">
        <w:rPr>
          <w:rFonts w:cs="Calibri"/>
          <w:color w:val="414042"/>
        </w:rPr>
        <w:t>ial statements.</w:t>
      </w:r>
    </w:p>
    <w:p w14:paraId="3EC23D09" w14:textId="77777777" w:rsidR="00FA4226" w:rsidRPr="001C21B0" w:rsidRDefault="00000000" w:rsidP="0043303B">
      <w:pPr>
        <w:pStyle w:val="Heading3"/>
        <w:numPr>
          <w:ilvl w:val="0"/>
          <w:numId w:val="15"/>
        </w:numPr>
        <w:spacing w:before="174"/>
        <w:ind w:left="0" w:firstLine="0"/>
        <w:rPr>
          <w:rFonts w:cs="Calibri"/>
          <w:color w:val="000000" w:themeColor="text1"/>
        </w:rPr>
      </w:pPr>
      <w:r w:rsidRPr="001C21B0">
        <w:rPr>
          <w:rFonts w:cs="Calibri"/>
          <w:color w:val="000000" w:themeColor="text1"/>
        </w:rPr>
        <w:t xml:space="preserve">Funding of our </w:t>
      </w:r>
      <w:r w:rsidRPr="001C21B0">
        <w:rPr>
          <w:rFonts w:cs="Calibri"/>
          <w:color w:val="000000" w:themeColor="text1"/>
          <w:spacing w:val="-2"/>
        </w:rPr>
        <w:t>services</w:t>
      </w:r>
    </w:p>
    <w:p w14:paraId="2F220FD1" w14:textId="77777777" w:rsidR="00FA4226" w:rsidRDefault="00FA4226" w:rsidP="0043303B">
      <w:pPr>
        <w:rPr>
          <w:rFonts w:cs="Calibri"/>
          <w:color w:val="000000" w:themeColor="text1"/>
          <w:sz w:val="14"/>
        </w:rPr>
      </w:pPr>
    </w:p>
    <w:p w14:paraId="48C58092" w14:textId="77777777" w:rsidR="00446C71" w:rsidRPr="00CA2CC1" w:rsidRDefault="00446C71" w:rsidP="00446C71">
      <w:pPr>
        <w:pStyle w:val="BodyText"/>
        <w:rPr>
          <w:rFonts w:cs="Calibri"/>
        </w:rPr>
      </w:pPr>
      <w:r w:rsidRPr="00CA2CC1">
        <w:rPr>
          <w:rFonts w:cs="Calibri"/>
        </w:rPr>
        <w:t>Introduction</w:t>
      </w:r>
    </w:p>
    <w:p w14:paraId="5BE22AFE" w14:textId="77777777" w:rsidR="00446C71" w:rsidRPr="00CA2CC1" w:rsidRDefault="00446C71" w:rsidP="00446C71">
      <w:pPr>
        <w:pStyle w:val="BodyText"/>
        <w:spacing w:before="71"/>
        <w:rPr>
          <w:rFonts w:cs="Calibri"/>
          <w:color w:val="414042"/>
        </w:rPr>
      </w:pPr>
      <w:r w:rsidRPr="00CA2CC1">
        <w:rPr>
          <w:rFonts w:cs="Calibri"/>
          <w:color w:val="414042"/>
        </w:rPr>
        <w:t>Infrastructure Victoria is an independent advisory body, which is funded by Parliamentary appropriations for the provision of outputs. These appropriations are received by</w:t>
      </w:r>
      <w:r w:rsidRPr="00CA2CC1">
        <w:rPr>
          <w:rFonts w:cs="Calibri"/>
          <w:color w:val="414042"/>
          <w:spacing w:val="-8"/>
        </w:rPr>
        <w:t xml:space="preserve"> </w:t>
      </w:r>
      <w:r w:rsidRPr="00CA2CC1">
        <w:rPr>
          <w:rFonts w:cs="Calibri"/>
          <w:color w:val="414042"/>
        </w:rPr>
        <w:t>the</w:t>
      </w:r>
      <w:r w:rsidRPr="00CA2CC1">
        <w:rPr>
          <w:rFonts w:cs="Calibri"/>
          <w:color w:val="414042"/>
          <w:spacing w:val="-8"/>
        </w:rPr>
        <w:t xml:space="preserve"> </w:t>
      </w:r>
      <w:r w:rsidRPr="00CA2CC1">
        <w:rPr>
          <w:rFonts w:cs="Calibri"/>
          <w:color w:val="414042"/>
        </w:rPr>
        <w:t>Department</w:t>
      </w:r>
      <w:r w:rsidRPr="00CA2CC1">
        <w:rPr>
          <w:rFonts w:cs="Calibri"/>
          <w:color w:val="414042"/>
          <w:spacing w:val="-8"/>
        </w:rPr>
        <w:t xml:space="preserve"> </w:t>
      </w:r>
      <w:r w:rsidRPr="00CA2CC1">
        <w:rPr>
          <w:rFonts w:cs="Calibri"/>
          <w:color w:val="414042"/>
        </w:rPr>
        <w:t>of</w:t>
      </w:r>
      <w:r w:rsidRPr="00CA2CC1">
        <w:rPr>
          <w:rFonts w:cs="Calibri"/>
          <w:color w:val="414042"/>
          <w:spacing w:val="-8"/>
        </w:rPr>
        <w:t xml:space="preserve"> </w:t>
      </w:r>
      <w:r w:rsidRPr="00CA2CC1">
        <w:rPr>
          <w:rFonts w:cs="Calibri"/>
          <w:color w:val="414042"/>
        </w:rPr>
        <w:t>Treasury</w:t>
      </w:r>
      <w:r w:rsidRPr="00CA2CC1">
        <w:rPr>
          <w:rFonts w:cs="Calibri"/>
          <w:color w:val="414042"/>
          <w:spacing w:val="-8"/>
        </w:rPr>
        <w:t xml:space="preserve"> </w:t>
      </w:r>
      <w:r w:rsidRPr="00CA2CC1">
        <w:rPr>
          <w:rFonts w:cs="Calibri"/>
          <w:color w:val="414042"/>
        </w:rPr>
        <w:t>and</w:t>
      </w:r>
      <w:r w:rsidRPr="00CA2CC1">
        <w:rPr>
          <w:rFonts w:cs="Calibri"/>
          <w:color w:val="414042"/>
          <w:spacing w:val="-8"/>
        </w:rPr>
        <w:t xml:space="preserve"> </w:t>
      </w:r>
      <w:r w:rsidRPr="00CA2CC1">
        <w:rPr>
          <w:rFonts w:cs="Calibri"/>
          <w:color w:val="414042"/>
        </w:rPr>
        <w:t>Finance</w:t>
      </w:r>
      <w:r w:rsidRPr="00CA2CC1">
        <w:rPr>
          <w:rFonts w:cs="Calibri"/>
          <w:color w:val="414042"/>
          <w:spacing w:val="-8"/>
        </w:rPr>
        <w:t xml:space="preserve"> </w:t>
      </w:r>
      <w:r w:rsidRPr="00CA2CC1">
        <w:rPr>
          <w:rFonts w:cs="Calibri"/>
          <w:color w:val="414042"/>
        </w:rPr>
        <w:t>and</w:t>
      </w:r>
      <w:r w:rsidRPr="00CA2CC1">
        <w:rPr>
          <w:rFonts w:cs="Calibri"/>
          <w:color w:val="414042"/>
          <w:spacing w:val="-8"/>
        </w:rPr>
        <w:t xml:space="preserve"> </w:t>
      </w:r>
      <w:r w:rsidRPr="00CA2CC1">
        <w:rPr>
          <w:rFonts w:cs="Calibri"/>
          <w:color w:val="414042"/>
        </w:rPr>
        <w:t>provided to Infrastructure Victoria in the form of grants.</w:t>
      </w:r>
    </w:p>
    <w:p w14:paraId="0E9836D5" w14:textId="77777777" w:rsidR="00446C71" w:rsidRPr="00CA2CC1" w:rsidRDefault="00446C71" w:rsidP="00446C71">
      <w:pPr>
        <w:pStyle w:val="BodyText"/>
        <w:rPr>
          <w:rFonts w:cs="Calibri"/>
        </w:rPr>
      </w:pPr>
      <w:r w:rsidRPr="00CA2CC1">
        <w:rPr>
          <w:rFonts w:cs="Calibri"/>
        </w:rPr>
        <w:t>Structure</w:t>
      </w:r>
    </w:p>
    <w:p w14:paraId="007C33B8" w14:textId="77777777" w:rsidR="00446C71" w:rsidRPr="00446C71" w:rsidRDefault="00446C71" w:rsidP="00446C71">
      <w:pPr>
        <w:pStyle w:val="ListParagraph"/>
        <w:numPr>
          <w:ilvl w:val="1"/>
          <w:numId w:val="15"/>
        </w:numPr>
        <w:tabs>
          <w:tab w:val="left" w:pos="702"/>
        </w:tabs>
        <w:spacing w:before="65"/>
        <w:ind w:left="0" w:firstLine="0"/>
        <w:rPr>
          <w:rFonts w:cs="Calibri"/>
          <w:szCs w:val="22"/>
        </w:rPr>
      </w:pPr>
      <w:r w:rsidRPr="00CA2CC1">
        <w:rPr>
          <w:rFonts w:cs="Calibri"/>
          <w:color w:val="414042"/>
          <w:szCs w:val="22"/>
        </w:rPr>
        <w:t xml:space="preserve">Income that funds the delivery of our </w:t>
      </w:r>
      <w:r w:rsidRPr="00CA2CC1">
        <w:rPr>
          <w:rFonts w:cs="Calibri"/>
          <w:color w:val="414042"/>
          <w:spacing w:val="-2"/>
          <w:szCs w:val="22"/>
        </w:rPr>
        <w:t>service</w:t>
      </w:r>
    </w:p>
    <w:p w14:paraId="37D8BF02" w14:textId="77777777" w:rsidR="00446C71" w:rsidRPr="00CA2CC1" w:rsidRDefault="00446C71" w:rsidP="00446C71">
      <w:pPr>
        <w:pStyle w:val="BodyText"/>
        <w:rPr>
          <w:rFonts w:cs="Calibri"/>
          <w:sz w:val="2"/>
        </w:rPr>
      </w:pPr>
    </w:p>
    <w:p w14:paraId="11248D2B" w14:textId="77777777" w:rsidR="00446C71" w:rsidRPr="001C21B0" w:rsidRDefault="00446C71" w:rsidP="00446C71">
      <w:pPr>
        <w:pStyle w:val="Heading7"/>
        <w:spacing w:before="125"/>
        <w:rPr>
          <w:rFonts w:cs="Calibri"/>
          <w:color w:val="000000" w:themeColor="text1"/>
        </w:rPr>
      </w:pPr>
      <w:r w:rsidRPr="001C21B0">
        <w:rPr>
          <w:rFonts w:cs="Calibri"/>
          <w:color w:val="000000" w:themeColor="text1"/>
        </w:rPr>
        <w:t xml:space="preserve">2.1 Income that funds the delivery of our </w:t>
      </w:r>
      <w:r w:rsidRPr="001C21B0">
        <w:rPr>
          <w:rFonts w:cs="Calibri"/>
          <w:color w:val="000000" w:themeColor="text1"/>
          <w:spacing w:val="-2"/>
        </w:rPr>
        <w:t>services</w:t>
      </w:r>
    </w:p>
    <w:p w14:paraId="4248569B" w14:textId="77777777" w:rsidR="00446C71" w:rsidRPr="00CA2CC1" w:rsidRDefault="00446C71" w:rsidP="00446C71">
      <w:pPr>
        <w:pStyle w:val="BodyText"/>
        <w:spacing w:before="4"/>
        <w:rPr>
          <w:rFonts w:cs="Calibri"/>
          <w:sz w:val="10"/>
        </w:rPr>
      </w:pPr>
    </w:p>
    <w:tbl>
      <w:tblPr>
        <w:tblW w:w="9637" w:type="dxa"/>
        <w:tblBorders>
          <w:top w:val="single" w:sz="4" w:space="0" w:color="C48F1B"/>
          <w:left w:val="single" w:sz="4" w:space="0" w:color="C48F1B"/>
          <w:bottom w:val="single" w:sz="4" w:space="0" w:color="C48F1B"/>
          <w:right w:val="single" w:sz="4" w:space="0" w:color="C48F1B"/>
          <w:insideH w:val="single" w:sz="4" w:space="0" w:color="C48F1B"/>
          <w:insideV w:val="single" w:sz="4" w:space="0" w:color="C48F1B"/>
        </w:tblBorders>
        <w:tblLayout w:type="fixed"/>
        <w:tblCellMar>
          <w:left w:w="0" w:type="dxa"/>
          <w:right w:w="0" w:type="dxa"/>
        </w:tblCellMar>
        <w:tblLook w:val="01E0" w:firstRow="1" w:lastRow="1" w:firstColumn="1" w:lastColumn="1" w:noHBand="0" w:noVBand="0"/>
      </w:tblPr>
      <w:tblGrid>
        <w:gridCol w:w="6633"/>
        <w:gridCol w:w="1502"/>
        <w:gridCol w:w="1502"/>
      </w:tblGrid>
      <w:tr w:rsidR="00446C71" w:rsidRPr="00CA2CC1" w14:paraId="1DCD3356" w14:textId="77777777" w:rsidTr="003B766D">
        <w:trPr>
          <w:trHeight w:val="567"/>
        </w:trPr>
        <w:tc>
          <w:tcPr>
            <w:tcW w:w="6633" w:type="dxa"/>
            <w:tcBorders>
              <w:top w:val="nil"/>
              <w:left w:val="nil"/>
              <w:right w:val="nil"/>
            </w:tcBorders>
          </w:tcPr>
          <w:p w14:paraId="6C2F43AF" w14:textId="77777777" w:rsidR="00446C71" w:rsidRPr="00CA2CC1" w:rsidRDefault="00446C71" w:rsidP="003B766D">
            <w:pPr>
              <w:pStyle w:val="TableParagraph"/>
              <w:jc w:val="left"/>
              <w:rPr>
                <w:rFonts w:cs="Calibri"/>
                <w:sz w:val="18"/>
              </w:rPr>
            </w:pPr>
          </w:p>
        </w:tc>
        <w:tc>
          <w:tcPr>
            <w:tcW w:w="1502" w:type="dxa"/>
            <w:tcBorders>
              <w:top w:val="nil"/>
              <w:left w:val="nil"/>
              <w:right w:val="single" w:sz="8" w:space="0" w:color="FFFFFF"/>
            </w:tcBorders>
            <w:shd w:val="clear" w:color="auto" w:fill="FFF0E7"/>
            <w:tcMar>
              <w:right w:w="57" w:type="dxa"/>
            </w:tcMar>
          </w:tcPr>
          <w:p w14:paraId="6C44866F" w14:textId="77777777" w:rsidR="00446C71" w:rsidRPr="00CA2CC1" w:rsidRDefault="00446C71" w:rsidP="003B766D">
            <w:pPr>
              <w:pStyle w:val="TableParagraph"/>
              <w:spacing w:before="39"/>
              <w:rPr>
                <w:rFonts w:cs="Calibri"/>
                <w:sz w:val="17"/>
              </w:rPr>
            </w:pPr>
            <w:r w:rsidRPr="00CA2CC1">
              <w:rPr>
                <w:rFonts w:cs="Calibri"/>
                <w:color w:val="F68C59"/>
                <w:spacing w:val="-4"/>
                <w:sz w:val="17"/>
              </w:rPr>
              <w:t>2022</w:t>
            </w:r>
          </w:p>
          <w:p w14:paraId="1BE645E4" w14:textId="77777777" w:rsidR="00446C71" w:rsidRPr="00CA2CC1" w:rsidRDefault="00446C71" w:rsidP="003B766D">
            <w:pPr>
              <w:pStyle w:val="TableParagraph"/>
              <w:spacing w:before="24"/>
              <w:rPr>
                <w:rFonts w:cs="Calibri"/>
                <w:sz w:val="17"/>
              </w:rPr>
            </w:pPr>
            <w:r w:rsidRPr="00CA2CC1">
              <w:rPr>
                <w:rFonts w:cs="Calibri"/>
                <w:color w:val="F68C59"/>
                <w:sz w:val="17"/>
              </w:rPr>
              <w:t>$</w:t>
            </w:r>
          </w:p>
        </w:tc>
        <w:tc>
          <w:tcPr>
            <w:tcW w:w="1502" w:type="dxa"/>
            <w:tcBorders>
              <w:top w:val="nil"/>
              <w:left w:val="single" w:sz="8" w:space="0" w:color="FFFFFF"/>
              <w:right w:val="nil"/>
            </w:tcBorders>
            <w:shd w:val="clear" w:color="auto" w:fill="EDEFF0"/>
            <w:tcMar>
              <w:right w:w="57" w:type="dxa"/>
            </w:tcMar>
          </w:tcPr>
          <w:p w14:paraId="6C13EF27" w14:textId="77777777" w:rsidR="00446C71" w:rsidRPr="00CA2CC1" w:rsidRDefault="00446C71" w:rsidP="003B766D">
            <w:pPr>
              <w:pStyle w:val="TableParagraph"/>
              <w:spacing w:before="39"/>
              <w:rPr>
                <w:rFonts w:cs="Calibri"/>
                <w:sz w:val="17"/>
              </w:rPr>
            </w:pPr>
            <w:r w:rsidRPr="00CA2CC1">
              <w:rPr>
                <w:rFonts w:cs="Calibri"/>
                <w:color w:val="F68C59"/>
                <w:spacing w:val="-4"/>
                <w:sz w:val="17"/>
              </w:rPr>
              <w:t>2021</w:t>
            </w:r>
          </w:p>
          <w:p w14:paraId="53CA9544" w14:textId="77777777" w:rsidR="00446C71" w:rsidRPr="00CA2CC1" w:rsidRDefault="00446C71" w:rsidP="003B766D">
            <w:pPr>
              <w:pStyle w:val="TableParagraph"/>
              <w:spacing w:before="24"/>
              <w:rPr>
                <w:rFonts w:cs="Calibri"/>
                <w:sz w:val="17"/>
              </w:rPr>
            </w:pPr>
            <w:r w:rsidRPr="00CA2CC1">
              <w:rPr>
                <w:rFonts w:cs="Calibri"/>
                <w:color w:val="F68C59"/>
                <w:sz w:val="17"/>
              </w:rPr>
              <w:t>$</w:t>
            </w:r>
          </w:p>
        </w:tc>
      </w:tr>
      <w:tr w:rsidR="00446C71" w:rsidRPr="00CA2CC1" w14:paraId="7191468D" w14:textId="77777777" w:rsidTr="003B766D">
        <w:trPr>
          <w:trHeight w:val="281"/>
        </w:trPr>
        <w:tc>
          <w:tcPr>
            <w:tcW w:w="6633" w:type="dxa"/>
            <w:tcBorders>
              <w:left w:val="nil"/>
              <w:bottom w:val="single" w:sz="2" w:space="0" w:color="73777A"/>
              <w:right w:val="nil"/>
            </w:tcBorders>
          </w:tcPr>
          <w:p w14:paraId="643737B7" w14:textId="77777777" w:rsidR="00446C71" w:rsidRPr="00CA2CC1" w:rsidRDefault="00446C71" w:rsidP="003B766D">
            <w:pPr>
              <w:pStyle w:val="TableParagraph"/>
              <w:jc w:val="left"/>
              <w:rPr>
                <w:rFonts w:cs="Calibri"/>
                <w:sz w:val="18"/>
              </w:rPr>
            </w:pPr>
            <w:r w:rsidRPr="00CA2CC1">
              <w:rPr>
                <w:rFonts w:cs="Calibri"/>
                <w:color w:val="414042"/>
                <w:sz w:val="18"/>
              </w:rPr>
              <w:t>Grants</w:t>
            </w:r>
            <w:r w:rsidRPr="00CA2CC1">
              <w:rPr>
                <w:rFonts w:cs="Calibri"/>
                <w:color w:val="414042"/>
                <w:spacing w:val="3"/>
                <w:sz w:val="18"/>
              </w:rPr>
              <w:t xml:space="preserve"> </w:t>
            </w:r>
            <w:r w:rsidRPr="00CA2CC1">
              <w:rPr>
                <w:rFonts w:cs="Calibri"/>
                <w:color w:val="414042"/>
                <w:sz w:val="18"/>
              </w:rPr>
              <w:t>from</w:t>
            </w:r>
            <w:r w:rsidRPr="00CA2CC1">
              <w:rPr>
                <w:rFonts w:cs="Calibri"/>
                <w:color w:val="414042"/>
                <w:spacing w:val="4"/>
                <w:sz w:val="18"/>
              </w:rPr>
              <w:t xml:space="preserve"> </w:t>
            </w:r>
            <w:r w:rsidRPr="00CA2CC1">
              <w:rPr>
                <w:rFonts w:cs="Calibri"/>
                <w:color w:val="414042"/>
                <w:sz w:val="18"/>
              </w:rPr>
              <w:t>the</w:t>
            </w:r>
            <w:r w:rsidRPr="00CA2CC1">
              <w:rPr>
                <w:rFonts w:cs="Calibri"/>
                <w:color w:val="414042"/>
                <w:spacing w:val="4"/>
                <w:sz w:val="18"/>
              </w:rPr>
              <w:t xml:space="preserve"> </w:t>
            </w:r>
            <w:r w:rsidRPr="00CA2CC1">
              <w:rPr>
                <w:rFonts w:cs="Calibri"/>
                <w:color w:val="414042"/>
                <w:sz w:val="18"/>
              </w:rPr>
              <w:t>Department</w:t>
            </w:r>
            <w:r w:rsidRPr="00CA2CC1">
              <w:rPr>
                <w:rFonts w:cs="Calibri"/>
                <w:color w:val="414042"/>
                <w:spacing w:val="4"/>
                <w:sz w:val="18"/>
              </w:rPr>
              <w:t xml:space="preserve"> </w:t>
            </w:r>
            <w:r w:rsidRPr="00CA2CC1">
              <w:rPr>
                <w:rFonts w:cs="Calibri"/>
                <w:color w:val="414042"/>
                <w:sz w:val="18"/>
              </w:rPr>
              <w:t>of</w:t>
            </w:r>
            <w:r w:rsidRPr="00CA2CC1">
              <w:rPr>
                <w:rFonts w:cs="Calibri"/>
                <w:color w:val="414042"/>
                <w:spacing w:val="4"/>
                <w:sz w:val="18"/>
              </w:rPr>
              <w:t xml:space="preserve"> </w:t>
            </w:r>
            <w:r w:rsidRPr="00CA2CC1">
              <w:rPr>
                <w:rFonts w:cs="Calibri"/>
                <w:color w:val="414042"/>
                <w:sz w:val="18"/>
              </w:rPr>
              <w:t>Treasury</w:t>
            </w:r>
            <w:r w:rsidRPr="00CA2CC1">
              <w:rPr>
                <w:rFonts w:cs="Calibri"/>
                <w:color w:val="414042"/>
                <w:spacing w:val="4"/>
                <w:sz w:val="18"/>
              </w:rPr>
              <w:t xml:space="preserve"> </w:t>
            </w:r>
            <w:r w:rsidRPr="00CA2CC1">
              <w:rPr>
                <w:rFonts w:cs="Calibri"/>
                <w:color w:val="414042"/>
                <w:sz w:val="18"/>
              </w:rPr>
              <w:t>and</w:t>
            </w:r>
            <w:r w:rsidRPr="00CA2CC1">
              <w:rPr>
                <w:rFonts w:cs="Calibri"/>
                <w:color w:val="414042"/>
                <w:spacing w:val="4"/>
                <w:sz w:val="18"/>
              </w:rPr>
              <w:t xml:space="preserve"> </w:t>
            </w:r>
            <w:r w:rsidRPr="00CA2CC1">
              <w:rPr>
                <w:rFonts w:cs="Calibri"/>
                <w:color w:val="414042"/>
                <w:spacing w:val="-2"/>
                <w:sz w:val="18"/>
              </w:rPr>
              <w:t>Finance</w:t>
            </w:r>
          </w:p>
        </w:tc>
        <w:tc>
          <w:tcPr>
            <w:tcW w:w="1502" w:type="dxa"/>
            <w:tcBorders>
              <w:left w:val="nil"/>
              <w:bottom w:val="single" w:sz="2" w:space="0" w:color="73777A"/>
              <w:right w:val="single" w:sz="8" w:space="0" w:color="FFFFFF"/>
            </w:tcBorders>
            <w:shd w:val="clear" w:color="auto" w:fill="FFF0E7"/>
            <w:tcMar>
              <w:right w:w="57" w:type="dxa"/>
            </w:tcMar>
          </w:tcPr>
          <w:p w14:paraId="356160A4" w14:textId="77777777" w:rsidR="00446C71" w:rsidRPr="00CA2CC1" w:rsidRDefault="00446C71" w:rsidP="003B766D">
            <w:pPr>
              <w:pStyle w:val="TableParagraph"/>
              <w:rPr>
                <w:rFonts w:cs="Calibri"/>
                <w:sz w:val="18"/>
              </w:rPr>
            </w:pPr>
            <w:r w:rsidRPr="00CA2CC1">
              <w:rPr>
                <w:rFonts w:cs="Calibri"/>
                <w:color w:val="414042"/>
                <w:spacing w:val="-2"/>
                <w:sz w:val="18"/>
              </w:rPr>
              <w:t>9,922,138</w:t>
            </w:r>
          </w:p>
        </w:tc>
        <w:tc>
          <w:tcPr>
            <w:tcW w:w="1502" w:type="dxa"/>
            <w:tcBorders>
              <w:left w:val="single" w:sz="8" w:space="0" w:color="FFFFFF"/>
              <w:bottom w:val="single" w:sz="2" w:space="0" w:color="73777A"/>
              <w:right w:val="nil"/>
            </w:tcBorders>
            <w:shd w:val="clear" w:color="auto" w:fill="EDEFF0"/>
            <w:tcMar>
              <w:right w:w="57" w:type="dxa"/>
            </w:tcMar>
          </w:tcPr>
          <w:p w14:paraId="73C54266" w14:textId="77777777" w:rsidR="00446C71" w:rsidRPr="00CA2CC1" w:rsidRDefault="00446C71" w:rsidP="003B766D">
            <w:pPr>
              <w:pStyle w:val="TableParagraph"/>
              <w:rPr>
                <w:rFonts w:cs="Calibri"/>
                <w:sz w:val="18"/>
              </w:rPr>
            </w:pPr>
            <w:r w:rsidRPr="00CA2CC1">
              <w:rPr>
                <w:rFonts w:cs="Calibri"/>
                <w:color w:val="414042"/>
                <w:spacing w:val="-2"/>
                <w:sz w:val="18"/>
              </w:rPr>
              <w:t>9,849,369</w:t>
            </w:r>
          </w:p>
        </w:tc>
      </w:tr>
      <w:tr w:rsidR="00446C71" w:rsidRPr="00CA2CC1" w14:paraId="187663C9" w14:textId="77777777" w:rsidTr="003B766D">
        <w:trPr>
          <w:trHeight w:val="278"/>
        </w:trPr>
        <w:tc>
          <w:tcPr>
            <w:tcW w:w="6633" w:type="dxa"/>
            <w:tcBorders>
              <w:top w:val="single" w:sz="2" w:space="0" w:color="73777A"/>
              <w:left w:val="nil"/>
              <w:bottom w:val="single" w:sz="6" w:space="0" w:color="73777A"/>
              <w:right w:val="nil"/>
            </w:tcBorders>
          </w:tcPr>
          <w:p w14:paraId="6D4C8708" w14:textId="77777777" w:rsidR="00446C71" w:rsidRPr="00CA2CC1" w:rsidRDefault="00446C71" w:rsidP="003B766D">
            <w:pPr>
              <w:pStyle w:val="TableParagraph"/>
              <w:jc w:val="left"/>
              <w:rPr>
                <w:rFonts w:cs="Calibri"/>
                <w:sz w:val="18"/>
              </w:rPr>
            </w:pPr>
            <w:r w:rsidRPr="00CA2CC1">
              <w:rPr>
                <w:rFonts w:cs="Calibri"/>
                <w:color w:val="414042"/>
                <w:sz w:val="18"/>
              </w:rPr>
              <w:t>Total</w:t>
            </w:r>
            <w:r w:rsidRPr="00CA2CC1">
              <w:rPr>
                <w:rFonts w:cs="Calibri"/>
                <w:color w:val="414042"/>
                <w:spacing w:val="1"/>
                <w:sz w:val="18"/>
              </w:rPr>
              <w:t xml:space="preserve"> </w:t>
            </w:r>
            <w:r w:rsidRPr="00CA2CC1">
              <w:rPr>
                <w:rFonts w:cs="Calibri"/>
                <w:color w:val="414042"/>
                <w:sz w:val="18"/>
              </w:rPr>
              <w:t>grant</w:t>
            </w:r>
            <w:r w:rsidRPr="00CA2CC1">
              <w:rPr>
                <w:rFonts w:cs="Calibri"/>
                <w:color w:val="414042"/>
                <w:spacing w:val="2"/>
                <w:sz w:val="18"/>
              </w:rPr>
              <w:t xml:space="preserve"> </w:t>
            </w:r>
            <w:r w:rsidRPr="00CA2CC1">
              <w:rPr>
                <w:rFonts w:cs="Calibri"/>
                <w:color w:val="414042"/>
                <w:spacing w:val="-2"/>
                <w:sz w:val="18"/>
              </w:rPr>
              <w:t>income</w:t>
            </w:r>
          </w:p>
        </w:tc>
        <w:tc>
          <w:tcPr>
            <w:tcW w:w="1502" w:type="dxa"/>
            <w:tcBorders>
              <w:top w:val="single" w:sz="2" w:space="0" w:color="73777A"/>
              <w:left w:val="nil"/>
              <w:bottom w:val="single" w:sz="6" w:space="0" w:color="73777A"/>
              <w:right w:val="single" w:sz="8" w:space="0" w:color="FFFFFF"/>
            </w:tcBorders>
            <w:shd w:val="clear" w:color="auto" w:fill="FFF0E7"/>
            <w:tcMar>
              <w:right w:w="57" w:type="dxa"/>
            </w:tcMar>
          </w:tcPr>
          <w:p w14:paraId="2BE528D5" w14:textId="77777777" w:rsidR="00446C71" w:rsidRPr="00CA2CC1" w:rsidRDefault="00446C71" w:rsidP="003B766D">
            <w:pPr>
              <w:pStyle w:val="TableParagraph"/>
              <w:rPr>
                <w:rFonts w:cs="Calibri"/>
                <w:sz w:val="18"/>
              </w:rPr>
            </w:pPr>
            <w:r w:rsidRPr="00CA2CC1">
              <w:rPr>
                <w:rFonts w:cs="Calibri"/>
                <w:color w:val="414042"/>
                <w:spacing w:val="-2"/>
                <w:sz w:val="18"/>
              </w:rPr>
              <w:t>9,922,138</w:t>
            </w:r>
          </w:p>
        </w:tc>
        <w:tc>
          <w:tcPr>
            <w:tcW w:w="1502" w:type="dxa"/>
            <w:tcBorders>
              <w:top w:val="single" w:sz="2" w:space="0" w:color="73777A"/>
              <w:left w:val="single" w:sz="8" w:space="0" w:color="FFFFFF"/>
              <w:bottom w:val="single" w:sz="6" w:space="0" w:color="73777A"/>
              <w:right w:val="nil"/>
            </w:tcBorders>
            <w:shd w:val="clear" w:color="auto" w:fill="EDEFF0"/>
            <w:tcMar>
              <w:right w:w="57" w:type="dxa"/>
            </w:tcMar>
          </w:tcPr>
          <w:p w14:paraId="115C2EA6" w14:textId="77777777" w:rsidR="00446C71" w:rsidRPr="00CA2CC1" w:rsidRDefault="00446C71" w:rsidP="003B766D">
            <w:pPr>
              <w:pStyle w:val="TableParagraph"/>
              <w:rPr>
                <w:rFonts w:cs="Calibri"/>
                <w:sz w:val="18"/>
              </w:rPr>
            </w:pPr>
            <w:r w:rsidRPr="00CA2CC1">
              <w:rPr>
                <w:rFonts w:cs="Calibri"/>
                <w:color w:val="414042"/>
                <w:spacing w:val="-2"/>
                <w:sz w:val="18"/>
              </w:rPr>
              <w:t>9,849,369</w:t>
            </w:r>
          </w:p>
        </w:tc>
      </w:tr>
    </w:tbl>
    <w:p w14:paraId="10DEC275" w14:textId="77777777" w:rsidR="00446C71" w:rsidRPr="00CA2CC1" w:rsidRDefault="00446C71" w:rsidP="00446C71">
      <w:pPr>
        <w:pStyle w:val="BodyText"/>
        <w:rPr>
          <w:rFonts w:cs="Calibri"/>
        </w:rPr>
      </w:pPr>
    </w:p>
    <w:p w14:paraId="4CD6AAF7" w14:textId="77777777" w:rsidR="00446C71" w:rsidRPr="00CA2CC1" w:rsidRDefault="00446C71" w:rsidP="00446C71">
      <w:pPr>
        <w:pStyle w:val="BodyText"/>
        <w:rPr>
          <w:rFonts w:cs="Calibri"/>
        </w:rPr>
      </w:pPr>
      <w:r w:rsidRPr="00CA2CC1">
        <w:rPr>
          <w:rFonts w:cs="Calibri"/>
          <w:color w:val="414042"/>
        </w:rPr>
        <w:t>Income from grants (other than contribution by owners)</w:t>
      </w:r>
      <w:r w:rsidRPr="00CA2CC1">
        <w:rPr>
          <w:rFonts w:cs="Calibri"/>
          <w:color w:val="414042"/>
          <w:spacing w:val="40"/>
        </w:rPr>
        <w:t xml:space="preserve"> </w:t>
      </w:r>
      <w:r w:rsidRPr="00CA2CC1">
        <w:rPr>
          <w:rFonts w:cs="Calibri"/>
          <w:color w:val="414042"/>
        </w:rPr>
        <w:t>is</w:t>
      </w:r>
      <w:r w:rsidRPr="00CA2CC1">
        <w:rPr>
          <w:rFonts w:cs="Calibri"/>
          <w:color w:val="414042"/>
          <w:spacing w:val="-1"/>
        </w:rPr>
        <w:t xml:space="preserve"> </w:t>
      </w:r>
      <w:r w:rsidRPr="00CA2CC1">
        <w:rPr>
          <w:rFonts w:cs="Calibri"/>
          <w:color w:val="414042"/>
        </w:rPr>
        <w:t>recognised</w:t>
      </w:r>
      <w:r w:rsidRPr="00CA2CC1">
        <w:rPr>
          <w:rFonts w:cs="Calibri"/>
          <w:color w:val="414042"/>
          <w:spacing w:val="-1"/>
        </w:rPr>
        <w:t xml:space="preserve"> </w:t>
      </w:r>
      <w:r w:rsidRPr="00CA2CC1">
        <w:rPr>
          <w:rFonts w:cs="Calibri"/>
          <w:color w:val="414042"/>
        </w:rPr>
        <w:t>when</w:t>
      </w:r>
      <w:r w:rsidRPr="00CA2CC1">
        <w:rPr>
          <w:rFonts w:cs="Calibri"/>
          <w:color w:val="414042"/>
          <w:spacing w:val="-1"/>
        </w:rPr>
        <w:t xml:space="preserve"> </w:t>
      </w:r>
      <w:r w:rsidRPr="00CA2CC1">
        <w:rPr>
          <w:rFonts w:cs="Calibri"/>
          <w:color w:val="414042"/>
        </w:rPr>
        <w:t>Infrastructure</w:t>
      </w:r>
      <w:r w:rsidRPr="00CA2CC1">
        <w:rPr>
          <w:rFonts w:cs="Calibri"/>
          <w:color w:val="414042"/>
          <w:spacing w:val="-1"/>
        </w:rPr>
        <w:t xml:space="preserve"> </w:t>
      </w:r>
      <w:r w:rsidRPr="00CA2CC1">
        <w:rPr>
          <w:rFonts w:cs="Calibri"/>
          <w:color w:val="414042"/>
        </w:rPr>
        <w:t>Victoria</w:t>
      </w:r>
      <w:r w:rsidRPr="00CA2CC1">
        <w:rPr>
          <w:rFonts w:cs="Calibri"/>
          <w:color w:val="414042"/>
          <w:spacing w:val="-1"/>
        </w:rPr>
        <w:t xml:space="preserve"> </w:t>
      </w:r>
      <w:r w:rsidRPr="00CA2CC1">
        <w:rPr>
          <w:rFonts w:cs="Calibri"/>
          <w:color w:val="414042"/>
        </w:rPr>
        <w:t>obtains</w:t>
      </w:r>
      <w:r w:rsidRPr="00CA2CC1">
        <w:rPr>
          <w:rFonts w:cs="Calibri"/>
          <w:color w:val="414042"/>
          <w:spacing w:val="-1"/>
        </w:rPr>
        <w:t xml:space="preserve"> </w:t>
      </w:r>
      <w:r w:rsidRPr="00CA2CC1">
        <w:rPr>
          <w:rFonts w:cs="Calibri"/>
          <w:color w:val="414042"/>
        </w:rPr>
        <w:t>control over</w:t>
      </w:r>
      <w:r w:rsidRPr="00CA2CC1">
        <w:rPr>
          <w:rFonts w:cs="Calibri"/>
          <w:color w:val="414042"/>
          <w:spacing w:val="-5"/>
        </w:rPr>
        <w:t xml:space="preserve"> </w:t>
      </w:r>
      <w:r w:rsidRPr="00CA2CC1">
        <w:rPr>
          <w:rFonts w:cs="Calibri"/>
          <w:color w:val="414042"/>
        </w:rPr>
        <w:t>the</w:t>
      </w:r>
      <w:r w:rsidRPr="00CA2CC1">
        <w:rPr>
          <w:rFonts w:cs="Calibri"/>
          <w:color w:val="414042"/>
          <w:spacing w:val="-5"/>
        </w:rPr>
        <w:t xml:space="preserve"> </w:t>
      </w:r>
      <w:r w:rsidRPr="00CA2CC1">
        <w:rPr>
          <w:rFonts w:cs="Calibri"/>
          <w:color w:val="414042"/>
        </w:rPr>
        <w:t>grant.</w:t>
      </w:r>
      <w:r w:rsidRPr="00CA2CC1">
        <w:rPr>
          <w:rFonts w:cs="Calibri"/>
          <w:color w:val="414042"/>
          <w:spacing w:val="-5"/>
        </w:rPr>
        <w:t xml:space="preserve"> </w:t>
      </w:r>
      <w:r w:rsidRPr="00CA2CC1">
        <w:rPr>
          <w:rFonts w:cs="Calibri"/>
          <w:color w:val="414042"/>
        </w:rPr>
        <w:t>Infrastructure</w:t>
      </w:r>
      <w:r w:rsidRPr="00CA2CC1">
        <w:rPr>
          <w:rFonts w:cs="Calibri"/>
          <w:color w:val="414042"/>
          <w:spacing w:val="-5"/>
        </w:rPr>
        <w:t xml:space="preserve"> </w:t>
      </w:r>
      <w:r w:rsidRPr="00CA2CC1">
        <w:rPr>
          <w:rFonts w:cs="Calibri"/>
          <w:color w:val="414042"/>
        </w:rPr>
        <w:t>Victoria</w:t>
      </w:r>
      <w:r w:rsidRPr="00CA2CC1">
        <w:rPr>
          <w:rFonts w:cs="Calibri"/>
          <w:color w:val="414042"/>
          <w:spacing w:val="-5"/>
        </w:rPr>
        <w:t xml:space="preserve"> </w:t>
      </w:r>
      <w:r w:rsidRPr="00CA2CC1">
        <w:rPr>
          <w:rFonts w:cs="Calibri"/>
          <w:color w:val="414042"/>
        </w:rPr>
        <w:t>has</w:t>
      </w:r>
      <w:r w:rsidRPr="00CA2CC1">
        <w:rPr>
          <w:rFonts w:cs="Calibri"/>
          <w:color w:val="414042"/>
          <w:spacing w:val="-5"/>
        </w:rPr>
        <w:t xml:space="preserve"> </w:t>
      </w:r>
      <w:r w:rsidRPr="00CA2CC1">
        <w:rPr>
          <w:rFonts w:cs="Calibri"/>
          <w:color w:val="414042"/>
        </w:rPr>
        <w:t>determined</w:t>
      </w:r>
      <w:r w:rsidRPr="00CA2CC1">
        <w:rPr>
          <w:rFonts w:cs="Calibri"/>
          <w:color w:val="414042"/>
          <w:spacing w:val="-5"/>
        </w:rPr>
        <w:t xml:space="preserve"> </w:t>
      </w:r>
      <w:r w:rsidRPr="00CA2CC1">
        <w:rPr>
          <w:rFonts w:cs="Calibri"/>
          <w:color w:val="414042"/>
        </w:rPr>
        <w:t>that this grant income is recognised as income of not-for- profit entities in accordance with AASB 1058, except for</w:t>
      </w:r>
      <w:r w:rsidRPr="00CA2CC1">
        <w:rPr>
          <w:rFonts w:cs="Calibri"/>
        </w:rPr>
        <w:t xml:space="preserve"> </w:t>
      </w:r>
      <w:r w:rsidRPr="00CA2CC1">
        <w:rPr>
          <w:rFonts w:cs="Calibri"/>
          <w:color w:val="414042"/>
        </w:rPr>
        <w:t>grants</w:t>
      </w:r>
      <w:r w:rsidRPr="00CA2CC1">
        <w:rPr>
          <w:rFonts w:cs="Calibri"/>
          <w:color w:val="414042"/>
          <w:spacing w:val="-5"/>
        </w:rPr>
        <w:t xml:space="preserve"> </w:t>
      </w:r>
      <w:r w:rsidRPr="00CA2CC1">
        <w:rPr>
          <w:rFonts w:cs="Calibri"/>
          <w:color w:val="414042"/>
        </w:rPr>
        <w:t>that</w:t>
      </w:r>
      <w:r w:rsidRPr="00CA2CC1">
        <w:rPr>
          <w:rFonts w:cs="Calibri"/>
          <w:color w:val="414042"/>
          <w:spacing w:val="-5"/>
        </w:rPr>
        <w:t xml:space="preserve"> </w:t>
      </w:r>
      <w:r w:rsidRPr="00CA2CC1">
        <w:rPr>
          <w:rFonts w:cs="Calibri"/>
          <w:color w:val="414042"/>
        </w:rPr>
        <w:t>are</w:t>
      </w:r>
      <w:r w:rsidRPr="00CA2CC1">
        <w:rPr>
          <w:rFonts w:cs="Calibri"/>
          <w:color w:val="414042"/>
          <w:spacing w:val="-5"/>
        </w:rPr>
        <w:t xml:space="preserve"> </w:t>
      </w:r>
      <w:r w:rsidRPr="00CA2CC1">
        <w:rPr>
          <w:rFonts w:cs="Calibri"/>
          <w:color w:val="414042"/>
        </w:rPr>
        <w:t>reciprocal</w:t>
      </w:r>
      <w:r w:rsidRPr="00CA2CC1">
        <w:rPr>
          <w:rFonts w:cs="Calibri"/>
          <w:color w:val="414042"/>
          <w:spacing w:val="-5"/>
        </w:rPr>
        <w:t xml:space="preserve"> </w:t>
      </w:r>
      <w:r w:rsidRPr="00CA2CC1">
        <w:rPr>
          <w:rFonts w:cs="Calibri"/>
          <w:color w:val="414042"/>
        </w:rPr>
        <w:t>in</w:t>
      </w:r>
      <w:r w:rsidRPr="00CA2CC1">
        <w:rPr>
          <w:rFonts w:cs="Calibri"/>
          <w:color w:val="414042"/>
          <w:spacing w:val="-5"/>
        </w:rPr>
        <w:t xml:space="preserve"> </w:t>
      </w:r>
      <w:r w:rsidRPr="00CA2CC1">
        <w:rPr>
          <w:rFonts w:cs="Calibri"/>
          <w:color w:val="414042"/>
        </w:rPr>
        <w:t>nature</w:t>
      </w:r>
      <w:r w:rsidRPr="00CA2CC1">
        <w:rPr>
          <w:rFonts w:cs="Calibri"/>
          <w:color w:val="414042"/>
          <w:spacing w:val="-5"/>
        </w:rPr>
        <w:t xml:space="preserve"> </w:t>
      </w:r>
      <w:r w:rsidRPr="00CA2CC1">
        <w:rPr>
          <w:rFonts w:cs="Calibri"/>
          <w:color w:val="414042"/>
        </w:rPr>
        <w:t>(i.e.</w:t>
      </w:r>
      <w:r w:rsidRPr="00CA2CC1">
        <w:rPr>
          <w:rFonts w:cs="Calibri"/>
          <w:color w:val="414042"/>
          <w:spacing w:val="-5"/>
        </w:rPr>
        <w:t xml:space="preserve"> </w:t>
      </w:r>
      <w:r w:rsidRPr="00CA2CC1">
        <w:rPr>
          <w:rFonts w:cs="Calibri"/>
          <w:color w:val="414042"/>
        </w:rPr>
        <w:t>equal</w:t>
      </w:r>
      <w:r w:rsidRPr="00CA2CC1">
        <w:rPr>
          <w:rFonts w:cs="Calibri"/>
          <w:color w:val="414042"/>
          <w:spacing w:val="-5"/>
        </w:rPr>
        <w:t xml:space="preserve"> </w:t>
      </w:r>
      <w:r w:rsidRPr="00CA2CC1">
        <w:rPr>
          <w:rFonts w:cs="Calibri"/>
          <w:color w:val="414042"/>
        </w:rPr>
        <w:t>value</w:t>
      </w:r>
      <w:r w:rsidRPr="00CA2CC1">
        <w:rPr>
          <w:rFonts w:cs="Calibri"/>
          <w:color w:val="414042"/>
          <w:spacing w:val="-5"/>
        </w:rPr>
        <w:t xml:space="preserve"> </w:t>
      </w:r>
      <w:r w:rsidRPr="00CA2CC1">
        <w:rPr>
          <w:rFonts w:cs="Calibri"/>
          <w:color w:val="414042"/>
        </w:rPr>
        <w:t>is</w:t>
      </w:r>
      <w:r w:rsidRPr="00CA2CC1">
        <w:rPr>
          <w:rFonts w:cs="Calibri"/>
          <w:color w:val="414042"/>
          <w:spacing w:val="-5"/>
        </w:rPr>
        <w:t xml:space="preserve"> </w:t>
      </w:r>
      <w:r w:rsidRPr="00CA2CC1">
        <w:rPr>
          <w:rFonts w:cs="Calibri"/>
          <w:color w:val="414042"/>
        </w:rPr>
        <w:t>given back by the recipient of the grant to the provider) and are enforceable and have sufficiently specific performance obligations, they are accounted for as revenue from contracts with customers in accordance with AASB 15.</w:t>
      </w:r>
    </w:p>
    <w:p w14:paraId="6269A2DD" w14:textId="77777777" w:rsidR="00446C71" w:rsidRPr="00CA2CC1" w:rsidRDefault="00446C71" w:rsidP="00446C71">
      <w:pPr>
        <w:pStyle w:val="BodyText"/>
        <w:spacing w:before="109"/>
        <w:rPr>
          <w:rFonts w:cs="Calibri"/>
        </w:rPr>
      </w:pPr>
      <w:r w:rsidRPr="00CA2CC1">
        <w:rPr>
          <w:rFonts w:cs="Calibri"/>
          <w:color w:val="414042"/>
        </w:rPr>
        <w:t>Infrastructure</w:t>
      </w:r>
      <w:r w:rsidRPr="00CA2CC1">
        <w:rPr>
          <w:rFonts w:cs="Calibri"/>
          <w:color w:val="414042"/>
          <w:spacing w:val="-5"/>
        </w:rPr>
        <w:t xml:space="preserve"> </w:t>
      </w:r>
      <w:r w:rsidRPr="00CA2CC1">
        <w:rPr>
          <w:rFonts w:cs="Calibri"/>
          <w:color w:val="414042"/>
        </w:rPr>
        <w:t>Victoria</w:t>
      </w:r>
      <w:r w:rsidRPr="00CA2CC1">
        <w:rPr>
          <w:rFonts w:cs="Calibri"/>
          <w:color w:val="414042"/>
          <w:spacing w:val="-5"/>
        </w:rPr>
        <w:t xml:space="preserve"> </w:t>
      </w:r>
      <w:r w:rsidRPr="00CA2CC1">
        <w:rPr>
          <w:rFonts w:cs="Calibri"/>
          <w:color w:val="414042"/>
        </w:rPr>
        <w:t>do</w:t>
      </w:r>
      <w:r w:rsidRPr="00CA2CC1">
        <w:rPr>
          <w:rFonts w:cs="Calibri"/>
          <w:color w:val="414042"/>
          <w:spacing w:val="-5"/>
        </w:rPr>
        <w:t xml:space="preserve"> </w:t>
      </w:r>
      <w:r w:rsidRPr="00CA2CC1">
        <w:rPr>
          <w:rFonts w:cs="Calibri"/>
          <w:color w:val="414042"/>
        </w:rPr>
        <w:t>not</w:t>
      </w:r>
      <w:r w:rsidRPr="00CA2CC1">
        <w:rPr>
          <w:rFonts w:cs="Calibri"/>
          <w:color w:val="414042"/>
          <w:spacing w:val="-5"/>
        </w:rPr>
        <w:t xml:space="preserve"> </w:t>
      </w:r>
      <w:r w:rsidRPr="00CA2CC1">
        <w:rPr>
          <w:rFonts w:cs="Calibri"/>
          <w:color w:val="414042"/>
        </w:rPr>
        <w:t>have</w:t>
      </w:r>
      <w:r w:rsidRPr="00CA2CC1">
        <w:rPr>
          <w:rFonts w:cs="Calibri"/>
          <w:color w:val="414042"/>
          <w:spacing w:val="-5"/>
        </w:rPr>
        <w:t xml:space="preserve"> </w:t>
      </w:r>
      <w:r w:rsidRPr="00CA2CC1">
        <w:rPr>
          <w:rFonts w:cs="Calibri"/>
          <w:color w:val="414042"/>
        </w:rPr>
        <w:t>any</w:t>
      </w:r>
      <w:r w:rsidRPr="00CA2CC1">
        <w:rPr>
          <w:rFonts w:cs="Calibri"/>
          <w:color w:val="414042"/>
          <w:spacing w:val="-5"/>
        </w:rPr>
        <w:t xml:space="preserve"> </w:t>
      </w:r>
      <w:r w:rsidRPr="00CA2CC1">
        <w:rPr>
          <w:rFonts w:cs="Calibri"/>
          <w:color w:val="414042"/>
        </w:rPr>
        <w:t>grants</w:t>
      </w:r>
      <w:r w:rsidRPr="00CA2CC1">
        <w:rPr>
          <w:rFonts w:cs="Calibri"/>
          <w:color w:val="414042"/>
          <w:spacing w:val="-5"/>
        </w:rPr>
        <w:t xml:space="preserve"> </w:t>
      </w:r>
      <w:r w:rsidRPr="00CA2CC1">
        <w:rPr>
          <w:rFonts w:cs="Calibri"/>
          <w:color w:val="414042"/>
        </w:rPr>
        <w:t>other</w:t>
      </w:r>
      <w:r w:rsidRPr="00CA2CC1">
        <w:rPr>
          <w:rFonts w:cs="Calibri"/>
          <w:color w:val="414042"/>
          <w:spacing w:val="-5"/>
        </w:rPr>
        <w:t xml:space="preserve"> </w:t>
      </w:r>
      <w:r w:rsidRPr="00CA2CC1">
        <w:rPr>
          <w:rFonts w:cs="Calibri"/>
          <w:color w:val="414042"/>
        </w:rPr>
        <w:t>than grants received from the Department of Treasury and Finance (DTF). These grants from DTF are recognised under AASB 1058.</w:t>
      </w:r>
    </w:p>
    <w:p w14:paraId="7E4BC512" w14:textId="77777777" w:rsidR="00446C71" w:rsidRPr="001C21B0" w:rsidRDefault="00446C71" w:rsidP="0043303B">
      <w:pPr>
        <w:rPr>
          <w:rFonts w:cs="Calibri"/>
          <w:color w:val="000000" w:themeColor="text1"/>
          <w:sz w:val="14"/>
        </w:rPr>
        <w:sectPr w:rsidR="00446C71" w:rsidRPr="001C21B0" w:rsidSect="00E941A5">
          <w:pgSz w:w="11910" w:h="16840"/>
          <w:pgMar w:top="1134" w:right="1278" w:bottom="1134" w:left="1134" w:header="720" w:footer="720" w:gutter="0"/>
          <w:cols w:space="720"/>
        </w:sectPr>
      </w:pPr>
    </w:p>
    <w:p w14:paraId="6631823B" w14:textId="77777777" w:rsidR="00FA4226" w:rsidRPr="00396443" w:rsidRDefault="00000000" w:rsidP="0043303B">
      <w:pPr>
        <w:pStyle w:val="Heading3"/>
        <w:numPr>
          <w:ilvl w:val="0"/>
          <w:numId w:val="15"/>
        </w:numPr>
        <w:spacing w:before="36"/>
        <w:ind w:left="0" w:firstLine="0"/>
        <w:rPr>
          <w:rFonts w:cs="Calibri"/>
          <w:color w:val="000000" w:themeColor="text1"/>
        </w:rPr>
      </w:pPr>
      <w:bookmarkStart w:id="126" w:name="_bookmark73"/>
      <w:bookmarkEnd w:id="126"/>
      <w:r w:rsidRPr="00396443">
        <w:rPr>
          <w:rFonts w:cs="Calibri"/>
          <w:color w:val="000000" w:themeColor="text1"/>
        </w:rPr>
        <w:t xml:space="preserve">Cost of delivering our </w:t>
      </w:r>
      <w:r w:rsidRPr="00396443">
        <w:rPr>
          <w:rFonts w:cs="Calibri"/>
          <w:color w:val="000000" w:themeColor="text1"/>
          <w:spacing w:val="-2"/>
        </w:rPr>
        <w:t>services</w:t>
      </w:r>
    </w:p>
    <w:p w14:paraId="5BD5BE14" w14:textId="77777777" w:rsidR="00FA4226" w:rsidRPr="00396443" w:rsidRDefault="00FA4226" w:rsidP="0043303B">
      <w:pPr>
        <w:rPr>
          <w:rFonts w:cs="Calibri"/>
          <w:color w:val="000000" w:themeColor="text1"/>
          <w:sz w:val="6"/>
        </w:rPr>
        <w:sectPr w:rsidR="00FA4226" w:rsidRPr="00396443" w:rsidSect="00E941A5">
          <w:pgSz w:w="11910" w:h="16840"/>
          <w:pgMar w:top="1134" w:right="1278" w:bottom="1134" w:left="1134" w:header="720" w:footer="720" w:gutter="0"/>
          <w:cols w:space="720"/>
        </w:sectPr>
      </w:pPr>
    </w:p>
    <w:p w14:paraId="2005A825" w14:textId="77777777" w:rsidR="00B551B2" w:rsidRPr="00396443" w:rsidRDefault="00B551B2" w:rsidP="0043303B">
      <w:pPr>
        <w:pStyle w:val="BodyText"/>
        <w:rPr>
          <w:rFonts w:cs="Calibri"/>
        </w:rPr>
      </w:pPr>
      <w:r w:rsidRPr="00396443">
        <w:rPr>
          <w:rFonts w:cs="Calibri"/>
        </w:rPr>
        <w:t>Introduction</w:t>
      </w:r>
    </w:p>
    <w:p w14:paraId="31E9E94C" w14:textId="77777777" w:rsidR="00FA4226" w:rsidRPr="00396443" w:rsidRDefault="00000000" w:rsidP="0043303B">
      <w:pPr>
        <w:pStyle w:val="BodyText"/>
        <w:spacing w:before="71"/>
        <w:rPr>
          <w:rFonts w:cs="Calibri"/>
        </w:rPr>
      </w:pPr>
      <w:r w:rsidRPr="00396443">
        <w:rPr>
          <w:rFonts w:cs="Calibri"/>
        </w:rPr>
        <w:t>This section provides an account of the expenses incurred</w:t>
      </w:r>
      <w:r w:rsidRPr="00396443">
        <w:rPr>
          <w:rFonts w:cs="Calibri"/>
          <w:spacing w:val="-7"/>
        </w:rPr>
        <w:t xml:space="preserve"> </w:t>
      </w:r>
      <w:r w:rsidRPr="00396443">
        <w:rPr>
          <w:rFonts w:cs="Calibri"/>
        </w:rPr>
        <w:t>by</w:t>
      </w:r>
      <w:r w:rsidRPr="00396443">
        <w:rPr>
          <w:rFonts w:cs="Calibri"/>
          <w:spacing w:val="-7"/>
        </w:rPr>
        <w:t xml:space="preserve"> </w:t>
      </w:r>
      <w:r w:rsidRPr="00396443">
        <w:rPr>
          <w:rFonts w:cs="Calibri"/>
        </w:rPr>
        <w:t>Infrastructure</w:t>
      </w:r>
      <w:r w:rsidRPr="00396443">
        <w:rPr>
          <w:rFonts w:cs="Calibri"/>
          <w:spacing w:val="-7"/>
        </w:rPr>
        <w:t xml:space="preserve"> </w:t>
      </w:r>
      <w:r w:rsidRPr="00396443">
        <w:rPr>
          <w:rFonts w:cs="Calibri"/>
        </w:rPr>
        <w:t>Victoria</w:t>
      </w:r>
      <w:r w:rsidRPr="00396443">
        <w:rPr>
          <w:rFonts w:cs="Calibri"/>
          <w:spacing w:val="-7"/>
        </w:rPr>
        <w:t xml:space="preserve"> </w:t>
      </w:r>
      <w:r w:rsidRPr="00396443">
        <w:rPr>
          <w:rFonts w:cs="Calibri"/>
        </w:rPr>
        <w:t>in</w:t>
      </w:r>
      <w:r w:rsidRPr="00396443">
        <w:rPr>
          <w:rFonts w:cs="Calibri"/>
          <w:spacing w:val="-7"/>
        </w:rPr>
        <w:t xml:space="preserve"> </w:t>
      </w:r>
      <w:r w:rsidRPr="00396443">
        <w:rPr>
          <w:rFonts w:cs="Calibri"/>
        </w:rPr>
        <w:t>delivering</w:t>
      </w:r>
      <w:r w:rsidRPr="00396443">
        <w:rPr>
          <w:rFonts w:cs="Calibri"/>
          <w:spacing w:val="-7"/>
        </w:rPr>
        <w:t xml:space="preserve"> </w:t>
      </w:r>
      <w:r w:rsidRPr="00396443">
        <w:rPr>
          <w:rFonts w:cs="Calibri"/>
        </w:rPr>
        <w:t>its</w:t>
      </w:r>
      <w:r w:rsidRPr="00396443">
        <w:rPr>
          <w:rFonts w:cs="Calibri"/>
          <w:spacing w:val="-7"/>
        </w:rPr>
        <w:t xml:space="preserve"> </w:t>
      </w:r>
      <w:r w:rsidRPr="00396443">
        <w:rPr>
          <w:rFonts w:cs="Calibri"/>
        </w:rPr>
        <w:t>services.</w:t>
      </w:r>
    </w:p>
    <w:p w14:paraId="75A7CEE4" w14:textId="77777777" w:rsidR="00FA4226" w:rsidRPr="00396443" w:rsidRDefault="00000000" w:rsidP="0043303B">
      <w:pPr>
        <w:pStyle w:val="BodyText"/>
        <w:spacing w:before="117"/>
        <w:rPr>
          <w:rFonts w:cs="Calibri"/>
        </w:rPr>
      </w:pPr>
      <w:r w:rsidRPr="00396443">
        <w:rPr>
          <w:rFonts w:cs="Calibri"/>
        </w:rPr>
        <w:t>The</w:t>
      </w:r>
      <w:r w:rsidRPr="00396443">
        <w:rPr>
          <w:rFonts w:cs="Calibri"/>
          <w:spacing w:val="-5"/>
        </w:rPr>
        <w:t xml:space="preserve"> </w:t>
      </w:r>
      <w:r w:rsidRPr="00396443">
        <w:rPr>
          <w:rFonts w:cs="Calibri"/>
        </w:rPr>
        <w:t>funds</w:t>
      </w:r>
      <w:r w:rsidRPr="00396443">
        <w:rPr>
          <w:rFonts w:cs="Calibri"/>
          <w:spacing w:val="-5"/>
        </w:rPr>
        <w:t xml:space="preserve"> </w:t>
      </w:r>
      <w:r w:rsidRPr="00396443">
        <w:rPr>
          <w:rFonts w:cs="Calibri"/>
        </w:rPr>
        <w:t>that</w:t>
      </w:r>
      <w:r w:rsidRPr="00396443">
        <w:rPr>
          <w:rFonts w:cs="Calibri"/>
          <w:spacing w:val="-5"/>
        </w:rPr>
        <w:t xml:space="preserve"> </w:t>
      </w:r>
      <w:r w:rsidRPr="00396443">
        <w:rPr>
          <w:rFonts w:cs="Calibri"/>
        </w:rPr>
        <w:t>enable</w:t>
      </w:r>
      <w:r w:rsidRPr="00396443">
        <w:rPr>
          <w:rFonts w:cs="Calibri"/>
          <w:spacing w:val="-5"/>
        </w:rPr>
        <w:t xml:space="preserve"> </w:t>
      </w:r>
      <w:r w:rsidRPr="00396443">
        <w:rPr>
          <w:rFonts w:cs="Calibri"/>
        </w:rPr>
        <w:t>the</w:t>
      </w:r>
      <w:r w:rsidRPr="00396443">
        <w:rPr>
          <w:rFonts w:cs="Calibri"/>
          <w:spacing w:val="-5"/>
        </w:rPr>
        <w:t xml:space="preserve"> </w:t>
      </w:r>
      <w:r w:rsidRPr="00396443">
        <w:rPr>
          <w:rFonts w:cs="Calibri"/>
        </w:rPr>
        <w:t>provision</w:t>
      </w:r>
      <w:r w:rsidRPr="00396443">
        <w:rPr>
          <w:rFonts w:cs="Calibri"/>
          <w:spacing w:val="-5"/>
        </w:rPr>
        <w:t xml:space="preserve"> </w:t>
      </w:r>
      <w:r w:rsidRPr="00396443">
        <w:rPr>
          <w:rFonts w:cs="Calibri"/>
        </w:rPr>
        <w:t>of</w:t>
      </w:r>
      <w:r w:rsidRPr="00396443">
        <w:rPr>
          <w:rFonts w:cs="Calibri"/>
          <w:spacing w:val="-5"/>
        </w:rPr>
        <w:t xml:space="preserve"> </w:t>
      </w:r>
      <w:r w:rsidRPr="00396443">
        <w:rPr>
          <w:rFonts w:cs="Calibri"/>
        </w:rPr>
        <w:t>the</w:t>
      </w:r>
      <w:r w:rsidRPr="00396443">
        <w:rPr>
          <w:rFonts w:cs="Calibri"/>
          <w:spacing w:val="-5"/>
        </w:rPr>
        <w:t xml:space="preserve"> </w:t>
      </w:r>
      <w:r w:rsidRPr="00396443">
        <w:rPr>
          <w:rFonts w:cs="Calibri"/>
        </w:rPr>
        <w:t>services</w:t>
      </w:r>
      <w:r w:rsidRPr="00396443">
        <w:rPr>
          <w:rFonts w:cs="Calibri"/>
          <w:spacing w:val="-5"/>
        </w:rPr>
        <w:t xml:space="preserve"> </w:t>
      </w:r>
      <w:r w:rsidRPr="00396443">
        <w:rPr>
          <w:rFonts w:cs="Calibri"/>
        </w:rPr>
        <w:t>were disclosed in note 2.</w:t>
      </w:r>
    </w:p>
    <w:p w14:paraId="0710AEAF" w14:textId="3444AB73" w:rsidR="00B551B2" w:rsidRPr="00396443" w:rsidRDefault="00B551B2" w:rsidP="0043303B">
      <w:pPr>
        <w:pStyle w:val="BodyText"/>
        <w:rPr>
          <w:rFonts w:cs="Calibri"/>
        </w:rPr>
      </w:pPr>
      <w:r w:rsidRPr="00396443">
        <w:rPr>
          <w:rFonts w:cs="Calibri"/>
        </w:rPr>
        <w:t>Structure</w:t>
      </w:r>
    </w:p>
    <w:p w14:paraId="735AC4ED" w14:textId="77777777" w:rsidR="00B551B2" w:rsidRPr="00396443" w:rsidRDefault="00B551B2" w:rsidP="0043303B">
      <w:pPr>
        <w:pStyle w:val="ListParagraph"/>
        <w:numPr>
          <w:ilvl w:val="1"/>
          <w:numId w:val="15"/>
        </w:numPr>
        <w:tabs>
          <w:tab w:val="left" w:pos="681"/>
        </w:tabs>
        <w:spacing w:before="64"/>
        <w:ind w:left="0" w:firstLine="0"/>
        <w:rPr>
          <w:rFonts w:cs="Calibri"/>
          <w:szCs w:val="22"/>
        </w:rPr>
      </w:pPr>
      <w:r w:rsidRPr="00396443">
        <w:rPr>
          <w:rFonts w:cs="Calibri"/>
          <w:szCs w:val="22"/>
        </w:rPr>
        <w:t>Expenses</w:t>
      </w:r>
      <w:r w:rsidRPr="00396443">
        <w:rPr>
          <w:rFonts w:cs="Calibri"/>
          <w:spacing w:val="-3"/>
          <w:szCs w:val="22"/>
        </w:rPr>
        <w:t xml:space="preserve"> </w:t>
      </w:r>
      <w:r w:rsidRPr="00396443">
        <w:rPr>
          <w:rFonts w:cs="Calibri"/>
          <w:szCs w:val="22"/>
        </w:rPr>
        <w:t>incurred</w:t>
      </w:r>
      <w:r w:rsidRPr="00396443">
        <w:rPr>
          <w:rFonts w:cs="Calibri"/>
          <w:spacing w:val="-1"/>
          <w:szCs w:val="22"/>
        </w:rPr>
        <w:t xml:space="preserve"> </w:t>
      </w:r>
      <w:r w:rsidRPr="00396443">
        <w:rPr>
          <w:rFonts w:cs="Calibri"/>
          <w:szCs w:val="22"/>
        </w:rPr>
        <w:t>in the</w:t>
      </w:r>
      <w:r w:rsidRPr="00396443">
        <w:rPr>
          <w:rFonts w:cs="Calibri"/>
          <w:spacing w:val="-1"/>
          <w:szCs w:val="22"/>
        </w:rPr>
        <w:t xml:space="preserve"> </w:t>
      </w:r>
      <w:r w:rsidRPr="00396443">
        <w:rPr>
          <w:rFonts w:cs="Calibri"/>
          <w:szCs w:val="22"/>
        </w:rPr>
        <w:t>delivery</w:t>
      </w:r>
      <w:r w:rsidRPr="00396443">
        <w:rPr>
          <w:rFonts w:cs="Calibri"/>
          <w:spacing w:val="-1"/>
          <w:szCs w:val="22"/>
        </w:rPr>
        <w:t xml:space="preserve"> </w:t>
      </w:r>
      <w:r w:rsidRPr="00396443">
        <w:rPr>
          <w:rFonts w:cs="Calibri"/>
          <w:szCs w:val="22"/>
        </w:rPr>
        <w:t xml:space="preserve">of </w:t>
      </w:r>
      <w:r w:rsidRPr="00396443">
        <w:rPr>
          <w:rFonts w:cs="Calibri"/>
          <w:spacing w:val="-2"/>
          <w:szCs w:val="22"/>
        </w:rPr>
        <w:t>services</w:t>
      </w:r>
    </w:p>
    <w:p w14:paraId="7C41A484" w14:textId="77777777" w:rsidR="00B551B2" w:rsidRPr="00396443" w:rsidRDefault="00B551B2" w:rsidP="0043303B">
      <w:pPr>
        <w:pStyle w:val="ListParagraph"/>
        <w:numPr>
          <w:ilvl w:val="1"/>
          <w:numId w:val="15"/>
        </w:numPr>
        <w:tabs>
          <w:tab w:val="left" w:pos="681"/>
        </w:tabs>
        <w:spacing w:before="112"/>
        <w:ind w:left="0" w:firstLine="0"/>
        <w:rPr>
          <w:rFonts w:cs="Calibri"/>
          <w:szCs w:val="22"/>
        </w:rPr>
      </w:pPr>
      <w:r w:rsidRPr="00396443">
        <w:rPr>
          <w:rFonts w:cs="Calibri"/>
          <w:szCs w:val="22"/>
        </w:rPr>
        <w:t xml:space="preserve">Employee </w:t>
      </w:r>
      <w:r w:rsidRPr="00396443">
        <w:rPr>
          <w:rFonts w:cs="Calibri"/>
          <w:spacing w:val="-2"/>
          <w:szCs w:val="22"/>
        </w:rPr>
        <w:t>benefits</w:t>
      </w:r>
    </w:p>
    <w:p w14:paraId="6449272A" w14:textId="76AA79E5" w:rsidR="00FA4226" w:rsidRPr="00396443" w:rsidRDefault="00B551B2" w:rsidP="0043303B">
      <w:pPr>
        <w:pStyle w:val="ListParagraph"/>
        <w:numPr>
          <w:ilvl w:val="1"/>
          <w:numId w:val="15"/>
        </w:numPr>
        <w:tabs>
          <w:tab w:val="left" w:pos="681"/>
        </w:tabs>
        <w:spacing w:before="111"/>
        <w:ind w:left="0" w:firstLine="0"/>
        <w:rPr>
          <w:rFonts w:cs="Calibri"/>
          <w:szCs w:val="22"/>
        </w:rPr>
      </w:pPr>
      <w:r w:rsidRPr="00396443">
        <w:rPr>
          <w:rFonts w:cs="Calibri"/>
          <w:szCs w:val="22"/>
        </w:rPr>
        <w:t xml:space="preserve">Other operating </w:t>
      </w:r>
      <w:r w:rsidRPr="00396443">
        <w:rPr>
          <w:rFonts w:cs="Calibri"/>
          <w:spacing w:val="-2"/>
          <w:szCs w:val="22"/>
        </w:rPr>
        <w:t>expenses</w:t>
      </w:r>
    </w:p>
    <w:p w14:paraId="4866AB02" w14:textId="77777777" w:rsidR="00B551B2" w:rsidRPr="00396443" w:rsidRDefault="00B551B2" w:rsidP="0043303B">
      <w:pPr>
        <w:pStyle w:val="BodyText"/>
        <w:spacing w:before="5" w:after="1"/>
        <w:rPr>
          <w:rFonts w:cs="Calibri"/>
          <w:sz w:val="17"/>
        </w:rPr>
      </w:pPr>
    </w:p>
    <w:p w14:paraId="65706467" w14:textId="25BB4B0A" w:rsidR="00FA4226" w:rsidRPr="00396443" w:rsidRDefault="00FA4226" w:rsidP="0043303B">
      <w:pPr>
        <w:pStyle w:val="BodyText"/>
        <w:rPr>
          <w:rFonts w:cs="Calibri"/>
          <w:sz w:val="2"/>
        </w:rPr>
      </w:pPr>
    </w:p>
    <w:p w14:paraId="23C89DB5" w14:textId="77777777" w:rsidR="00FA4226" w:rsidRPr="00396443" w:rsidRDefault="00000000" w:rsidP="0043303B">
      <w:pPr>
        <w:pStyle w:val="Heading7"/>
        <w:numPr>
          <w:ilvl w:val="1"/>
          <w:numId w:val="14"/>
        </w:numPr>
        <w:spacing w:before="125"/>
        <w:ind w:left="0" w:firstLine="0"/>
        <w:rPr>
          <w:rFonts w:cs="Calibri"/>
          <w:color w:val="000000" w:themeColor="text1"/>
        </w:rPr>
      </w:pPr>
      <w:r w:rsidRPr="00396443">
        <w:rPr>
          <w:rFonts w:cs="Calibri"/>
          <w:color w:val="000000" w:themeColor="text1"/>
        </w:rPr>
        <w:t>Expenses</w:t>
      </w:r>
      <w:r w:rsidRPr="00396443">
        <w:rPr>
          <w:rFonts w:cs="Calibri"/>
          <w:color w:val="000000" w:themeColor="text1"/>
          <w:spacing w:val="-1"/>
        </w:rPr>
        <w:t xml:space="preserve"> </w:t>
      </w:r>
      <w:r w:rsidRPr="00396443">
        <w:rPr>
          <w:rFonts w:cs="Calibri"/>
          <w:color w:val="000000" w:themeColor="text1"/>
        </w:rPr>
        <w:t>incurred</w:t>
      </w:r>
      <w:r w:rsidRPr="00396443">
        <w:rPr>
          <w:rFonts w:cs="Calibri"/>
          <w:color w:val="000000" w:themeColor="text1"/>
          <w:spacing w:val="-1"/>
        </w:rPr>
        <w:t xml:space="preserve"> </w:t>
      </w:r>
      <w:r w:rsidRPr="00396443">
        <w:rPr>
          <w:rFonts w:cs="Calibri"/>
          <w:color w:val="000000" w:themeColor="text1"/>
        </w:rPr>
        <w:t>in the</w:t>
      </w:r>
      <w:r w:rsidRPr="00396443">
        <w:rPr>
          <w:rFonts w:cs="Calibri"/>
          <w:color w:val="000000" w:themeColor="text1"/>
          <w:spacing w:val="-1"/>
        </w:rPr>
        <w:t xml:space="preserve"> </w:t>
      </w:r>
      <w:r w:rsidRPr="00396443">
        <w:rPr>
          <w:rFonts w:cs="Calibri"/>
          <w:color w:val="000000" w:themeColor="text1"/>
        </w:rPr>
        <w:t>delivery</w:t>
      </w:r>
      <w:r w:rsidRPr="00396443">
        <w:rPr>
          <w:rFonts w:cs="Calibri"/>
          <w:color w:val="000000" w:themeColor="text1"/>
          <w:spacing w:val="-1"/>
        </w:rPr>
        <w:t xml:space="preserve"> </w:t>
      </w:r>
      <w:r w:rsidRPr="00396443">
        <w:rPr>
          <w:rFonts w:cs="Calibri"/>
          <w:color w:val="000000" w:themeColor="text1"/>
        </w:rPr>
        <w:t xml:space="preserve">of </w:t>
      </w:r>
      <w:r w:rsidRPr="00396443">
        <w:rPr>
          <w:rFonts w:cs="Calibri"/>
          <w:color w:val="000000" w:themeColor="text1"/>
          <w:spacing w:val="-2"/>
        </w:rPr>
        <w:t>services</w:t>
      </w:r>
    </w:p>
    <w:p w14:paraId="6256FDDF" w14:textId="77777777" w:rsidR="00FA4226" w:rsidRPr="00CA2CC1" w:rsidRDefault="00FA4226" w:rsidP="0043303B">
      <w:pPr>
        <w:pStyle w:val="BodyText"/>
        <w:spacing w:before="5"/>
        <w:rPr>
          <w:rFonts w:cs="Calibri"/>
          <w:sz w:val="9"/>
        </w:rPr>
      </w:pPr>
    </w:p>
    <w:tbl>
      <w:tblPr>
        <w:tblW w:w="9637" w:type="dxa"/>
        <w:tblBorders>
          <w:top w:val="single" w:sz="4" w:space="0" w:color="C48F1B"/>
          <w:left w:val="single" w:sz="4" w:space="0" w:color="C48F1B"/>
          <w:bottom w:val="single" w:sz="4" w:space="0" w:color="C48F1B"/>
          <w:right w:val="single" w:sz="4" w:space="0" w:color="C48F1B"/>
          <w:insideH w:val="single" w:sz="4" w:space="0" w:color="C48F1B"/>
          <w:insideV w:val="single" w:sz="4" w:space="0" w:color="C48F1B"/>
        </w:tblBorders>
        <w:tblLayout w:type="fixed"/>
        <w:tblCellMar>
          <w:left w:w="0" w:type="dxa"/>
          <w:right w:w="0" w:type="dxa"/>
        </w:tblCellMar>
        <w:tblLook w:val="01E0" w:firstRow="1" w:lastRow="1" w:firstColumn="1" w:lastColumn="1" w:noHBand="0" w:noVBand="0"/>
      </w:tblPr>
      <w:tblGrid>
        <w:gridCol w:w="6633"/>
        <w:gridCol w:w="1502"/>
        <w:gridCol w:w="1502"/>
      </w:tblGrid>
      <w:tr w:rsidR="00FA4226" w:rsidRPr="00CA2CC1" w14:paraId="7004BDB7" w14:textId="77777777" w:rsidTr="000A1816">
        <w:trPr>
          <w:trHeight w:val="565"/>
        </w:trPr>
        <w:tc>
          <w:tcPr>
            <w:tcW w:w="6633" w:type="dxa"/>
            <w:tcBorders>
              <w:top w:val="nil"/>
              <w:left w:val="nil"/>
              <w:right w:val="nil"/>
            </w:tcBorders>
            <w:tcMar>
              <w:right w:w="57" w:type="dxa"/>
            </w:tcMar>
          </w:tcPr>
          <w:p w14:paraId="3E563B0A" w14:textId="77777777" w:rsidR="00FA4226" w:rsidRPr="00CA2CC1" w:rsidRDefault="00FA4226" w:rsidP="0043303B">
            <w:pPr>
              <w:pStyle w:val="TableParagraph"/>
              <w:spacing w:before="6"/>
              <w:jc w:val="left"/>
              <w:rPr>
                <w:rFonts w:cs="Calibri"/>
                <w:sz w:val="21"/>
              </w:rPr>
            </w:pPr>
          </w:p>
          <w:p w14:paraId="0D23BF1C" w14:textId="77777777" w:rsidR="00FA4226" w:rsidRPr="00CA2CC1" w:rsidRDefault="00000000" w:rsidP="0043303B">
            <w:pPr>
              <w:pStyle w:val="TableParagraph"/>
              <w:rPr>
                <w:rFonts w:cs="Calibri"/>
                <w:sz w:val="17"/>
              </w:rPr>
            </w:pPr>
            <w:r w:rsidRPr="00CA2CC1">
              <w:rPr>
                <w:rFonts w:cs="Calibri"/>
                <w:color w:val="F68C59"/>
                <w:spacing w:val="-2"/>
                <w:sz w:val="17"/>
              </w:rPr>
              <w:t>Notes</w:t>
            </w:r>
          </w:p>
        </w:tc>
        <w:tc>
          <w:tcPr>
            <w:tcW w:w="1502" w:type="dxa"/>
            <w:tcBorders>
              <w:top w:val="nil"/>
              <w:left w:val="nil"/>
              <w:right w:val="single" w:sz="8" w:space="0" w:color="FFFFFF"/>
            </w:tcBorders>
            <w:shd w:val="clear" w:color="auto" w:fill="FFF0E7"/>
            <w:tcMar>
              <w:right w:w="57" w:type="dxa"/>
            </w:tcMar>
          </w:tcPr>
          <w:p w14:paraId="2F674BCC" w14:textId="77777777" w:rsidR="00FA4226" w:rsidRPr="00CA2CC1" w:rsidRDefault="00000000" w:rsidP="0043303B">
            <w:pPr>
              <w:pStyle w:val="TableParagraph"/>
              <w:spacing w:before="60"/>
              <w:rPr>
                <w:rFonts w:cs="Calibri"/>
                <w:sz w:val="17"/>
              </w:rPr>
            </w:pPr>
            <w:r w:rsidRPr="00CA2CC1">
              <w:rPr>
                <w:rFonts w:cs="Calibri"/>
                <w:color w:val="F68C59"/>
                <w:spacing w:val="-4"/>
                <w:sz w:val="17"/>
              </w:rPr>
              <w:t>2023</w:t>
            </w:r>
          </w:p>
          <w:p w14:paraId="28D3948C" w14:textId="77777777" w:rsidR="00FA4226" w:rsidRPr="00CA2CC1" w:rsidRDefault="00000000" w:rsidP="0043303B">
            <w:pPr>
              <w:pStyle w:val="TableParagraph"/>
              <w:spacing w:before="1"/>
              <w:rPr>
                <w:rFonts w:cs="Calibri"/>
                <w:sz w:val="17"/>
              </w:rPr>
            </w:pPr>
            <w:r w:rsidRPr="00CA2CC1">
              <w:rPr>
                <w:rFonts w:cs="Calibri"/>
                <w:color w:val="F68C59"/>
                <w:sz w:val="17"/>
              </w:rPr>
              <w:t>$</w:t>
            </w:r>
          </w:p>
        </w:tc>
        <w:tc>
          <w:tcPr>
            <w:tcW w:w="1502" w:type="dxa"/>
            <w:tcBorders>
              <w:top w:val="nil"/>
              <w:left w:val="single" w:sz="8" w:space="0" w:color="FFFFFF"/>
              <w:right w:val="nil"/>
            </w:tcBorders>
            <w:shd w:val="clear" w:color="auto" w:fill="EDEFF0"/>
            <w:tcMar>
              <w:right w:w="57" w:type="dxa"/>
            </w:tcMar>
          </w:tcPr>
          <w:p w14:paraId="57F6849E" w14:textId="77777777" w:rsidR="00FA4226" w:rsidRPr="00CA2CC1" w:rsidRDefault="00000000" w:rsidP="0043303B">
            <w:pPr>
              <w:pStyle w:val="TableParagraph"/>
              <w:spacing w:before="60"/>
              <w:rPr>
                <w:rFonts w:cs="Calibri"/>
                <w:sz w:val="17"/>
              </w:rPr>
            </w:pPr>
            <w:r w:rsidRPr="00CA2CC1">
              <w:rPr>
                <w:rFonts w:cs="Calibri"/>
                <w:color w:val="F68C59"/>
                <w:spacing w:val="-4"/>
                <w:sz w:val="17"/>
              </w:rPr>
              <w:t>2022</w:t>
            </w:r>
          </w:p>
          <w:p w14:paraId="274A7F5C" w14:textId="77777777" w:rsidR="00FA4226" w:rsidRPr="00CA2CC1" w:rsidRDefault="00000000" w:rsidP="0043303B">
            <w:pPr>
              <w:pStyle w:val="TableParagraph"/>
              <w:spacing w:before="1"/>
              <w:rPr>
                <w:rFonts w:cs="Calibri"/>
                <w:sz w:val="17"/>
              </w:rPr>
            </w:pPr>
            <w:r w:rsidRPr="00CA2CC1">
              <w:rPr>
                <w:rFonts w:cs="Calibri"/>
                <w:color w:val="F68C59"/>
                <w:sz w:val="17"/>
              </w:rPr>
              <w:t>$</w:t>
            </w:r>
          </w:p>
        </w:tc>
      </w:tr>
      <w:tr w:rsidR="00FA4226" w:rsidRPr="00CA2CC1" w14:paraId="3E3F43DF" w14:textId="77777777" w:rsidTr="000A1816">
        <w:trPr>
          <w:trHeight w:val="281"/>
        </w:trPr>
        <w:tc>
          <w:tcPr>
            <w:tcW w:w="6633" w:type="dxa"/>
            <w:tcBorders>
              <w:left w:val="nil"/>
              <w:bottom w:val="single" w:sz="2" w:space="0" w:color="73777A"/>
              <w:right w:val="nil"/>
            </w:tcBorders>
            <w:tcMar>
              <w:right w:w="57" w:type="dxa"/>
            </w:tcMar>
          </w:tcPr>
          <w:p w14:paraId="00EF18C2" w14:textId="77777777" w:rsidR="00FA4226" w:rsidRPr="00CA2CC1" w:rsidRDefault="00000000" w:rsidP="0043303B">
            <w:pPr>
              <w:pStyle w:val="TableParagraph"/>
              <w:tabs>
                <w:tab w:val="right" w:pos="6512"/>
              </w:tabs>
              <w:jc w:val="left"/>
              <w:rPr>
                <w:rFonts w:cs="Calibri"/>
                <w:sz w:val="18"/>
              </w:rPr>
            </w:pPr>
            <w:r w:rsidRPr="00CA2CC1">
              <w:rPr>
                <w:rFonts w:cs="Calibri"/>
                <w:color w:val="414042"/>
                <w:sz w:val="18"/>
              </w:rPr>
              <w:t>Employee</w:t>
            </w:r>
            <w:r w:rsidRPr="00CA2CC1">
              <w:rPr>
                <w:rFonts w:cs="Calibri"/>
                <w:color w:val="414042"/>
                <w:spacing w:val="5"/>
                <w:sz w:val="18"/>
              </w:rPr>
              <w:t xml:space="preserve"> </w:t>
            </w:r>
            <w:r w:rsidRPr="00CA2CC1">
              <w:rPr>
                <w:rFonts w:cs="Calibri"/>
                <w:color w:val="414042"/>
                <w:sz w:val="18"/>
              </w:rPr>
              <w:t>benefit</w:t>
            </w:r>
            <w:r w:rsidRPr="00CA2CC1">
              <w:rPr>
                <w:rFonts w:cs="Calibri"/>
                <w:color w:val="414042"/>
                <w:spacing w:val="5"/>
                <w:sz w:val="18"/>
              </w:rPr>
              <w:t xml:space="preserve"> </w:t>
            </w:r>
            <w:r w:rsidRPr="00CA2CC1">
              <w:rPr>
                <w:rFonts w:cs="Calibri"/>
                <w:color w:val="414042"/>
                <w:spacing w:val="-2"/>
                <w:sz w:val="18"/>
              </w:rPr>
              <w:t>expense</w:t>
            </w:r>
            <w:r w:rsidRPr="00CA2CC1">
              <w:rPr>
                <w:rFonts w:cs="Calibri"/>
                <w:color w:val="414042"/>
                <w:sz w:val="18"/>
              </w:rPr>
              <w:tab/>
            </w:r>
            <w:r w:rsidRPr="00CA2CC1">
              <w:rPr>
                <w:rFonts w:cs="Calibri"/>
                <w:color w:val="414042"/>
                <w:spacing w:val="-2"/>
                <w:sz w:val="18"/>
              </w:rPr>
              <w:t>3.2.1</w:t>
            </w:r>
          </w:p>
        </w:tc>
        <w:tc>
          <w:tcPr>
            <w:tcW w:w="1502" w:type="dxa"/>
            <w:tcBorders>
              <w:left w:val="nil"/>
              <w:bottom w:val="single" w:sz="2" w:space="0" w:color="73777A"/>
              <w:right w:val="single" w:sz="8" w:space="0" w:color="FFFFFF"/>
            </w:tcBorders>
            <w:shd w:val="clear" w:color="auto" w:fill="FFF0E7"/>
            <w:tcMar>
              <w:right w:w="57" w:type="dxa"/>
            </w:tcMar>
          </w:tcPr>
          <w:p w14:paraId="6F9586F1" w14:textId="77777777" w:rsidR="00FA4226" w:rsidRPr="00CA2CC1" w:rsidRDefault="00000000" w:rsidP="0043303B">
            <w:pPr>
              <w:pStyle w:val="TableParagraph"/>
              <w:rPr>
                <w:rFonts w:cs="Calibri"/>
                <w:sz w:val="18"/>
              </w:rPr>
            </w:pPr>
            <w:r w:rsidRPr="00CA2CC1">
              <w:rPr>
                <w:rFonts w:cs="Calibri"/>
                <w:color w:val="414042"/>
                <w:spacing w:val="-2"/>
                <w:sz w:val="18"/>
              </w:rPr>
              <w:t>6,536,110</w:t>
            </w:r>
          </w:p>
        </w:tc>
        <w:tc>
          <w:tcPr>
            <w:tcW w:w="1502" w:type="dxa"/>
            <w:tcBorders>
              <w:left w:val="single" w:sz="8" w:space="0" w:color="FFFFFF"/>
              <w:bottom w:val="single" w:sz="2" w:space="0" w:color="73777A"/>
              <w:right w:val="nil"/>
            </w:tcBorders>
            <w:shd w:val="clear" w:color="auto" w:fill="EDEFF0"/>
            <w:tcMar>
              <w:right w:w="57" w:type="dxa"/>
            </w:tcMar>
          </w:tcPr>
          <w:p w14:paraId="5666BBCB" w14:textId="77777777" w:rsidR="00FA4226" w:rsidRPr="00CA2CC1" w:rsidRDefault="00000000" w:rsidP="0043303B">
            <w:pPr>
              <w:pStyle w:val="TableParagraph"/>
              <w:rPr>
                <w:rFonts w:cs="Calibri"/>
                <w:sz w:val="18"/>
              </w:rPr>
            </w:pPr>
            <w:r w:rsidRPr="00CA2CC1">
              <w:rPr>
                <w:rFonts w:cs="Calibri"/>
                <w:color w:val="414042"/>
                <w:spacing w:val="-2"/>
                <w:sz w:val="18"/>
              </w:rPr>
              <w:t>5,998,293</w:t>
            </w:r>
          </w:p>
        </w:tc>
      </w:tr>
      <w:tr w:rsidR="00FA4226" w:rsidRPr="00CA2CC1" w14:paraId="16023670" w14:textId="77777777" w:rsidTr="000A1816">
        <w:trPr>
          <w:trHeight w:val="283"/>
        </w:trPr>
        <w:tc>
          <w:tcPr>
            <w:tcW w:w="6633" w:type="dxa"/>
            <w:tcBorders>
              <w:top w:val="single" w:sz="2" w:space="0" w:color="73777A"/>
              <w:left w:val="nil"/>
              <w:bottom w:val="single" w:sz="2" w:space="0" w:color="73777A"/>
              <w:right w:val="nil"/>
            </w:tcBorders>
            <w:tcMar>
              <w:right w:w="57" w:type="dxa"/>
            </w:tcMar>
          </w:tcPr>
          <w:p w14:paraId="1C1B95C9" w14:textId="77777777" w:rsidR="00FA4226" w:rsidRPr="00CA2CC1" w:rsidRDefault="00000000" w:rsidP="0043303B">
            <w:pPr>
              <w:pStyle w:val="TableParagraph"/>
              <w:jc w:val="left"/>
              <w:rPr>
                <w:rFonts w:cs="Calibri"/>
                <w:sz w:val="10"/>
              </w:rPr>
            </w:pPr>
            <w:r w:rsidRPr="00CA2CC1">
              <w:rPr>
                <w:rFonts w:cs="Calibri"/>
                <w:color w:val="414042"/>
                <w:sz w:val="18"/>
              </w:rPr>
              <w:t>Interest</w:t>
            </w:r>
            <w:r w:rsidRPr="00CA2CC1">
              <w:rPr>
                <w:rFonts w:cs="Calibri"/>
                <w:color w:val="414042"/>
                <w:spacing w:val="3"/>
                <w:sz w:val="18"/>
              </w:rPr>
              <w:t xml:space="preserve"> </w:t>
            </w:r>
            <w:r w:rsidRPr="00CA2CC1">
              <w:rPr>
                <w:rFonts w:cs="Calibri"/>
                <w:color w:val="414042"/>
                <w:sz w:val="18"/>
              </w:rPr>
              <w:t>expense</w:t>
            </w:r>
            <w:r w:rsidRPr="00CA2CC1">
              <w:rPr>
                <w:rFonts w:cs="Calibri"/>
                <w:color w:val="414042"/>
                <w:spacing w:val="6"/>
                <w:sz w:val="18"/>
              </w:rPr>
              <w:t xml:space="preserve"> </w:t>
            </w:r>
            <w:r w:rsidRPr="00CA2CC1">
              <w:rPr>
                <w:rFonts w:cs="Calibri"/>
                <w:color w:val="414042"/>
                <w:spacing w:val="-5"/>
                <w:position w:val="6"/>
                <w:sz w:val="10"/>
              </w:rPr>
              <w:t>(i)</w:t>
            </w:r>
          </w:p>
        </w:tc>
        <w:tc>
          <w:tcPr>
            <w:tcW w:w="1502" w:type="dxa"/>
            <w:tcBorders>
              <w:top w:val="single" w:sz="2" w:space="0" w:color="73777A"/>
              <w:left w:val="nil"/>
              <w:bottom w:val="single" w:sz="2" w:space="0" w:color="73777A"/>
              <w:right w:val="single" w:sz="8" w:space="0" w:color="FFFFFF"/>
            </w:tcBorders>
            <w:shd w:val="clear" w:color="auto" w:fill="FFF0E7"/>
            <w:tcMar>
              <w:right w:w="57" w:type="dxa"/>
            </w:tcMar>
          </w:tcPr>
          <w:p w14:paraId="694DF657" w14:textId="77777777" w:rsidR="00FA4226" w:rsidRPr="00CA2CC1" w:rsidRDefault="00000000" w:rsidP="0043303B">
            <w:pPr>
              <w:pStyle w:val="TableParagraph"/>
              <w:rPr>
                <w:rFonts w:cs="Calibri"/>
                <w:sz w:val="18"/>
              </w:rPr>
            </w:pPr>
            <w:r w:rsidRPr="00CA2CC1">
              <w:rPr>
                <w:rFonts w:cs="Calibri"/>
                <w:color w:val="414042"/>
                <w:spacing w:val="-2"/>
                <w:sz w:val="18"/>
              </w:rPr>
              <w:t>57,129</w:t>
            </w:r>
          </w:p>
        </w:tc>
        <w:tc>
          <w:tcPr>
            <w:tcW w:w="1502" w:type="dxa"/>
            <w:tcBorders>
              <w:top w:val="single" w:sz="2" w:space="0" w:color="73777A"/>
              <w:left w:val="single" w:sz="8" w:space="0" w:color="FFFFFF"/>
              <w:bottom w:val="single" w:sz="2" w:space="0" w:color="73777A"/>
              <w:right w:val="nil"/>
            </w:tcBorders>
            <w:shd w:val="clear" w:color="auto" w:fill="EDEFF0"/>
            <w:tcMar>
              <w:right w:w="57" w:type="dxa"/>
            </w:tcMar>
          </w:tcPr>
          <w:p w14:paraId="6EF05BE4" w14:textId="77777777" w:rsidR="00FA4226" w:rsidRPr="00CA2CC1" w:rsidRDefault="00000000" w:rsidP="0043303B">
            <w:pPr>
              <w:pStyle w:val="TableParagraph"/>
              <w:rPr>
                <w:rFonts w:cs="Calibri"/>
                <w:sz w:val="18"/>
              </w:rPr>
            </w:pPr>
            <w:r w:rsidRPr="00CA2CC1">
              <w:rPr>
                <w:rFonts w:cs="Calibri"/>
                <w:color w:val="414042"/>
                <w:spacing w:val="-2"/>
                <w:sz w:val="18"/>
              </w:rPr>
              <w:t>65,486</w:t>
            </w:r>
          </w:p>
        </w:tc>
      </w:tr>
      <w:tr w:rsidR="00FA4226" w:rsidRPr="00CA2CC1" w14:paraId="47A2D5B8" w14:textId="77777777" w:rsidTr="000A1816">
        <w:trPr>
          <w:trHeight w:val="278"/>
        </w:trPr>
        <w:tc>
          <w:tcPr>
            <w:tcW w:w="6633" w:type="dxa"/>
            <w:tcBorders>
              <w:top w:val="single" w:sz="2" w:space="0" w:color="73777A"/>
              <w:left w:val="nil"/>
              <w:bottom w:val="single" w:sz="6" w:space="0" w:color="73777A"/>
              <w:right w:val="nil"/>
            </w:tcBorders>
            <w:tcMar>
              <w:right w:w="57" w:type="dxa"/>
            </w:tcMar>
          </w:tcPr>
          <w:p w14:paraId="6DEF1CDC" w14:textId="77777777" w:rsidR="00FA4226" w:rsidRPr="00CA2CC1" w:rsidRDefault="00000000" w:rsidP="0043303B">
            <w:pPr>
              <w:pStyle w:val="TableParagraph"/>
              <w:tabs>
                <w:tab w:val="right" w:pos="6530"/>
              </w:tabs>
              <w:jc w:val="left"/>
              <w:rPr>
                <w:rFonts w:cs="Calibri"/>
                <w:sz w:val="18"/>
              </w:rPr>
            </w:pPr>
            <w:r w:rsidRPr="00CA2CC1">
              <w:rPr>
                <w:rFonts w:cs="Calibri"/>
                <w:color w:val="414042"/>
                <w:sz w:val="18"/>
              </w:rPr>
              <w:t>Other</w:t>
            </w:r>
            <w:r w:rsidRPr="00CA2CC1">
              <w:rPr>
                <w:rFonts w:cs="Calibri"/>
                <w:color w:val="414042"/>
                <w:spacing w:val="6"/>
                <w:sz w:val="18"/>
              </w:rPr>
              <w:t xml:space="preserve"> </w:t>
            </w:r>
            <w:r w:rsidRPr="00CA2CC1">
              <w:rPr>
                <w:rFonts w:cs="Calibri"/>
                <w:color w:val="414042"/>
                <w:sz w:val="18"/>
              </w:rPr>
              <w:t>operating</w:t>
            </w:r>
            <w:r w:rsidRPr="00CA2CC1">
              <w:rPr>
                <w:rFonts w:cs="Calibri"/>
                <w:color w:val="414042"/>
                <w:spacing w:val="8"/>
                <w:sz w:val="18"/>
              </w:rPr>
              <w:t xml:space="preserve"> </w:t>
            </w:r>
            <w:r w:rsidRPr="00CA2CC1">
              <w:rPr>
                <w:rFonts w:cs="Calibri"/>
                <w:color w:val="414042"/>
                <w:sz w:val="18"/>
              </w:rPr>
              <w:t>expenses</w:t>
            </w:r>
            <w:r w:rsidRPr="00CA2CC1">
              <w:rPr>
                <w:rFonts w:cs="Calibri"/>
                <w:color w:val="414042"/>
                <w:spacing w:val="8"/>
                <w:sz w:val="18"/>
              </w:rPr>
              <w:t xml:space="preserve"> </w:t>
            </w:r>
            <w:r w:rsidRPr="00CA2CC1">
              <w:rPr>
                <w:rFonts w:cs="Calibri"/>
                <w:color w:val="414042"/>
                <w:spacing w:val="-5"/>
                <w:position w:val="6"/>
                <w:sz w:val="10"/>
              </w:rPr>
              <w:t>(i)</w:t>
            </w:r>
            <w:r w:rsidRPr="00CA2CC1">
              <w:rPr>
                <w:rFonts w:cs="Calibri"/>
                <w:color w:val="414042"/>
                <w:position w:val="6"/>
                <w:sz w:val="10"/>
              </w:rPr>
              <w:tab/>
            </w:r>
            <w:r w:rsidRPr="00CA2CC1">
              <w:rPr>
                <w:rFonts w:cs="Calibri"/>
                <w:color w:val="414042"/>
                <w:spacing w:val="-5"/>
                <w:sz w:val="18"/>
              </w:rPr>
              <w:t>3.3</w:t>
            </w:r>
          </w:p>
        </w:tc>
        <w:tc>
          <w:tcPr>
            <w:tcW w:w="1502" w:type="dxa"/>
            <w:tcBorders>
              <w:top w:val="single" w:sz="2" w:space="0" w:color="73777A"/>
              <w:left w:val="nil"/>
              <w:bottom w:val="single" w:sz="6" w:space="0" w:color="73777A"/>
              <w:right w:val="single" w:sz="8" w:space="0" w:color="FFFFFF"/>
            </w:tcBorders>
            <w:shd w:val="clear" w:color="auto" w:fill="FFF0E7"/>
            <w:tcMar>
              <w:right w:w="57" w:type="dxa"/>
            </w:tcMar>
          </w:tcPr>
          <w:p w14:paraId="09330A47" w14:textId="77777777" w:rsidR="00FA4226" w:rsidRPr="00CA2CC1" w:rsidRDefault="00000000" w:rsidP="0043303B">
            <w:pPr>
              <w:pStyle w:val="TableParagraph"/>
              <w:rPr>
                <w:rFonts w:cs="Calibri"/>
                <w:sz w:val="18"/>
              </w:rPr>
            </w:pPr>
            <w:r w:rsidRPr="00CA2CC1">
              <w:rPr>
                <w:rFonts w:cs="Calibri"/>
                <w:color w:val="414042"/>
                <w:spacing w:val="-2"/>
                <w:sz w:val="18"/>
              </w:rPr>
              <w:t>2,974,970</w:t>
            </w:r>
          </w:p>
        </w:tc>
        <w:tc>
          <w:tcPr>
            <w:tcW w:w="1502" w:type="dxa"/>
            <w:tcBorders>
              <w:top w:val="single" w:sz="2" w:space="0" w:color="73777A"/>
              <w:left w:val="single" w:sz="8" w:space="0" w:color="FFFFFF"/>
              <w:bottom w:val="single" w:sz="6" w:space="0" w:color="73777A"/>
              <w:right w:val="nil"/>
            </w:tcBorders>
            <w:shd w:val="clear" w:color="auto" w:fill="EDEFF0"/>
            <w:tcMar>
              <w:right w:w="57" w:type="dxa"/>
            </w:tcMar>
          </w:tcPr>
          <w:p w14:paraId="061DFDEB" w14:textId="77777777" w:rsidR="00FA4226" w:rsidRPr="00CA2CC1" w:rsidRDefault="00000000" w:rsidP="0043303B">
            <w:pPr>
              <w:pStyle w:val="TableParagraph"/>
              <w:rPr>
                <w:rFonts w:cs="Calibri"/>
                <w:sz w:val="18"/>
              </w:rPr>
            </w:pPr>
            <w:r w:rsidRPr="00CA2CC1">
              <w:rPr>
                <w:rFonts w:cs="Calibri"/>
                <w:color w:val="414042"/>
                <w:spacing w:val="-2"/>
                <w:sz w:val="18"/>
              </w:rPr>
              <w:t>2,842,947</w:t>
            </w:r>
          </w:p>
        </w:tc>
      </w:tr>
      <w:tr w:rsidR="00FA4226" w:rsidRPr="00CA2CC1" w14:paraId="04D49A16" w14:textId="77777777" w:rsidTr="000A1816">
        <w:trPr>
          <w:trHeight w:val="258"/>
        </w:trPr>
        <w:tc>
          <w:tcPr>
            <w:tcW w:w="6633" w:type="dxa"/>
            <w:tcBorders>
              <w:top w:val="single" w:sz="6" w:space="0" w:color="73777A"/>
              <w:left w:val="nil"/>
              <w:bottom w:val="double" w:sz="6" w:space="0" w:color="73777A"/>
              <w:right w:val="nil"/>
            </w:tcBorders>
            <w:tcMar>
              <w:right w:w="57" w:type="dxa"/>
            </w:tcMar>
          </w:tcPr>
          <w:p w14:paraId="4CEDDA45" w14:textId="77777777" w:rsidR="00FA4226" w:rsidRPr="00CA2CC1" w:rsidRDefault="00000000" w:rsidP="0043303B">
            <w:pPr>
              <w:pStyle w:val="TableParagraph"/>
              <w:jc w:val="left"/>
              <w:rPr>
                <w:rFonts w:cs="Calibri"/>
                <w:sz w:val="10"/>
              </w:rPr>
            </w:pPr>
            <w:r w:rsidRPr="00CA2CC1">
              <w:rPr>
                <w:rFonts w:cs="Calibri"/>
                <w:color w:val="414042"/>
                <w:sz w:val="18"/>
              </w:rPr>
              <w:t>Total</w:t>
            </w:r>
            <w:r w:rsidRPr="00CA2CC1">
              <w:rPr>
                <w:rFonts w:cs="Calibri"/>
                <w:color w:val="414042"/>
                <w:spacing w:val="-7"/>
                <w:sz w:val="18"/>
              </w:rPr>
              <w:t xml:space="preserve"> </w:t>
            </w:r>
            <w:r w:rsidRPr="00CA2CC1">
              <w:rPr>
                <w:rFonts w:cs="Calibri"/>
                <w:color w:val="414042"/>
                <w:spacing w:val="-5"/>
                <w:position w:val="6"/>
                <w:sz w:val="10"/>
              </w:rPr>
              <w:t>(i)</w:t>
            </w:r>
          </w:p>
        </w:tc>
        <w:tc>
          <w:tcPr>
            <w:tcW w:w="1502" w:type="dxa"/>
            <w:tcBorders>
              <w:top w:val="single" w:sz="6" w:space="0" w:color="73777A"/>
              <w:left w:val="nil"/>
              <w:bottom w:val="double" w:sz="4" w:space="0" w:color="73777A"/>
              <w:right w:val="single" w:sz="8" w:space="0" w:color="FFFFFF"/>
            </w:tcBorders>
            <w:shd w:val="clear" w:color="auto" w:fill="FFF0E7"/>
            <w:tcMar>
              <w:right w:w="57" w:type="dxa"/>
            </w:tcMar>
          </w:tcPr>
          <w:p w14:paraId="5BDB6E85" w14:textId="77777777" w:rsidR="00FA4226" w:rsidRPr="00CA2CC1" w:rsidRDefault="00000000" w:rsidP="0043303B">
            <w:pPr>
              <w:pStyle w:val="TableParagraph"/>
              <w:rPr>
                <w:rFonts w:cs="Calibri"/>
                <w:sz w:val="18"/>
              </w:rPr>
            </w:pPr>
            <w:r w:rsidRPr="00CA2CC1">
              <w:rPr>
                <w:rFonts w:cs="Calibri"/>
                <w:color w:val="414042"/>
                <w:spacing w:val="-2"/>
                <w:sz w:val="18"/>
              </w:rPr>
              <w:t>9,568,209</w:t>
            </w:r>
          </w:p>
        </w:tc>
        <w:tc>
          <w:tcPr>
            <w:tcW w:w="1502" w:type="dxa"/>
            <w:tcBorders>
              <w:top w:val="single" w:sz="6" w:space="0" w:color="73777A"/>
              <w:left w:val="single" w:sz="8" w:space="0" w:color="FFFFFF"/>
              <w:bottom w:val="double" w:sz="4" w:space="0" w:color="73777A"/>
              <w:right w:val="nil"/>
            </w:tcBorders>
            <w:shd w:val="clear" w:color="auto" w:fill="EDEFF0"/>
            <w:tcMar>
              <w:right w:w="57" w:type="dxa"/>
            </w:tcMar>
          </w:tcPr>
          <w:p w14:paraId="0C2BBBE9" w14:textId="77777777" w:rsidR="00FA4226" w:rsidRPr="00CA2CC1" w:rsidRDefault="00000000" w:rsidP="0043303B">
            <w:pPr>
              <w:pStyle w:val="TableParagraph"/>
              <w:rPr>
                <w:rFonts w:cs="Calibri"/>
                <w:sz w:val="18"/>
              </w:rPr>
            </w:pPr>
            <w:r w:rsidRPr="00CA2CC1">
              <w:rPr>
                <w:rFonts w:cs="Calibri"/>
                <w:color w:val="414042"/>
                <w:spacing w:val="-2"/>
                <w:sz w:val="18"/>
              </w:rPr>
              <w:t>8,906,726</w:t>
            </w:r>
          </w:p>
        </w:tc>
      </w:tr>
    </w:tbl>
    <w:p w14:paraId="6B27F98F" w14:textId="77777777" w:rsidR="00FA4226" w:rsidRPr="00CA2CC1" w:rsidRDefault="00FA4226" w:rsidP="0043303B">
      <w:pPr>
        <w:pStyle w:val="BodyText"/>
        <w:spacing w:before="9"/>
        <w:rPr>
          <w:rFonts w:cs="Calibri"/>
          <w:sz w:val="21"/>
        </w:rPr>
      </w:pPr>
    </w:p>
    <w:p w14:paraId="779DCC4C" w14:textId="77777777" w:rsidR="00FA4226" w:rsidRPr="00CA2CC1" w:rsidRDefault="00000000" w:rsidP="0043303B">
      <w:pPr>
        <w:rPr>
          <w:rFonts w:cs="Calibri"/>
          <w:i/>
          <w:sz w:val="16"/>
        </w:rPr>
      </w:pPr>
      <w:r w:rsidRPr="00CA2CC1">
        <w:rPr>
          <w:rFonts w:cs="Calibri"/>
          <w:i/>
          <w:color w:val="414042"/>
          <w:sz w:val="16"/>
        </w:rPr>
        <w:t>(i)</w:t>
      </w:r>
      <w:r w:rsidRPr="00CA2CC1">
        <w:rPr>
          <w:rFonts w:cs="Calibri"/>
          <w:i/>
          <w:color w:val="414042"/>
          <w:spacing w:val="-4"/>
          <w:sz w:val="16"/>
        </w:rPr>
        <w:t xml:space="preserve"> </w:t>
      </w:r>
      <w:r w:rsidRPr="00CA2CC1">
        <w:rPr>
          <w:rFonts w:cs="Calibri"/>
          <w:i/>
          <w:color w:val="414042"/>
          <w:sz w:val="16"/>
        </w:rPr>
        <w:t>The</w:t>
      </w:r>
      <w:r w:rsidRPr="00CA2CC1">
        <w:rPr>
          <w:rFonts w:cs="Calibri"/>
          <w:i/>
          <w:color w:val="414042"/>
          <w:spacing w:val="-4"/>
          <w:sz w:val="16"/>
        </w:rPr>
        <w:t xml:space="preserve"> </w:t>
      </w:r>
      <w:r w:rsidRPr="00CA2CC1">
        <w:rPr>
          <w:rFonts w:cs="Calibri"/>
          <w:i/>
          <w:color w:val="414042"/>
          <w:sz w:val="16"/>
        </w:rPr>
        <w:t>2021-22</w:t>
      </w:r>
      <w:r w:rsidRPr="00CA2CC1">
        <w:rPr>
          <w:rFonts w:cs="Calibri"/>
          <w:i/>
          <w:color w:val="414042"/>
          <w:spacing w:val="-4"/>
          <w:sz w:val="16"/>
        </w:rPr>
        <w:t xml:space="preserve"> </w:t>
      </w:r>
      <w:r w:rsidRPr="00CA2CC1">
        <w:rPr>
          <w:rFonts w:cs="Calibri"/>
          <w:i/>
          <w:color w:val="414042"/>
          <w:sz w:val="16"/>
        </w:rPr>
        <w:t>comparative</w:t>
      </w:r>
      <w:r w:rsidRPr="00CA2CC1">
        <w:rPr>
          <w:rFonts w:cs="Calibri"/>
          <w:i/>
          <w:color w:val="414042"/>
          <w:spacing w:val="-4"/>
          <w:sz w:val="16"/>
        </w:rPr>
        <w:t xml:space="preserve"> </w:t>
      </w:r>
      <w:r w:rsidRPr="00CA2CC1">
        <w:rPr>
          <w:rFonts w:cs="Calibri"/>
          <w:i/>
          <w:color w:val="414042"/>
          <w:sz w:val="16"/>
        </w:rPr>
        <w:t>figures</w:t>
      </w:r>
      <w:r w:rsidRPr="00CA2CC1">
        <w:rPr>
          <w:rFonts w:cs="Calibri"/>
          <w:i/>
          <w:color w:val="414042"/>
          <w:spacing w:val="-4"/>
          <w:sz w:val="16"/>
        </w:rPr>
        <w:t xml:space="preserve"> </w:t>
      </w:r>
      <w:r w:rsidRPr="00CA2CC1">
        <w:rPr>
          <w:rFonts w:cs="Calibri"/>
          <w:i/>
          <w:color w:val="414042"/>
          <w:sz w:val="16"/>
        </w:rPr>
        <w:t>have</w:t>
      </w:r>
      <w:r w:rsidRPr="00CA2CC1">
        <w:rPr>
          <w:rFonts w:cs="Calibri"/>
          <w:i/>
          <w:color w:val="414042"/>
          <w:spacing w:val="-4"/>
          <w:sz w:val="16"/>
        </w:rPr>
        <w:t xml:space="preserve"> </w:t>
      </w:r>
      <w:r w:rsidRPr="00CA2CC1">
        <w:rPr>
          <w:rFonts w:cs="Calibri"/>
          <w:i/>
          <w:color w:val="414042"/>
          <w:sz w:val="16"/>
        </w:rPr>
        <w:t>been</w:t>
      </w:r>
      <w:r w:rsidRPr="00CA2CC1">
        <w:rPr>
          <w:rFonts w:cs="Calibri"/>
          <w:i/>
          <w:color w:val="414042"/>
          <w:spacing w:val="-4"/>
          <w:sz w:val="16"/>
        </w:rPr>
        <w:t xml:space="preserve"> </w:t>
      </w:r>
      <w:r w:rsidRPr="00CA2CC1">
        <w:rPr>
          <w:rFonts w:cs="Calibri"/>
          <w:i/>
          <w:color w:val="414042"/>
          <w:sz w:val="16"/>
        </w:rPr>
        <w:t>adjusted</w:t>
      </w:r>
      <w:r w:rsidRPr="00CA2CC1">
        <w:rPr>
          <w:rFonts w:cs="Calibri"/>
          <w:i/>
          <w:color w:val="414042"/>
          <w:spacing w:val="-4"/>
          <w:sz w:val="16"/>
        </w:rPr>
        <w:t xml:space="preserve"> </w:t>
      </w:r>
      <w:r w:rsidRPr="00CA2CC1">
        <w:rPr>
          <w:rFonts w:cs="Calibri"/>
          <w:i/>
          <w:color w:val="414042"/>
          <w:sz w:val="16"/>
        </w:rPr>
        <w:t>to</w:t>
      </w:r>
      <w:r w:rsidRPr="00CA2CC1">
        <w:rPr>
          <w:rFonts w:cs="Calibri"/>
          <w:i/>
          <w:color w:val="414042"/>
          <w:spacing w:val="-4"/>
          <w:sz w:val="16"/>
        </w:rPr>
        <w:t xml:space="preserve"> </w:t>
      </w:r>
      <w:r w:rsidRPr="00CA2CC1">
        <w:rPr>
          <w:rFonts w:cs="Calibri"/>
          <w:i/>
          <w:color w:val="414042"/>
          <w:sz w:val="16"/>
        </w:rPr>
        <w:t>correct a prior period error. Refer to note 8.5 for more information.</w:t>
      </w:r>
    </w:p>
    <w:p w14:paraId="7BB36848" w14:textId="77777777" w:rsidR="00FA4226" w:rsidRPr="00CA2CC1" w:rsidRDefault="00000000" w:rsidP="0043303B">
      <w:pPr>
        <w:pStyle w:val="BodyText"/>
        <w:spacing w:before="100"/>
        <w:rPr>
          <w:rFonts w:cs="Calibri"/>
        </w:rPr>
      </w:pPr>
      <w:r w:rsidRPr="00CA2CC1">
        <w:rPr>
          <w:rFonts w:cs="Calibri"/>
          <w:color w:val="414042"/>
        </w:rPr>
        <w:t>Interest expenses relate to the notional interest cost in</w:t>
      </w:r>
      <w:r w:rsidRPr="00CA2CC1">
        <w:rPr>
          <w:rFonts w:cs="Calibri"/>
          <w:color w:val="414042"/>
          <w:spacing w:val="40"/>
        </w:rPr>
        <w:t xml:space="preserve"> </w:t>
      </w:r>
      <w:r w:rsidRPr="00CA2CC1">
        <w:rPr>
          <w:rFonts w:cs="Calibri"/>
          <w:color w:val="414042"/>
        </w:rPr>
        <w:t>leases</w:t>
      </w:r>
      <w:r w:rsidRPr="00CA2CC1">
        <w:rPr>
          <w:rFonts w:cs="Calibri"/>
          <w:color w:val="414042"/>
          <w:spacing w:val="-6"/>
        </w:rPr>
        <w:t xml:space="preserve"> </w:t>
      </w:r>
      <w:r w:rsidRPr="00CA2CC1">
        <w:rPr>
          <w:rFonts w:cs="Calibri"/>
          <w:color w:val="414042"/>
        </w:rPr>
        <w:t>recognised</w:t>
      </w:r>
      <w:r w:rsidRPr="00CA2CC1">
        <w:rPr>
          <w:rFonts w:cs="Calibri"/>
          <w:color w:val="414042"/>
          <w:spacing w:val="-6"/>
        </w:rPr>
        <w:t xml:space="preserve"> </w:t>
      </w:r>
      <w:r w:rsidRPr="00CA2CC1">
        <w:rPr>
          <w:rFonts w:cs="Calibri"/>
          <w:color w:val="414042"/>
        </w:rPr>
        <w:t>under</w:t>
      </w:r>
      <w:r w:rsidRPr="00CA2CC1">
        <w:rPr>
          <w:rFonts w:cs="Calibri"/>
          <w:color w:val="414042"/>
          <w:spacing w:val="-6"/>
        </w:rPr>
        <w:t xml:space="preserve"> </w:t>
      </w:r>
      <w:r w:rsidRPr="00CA2CC1">
        <w:rPr>
          <w:rFonts w:cs="Calibri"/>
          <w:color w:val="414042"/>
        </w:rPr>
        <w:t>AASB</w:t>
      </w:r>
      <w:r w:rsidRPr="00CA2CC1">
        <w:rPr>
          <w:rFonts w:cs="Calibri"/>
          <w:color w:val="414042"/>
          <w:spacing w:val="-6"/>
        </w:rPr>
        <w:t xml:space="preserve"> </w:t>
      </w:r>
      <w:r w:rsidRPr="00CA2CC1">
        <w:rPr>
          <w:rFonts w:cs="Calibri"/>
          <w:color w:val="414042"/>
        </w:rPr>
        <w:t>16</w:t>
      </w:r>
      <w:r w:rsidRPr="00CA2CC1">
        <w:rPr>
          <w:rFonts w:cs="Calibri"/>
          <w:color w:val="414042"/>
          <w:spacing w:val="-7"/>
        </w:rPr>
        <w:t xml:space="preserve"> </w:t>
      </w:r>
      <w:r w:rsidRPr="00CA2CC1">
        <w:rPr>
          <w:rFonts w:cs="Calibri"/>
          <w:i/>
          <w:color w:val="414042"/>
        </w:rPr>
        <w:t>Leases</w:t>
      </w:r>
      <w:r w:rsidRPr="00CA2CC1">
        <w:rPr>
          <w:rFonts w:cs="Calibri"/>
          <w:color w:val="414042"/>
        </w:rPr>
        <w:t>.</w:t>
      </w:r>
      <w:r w:rsidRPr="00CA2CC1">
        <w:rPr>
          <w:rFonts w:cs="Calibri"/>
          <w:color w:val="414042"/>
          <w:spacing w:val="-6"/>
        </w:rPr>
        <w:t xml:space="preserve"> </w:t>
      </w:r>
      <w:r w:rsidRPr="00CA2CC1">
        <w:rPr>
          <w:rFonts w:cs="Calibri"/>
          <w:color w:val="414042"/>
        </w:rPr>
        <w:t>For</w:t>
      </w:r>
      <w:r w:rsidRPr="00CA2CC1">
        <w:rPr>
          <w:rFonts w:cs="Calibri"/>
          <w:color w:val="414042"/>
          <w:spacing w:val="-6"/>
        </w:rPr>
        <w:t xml:space="preserve"> </w:t>
      </w:r>
      <w:r w:rsidRPr="00CA2CC1">
        <w:rPr>
          <w:rFonts w:cs="Calibri"/>
          <w:color w:val="414042"/>
        </w:rPr>
        <w:t>Infrastructure Victoria this relates to the accommodation lease for the William Street office facility and the leased motor vehicles.</w:t>
      </w:r>
    </w:p>
    <w:p w14:paraId="2CB488EB" w14:textId="77777777" w:rsidR="00FA4226" w:rsidRPr="00CA2CC1" w:rsidRDefault="00FA4226" w:rsidP="0043303B">
      <w:pPr>
        <w:pStyle w:val="BodyText"/>
        <w:spacing w:before="1"/>
        <w:rPr>
          <w:rFonts w:cs="Calibri"/>
          <w:sz w:val="15"/>
        </w:rPr>
      </w:pPr>
    </w:p>
    <w:p w14:paraId="24F57577" w14:textId="77777777" w:rsidR="00FA4226" w:rsidRPr="00CA2CC1" w:rsidRDefault="00000000" w:rsidP="0043303B">
      <w:pPr>
        <w:pStyle w:val="Heading7"/>
        <w:numPr>
          <w:ilvl w:val="1"/>
          <w:numId w:val="14"/>
        </w:numPr>
        <w:ind w:left="0" w:firstLine="0"/>
        <w:rPr>
          <w:rFonts w:cs="Calibri"/>
        </w:rPr>
      </w:pPr>
      <w:r w:rsidRPr="00CA2CC1">
        <w:rPr>
          <w:rFonts w:cs="Calibri"/>
          <w:color w:val="F68C59"/>
        </w:rPr>
        <w:t xml:space="preserve">Employee </w:t>
      </w:r>
      <w:r w:rsidRPr="00CA2CC1">
        <w:rPr>
          <w:rFonts w:cs="Calibri"/>
          <w:color w:val="F68C59"/>
          <w:spacing w:val="-2"/>
        </w:rPr>
        <w:t>benefits</w:t>
      </w:r>
    </w:p>
    <w:p w14:paraId="77A824C1" w14:textId="77777777" w:rsidR="00FA4226" w:rsidRPr="00CA2CC1" w:rsidRDefault="00FA4226" w:rsidP="0043303B">
      <w:pPr>
        <w:pStyle w:val="BodyText"/>
        <w:spacing w:before="2"/>
        <w:rPr>
          <w:rFonts w:cs="Calibri"/>
          <w:sz w:val="17"/>
        </w:rPr>
      </w:pPr>
    </w:p>
    <w:p w14:paraId="0896E7BE" w14:textId="77777777" w:rsidR="00FA4226" w:rsidRPr="00CA2CC1" w:rsidRDefault="00000000" w:rsidP="0043303B">
      <w:pPr>
        <w:pStyle w:val="ListParagraph"/>
        <w:numPr>
          <w:ilvl w:val="2"/>
          <w:numId w:val="14"/>
        </w:numPr>
        <w:spacing w:before="0"/>
        <w:ind w:left="0" w:firstLine="0"/>
        <w:rPr>
          <w:rFonts w:cs="Calibri"/>
          <w:sz w:val="20"/>
        </w:rPr>
      </w:pPr>
      <w:r w:rsidRPr="00CA2CC1">
        <w:rPr>
          <w:rFonts w:cs="Calibri"/>
          <w:color w:val="F68C59"/>
          <w:sz w:val="20"/>
        </w:rPr>
        <w:t>Employee</w:t>
      </w:r>
      <w:r w:rsidRPr="00CA2CC1">
        <w:rPr>
          <w:rFonts w:cs="Calibri"/>
          <w:color w:val="F68C59"/>
          <w:spacing w:val="-9"/>
          <w:sz w:val="20"/>
        </w:rPr>
        <w:t xml:space="preserve"> </w:t>
      </w:r>
      <w:r w:rsidRPr="00CA2CC1">
        <w:rPr>
          <w:rFonts w:cs="Calibri"/>
          <w:color w:val="F68C59"/>
          <w:sz w:val="20"/>
        </w:rPr>
        <w:t>benefits</w:t>
      </w:r>
      <w:r w:rsidRPr="00CA2CC1">
        <w:rPr>
          <w:rFonts w:cs="Calibri"/>
          <w:color w:val="F68C59"/>
          <w:spacing w:val="-9"/>
          <w:sz w:val="20"/>
        </w:rPr>
        <w:t xml:space="preserve"> </w:t>
      </w:r>
      <w:r w:rsidRPr="00CA2CC1">
        <w:rPr>
          <w:rFonts w:cs="Calibri"/>
          <w:color w:val="F68C59"/>
          <w:sz w:val="20"/>
        </w:rPr>
        <w:t>in</w:t>
      </w:r>
      <w:r w:rsidRPr="00CA2CC1">
        <w:rPr>
          <w:rFonts w:cs="Calibri"/>
          <w:color w:val="F68C59"/>
          <w:spacing w:val="-9"/>
          <w:sz w:val="20"/>
        </w:rPr>
        <w:t xml:space="preserve"> </w:t>
      </w:r>
      <w:r w:rsidRPr="00CA2CC1">
        <w:rPr>
          <w:rFonts w:cs="Calibri"/>
          <w:color w:val="F68C59"/>
          <w:sz w:val="20"/>
        </w:rPr>
        <w:t>the</w:t>
      </w:r>
      <w:r w:rsidRPr="00CA2CC1">
        <w:rPr>
          <w:rFonts w:cs="Calibri"/>
          <w:color w:val="F68C59"/>
          <w:spacing w:val="-9"/>
          <w:sz w:val="20"/>
        </w:rPr>
        <w:t xml:space="preserve"> </w:t>
      </w:r>
      <w:r w:rsidRPr="00CA2CC1">
        <w:rPr>
          <w:rFonts w:cs="Calibri"/>
          <w:color w:val="F68C59"/>
          <w:sz w:val="20"/>
        </w:rPr>
        <w:t>comprehensive operating statement</w:t>
      </w:r>
    </w:p>
    <w:p w14:paraId="20451F98" w14:textId="77777777" w:rsidR="00FA4226" w:rsidRPr="00CA2CC1" w:rsidRDefault="00FA4226" w:rsidP="0043303B">
      <w:pPr>
        <w:pStyle w:val="BodyText"/>
        <w:spacing w:before="13"/>
        <w:rPr>
          <w:rFonts w:cs="Calibri"/>
          <w:sz w:val="9"/>
        </w:rPr>
      </w:pPr>
    </w:p>
    <w:tbl>
      <w:tblPr>
        <w:tblW w:w="9637" w:type="dxa"/>
        <w:tblBorders>
          <w:top w:val="single" w:sz="4" w:space="0" w:color="C48F1B"/>
          <w:left w:val="single" w:sz="4" w:space="0" w:color="C48F1B"/>
          <w:bottom w:val="single" w:sz="4" w:space="0" w:color="C48F1B"/>
          <w:right w:val="single" w:sz="4" w:space="0" w:color="C48F1B"/>
          <w:insideH w:val="single" w:sz="4" w:space="0" w:color="C48F1B"/>
          <w:insideV w:val="single" w:sz="4" w:space="0" w:color="C48F1B"/>
        </w:tblBorders>
        <w:tblLayout w:type="fixed"/>
        <w:tblCellMar>
          <w:left w:w="0" w:type="dxa"/>
          <w:right w:w="0" w:type="dxa"/>
        </w:tblCellMar>
        <w:tblLook w:val="01E0" w:firstRow="1" w:lastRow="1" w:firstColumn="1" w:lastColumn="1" w:noHBand="0" w:noVBand="0"/>
      </w:tblPr>
      <w:tblGrid>
        <w:gridCol w:w="6633"/>
        <w:gridCol w:w="1502"/>
        <w:gridCol w:w="1502"/>
      </w:tblGrid>
      <w:tr w:rsidR="00FA4226" w:rsidRPr="00CA2CC1" w14:paraId="17EB646E" w14:textId="77777777" w:rsidTr="000A1816">
        <w:trPr>
          <w:trHeight w:val="544"/>
        </w:trPr>
        <w:tc>
          <w:tcPr>
            <w:tcW w:w="6633" w:type="dxa"/>
            <w:tcBorders>
              <w:top w:val="nil"/>
              <w:left w:val="nil"/>
              <w:right w:val="nil"/>
            </w:tcBorders>
          </w:tcPr>
          <w:p w14:paraId="16D9CD35" w14:textId="77777777" w:rsidR="00FA4226" w:rsidRPr="00CA2CC1" w:rsidRDefault="00FA4226" w:rsidP="0043303B">
            <w:pPr>
              <w:pStyle w:val="TableParagraph"/>
              <w:jc w:val="left"/>
              <w:rPr>
                <w:rFonts w:cs="Calibri"/>
                <w:sz w:val="18"/>
              </w:rPr>
            </w:pPr>
          </w:p>
        </w:tc>
        <w:tc>
          <w:tcPr>
            <w:tcW w:w="1502" w:type="dxa"/>
            <w:tcBorders>
              <w:top w:val="nil"/>
              <w:left w:val="nil"/>
              <w:right w:val="single" w:sz="8" w:space="0" w:color="FFFFFF"/>
            </w:tcBorders>
            <w:shd w:val="clear" w:color="auto" w:fill="FFF0E7"/>
            <w:tcMar>
              <w:right w:w="57" w:type="dxa"/>
            </w:tcMar>
          </w:tcPr>
          <w:p w14:paraId="3CA22C91" w14:textId="77777777" w:rsidR="00FA4226" w:rsidRPr="00CA2CC1" w:rsidRDefault="00000000" w:rsidP="0043303B">
            <w:pPr>
              <w:pStyle w:val="TableParagraph"/>
              <w:spacing w:before="39"/>
              <w:rPr>
                <w:rFonts w:cs="Calibri"/>
                <w:sz w:val="17"/>
              </w:rPr>
            </w:pPr>
            <w:r w:rsidRPr="00CA2CC1">
              <w:rPr>
                <w:rFonts w:cs="Calibri"/>
                <w:color w:val="F68C59"/>
                <w:spacing w:val="-4"/>
                <w:sz w:val="17"/>
              </w:rPr>
              <w:t>2023</w:t>
            </w:r>
          </w:p>
          <w:p w14:paraId="34948700" w14:textId="77777777" w:rsidR="00FA4226" w:rsidRPr="00CA2CC1" w:rsidRDefault="00000000" w:rsidP="0043303B">
            <w:pPr>
              <w:pStyle w:val="TableParagraph"/>
              <w:spacing w:before="1"/>
              <w:rPr>
                <w:rFonts w:cs="Calibri"/>
                <w:sz w:val="17"/>
              </w:rPr>
            </w:pPr>
            <w:r w:rsidRPr="00CA2CC1">
              <w:rPr>
                <w:rFonts w:cs="Calibri"/>
                <w:color w:val="F68C59"/>
                <w:sz w:val="17"/>
              </w:rPr>
              <w:t>$</w:t>
            </w:r>
          </w:p>
        </w:tc>
        <w:tc>
          <w:tcPr>
            <w:tcW w:w="1502" w:type="dxa"/>
            <w:tcBorders>
              <w:top w:val="nil"/>
              <w:left w:val="single" w:sz="8" w:space="0" w:color="FFFFFF"/>
              <w:right w:val="nil"/>
            </w:tcBorders>
            <w:shd w:val="clear" w:color="auto" w:fill="EDEFF0"/>
            <w:tcMar>
              <w:right w:w="57" w:type="dxa"/>
            </w:tcMar>
          </w:tcPr>
          <w:p w14:paraId="410BDA0D" w14:textId="77777777" w:rsidR="00FA4226" w:rsidRPr="00CA2CC1" w:rsidRDefault="00000000" w:rsidP="0043303B">
            <w:pPr>
              <w:pStyle w:val="TableParagraph"/>
              <w:spacing w:before="39"/>
              <w:rPr>
                <w:rFonts w:cs="Calibri"/>
                <w:sz w:val="17"/>
              </w:rPr>
            </w:pPr>
            <w:r w:rsidRPr="00CA2CC1">
              <w:rPr>
                <w:rFonts w:cs="Calibri"/>
                <w:color w:val="F68C59"/>
                <w:spacing w:val="-4"/>
                <w:sz w:val="17"/>
              </w:rPr>
              <w:t>2022</w:t>
            </w:r>
          </w:p>
          <w:p w14:paraId="7EB8F066" w14:textId="77777777" w:rsidR="00FA4226" w:rsidRPr="00CA2CC1" w:rsidRDefault="00000000" w:rsidP="0043303B">
            <w:pPr>
              <w:pStyle w:val="TableParagraph"/>
              <w:spacing w:before="1"/>
              <w:rPr>
                <w:rFonts w:cs="Calibri"/>
                <w:sz w:val="17"/>
              </w:rPr>
            </w:pPr>
            <w:r w:rsidRPr="00CA2CC1">
              <w:rPr>
                <w:rFonts w:cs="Calibri"/>
                <w:color w:val="F68C59"/>
                <w:sz w:val="17"/>
              </w:rPr>
              <w:t>$</w:t>
            </w:r>
          </w:p>
        </w:tc>
      </w:tr>
      <w:tr w:rsidR="00FA4226" w:rsidRPr="00CA2CC1" w14:paraId="2F3E4B47" w14:textId="77777777" w:rsidTr="000A1816">
        <w:trPr>
          <w:trHeight w:val="281"/>
        </w:trPr>
        <w:tc>
          <w:tcPr>
            <w:tcW w:w="6633" w:type="dxa"/>
            <w:tcBorders>
              <w:left w:val="nil"/>
              <w:bottom w:val="single" w:sz="2" w:space="0" w:color="73777A"/>
              <w:right w:val="nil"/>
            </w:tcBorders>
          </w:tcPr>
          <w:p w14:paraId="3C788EAD" w14:textId="77777777" w:rsidR="00FA4226" w:rsidRPr="00CA2CC1" w:rsidRDefault="00000000" w:rsidP="0043303B">
            <w:pPr>
              <w:pStyle w:val="TableParagraph"/>
              <w:jc w:val="left"/>
              <w:rPr>
                <w:rFonts w:cs="Calibri"/>
                <w:sz w:val="18"/>
              </w:rPr>
            </w:pPr>
            <w:r w:rsidRPr="00CA2CC1">
              <w:rPr>
                <w:rFonts w:cs="Calibri"/>
                <w:color w:val="414042"/>
                <w:sz w:val="18"/>
              </w:rPr>
              <w:t>Salaries</w:t>
            </w:r>
            <w:r w:rsidRPr="00CA2CC1">
              <w:rPr>
                <w:rFonts w:cs="Calibri"/>
                <w:color w:val="414042"/>
                <w:spacing w:val="6"/>
                <w:sz w:val="18"/>
              </w:rPr>
              <w:t xml:space="preserve"> </w:t>
            </w:r>
            <w:r w:rsidRPr="00CA2CC1">
              <w:rPr>
                <w:rFonts w:cs="Calibri"/>
                <w:color w:val="414042"/>
                <w:sz w:val="18"/>
              </w:rPr>
              <w:t>and</w:t>
            </w:r>
            <w:r w:rsidRPr="00CA2CC1">
              <w:rPr>
                <w:rFonts w:cs="Calibri"/>
                <w:color w:val="414042"/>
                <w:spacing w:val="6"/>
                <w:sz w:val="18"/>
              </w:rPr>
              <w:t xml:space="preserve"> </w:t>
            </w:r>
            <w:r w:rsidRPr="00CA2CC1">
              <w:rPr>
                <w:rFonts w:cs="Calibri"/>
                <w:color w:val="414042"/>
                <w:sz w:val="18"/>
              </w:rPr>
              <w:t>wages,</w:t>
            </w:r>
            <w:r w:rsidRPr="00CA2CC1">
              <w:rPr>
                <w:rFonts w:cs="Calibri"/>
                <w:color w:val="414042"/>
                <w:spacing w:val="6"/>
                <w:sz w:val="18"/>
              </w:rPr>
              <w:t xml:space="preserve"> </w:t>
            </w:r>
            <w:r w:rsidRPr="00CA2CC1">
              <w:rPr>
                <w:rFonts w:cs="Calibri"/>
                <w:color w:val="414042"/>
                <w:sz w:val="18"/>
              </w:rPr>
              <w:t>annual</w:t>
            </w:r>
            <w:r w:rsidRPr="00CA2CC1">
              <w:rPr>
                <w:rFonts w:cs="Calibri"/>
                <w:color w:val="414042"/>
                <w:spacing w:val="7"/>
                <w:sz w:val="18"/>
              </w:rPr>
              <w:t xml:space="preserve"> </w:t>
            </w:r>
            <w:r w:rsidRPr="00CA2CC1">
              <w:rPr>
                <w:rFonts w:cs="Calibri"/>
                <w:color w:val="414042"/>
                <w:sz w:val="18"/>
              </w:rPr>
              <w:t>leave</w:t>
            </w:r>
            <w:r w:rsidRPr="00CA2CC1">
              <w:rPr>
                <w:rFonts w:cs="Calibri"/>
                <w:color w:val="414042"/>
                <w:spacing w:val="6"/>
                <w:sz w:val="18"/>
              </w:rPr>
              <w:t xml:space="preserve"> </w:t>
            </w:r>
            <w:r w:rsidRPr="00CA2CC1">
              <w:rPr>
                <w:rFonts w:cs="Calibri"/>
                <w:color w:val="414042"/>
                <w:sz w:val="18"/>
              </w:rPr>
              <w:t>and</w:t>
            </w:r>
            <w:r w:rsidRPr="00CA2CC1">
              <w:rPr>
                <w:rFonts w:cs="Calibri"/>
                <w:color w:val="414042"/>
                <w:spacing w:val="6"/>
                <w:sz w:val="18"/>
              </w:rPr>
              <w:t xml:space="preserve"> </w:t>
            </w:r>
            <w:r w:rsidRPr="00CA2CC1">
              <w:rPr>
                <w:rFonts w:cs="Calibri"/>
                <w:color w:val="414042"/>
                <w:sz w:val="18"/>
              </w:rPr>
              <w:t>long</w:t>
            </w:r>
            <w:r w:rsidRPr="00CA2CC1">
              <w:rPr>
                <w:rFonts w:cs="Calibri"/>
                <w:color w:val="414042"/>
                <w:spacing w:val="6"/>
                <w:sz w:val="18"/>
              </w:rPr>
              <w:t xml:space="preserve"> </w:t>
            </w:r>
            <w:r w:rsidRPr="00CA2CC1">
              <w:rPr>
                <w:rFonts w:cs="Calibri"/>
                <w:color w:val="414042"/>
                <w:sz w:val="18"/>
              </w:rPr>
              <w:t>service</w:t>
            </w:r>
            <w:r w:rsidRPr="00CA2CC1">
              <w:rPr>
                <w:rFonts w:cs="Calibri"/>
                <w:color w:val="414042"/>
                <w:spacing w:val="7"/>
                <w:sz w:val="18"/>
              </w:rPr>
              <w:t xml:space="preserve"> </w:t>
            </w:r>
            <w:r w:rsidRPr="00CA2CC1">
              <w:rPr>
                <w:rFonts w:cs="Calibri"/>
                <w:color w:val="414042"/>
                <w:spacing w:val="-4"/>
                <w:sz w:val="18"/>
              </w:rPr>
              <w:t>leave</w:t>
            </w:r>
          </w:p>
        </w:tc>
        <w:tc>
          <w:tcPr>
            <w:tcW w:w="1502" w:type="dxa"/>
            <w:tcBorders>
              <w:left w:val="nil"/>
              <w:bottom w:val="single" w:sz="2" w:space="0" w:color="73777A"/>
              <w:right w:val="single" w:sz="8" w:space="0" w:color="FFFFFF"/>
            </w:tcBorders>
            <w:shd w:val="clear" w:color="auto" w:fill="FFF0E7"/>
            <w:tcMar>
              <w:right w:w="57" w:type="dxa"/>
            </w:tcMar>
          </w:tcPr>
          <w:p w14:paraId="78065DF5" w14:textId="77777777" w:rsidR="00FA4226" w:rsidRPr="00CA2CC1" w:rsidRDefault="00000000" w:rsidP="0043303B">
            <w:pPr>
              <w:pStyle w:val="TableParagraph"/>
              <w:rPr>
                <w:rFonts w:cs="Calibri"/>
                <w:sz w:val="18"/>
              </w:rPr>
            </w:pPr>
            <w:r w:rsidRPr="00CA2CC1">
              <w:rPr>
                <w:rFonts w:cs="Calibri"/>
                <w:color w:val="414042"/>
                <w:spacing w:val="-2"/>
                <w:sz w:val="18"/>
              </w:rPr>
              <w:t>5,973,659</w:t>
            </w:r>
          </w:p>
        </w:tc>
        <w:tc>
          <w:tcPr>
            <w:tcW w:w="1502" w:type="dxa"/>
            <w:tcBorders>
              <w:left w:val="single" w:sz="8" w:space="0" w:color="FFFFFF"/>
              <w:bottom w:val="single" w:sz="2" w:space="0" w:color="73777A"/>
              <w:right w:val="nil"/>
            </w:tcBorders>
            <w:shd w:val="clear" w:color="auto" w:fill="EDEFF0"/>
            <w:tcMar>
              <w:right w:w="57" w:type="dxa"/>
            </w:tcMar>
          </w:tcPr>
          <w:p w14:paraId="274F7B6A" w14:textId="77777777" w:rsidR="00FA4226" w:rsidRPr="00CA2CC1" w:rsidRDefault="00000000" w:rsidP="0043303B">
            <w:pPr>
              <w:pStyle w:val="TableParagraph"/>
              <w:rPr>
                <w:rFonts w:cs="Calibri"/>
                <w:sz w:val="18"/>
              </w:rPr>
            </w:pPr>
            <w:r w:rsidRPr="00CA2CC1">
              <w:rPr>
                <w:rFonts w:cs="Calibri"/>
                <w:color w:val="414042"/>
                <w:spacing w:val="-2"/>
                <w:sz w:val="18"/>
              </w:rPr>
              <w:t>5,532,164</w:t>
            </w:r>
          </w:p>
        </w:tc>
      </w:tr>
      <w:tr w:rsidR="00FA4226" w:rsidRPr="00CA2CC1" w14:paraId="2A32AF6E" w14:textId="77777777" w:rsidTr="000A1816">
        <w:trPr>
          <w:trHeight w:val="278"/>
        </w:trPr>
        <w:tc>
          <w:tcPr>
            <w:tcW w:w="6633" w:type="dxa"/>
            <w:tcBorders>
              <w:top w:val="single" w:sz="2" w:space="0" w:color="73777A"/>
              <w:left w:val="nil"/>
              <w:bottom w:val="single" w:sz="6" w:space="0" w:color="73777A"/>
              <w:right w:val="nil"/>
            </w:tcBorders>
          </w:tcPr>
          <w:p w14:paraId="03DABE5C" w14:textId="77777777" w:rsidR="00FA4226" w:rsidRPr="00CA2CC1" w:rsidRDefault="00000000" w:rsidP="0043303B">
            <w:pPr>
              <w:pStyle w:val="TableParagraph"/>
              <w:jc w:val="left"/>
              <w:rPr>
                <w:rFonts w:cs="Calibri"/>
                <w:sz w:val="18"/>
              </w:rPr>
            </w:pPr>
            <w:r w:rsidRPr="00CA2CC1">
              <w:rPr>
                <w:rFonts w:cs="Calibri"/>
                <w:color w:val="414042"/>
                <w:sz w:val="18"/>
              </w:rPr>
              <w:t>Defined</w:t>
            </w:r>
            <w:r w:rsidRPr="00CA2CC1">
              <w:rPr>
                <w:rFonts w:cs="Calibri"/>
                <w:color w:val="414042"/>
                <w:spacing w:val="11"/>
                <w:sz w:val="18"/>
              </w:rPr>
              <w:t xml:space="preserve"> </w:t>
            </w:r>
            <w:r w:rsidRPr="00CA2CC1">
              <w:rPr>
                <w:rFonts w:cs="Calibri"/>
                <w:color w:val="414042"/>
                <w:sz w:val="18"/>
              </w:rPr>
              <w:t>contribution</w:t>
            </w:r>
            <w:r w:rsidRPr="00CA2CC1">
              <w:rPr>
                <w:rFonts w:cs="Calibri"/>
                <w:color w:val="414042"/>
                <w:spacing w:val="11"/>
                <w:sz w:val="18"/>
              </w:rPr>
              <w:t xml:space="preserve"> </w:t>
            </w:r>
            <w:r w:rsidRPr="00CA2CC1">
              <w:rPr>
                <w:rFonts w:cs="Calibri"/>
                <w:color w:val="414042"/>
                <w:sz w:val="18"/>
              </w:rPr>
              <w:t>superannuation</w:t>
            </w:r>
            <w:r w:rsidRPr="00CA2CC1">
              <w:rPr>
                <w:rFonts w:cs="Calibri"/>
                <w:color w:val="414042"/>
                <w:spacing w:val="11"/>
                <w:sz w:val="18"/>
              </w:rPr>
              <w:t xml:space="preserve"> </w:t>
            </w:r>
            <w:r w:rsidRPr="00CA2CC1">
              <w:rPr>
                <w:rFonts w:cs="Calibri"/>
                <w:color w:val="414042"/>
                <w:spacing w:val="-2"/>
                <w:sz w:val="18"/>
              </w:rPr>
              <w:t>expense</w:t>
            </w:r>
          </w:p>
        </w:tc>
        <w:tc>
          <w:tcPr>
            <w:tcW w:w="1502" w:type="dxa"/>
            <w:tcBorders>
              <w:top w:val="single" w:sz="2" w:space="0" w:color="73777A"/>
              <w:left w:val="nil"/>
              <w:bottom w:val="single" w:sz="6" w:space="0" w:color="73777A"/>
              <w:right w:val="single" w:sz="8" w:space="0" w:color="FFFFFF"/>
            </w:tcBorders>
            <w:shd w:val="clear" w:color="auto" w:fill="FFF0E7"/>
            <w:tcMar>
              <w:right w:w="57" w:type="dxa"/>
            </w:tcMar>
          </w:tcPr>
          <w:p w14:paraId="79C5818C" w14:textId="77777777" w:rsidR="00FA4226" w:rsidRPr="00CA2CC1" w:rsidRDefault="00000000" w:rsidP="0043303B">
            <w:pPr>
              <w:pStyle w:val="TableParagraph"/>
              <w:rPr>
                <w:rFonts w:cs="Calibri"/>
                <w:sz w:val="18"/>
              </w:rPr>
            </w:pPr>
            <w:r w:rsidRPr="00CA2CC1">
              <w:rPr>
                <w:rFonts w:cs="Calibri"/>
                <w:color w:val="414042"/>
                <w:spacing w:val="-2"/>
                <w:sz w:val="18"/>
              </w:rPr>
              <w:t>562,451</w:t>
            </w:r>
          </w:p>
        </w:tc>
        <w:tc>
          <w:tcPr>
            <w:tcW w:w="1502" w:type="dxa"/>
            <w:tcBorders>
              <w:top w:val="single" w:sz="2" w:space="0" w:color="73777A"/>
              <w:left w:val="single" w:sz="8" w:space="0" w:color="FFFFFF"/>
              <w:bottom w:val="single" w:sz="6" w:space="0" w:color="73777A"/>
              <w:right w:val="nil"/>
            </w:tcBorders>
            <w:shd w:val="clear" w:color="auto" w:fill="EDEFF0"/>
            <w:tcMar>
              <w:right w:w="57" w:type="dxa"/>
            </w:tcMar>
          </w:tcPr>
          <w:p w14:paraId="2907C58E" w14:textId="77777777" w:rsidR="00FA4226" w:rsidRPr="00CA2CC1" w:rsidRDefault="00000000" w:rsidP="0043303B">
            <w:pPr>
              <w:pStyle w:val="TableParagraph"/>
              <w:rPr>
                <w:rFonts w:cs="Calibri"/>
                <w:sz w:val="18"/>
              </w:rPr>
            </w:pPr>
            <w:r w:rsidRPr="00CA2CC1">
              <w:rPr>
                <w:rFonts w:cs="Calibri"/>
                <w:color w:val="414042"/>
                <w:spacing w:val="-2"/>
                <w:sz w:val="18"/>
              </w:rPr>
              <w:t>466,129</w:t>
            </w:r>
          </w:p>
        </w:tc>
      </w:tr>
      <w:tr w:rsidR="00FA4226" w:rsidRPr="00CA2CC1" w14:paraId="2C830DCC" w14:textId="77777777" w:rsidTr="000A1816">
        <w:trPr>
          <w:trHeight w:val="258"/>
        </w:trPr>
        <w:tc>
          <w:tcPr>
            <w:tcW w:w="6633" w:type="dxa"/>
            <w:tcBorders>
              <w:top w:val="single" w:sz="6" w:space="0" w:color="73777A"/>
              <w:left w:val="nil"/>
              <w:bottom w:val="double" w:sz="6" w:space="0" w:color="73777A"/>
              <w:right w:val="nil"/>
            </w:tcBorders>
          </w:tcPr>
          <w:p w14:paraId="7580D671" w14:textId="77777777" w:rsidR="00FA4226" w:rsidRPr="00CA2CC1" w:rsidRDefault="00000000" w:rsidP="0043303B">
            <w:pPr>
              <w:pStyle w:val="TableParagraph"/>
              <w:jc w:val="left"/>
              <w:rPr>
                <w:rFonts w:cs="Calibri"/>
                <w:sz w:val="18"/>
              </w:rPr>
            </w:pPr>
            <w:r w:rsidRPr="00CA2CC1">
              <w:rPr>
                <w:rFonts w:cs="Calibri"/>
                <w:color w:val="414042"/>
                <w:sz w:val="18"/>
              </w:rPr>
              <w:t>Total</w:t>
            </w:r>
            <w:r w:rsidRPr="00CA2CC1">
              <w:rPr>
                <w:rFonts w:cs="Calibri"/>
                <w:color w:val="414042"/>
                <w:spacing w:val="3"/>
                <w:sz w:val="18"/>
              </w:rPr>
              <w:t xml:space="preserve"> </w:t>
            </w:r>
            <w:r w:rsidRPr="00CA2CC1">
              <w:rPr>
                <w:rFonts w:cs="Calibri"/>
                <w:color w:val="414042"/>
                <w:sz w:val="18"/>
              </w:rPr>
              <w:t>employee</w:t>
            </w:r>
            <w:r w:rsidRPr="00CA2CC1">
              <w:rPr>
                <w:rFonts w:cs="Calibri"/>
                <w:color w:val="414042"/>
                <w:spacing w:val="3"/>
                <w:sz w:val="18"/>
              </w:rPr>
              <w:t xml:space="preserve"> </w:t>
            </w:r>
            <w:r w:rsidRPr="00CA2CC1">
              <w:rPr>
                <w:rFonts w:cs="Calibri"/>
                <w:color w:val="414042"/>
                <w:sz w:val="18"/>
              </w:rPr>
              <w:t>benefits</w:t>
            </w:r>
            <w:r w:rsidRPr="00CA2CC1">
              <w:rPr>
                <w:rFonts w:cs="Calibri"/>
                <w:color w:val="414042"/>
                <w:spacing w:val="4"/>
                <w:sz w:val="18"/>
              </w:rPr>
              <w:t xml:space="preserve"> </w:t>
            </w:r>
            <w:r w:rsidRPr="00CA2CC1">
              <w:rPr>
                <w:rFonts w:cs="Calibri"/>
                <w:color w:val="414042"/>
                <w:spacing w:val="-2"/>
                <w:sz w:val="18"/>
              </w:rPr>
              <w:t>expense</w:t>
            </w:r>
          </w:p>
        </w:tc>
        <w:tc>
          <w:tcPr>
            <w:tcW w:w="1502" w:type="dxa"/>
            <w:tcBorders>
              <w:top w:val="single" w:sz="6" w:space="0" w:color="73777A"/>
              <w:left w:val="nil"/>
              <w:bottom w:val="single" w:sz="6" w:space="0" w:color="73777A"/>
              <w:right w:val="single" w:sz="8" w:space="0" w:color="FFFFFF"/>
            </w:tcBorders>
            <w:shd w:val="clear" w:color="auto" w:fill="FFF0E7"/>
            <w:tcMar>
              <w:right w:w="57" w:type="dxa"/>
            </w:tcMar>
          </w:tcPr>
          <w:p w14:paraId="6AAF91D4" w14:textId="77777777" w:rsidR="00FA4226" w:rsidRPr="00CA2CC1" w:rsidRDefault="00000000" w:rsidP="0043303B">
            <w:pPr>
              <w:pStyle w:val="TableParagraph"/>
              <w:rPr>
                <w:rFonts w:cs="Calibri"/>
                <w:sz w:val="18"/>
              </w:rPr>
            </w:pPr>
            <w:r w:rsidRPr="00CA2CC1">
              <w:rPr>
                <w:rFonts w:cs="Calibri"/>
                <w:color w:val="414042"/>
                <w:spacing w:val="-2"/>
                <w:sz w:val="18"/>
              </w:rPr>
              <w:t>6,536,110</w:t>
            </w:r>
          </w:p>
        </w:tc>
        <w:tc>
          <w:tcPr>
            <w:tcW w:w="1502" w:type="dxa"/>
            <w:tcBorders>
              <w:top w:val="single" w:sz="6" w:space="0" w:color="73777A"/>
              <w:left w:val="single" w:sz="8" w:space="0" w:color="FFFFFF"/>
              <w:bottom w:val="single" w:sz="6" w:space="0" w:color="73777A"/>
              <w:right w:val="nil"/>
            </w:tcBorders>
            <w:shd w:val="clear" w:color="auto" w:fill="EDEFF0"/>
            <w:tcMar>
              <w:right w:w="57" w:type="dxa"/>
            </w:tcMar>
          </w:tcPr>
          <w:p w14:paraId="6C7A57B1" w14:textId="77777777" w:rsidR="00FA4226" w:rsidRPr="00CA2CC1" w:rsidRDefault="00000000" w:rsidP="0043303B">
            <w:pPr>
              <w:pStyle w:val="TableParagraph"/>
              <w:rPr>
                <w:rFonts w:cs="Calibri"/>
                <w:sz w:val="18"/>
              </w:rPr>
            </w:pPr>
            <w:r w:rsidRPr="00CA2CC1">
              <w:rPr>
                <w:rFonts w:cs="Calibri"/>
                <w:color w:val="414042"/>
                <w:spacing w:val="-2"/>
                <w:sz w:val="18"/>
              </w:rPr>
              <w:t>5,998,293</w:t>
            </w:r>
          </w:p>
        </w:tc>
      </w:tr>
    </w:tbl>
    <w:p w14:paraId="3AB5258C" w14:textId="77777777" w:rsidR="00FA4226" w:rsidRPr="00CA2CC1" w:rsidRDefault="00FA4226" w:rsidP="0043303B">
      <w:pPr>
        <w:pStyle w:val="BodyText"/>
        <w:spacing w:before="7"/>
        <w:rPr>
          <w:rFonts w:cs="Calibri"/>
          <w:sz w:val="16"/>
        </w:rPr>
      </w:pPr>
    </w:p>
    <w:p w14:paraId="10482BDE" w14:textId="4B3C959E" w:rsidR="00186C6B" w:rsidRPr="00CA2CC1" w:rsidRDefault="00000000" w:rsidP="0043303B">
      <w:pPr>
        <w:pStyle w:val="BodyText"/>
        <w:rPr>
          <w:rFonts w:cs="Calibri"/>
          <w:sz w:val="16"/>
        </w:rPr>
        <w:sectPr w:rsidR="00186C6B" w:rsidRPr="00CA2CC1" w:rsidSect="00E941A5">
          <w:type w:val="continuous"/>
          <w:pgSz w:w="11910" w:h="16840"/>
          <w:pgMar w:top="1134" w:right="1278" w:bottom="1134" w:left="1134" w:header="720" w:footer="720" w:gutter="0"/>
          <w:cols w:space="720"/>
        </w:sectPr>
      </w:pPr>
      <w:r w:rsidRPr="00CA2CC1">
        <w:rPr>
          <w:rFonts w:cs="Calibri"/>
          <w:color w:val="414042"/>
        </w:rPr>
        <w:t>Employee benefits expense include all costs related to employment including salaries and wages, superannuation, leave</w:t>
      </w:r>
      <w:r w:rsidRPr="00CA2CC1">
        <w:rPr>
          <w:rFonts w:cs="Calibri"/>
          <w:color w:val="414042"/>
          <w:spacing w:val="-6"/>
        </w:rPr>
        <w:t xml:space="preserve"> </w:t>
      </w:r>
      <w:r w:rsidRPr="00CA2CC1">
        <w:rPr>
          <w:rFonts w:cs="Calibri"/>
          <w:color w:val="414042"/>
        </w:rPr>
        <w:t>entitlements,</w:t>
      </w:r>
      <w:r w:rsidRPr="00CA2CC1">
        <w:rPr>
          <w:rFonts w:cs="Calibri"/>
          <w:color w:val="414042"/>
          <w:spacing w:val="-6"/>
        </w:rPr>
        <w:t xml:space="preserve"> </w:t>
      </w:r>
      <w:r w:rsidRPr="00CA2CC1">
        <w:rPr>
          <w:rFonts w:cs="Calibri"/>
          <w:color w:val="414042"/>
        </w:rPr>
        <w:t>fringe</w:t>
      </w:r>
      <w:r w:rsidRPr="00CA2CC1">
        <w:rPr>
          <w:rFonts w:cs="Calibri"/>
          <w:color w:val="414042"/>
          <w:spacing w:val="-6"/>
        </w:rPr>
        <w:t xml:space="preserve"> </w:t>
      </w:r>
      <w:r w:rsidRPr="00CA2CC1">
        <w:rPr>
          <w:rFonts w:cs="Calibri"/>
          <w:color w:val="414042"/>
        </w:rPr>
        <w:t>benefits</w:t>
      </w:r>
      <w:r w:rsidRPr="00CA2CC1">
        <w:rPr>
          <w:rFonts w:cs="Calibri"/>
          <w:color w:val="414042"/>
          <w:spacing w:val="-6"/>
        </w:rPr>
        <w:t xml:space="preserve"> </w:t>
      </w:r>
      <w:r w:rsidRPr="00CA2CC1">
        <w:rPr>
          <w:rFonts w:cs="Calibri"/>
          <w:color w:val="414042"/>
        </w:rPr>
        <w:t>tax,</w:t>
      </w:r>
      <w:r w:rsidRPr="00CA2CC1">
        <w:rPr>
          <w:rFonts w:cs="Calibri"/>
          <w:color w:val="414042"/>
          <w:spacing w:val="-6"/>
        </w:rPr>
        <w:t xml:space="preserve"> </w:t>
      </w:r>
      <w:r w:rsidRPr="00CA2CC1">
        <w:rPr>
          <w:rFonts w:cs="Calibri"/>
          <w:color w:val="414042"/>
        </w:rPr>
        <w:t>redundancy</w:t>
      </w:r>
      <w:r w:rsidRPr="00CA2CC1">
        <w:rPr>
          <w:rFonts w:cs="Calibri"/>
          <w:color w:val="414042"/>
          <w:spacing w:val="-6"/>
        </w:rPr>
        <w:t xml:space="preserve"> </w:t>
      </w:r>
      <w:r w:rsidRPr="00CA2CC1">
        <w:rPr>
          <w:rFonts w:cs="Calibri"/>
          <w:color w:val="414042"/>
        </w:rPr>
        <w:t>payments and WorkCover premiums.</w:t>
      </w:r>
    </w:p>
    <w:p w14:paraId="3BC7A357" w14:textId="77777777" w:rsidR="00FA4226" w:rsidRPr="00CA2CC1" w:rsidRDefault="00FA4226" w:rsidP="0043303B">
      <w:pPr>
        <w:pStyle w:val="BodyText"/>
        <w:spacing w:before="8"/>
        <w:rPr>
          <w:rFonts w:cs="Calibri"/>
        </w:rPr>
      </w:pPr>
    </w:p>
    <w:p w14:paraId="74D20337" w14:textId="77777777" w:rsidR="00FA4226" w:rsidRPr="00396443" w:rsidRDefault="00000000" w:rsidP="0043303B">
      <w:pPr>
        <w:pStyle w:val="Heading7"/>
        <w:numPr>
          <w:ilvl w:val="2"/>
          <w:numId w:val="14"/>
        </w:numPr>
        <w:spacing w:before="60"/>
        <w:ind w:left="0" w:firstLine="0"/>
        <w:rPr>
          <w:rFonts w:cs="Calibri"/>
          <w:color w:val="000000" w:themeColor="text1"/>
        </w:rPr>
      </w:pPr>
      <w:r w:rsidRPr="00396443">
        <w:rPr>
          <w:rFonts w:cs="Calibri"/>
          <w:color w:val="000000" w:themeColor="text1"/>
        </w:rPr>
        <w:t xml:space="preserve">Employee benefits in the balance </w:t>
      </w:r>
      <w:r w:rsidRPr="00396443">
        <w:rPr>
          <w:rFonts w:cs="Calibri"/>
          <w:color w:val="000000" w:themeColor="text1"/>
          <w:spacing w:val="-2"/>
        </w:rPr>
        <w:t>sheet</w:t>
      </w:r>
    </w:p>
    <w:p w14:paraId="37D2412E" w14:textId="77777777" w:rsidR="00FA4226" w:rsidRPr="00CA2CC1" w:rsidRDefault="00000000" w:rsidP="0043303B">
      <w:pPr>
        <w:pStyle w:val="BodyText"/>
        <w:spacing w:before="112"/>
        <w:rPr>
          <w:rFonts w:cs="Calibri"/>
        </w:rPr>
      </w:pPr>
      <w:r w:rsidRPr="00CA2CC1">
        <w:rPr>
          <w:rFonts w:cs="Calibri"/>
          <w:color w:val="414042"/>
        </w:rPr>
        <w:t>Provision is made for benefits accruing to employees in respect</w:t>
      </w:r>
      <w:r w:rsidRPr="00CA2CC1">
        <w:rPr>
          <w:rFonts w:cs="Calibri"/>
          <w:color w:val="414042"/>
          <w:spacing w:val="-4"/>
        </w:rPr>
        <w:t xml:space="preserve"> </w:t>
      </w:r>
      <w:r w:rsidRPr="00CA2CC1">
        <w:rPr>
          <w:rFonts w:cs="Calibri"/>
          <w:color w:val="414042"/>
        </w:rPr>
        <w:t>of</w:t>
      </w:r>
      <w:r w:rsidRPr="00CA2CC1">
        <w:rPr>
          <w:rFonts w:cs="Calibri"/>
          <w:color w:val="414042"/>
          <w:spacing w:val="-4"/>
        </w:rPr>
        <w:t xml:space="preserve"> </w:t>
      </w:r>
      <w:r w:rsidRPr="00CA2CC1">
        <w:rPr>
          <w:rFonts w:cs="Calibri"/>
          <w:color w:val="414042"/>
        </w:rPr>
        <w:t>annual</w:t>
      </w:r>
      <w:r w:rsidRPr="00CA2CC1">
        <w:rPr>
          <w:rFonts w:cs="Calibri"/>
          <w:color w:val="414042"/>
          <w:spacing w:val="-4"/>
        </w:rPr>
        <w:t xml:space="preserve"> </w:t>
      </w:r>
      <w:r w:rsidRPr="00CA2CC1">
        <w:rPr>
          <w:rFonts w:cs="Calibri"/>
          <w:color w:val="414042"/>
        </w:rPr>
        <w:t>leave</w:t>
      </w:r>
      <w:r w:rsidRPr="00CA2CC1">
        <w:rPr>
          <w:rFonts w:cs="Calibri"/>
          <w:color w:val="414042"/>
          <w:spacing w:val="-4"/>
        </w:rPr>
        <w:t xml:space="preserve"> </w:t>
      </w:r>
      <w:r w:rsidRPr="00CA2CC1">
        <w:rPr>
          <w:rFonts w:cs="Calibri"/>
          <w:color w:val="414042"/>
        </w:rPr>
        <w:t>and</w:t>
      </w:r>
      <w:r w:rsidRPr="00CA2CC1">
        <w:rPr>
          <w:rFonts w:cs="Calibri"/>
          <w:color w:val="414042"/>
          <w:spacing w:val="-4"/>
        </w:rPr>
        <w:t xml:space="preserve"> </w:t>
      </w:r>
      <w:r w:rsidRPr="00CA2CC1">
        <w:rPr>
          <w:rFonts w:cs="Calibri"/>
          <w:color w:val="414042"/>
        </w:rPr>
        <w:t>long</w:t>
      </w:r>
      <w:r w:rsidRPr="00CA2CC1">
        <w:rPr>
          <w:rFonts w:cs="Calibri"/>
          <w:color w:val="414042"/>
          <w:spacing w:val="-4"/>
        </w:rPr>
        <w:t xml:space="preserve"> </w:t>
      </w:r>
      <w:r w:rsidRPr="00CA2CC1">
        <w:rPr>
          <w:rFonts w:cs="Calibri"/>
          <w:color w:val="414042"/>
        </w:rPr>
        <w:t>service</w:t>
      </w:r>
      <w:r w:rsidRPr="00CA2CC1">
        <w:rPr>
          <w:rFonts w:cs="Calibri"/>
          <w:color w:val="414042"/>
          <w:spacing w:val="-4"/>
        </w:rPr>
        <w:t xml:space="preserve"> </w:t>
      </w:r>
      <w:r w:rsidRPr="00CA2CC1">
        <w:rPr>
          <w:rFonts w:cs="Calibri"/>
          <w:color w:val="414042"/>
        </w:rPr>
        <w:t>leave</w:t>
      </w:r>
      <w:r w:rsidRPr="00CA2CC1">
        <w:rPr>
          <w:rFonts w:cs="Calibri"/>
          <w:color w:val="414042"/>
          <w:spacing w:val="-4"/>
        </w:rPr>
        <w:t xml:space="preserve"> </w:t>
      </w:r>
      <w:r w:rsidRPr="00CA2CC1">
        <w:rPr>
          <w:rFonts w:cs="Calibri"/>
          <w:color w:val="414042"/>
        </w:rPr>
        <w:t>for</w:t>
      </w:r>
      <w:r w:rsidRPr="00CA2CC1">
        <w:rPr>
          <w:rFonts w:cs="Calibri"/>
          <w:color w:val="414042"/>
          <w:spacing w:val="-4"/>
        </w:rPr>
        <w:t xml:space="preserve"> </w:t>
      </w:r>
      <w:r w:rsidRPr="00CA2CC1">
        <w:rPr>
          <w:rFonts w:cs="Calibri"/>
          <w:color w:val="414042"/>
        </w:rPr>
        <w:t>services rendered up to the reporting date and recorded as an expense during the period the services are delivered.</w:t>
      </w:r>
    </w:p>
    <w:p w14:paraId="181B4047" w14:textId="77777777" w:rsidR="00FA4226" w:rsidRPr="00CA2CC1" w:rsidRDefault="00FA4226" w:rsidP="0043303B">
      <w:pPr>
        <w:pStyle w:val="BodyText"/>
        <w:spacing w:before="9"/>
        <w:rPr>
          <w:rFonts w:cs="Calibri"/>
          <w:sz w:val="9"/>
        </w:rPr>
      </w:pPr>
    </w:p>
    <w:tbl>
      <w:tblPr>
        <w:tblW w:w="9637" w:type="dxa"/>
        <w:tblBorders>
          <w:top w:val="single" w:sz="4" w:space="0" w:color="C48F1B"/>
          <w:left w:val="single" w:sz="4" w:space="0" w:color="C48F1B"/>
          <w:bottom w:val="single" w:sz="4" w:space="0" w:color="C48F1B"/>
          <w:right w:val="single" w:sz="4" w:space="0" w:color="C48F1B"/>
          <w:insideH w:val="single" w:sz="4" w:space="0" w:color="C48F1B"/>
          <w:insideV w:val="single" w:sz="4" w:space="0" w:color="C48F1B"/>
        </w:tblBorders>
        <w:tblLayout w:type="fixed"/>
        <w:tblCellMar>
          <w:left w:w="0" w:type="dxa"/>
          <w:right w:w="0" w:type="dxa"/>
        </w:tblCellMar>
        <w:tblLook w:val="01E0" w:firstRow="1" w:lastRow="1" w:firstColumn="1" w:lastColumn="1" w:noHBand="0" w:noVBand="0"/>
      </w:tblPr>
      <w:tblGrid>
        <w:gridCol w:w="6633"/>
        <w:gridCol w:w="1502"/>
        <w:gridCol w:w="1502"/>
      </w:tblGrid>
      <w:tr w:rsidR="00FA4226" w:rsidRPr="00CA2CC1" w14:paraId="2BA150CB" w14:textId="77777777" w:rsidTr="00835909">
        <w:trPr>
          <w:trHeight w:val="544"/>
        </w:trPr>
        <w:tc>
          <w:tcPr>
            <w:tcW w:w="6633" w:type="dxa"/>
            <w:tcBorders>
              <w:top w:val="nil"/>
              <w:left w:val="nil"/>
              <w:right w:val="nil"/>
            </w:tcBorders>
          </w:tcPr>
          <w:p w14:paraId="687DB0F8" w14:textId="77777777" w:rsidR="00FA4226" w:rsidRPr="00CA2CC1" w:rsidRDefault="00FA4226" w:rsidP="0043303B">
            <w:pPr>
              <w:pStyle w:val="TableParagraph"/>
              <w:jc w:val="left"/>
              <w:rPr>
                <w:rFonts w:cs="Calibri"/>
                <w:sz w:val="16"/>
              </w:rPr>
            </w:pPr>
          </w:p>
        </w:tc>
        <w:tc>
          <w:tcPr>
            <w:tcW w:w="1502" w:type="dxa"/>
            <w:tcBorders>
              <w:top w:val="nil"/>
              <w:left w:val="nil"/>
              <w:right w:val="single" w:sz="8" w:space="0" w:color="FFFFFF"/>
            </w:tcBorders>
            <w:shd w:val="clear" w:color="auto" w:fill="FFF0E7"/>
            <w:tcMar>
              <w:right w:w="57" w:type="dxa"/>
            </w:tcMar>
          </w:tcPr>
          <w:p w14:paraId="38FAF761" w14:textId="77777777" w:rsidR="00FA4226" w:rsidRPr="00CA2CC1" w:rsidRDefault="00000000" w:rsidP="0043303B">
            <w:pPr>
              <w:pStyle w:val="TableParagraph"/>
              <w:spacing w:before="39"/>
              <w:rPr>
                <w:rFonts w:cs="Calibri"/>
                <w:sz w:val="17"/>
              </w:rPr>
            </w:pPr>
            <w:r w:rsidRPr="00CA2CC1">
              <w:rPr>
                <w:rFonts w:cs="Calibri"/>
                <w:color w:val="F68C59"/>
                <w:spacing w:val="-4"/>
                <w:sz w:val="17"/>
              </w:rPr>
              <w:t>2023</w:t>
            </w:r>
          </w:p>
          <w:p w14:paraId="0EF1238D" w14:textId="77777777" w:rsidR="00FA4226" w:rsidRPr="00CA2CC1" w:rsidRDefault="00000000" w:rsidP="0043303B">
            <w:pPr>
              <w:pStyle w:val="TableParagraph"/>
              <w:spacing w:before="1"/>
              <w:rPr>
                <w:rFonts w:cs="Calibri"/>
                <w:sz w:val="17"/>
              </w:rPr>
            </w:pPr>
            <w:r w:rsidRPr="00CA2CC1">
              <w:rPr>
                <w:rFonts w:cs="Calibri"/>
                <w:color w:val="F68C59"/>
                <w:sz w:val="17"/>
              </w:rPr>
              <w:t>$</w:t>
            </w:r>
          </w:p>
        </w:tc>
        <w:tc>
          <w:tcPr>
            <w:tcW w:w="1502" w:type="dxa"/>
            <w:tcBorders>
              <w:top w:val="nil"/>
              <w:left w:val="single" w:sz="8" w:space="0" w:color="FFFFFF"/>
              <w:right w:val="nil"/>
            </w:tcBorders>
            <w:shd w:val="clear" w:color="auto" w:fill="EDEFF0"/>
            <w:tcMar>
              <w:right w:w="57" w:type="dxa"/>
            </w:tcMar>
          </w:tcPr>
          <w:p w14:paraId="53ED8D7F" w14:textId="77777777" w:rsidR="00FA4226" w:rsidRPr="00CA2CC1" w:rsidRDefault="00000000" w:rsidP="0043303B">
            <w:pPr>
              <w:pStyle w:val="TableParagraph"/>
              <w:spacing w:before="39"/>
              <w:rPr>
                <w:rFonts w:cs="Calibri"/>
                <w:sz w:val="17"/>
              </w:rPr>
            </w:pPr>
            <w:r w:rsidRPr="00CA2CC1">
              <w:rPr>
                <w:rFonts w:cs="Calibri"/>
                <w:color w:val="F68C59"/>
                <w:spacing w:val="-4"/>
                <w:sz w:val="17"/>
              </w:rPr>
              <w:t>2022</w:t>
            </w:r>
          </w:p>
          <w:p w14:paraId="5B5A2098" w14:textId="77777777" w:rsidR="00FA4226" w:rsidRPr="00CA2CC1" w:rsidRDefault="00000000" w:rsidP="0043303B">
            <w:pPr>
              <w:pStyle w:val="TableParagraph"/>
              <w:spacing w:before="1"/>
              <w:rPr>
                <w:rFonts w:cs="Calibri"/>
                <w:sz w:val="17"/>
              </w:rPr>
            </w:pPr>
            <w:r w:rsidRPr="00CA2CC1">
              <w:rPr>
                <w:rFonts w:cs="Calibri"/>
                <w:color w:val="F68C59"/>
                <w:sz w:val="17"/>
              </w:rPr>
              <w:t>$</w:t>
            </w:r>
          </w:p>
        </w:tc>
      </w:tr>
      <w:tr w:rsidR="00FA4226" w:rsidRPr="00CA2CC1" w14:paraId="1881163F" w14:textId="77777777" w:rsidTr="00835909">
        <w:trPr>
          <w:trHeight w:val="569"/>
        </w:trPr>
        <w:tc>
          <w:tcPr>
            <w:tcW w:w="6633" w:type="dxa"/>
            <w:tcBorders>
              <w:left w:val="nil"/>
              <w:bottom w:val="single" w:sz="2" w:space="0" w:color="73777A"/>
              <w:right w:val="nil"/>
            </w:tcBorders>
          </w:tcPr>
          <w:p w14:paraId="66A552F6" w14:textId="77777777" w:rsidR="00FA4226" w:rsidRPr="00CA2CC1" w:rsidRDefault="00FA4226" w:rsidP="0043303B">
            <w:pPr>
              <w:pStyle w:val="TableParagraph"/>
              <w:spacing w:before="8"/>
              <w:jc w:val="left"/>
              <w:rPr>
                <w:rFonts w:cs="Calibri"/>
                <w:sz w:val="20"/>
              </w:rPr>
            </w:pPr>
          </w:p>
          <w:p w14:paraId="6F6C91B0" w14:textId="77777777" w:rsidR="00FA4226" w:rsidRPr="00CA2CC1" w:rsidRDefault="00000000" w:rsidP="0043303B">
            <w:pPr>
              <w:pStyle w:val="TableParagraph"/>
              <w:jc w:val="left"/>
              <w:rPr>
                <w:rFonts w:cs="Calibri"/>
                <w:sz w:val="18"/>
              </w:rPr>
            </w:pPr>
            <w:r w:rsidRPr="00CA2CC1">
              <w:rPr>
                <w:rFonts w:cs="Calibri"/>
                <w:color w:val="F68C59"/>
                <w:sz w:val="18"/>
              </w:rPr>
              <w:t>Current</w:t>
            </w:r>
            <w:r w:rsidRPr="00CA2CC1">
              <w:rPr>
                <w:rFonts w:cs="Calibri"/>
                <w:color w:val="F68C59"/>
                <w:spacing w:val="11"/>
                <w:sz w:val="18"/>
              </w:rPr>
              <w:t xml:space="preserve"> </w:t>
            </w:r>
            <w:r w:rsidRPr="00CA2CC1">
              <w:rPr>
                <w:rFonts w:cs="Calibri"/>
                <w:color w:val="F68C59"/>
                <w:spacing w:val="-2"/>
                <w:sz w:val="18"/>
              </w:rPr>
              <w:t>provisions:</w:t>
            </w:r>
          </w:p>
        </w:tc>
        <w:tc>
          <w:tcPr>
            <w:tcW w:w="1502" w:type="dxa"/>
            <w:tcBorders>
              <w:left w:val="nil"/>
              <w:bottom w:val="single" w:sz="2" w:space="0" w:color="73777A"/>
              <w:right w:val="single" w:sz="8" w:space="0" w:color="FFFFFF"/>
            </w:tcBorders>
            <w:shd w:val="clear" w:color="auto" w:fill="FFF0E7"/>
            <w:tcMar>
              <w:right w:w="57" w:type="dxa"/>
            </w:tcMar>
          </w:tcPr>
          <w:p w14:paraId="331E037A" w14:textId="77777777" w:rsidR="00FA4226" w:rsidRPr="00CA2CC1" w:rsidRDefault="00FA4226" w:rsidP="0043303B">
            <w:pPr>
              <w:pStyle w:val="TableParagraph"/>
              <w:jc w:val="left"/>
              <w:rPr>
                <w:rFonts w:cs="Calibri"/>
                <w:sz w:val="16"/>
              </w:rPr>
            </w:pPr>
          </w:p>
        </w:tc>
        <w:tc>
          <w:tcPr>
            <w:tcW w:w="1502" w:type="dxa"/>
            <w:tcBorders>
              <w:left w:val="single" w:sz="8" w:space="0" w:color="FFFFFF"/>
              <w:bottom w:val="single" w:sz="2" w:space="0" w:color="73777A"/>
              <w:right w:val="nil"/>
            </w:tcBorders>
            <w:shd w:val="clear" w:color="auto" w:fill="EDEFF0"/>
            <w:tcMar>
              <w:right w:w="57" w:type="dxa"/>
            </w:tcMar>
          </w:tcPr>
          <w:p w14:paraId="2178206F" w14:textId="77777777" w:rsidR="00FA4226" w:rsidRPr="00CA2CC1" w:rsidRDefault="00FA4226" w:rsidP="0043303B">
            <w:pPr>
              <w:pStyle w:val="TableParagraph"/>
              <w:jc w:val="left"/>
              <w:rPr>
                <w:rFonts w:cs="Calibri"/>
                <w:sz w:val="16"/>
              </w:rPr>
            </w:pPr>
          </w:p>
        </w:tc>
      </w:tr>
      <w:tr w:rsidR="00FA4226" w:rsidRPr="00CA2CC1" w14:paraId="12AEBCD7" w14:textId="77777777" w:rsidTr="00835909">
        <w:trPr>
          <w:trHeight w:val="283"/>
        </w:trPr>
        <w:tc>
          <w:tcPr>
            <w:tcW w:w="6633" w:type="dxa"/>
            <w:tcBorders>
              <w:top w:val="single" w:sz="2" w:space="0" w:color="73777A"/>
              <w:left w:val="nil"/>
              <w:bottom w:val="single" w:sz="2" w:space="0" w:color="73777A"/>
              <w:right w:val="nil"/>
            </w:tcBorders>
          </w:tcPr>
          <w:p w14:paraId="2B3F3326" w14:textId="77777777" w:rsidR="00FA4226" w:rsidRPr="00CA2CC1" w:rsidRDefault="00000000" w:rsidP="0043303B">
            <w:pPr>
              <w:pStyle w:val="TableParagraph"/>
              <w:jc w:val="left"/>
              <w:rPr>
                <w:rFonts w:cs="Calibri"/>
                <w:sz w:val="18"/>
              </w:rPr>
            </w:pPr>
            <w:r w:rsidRPr="00CA2CC1">
              <w:rPr>
                <w:rFonts w:cs="Calibri"/>
                <w:color w:val="F68C59"/>
                <w:sz w:val="18"/>
              </w:rPr>
              <w:t>Annual</w:t>
            </w:r>
            <w:r w:rsidRPr="00CA2CC1">
              <w:rPr>
                <w:rFonts w:cs="Calibri"/>
                <w:color w:val="F68C59"/>
                <w:spacing w:val="10"/>
                <w:sz w:val="18"/>
              </w:rPr>
              <w:t xml:space="preserve"> </w:t>
            </w:r>
            <w:r w:rsidRPr="00CA2CC1">
              <w:rPr>
                <w:rFonts w:cs="Calibri"/>
                <w:color w:val="F68C59"/>
                <w:spacing w:val="-4"/>
                <w:sz w:val="18"/>
              </w:rPr>
              <w:t>leave</w:t>
            </w:r>
          </w:p>
        </w:tc>
        <w:tc>
          <w:tcPr>
            <w:tcW w:w="1502" w:type="dxa"/>
            <w:tcBorders>
              <w:top w:val="single" w:sz="2" w:space="0" w:color="73777A"/>
              <w:left w:val="nil"/>
              <w:bottom w:val="single" w:sz="2" w:space="0" w:color="73777A"/>
              <w:right w:val="single" w:sz="8" w:space="0" w:color="FFFFFF"/>
            </w:tcBorders>
            <w:shd w:val="clear" w:color="auto" w:fill="FFF0E7"/>
            <w:tcMar>
              <w:right w:w="57" w:type="dxa"/>
            </w:tcMar>
          </w:tcPr>
          <w:p w14:paraId="3299FE7D" w14:textId="77777777" w:rsidR="00FA4226" w:rsidRPr="00CA2CC1" w:rsidRDefault="00FA4226" w:rsidP="0043303B">
            <w:pPr>
              <w:pStyle w:val="TableParagraph"/>
              <w:jc w:val="left"/>
              <w:rPr>
                <w:rFonts w:cs="Calibri"/>
                <w:sz w:val="16"/>
              </w:rPr>
            </w:pPr>
          </w:p>
        </w:tc>
        <w:tc>
          <w:tcPr>
            <w:tcW w:w="1502" w:type="dxa"/>
            <w:tcBorders>
              <w:top w:val="single" w:sz="2" w:space="0" w:color="73777A"/>
              <w:left w:val="single" w:sz="8" w:space="0" w:color="FFFFFF"/>
              <w:bottom w:val="single" w:sz="2" w:space="0" w:color="73777A"/>
              <w:right w:val="nil"/>
            </w:tcBorders>
            <w:shd w:val="clear" w:color="auto" w:fill="EDEFF0"/>
            <w:tcMar>
              <w:right w:w="57" w:type="dxa"/>
            </w:tcMar>
          </w:tcPr>
          <w:p w14:paraId="58C4D867" w14:textId="77777777" w:rsidR="00FA4226" w:rsidRPr="00CA2CC1" w:rsidRDefault="00FA4226" w:rsidP="0043303B">
            <w:pPr>
              <w:pStyle w:val="TableParagraph"/>
              <w:jc w:val="left"/>
              <w:rPr>
                <w:rFonts w:cs="Calibri"/>
                <w:sz w:val="16"/>
              </w:rPr>
            </w:pPr>
          </w:p>
        </w:tc>
      </w:tr>
      <w:tr w:rsidR="00FA4226" w:rsidRPr="00CA2CC1" w14:paraId="22F000D0" w14:textId="77777777" w:rsidTr="00835909">
        <w:trPr>
          <w:trHeight w:val="283"/>
        </w:trPr>
        <w:tc>
          <w:tcPr>
            <w:tcW w:w="6633" w:type="dxa"/>
            <w:tcBorders>
              <w:top w:val="single" w:sz="2" w:space="0" w:color="73777A"/>
              <w:left w:val="nil"/>
              <w:bottom w:val="single" w:sz="2" w:space="0" w:color="73777A"/>
              <w:right w:val="nil"/>
            </w:tcBorders>
          </w:tcPr>
          <w:p w14:paraId="548F3A47" w14:textId="77777777" w:rsidR="00FA4226" w:rsidRPr="00CA2CC1" w:rsidRDefault="00000000" w:rsidP="0043303B">
            <w:pPr>
              <w:pStyle w:val="TableParagraph"/>
              <w:jc w:val="left"/>
              <w:rPr>
                <w:rFonts w:cs="Calibri"/>
                <w:sz w:val="10"/>
              </w:rPr>
            </w:pPr>
            <w:r w:rsidRPr="00CA2CC1">
              <w:rPr>
                <w:rFonts w:cs="Calibri"/>
                <w:color w:val="414042"/>
                <w:sz w:val="18"/>
              </w:rPr>
              <w:t>Unconditional</w:t>
            </w:r>
            <w:r w:rsidRPr="00CA2CC1">
              <w:rPr>
                <w:rFonts w:cs="Calibri"/>
                <w:color w:val="414042"/>
                <w:spacing w:val="2"/>
                <w:sz w:val="18"/>
              </w:rPr>
              <w:t xml:space="preserve"> </w:t>
            </w:r>
            <w:r w:rsidRPr="00CA2CC1">
              <w:rPr>
                <w:rFonts w:cs="Calibri"/>
                <w:color w:val="414042"/>
                <w:sz w:val="18"/>
              </w:rPr>
              <w:t>and</w:t>
            </w:r>
            <w:r w:rsidRPr="00CA2CC1">
              <w:rPr>
                <w:rFonts w:cs="Calibri"/>
                <w:color w:val="414042"/>
                <w:spacing w:val="3"/>
                <w:sz w:val="18"/>
              </w:rPr>
              <w:t xml:space="preserve"> </w:t>
            </w:r>
            <w:r w:rsidRPr="00CA2CC1">
              <w:rPr>
                <w:rFonts w:cs="Calibri"/>
                <w:color w:val="414042"/>
                <w:sz w:val="18"/>
              </w:rPr>
              <w:t>expected</w:t>
            </w:r>
            <w:r w:rsidRPr="00CA2CC1">
              <w:rPr>
                <w:rFonts w:cs="Calibri"/>
                <w:color w:val="414042"/>
                <w:spacing w:val="2"/>
                <w:sz w:val="18"/>
              </w:rPr>
              <w:t xml:space="preserve"> </w:t>
            </w:r>
            <w:r w:rsidRPr="00CA2CC1">
              <w:rPr>
                <w:rFonts w:cs="Calibri"/>
                <w:color w:val="414042"/>
                <w:sz w:val="18"/>
              </w:rPr>
              <w:t>to</w:t>
            </w:r>
            <w:r w:rsidRPr="00CA2CC1">
              <w:rPr>
                <w:rFonts w:cs="Calibri"/>
                <w:color w:val="414042"/>
                <w:spacing w:val="3"/>
                <w:sz w:val="18"/>
              </w:rPr>
              <w:t xml:space="preserve"> </w:t>
            </w:r>
            <w:r w:rsidRPr="00CA2CC1">
              <w:rPr>
                <w:rFonts w:cs="Calibri"/>
                <w:color w:val="414042"/>
                <w:sz w:val="18"/>
              </w:rPr>
              <w:t>settle</w:t>
            </w:r>
            <w:r w:rsidRPr="00CA2CC1">
              <w:rPr>
                <w:rFonts w:cs="Calibri"/>
                <w:color w:val="414042"/>
                <w:spacing w:val="2"/>
                <w:sz w:val="18"/>
              </w:rPr>
              <w:t xml:space="preserve"> </w:t>
            </w:r>
            <w:r w:rsidRPr="00CA2CC1">
              <w:rPr>
                <w:rFonts w:cs="Calibri"/>
                <w:color w:val="414042"/>
                <w:sz w:val="18"/>
              </w:rPr>
              <w:t>within</w:t>
            </w:r>
            <w:r w:rsidRPr="00CA2CC1">
              <w:rPr>
                <w:rFonts w:cs="Calibri"/>
                <w:color w:val="414042"/>
                <w:spacing w:val="3"/>
                <w:sz w:val="18"/>
              </w:rPr>
              <w:t xml:space="preserve"> </w:t>
            </w:r>
            <w:r w:rsidRPr="00CA2CC1">
              <w:rPr>
                <w:rFonts w:cs="Calibri"/>
                <w:color w:val="414042"/>
                <w:sz w:val="18"/>
              </w:rPr>
              <w:t>12</w:t>
            </w:r>
            <w:r w:rsidRPr="00CA2CC1">
              <w:rPr>
                <w:rFonts w:cs="Calibri"/>
                <w:color w:val="414042"/>
                <w:spacing w:val="2"/>
                <w:sz w:val="18"/>
              </w:rPr>
              <w:t xml:space="preserve"> </w:t>
            </w:r>
            <w:r w:rsidRPr="00CA2CC1">
              <w:rPr>
                <w:rFonts w:cs="Calibri"/>
                <w:color w:val="414042"/>
                <w:sz w:val="18"/>
              </w:rPr>
              <w:t>months</w:t>
            </w:r>
            <w:r w:rsidRPr="00CA2CC1">
              <w:rPr>
                <w:rFonts w:cs="Calibri"/>
                <w:color w:val="414042"/>
                <w:spacing w:val="3"/>
                <w:sz w:val="18"/>
              </w:rPr>
              <w:t xml:space="preserve"> </w:t>
            </w:r>
            <w:r w:rsidRPr="00CA2CC1">
              <w:rPr>
                <w:rFonts w:cs="Calibri"/>
                <w:color w:val="414042"/>
                <w:spacing w:val="-5"/>
                <w:position w:val="6"/>
                <w:sz w:val="10"/>
              </w:rPr>
              <w:t>(i)</w:t>
            </w:r>
          </w:p>
        </w:tc>
        <w:tc>
          <w:tcPr>
            <w:tcW w:w="1502" w:type="dxa"/>
            <w:tcBorders>
              <w:top w:val="single" w:sz="2" w:space="0" w:color="73777A"/>
              <w:left w:val="nil"/>
              <w:bottom w:val="single" w:sz="2" w:space="0" w:color="73777A"/>
              <w:right w:val="single" w:sz="8" w:space="0" w:color="FFFFFF"/>
            </w:tcBorders>
            <w:shd w:val="clear" w:color="auto" w:fill="FFF0E7"/>
            <w:tcMar>
              <w:right w:w="57" w:type="dxa"/>
            </w:tcMar>
          </w:tcPr>
          <w:p w14:paraId="15BB9C26" w14:textId="77777777" w:rsidR="00FA4226" w:rsidRPr="00CA2CC1" w:rsidRDefault="00000000" w:rsidP="0043303B">
            <w:pPr>
              <w:pStyle w:val="TableParagraph"/>
              <w:rPr>
                <w:rFonts w:cs="Calibri"/>
                <w:sz w:val="18"/>
              </w:rPr>
            </w:pPr>
            <w:r w:rsidRPr="00CA2CC1">
              <w:rPr>
                <w:rFonts w:cs="Calibri"/>
                <w:color w:val="414042"/>
                <w:spacing w:val="-2"/>
                <w:sz w:val="18"/>
              </w:rPr>
              <w:t>348,534</w:t>
            </w:r>
          </w:p>
        </w:tc>
        <w:tc>
          <w:tcPr>
            <w:tcW w:w="1502" w:type="dxa"/>
            <w:tcBorders>
              <w:top w:val="single" w:sz="2" w:space="0" w:color="73777A"/>
              <w:left w:val="single" w:sz="8" w:space="0" w:color="FFFFFF"/>
              <w:bottom w:val="single" w:sz="2" w:space="0" w:color="73777A"/>
              <w:right w:val="nil"/>
            </w:tcBorders>
            <w:shd w:val="clear" w:color="auto" w:fill="EDEFF0"/>
            <w:tcMar>
              <w:right w:w="57" w:type="dxa"/>
            </w:tcMar>
          </w:tcPr>
          <w:p w14:paraId="596215ED" w14:textId="77777777" w:rsidR="00FA4226" w:rsidRPr="00CA2CC1" w:rsidRDefault="00000000" w:rsidP="0043303B">
            <w:pPr>
              <w:pStyle w:val="TableParagraph"/>
              <w:rPr>
                <w:rFonts w:cs="Calibri"/>
                <w:sz w:val="18"/>
              </w:rPr>
            </w:pPr>
            <w:r w:rsidRPr="00CA2CC1">
              <w:rPr>
                <w:rFonts w:cs="Calibri"/>
                <w:color w:val="414042"/>
                <w:spacing w:val="-2"/>
                <w:sz w:val="18"/>
              </w:rPr>
              <w:t>320,715</w:t>
            </w:r>
          </w:p>
        </w:tc>
      </w:tr>
      <w:tr w:rsidR="00FA4226" w:rsidRPr="00CA2CC1" w14:paraId="318B08DD" w14:textId="77777777" w:rsidTr="00835909">
        <w:trPr>
          <w:trHeight w:val="283"/>
        </w:trPr>
        <w:tc>
          <w:tcPr>
            <w:tcW w:w="6633" w:type="dxa"/>
            <w:tcBorders>
              <w:top w:val="single" w:sz="2" w:space="0" w:color="73777A"/>
              <w:left w:val="nil"/>
              <w:bottom w:val="single" w:sz="2" w:space="0" w:color="73777A"/>
              <w:right w:val="nil"/>
            </w:tcBorders>
          </w:tcPr>
          <w:p w14:paraId="6C5BEBA0" w14:textId="77777777" w:rsidR="00FA4226" w:rsidRPr="00CA2CC1" w:rsidRDefault="00000000" w:rsidP="0043303B">
            <w:pPr>
              <w:pStyle w:val="TableParagraph"/>
              <w:jc w:val="left"/>
              <w:rPr>
                <w:rFonts w:cs="Calibri"/>
                <w:sz w:val="10"/>
              </w:rPr>
            </w:pPr>
            <w:r w:rsidRPr="00CA2CC1">
              <w:rPr>
                <w:rFonts w:cs="Calibri"/>
                <w:color w:val="414042"/>
                <w:sz w:val="18"/>
              </w:rPr>
              <w:t>Unconditional</w:t>
            </w:r>
            <w:r w:rsidRPr="00CA2CC1">
              <w:rPr>
                <w:rFonts w:cs="Calibri"/>
                <w:color w:val="414042"/>
                <w:spacing w:val="2"/>
                <w:sz w:val="18"/>
              </w:rPr>
              <w:t xml:space="preserve"> </w:t>
            </w:r>
            <w:r w:rsidRPr="00CA2CC1">
              <w:rPr>
                <w:rFonts w:cs="Calibri"/>
                <w:color w:val="414042"/>
                <w:sz w:val="18"/>
              </w:rPr>
              <w:t>and</w:t>
            </w:r>
            <w:r w:rsidRPr="00CA2CC1">
              <w:rPr>
                <w:rFonts w:cs="Calibri"/>
                <w:color w:val="414042"/>
                <w:spacing w:val="3"/>
                <w:sz w:val="18"/>
              </w:rPr>
              <w:t xml:space="preserve"> </w:t>
            </w:r>
            <w:r w:rsidRPr="00CA2CC1">
              <w:rPr>
                <w:rFonts w:cs="Calibri"/>
                <w:color w:val="414042"/>
                <w:sz w:val="18"/>
              </w:rPr>
              <w:t>expected</w:t>
            </w:r>
            <w:r w:rsidRPr="00CA2CC1">
              <w:rPr>
                <w:rFonts w:cs="Calibri"/>
                <w:color w:val="414042"/>
                <w:spacing w:val="2"/>
                <w:sz w:val="18"/>
              </w:rPr>
              <w:t xml:space="preserve"> </w:t>
            </w:r>
            <w:r w:rsidRPr="00CA2CC1">
              <w:rPr>
                <w:rFonts w:cs="Calibri"/>
                <w:color w:val="414042"/>
                <w:sz w:val="18"/>
              </w:rPr>
              <w:t>to</w:t>
            </w:r>
            <w:r w:rsidRPr="00CA2CC1">
              <w:rPr>
                <w:rFonts w:cs="Calibri"/>
                <w:color w:val="414042"/>
                <w:spacing w:val="3"/>
                <w:sz w:val="18"/>
              </w:rPr>
              <w:t xml:space="preserve"> </w:t>
            </w:r>
            <w:r w:rsidRPr="00CA2CC1">
              <w:rPr>
                <w:rFonts w:cs="Calibri"/>
                <w:color w:val="414042"/>
                <w:sz w:val="18"/>
              </w:rPr>
              <w:t>settle</w:t>
            </w:r>
            <w:r w:rsidRPr="00CA2CC1">
              <w:rPr>
                <w:rFonts w:cs="Calibri"/>
                <w:color w:val="414042"/>
                <w:spacing w:val="3"/>
                <w:sz w:val="18"/>
              </w:rPr>
              <w:t xml:space="preserve"> </w:t>
            </w:r>
            <w:r w:rsidRPr="00CA2CC1">
              <w:rPr>
                <w:rFonts w:cs="Calibri"/>
                <w:color w:val="414042"/>
                <w:sz w:val="18"/>
              </w:rPr>
              <w:t>after</w:t>
            </w:r>
            <w:r w:rsidRPr="00CA2CC1">
              <w:rPr>
                <w:rFonts w:cs="Calibri"/>
                <w:color w:val="414042"/>
                <w:spacing w:val="2"/>
                <w:sz w:val="18"/>
              </w:rPr>
              <w:t xml:space="preserve"> </w:t>
            </w:r>
            <w:r w:rsidRPr="00CA2CC1">
              <w:rPr>
                <w:rFonts w:cs="Calibri"/>
                <w:color w:val="414042"/>
                <w:sz w:val="18"/>
              </w:rPr>
              <w:t>12</w:t>
            </w:r>
            <w:r w:rsidRPr="00CA2CC1">
              <w:rPr>
                <w:rFonts w:cs="Calibri"/>
                <w:color w:val="414042"/>
                <w:spacing w:val="3"/>
                <w:sz w:val="18"/>
              </w:rPr>
              <w:t xml:space="preserve"> </w:t>
            </w:r>
            <w:r w:rsidRPr="00CA2CC1">
              <w:rPr>
                <w:rFonts w:cs="Calibri"/>
                <w:color w:val="414042"/>
                <w:sz w:val="18"/>
              </w:rPr>
              <w:t>months</w:t>
            </w:r>
            <w:r w:rsidRPr="00CA2CC1">
              <w:rPr>
                <w:rFonts w:cs="Calibri"/>
                <w:color w:val="414042"/>
                <w:spacing w:val="2"/>
                <w:sz w:val="18"/>
              </w:rPr>
              <w:t xml:space="preserve"> </w:t>
            </w:r>
            <w:r w:rsidRPr="00CA2CC1">
              <w:rPr>
                <w:rFonts w:cs="Calibri"/>
                <w:color w:val="414042"/>
                <w:spacing w:val="-5"/>
                <w:position w:val="6"/>
                <w:sz w:val="10"/>
              </w:rPr>
              <w:t>(i)</w:t>
            </w:r>
          </w:p>
        </w:tc>
        <w:tc>
          <w:tcPr>
            <w:tcW w:w="1502" w:type="dxa"/>
            <w:tcBorders>
              <w:top w:val="single" w:sz="2" w:space="0" w:color="73777A"/>
              <w:left w:val="nil"/>
              <w:bottom w:val="single" w:sz="2" w:space="0" w:color="73777A"/>
              <w:right w:val="single" w:sz="8" w:space="0" w:color="FFFFFF"/>
            </w:tcBorders>
            <w:shd w:val="clear" w:color="auto" w:fill="FFF0E7"/>
            <w:tcMar>
              <w:right w:w="57" w:type="dxa"/>
            </w:tcMar>
          </w:tcPr>
          <w:p w14:paraId="1D6B3E95" w14:textId="77777777" w:rsidR="00FA4226" w:rsidRPr="00CA2CC1" w:rsidRDefault="00000000" w:rsidP="0043303B">
            <w:pPr>
              <w:pStyle w:val="TableParagraph"/>
              <w:rPr>
                <w:rFonts w:cs="Calibri"/>
                <w:sz w:val="18"/>
              </w:rPr>
            </w:pPr>
            <w:r w:rsidRPr="00CA2CC1">
              <w:rPr>
                <w:rFonts w:cs="Calibri"/>
                <w:color w:val="414042"/>
                <w:spacing w:val="-2"/>
                <w:sz w:val="18"/>
              </w:rPr>
              <w:t>117,790</w:t>
            </w:r>
          </w:p>
        </w:tc>
        <w:tc>
          <w:tcPr>
            <w:tcW w:w="1502" w:type="dxa"/>
            <w:tcBorders>
              <w:top w:val="single" w:sz="2" w:space="0" w:color="73777A"/>
              <w:left w:val="single" w:sz="8" w:space="0" w:color="FFFFFF"/>
              <w:bottom w:val="single" w:sz="2" w:space="0" w:color="73777A"/>
              <w:right w:val="nil"/>
            </w:tcBorders>
            <w:shd w:val="clear" w:color="auto" w:fill="EDEFF0"/>
            <w:tcMar>
              <w:right w:w="57" w:type="dxa"/>
            </w:tcMar>
          </w:tcPr>
          <w:p w14:paraId="364C8B5C" w14:textId="77777777" w:rsidR="00FA4226" w:rsidRPr="00CA2CC1" w:rsidRDefault="00000000" w:rsidP="0043303B">
            <w:pPr>
              <w:pStyle w:val="TableParagraph"/>
              <w:rPr>
                <w:rFonts w:cs="Calibri"/>
                <w:sz w:val="18"/>
              </w:rPr>
            </w:pPr>
            <w:r w:rsidRPr="00CA2CC1">
              <w:rPr>
                <w:rFonts w:cs="Calibri"/>
                <w:color w:val="414042"/>
                <w:spacing w:val="-2"/>
                <w:sz w:val="18"/>
              </w:rPr>
              <w:t>124,168</w:t>
            </w:r>
          </w:p>
        </w:tc>
      </w:tr>
      <w:tr w:rsidR="00FA4226" w:rsidRPr="00CA2CC1" w14:paraId="78970A4E" w14:textId="77777777" w:rsidTr="00835909">
        <w:trPr>
          <w:trHeight w:val="283"/>
        </w:trPr>
        <w:tc>
          <w:tcPr>
            <w:tcW w:w="6633" w:type="dxa"/>
            <w:tcBorders>
              <w:top w:val="single" w:sz="2" w:space="0" w:color="73777A"/>
              <w:left w:val="nil"/>
              <w:bottom w:val="single" w:sz="2" w:space="0" w:color="73777A"/>
              <w:right w:val="nil"/>
            </w:tcBorders>
          </w:tcPr>
          <w:p w14:paraId="3DDFC1DB" w14:textId="77777777" w:rsidR="00FA4226" w:rsidRPr="00CA2CC1" w:rsidRDefault="00000000" w:rsidP="0043303B">
            <w:pPr>
              <w:pStyle w:val="TableParagraph"/>
              <w:jc w:val="left"/>
              <w:rPr>
                <w:rFonts w:cs="Calibri"/>
                <w:sz w:val="18"/>
              </w:rPr>
            </w:pPr>
            <w:r w:rsidRPr="00CA2CC1">
              <w:rPr>
                <w:rFonts w:cs="Calibri"/>
                <w:color w:val="F68C59"/>
                <w:sz w:val="18"/>
              </w:rPr>
              <w:t>Long</w:t>
            </w:r>
            <w:r w:rsidRPr="00CA2CC1">
              <w:rPr>
                <w:rFonts w:cs="Calibri"/>
                <w:color w:val="F68C59"/>
                <w:spacing w:val="8"/>
                <w:sz w:val="18"/>
              </w:rPr>
              <w:t xml:space="preserve"> </w:t>
            </w:r>
            <w:r w:rsidRPr="00CA2CC1">
              <w:rPr>
                <w:rFonts w:cs="Calibri"/>
                <w:color w:val="F68C59"/>
                <w:sz w:val="18"/>
              </w:rPr>
              <w:t>service</w:t>
            </w:r>
            <w:r w:rsidRPr="00CA2CC1">
              <w:rPr>
                <w:rFonts w:cs="Calibri"/>
                <w:color w:val="F68C59"/>
                <w:spacing w:val="11"/>
                <w:sz w:val="18"/>
              </w:rPr>
              <w:t xml:space="preserve"> </w:t>
            </w:r>
            <w:r w:rsidRPr="00CA2CC1">
              <w:rPr>
                <w:rFonts w:cs="Calibri"/>
                <w:color w:val="F68C59"/>
                <w:spacing w:val="-2"/>
                <w:sz w:val="18"/>
              </w:rPr>
              <w:t>leave</w:t>
            </w:r>
          </w:p>
        </w:tc>
        <w:tc>
          <w:tcPr>
            <w:tcW w:w="1502" w:type="dxa"/>
            <w:tcBorders>
              <w:top w:val="single" w:sz="2" w:space="0" w:color="73777A"/>
              <w:left w:val="nil"/>
              <w:bottom w:val="single" w:sz="2" w:space="0" w:color="73777A"/>
              <w:right w:val="single" w:sz="8" w:space="0" w:color="FFFFFF"/>
            </w:tcBorders>
            <w:shd w:val="clear" w:color="auto" w:fill="FFF0E7"/>
            <w:tcMar>
              <w:right w:w="57" w:type="dxa"/>
            </w:tcMar>
          </w:tcPr>
          <w:p w14:paraId="4C1CB18B" w14:textId="77777777" w:rsidR="00FA4226" w:rsidRPr="00CA2CC1" w:rsidRDefault="00FA4226" w:rsidP="0043303B">
            <w:pPr>
              <w:pStyle w:val="TableParagraph"/>
              <w:jc w:val="left"/>
              <w:rPr>
                <w:rFonts w:cs="Calibri"/>
                <w:sz w:val="16"/>
              </w:rPr>
            </w:pPr>
          </w:p>
        </w:tc>
        <w:tc>
          <w:tcPr>
            <w:tcW w:w="1502" w:type="dxa"/>
            <w:tcBorders>
              <w:top w:val="single" w:sz="2" w:space="0" w:color="73777A"/>
              <w:left w:val="single" w:sz="8" w:space="0" w:color="FFFFFF"/>
              <w:bottom w:val="single" w:sz="2" w:space="0" w:color="73777A"/>
              <w:right w:val="nil"/>
            </w:tcBorders>
            <w:shd w:val="clear" w:color="auto" w:fill="EDEFF0"/>
            <w:tcMar>
              <w:right w:w="57" w:type="dxa"/>
            </w:tcMar>
          </w:tcPr>
          <w:p w14:paraId="03D40A2D" w14:textId="77777777" w:rsidR="00FA4226" w:rsidRPr="00CA2CC1" w:rsidRDefault="00FA4226" w:rsidP="0043303B">
            <w:pPr>
              <w:pStyle w:val="TableParagraph"/>
              <w:jc w:val="left"/>
              <w:rPr>
                <w:rFonts w:cs="Calibri"/>
                <w:sz w:val="16"/>
              </w:rPr>
            </w:pPr>
          </w:p>
        </w:tc>
      </w:tr>
      <w:tr w:rsidR="00FA4226" w:rsidRPr="00CA2CC1" w14:paraId="2D00F4FD" w14:textId="77777777" w:rsidTr="00835909">
        <w:trPr>
          <w:trHeight w:val="283"/>
        </w:trPr>
        <w:tc>
          <w:tcPr>
            <w:tcW w:w="6633" w:type="dxa"/>
            <w:tcBorders>
              <w:top w:val="single" w:sz="2" w:space="0" w:color="73777A"/>
              <w:left w:val="nil"/>
              <w:bottom w:val="single" w:sz="2" w:space="0" w:color="73777A"/>
              <w:right w:val="nil"/>
            </w:tcBorders>
          </w:tcPr>
          <w:p w14:paraId="557347BF" w14:textId="77777777" w:rsidR="00FA4226" w:rsidRPr="00CA2CC1" w:rsidRDefault="00000000" w:rsidP="0043303B">
            <w:pPr>
              <w:pStyle w:val="TableParagraph"/>
              <w:jc w:val="left"/>
              <w:rPr>
                <w:rFonts w:cs="Calibri"/>
                <w:sz w:val="10"/>
              </w:rPr>
            </w:pPr>
            <w:r w:rsidRPr="00CA2CC1">
              <w:rPr>
                <w:rFonts w:cs="Calibri"/>
                <w:color w:val="414042"/>
                <w:sz w:val="18"/>
              </w:rPr>
              <w:t>Unconditional</w:t>
            </w:r>
            <w:r w:rsidRPr="00CA2CC1">
              <w:rPr>
                <w:rFonts w:cs="Calibri"/>
                <w:color w:val="414042"/>
                <w:spacing w:val="2"/>
                <w:sz w:val="18"/>
              </w:rPr>
              <w:t xml:space="preserve"> </w:t>
            </w:r>
            <w:r w:rsidRPr="00CA2CC1">
              <w:rPr>
                <w:rFonts w:cs="Calibri"/>
                <w:color w:val="414042"/>
                <w:sz w:val="18"/>
              </w:rPr>
              <w:t>and</w:t>
            </w:r>
            <w:r w:rsidRPr="00CA2CC1">
              <w:rPr>
                <w:rFonts w:cs="Calibri"/>
                <w:color w:val="414042"/>
                <w:spacing w:val="3"/>
                <w:sz w:val="18"/>
              </w:rPr>
              <w:t xml:space="preserve"> </w:t>
            </w:r>
            <w:r w:rsidRPr="00CA2CC1">
              <w:rPr>
                <w:rFonts w:cs="Calibri"/>
                <w:color w:val="414042"/>
                <w:sz w:val="18"/>
              </w:rPr>
              <w:t>expected</w:t>
            </w:r>
            <w:r w:rsidRPr="00CA2CC1">
              <w:rPr>
                <w:rFonts w:cs="Calibri"/>
                <w:color w:val="414042"/>
                <w:spacing w:val="2"/>
                <w:sz w:val="18"/>
              </w:rPr>
              <w:t xml:space="preserve"> </w:t>
            </w:r>
            <w:r w:rsidRPr="00CA2CC1">
              <w:rPr>
                <w:rFonts w:cs="Calibri"/>
                <w:color w:val="414042"/>
                <w:sz w:val="18"/>
              </w:rPr>
              <w:t>to</w:t>
            </w:r>
            <w:r w:rsidRPr="00CA2CC1">
              <w:rPr>
                <w:rFonts w:cs="Calibri"/>
                <w:color w:val="414042"/>
                <w:spacing w:val="3"/>
                <w:sz w:val="18"/>
              </w:rPr>
              <w:t xml:space="preserve"> </w:t>
            </w:r>
            <w:r w:rsidRPr="00CA2CC1">
              <w:rPr>
                <w:rFonts w:cs="Calibri"/>
                <w:color w:val="414042"/>
                <w:sz w:val="18"/>
              </w:rPr>
              <w:t>settle</w:t>
            </w:r>
            <w:r w:rsidRPr="00CA2CC1">
              <w:rPr>
                <w:rFonts w:cs="Calibri"/>
                <w:color w:val="414042"/>
                <w:spacing w:val="2"/>
                <w:sz w:val="18"/>
              </w:rPr>
              <w:t xml:space="preserve"> </w:t>
            </w:r>
            <w:r w:rsidRPr="00CA2CC1">
              <w:rPr>
                <w:rFonts w:cs="Calibri"/>
                <w:color w:val="414042"/>
                <w:sz w:val="18"/>
              </w:rPr>
              <w:t>within</w:t>
            </w:r>
            <w:r w:rsidRPr="00CA2CC1">
              <w:rPr>
                <w:rFonts w:cs="Calibri"/>
                <w:color w:val="414042"/>
                <w:spacing w:val="3"/>
                <w:sz w:val="18"/>
              </w:rPr>
              <w:t xml:space="preserve"> </w:t>
            </w:r>
            <w:r w:rsidRPr="00CA2CC1">
              <w:rPr>
                <w:rFonts w:cs="Calibri"/>
                <w:color w:val="414042"/>
                <w:sz w:val="18"/>
              </w:rPr>
              <w:t>12</w:t>
            </w:r>
            <w:r w:rsidRPr="00CA2CC1">
              <w:rPr>
                <w:rFonts w:cs="Calibri"/>
                <w:color w:val="414042"/>
                <w:spacing w:val="2"/>
                <w:sz w:val="18"/>
              </w:rPr>
              <w:t xml:space="preserve"> </w:t>
            </w:r>
            <w:r w:rsidRPr="00CA2CC1">
              <w:rPr>
                <w:rFonts w:cs="Calibri"/>
                <w:color w:val="414042"/>
                <w:sz w:val="18"/>
              </w:rPr>
              <w:t>months</w:t>
            </w:r>
            <w:r w:rsidRPr="00CA2CC1">
              <w:rPr>
                <w:rFonts w:cs="Calibri"/>
                <w:color w:val="414042"/>
                <w:spacing w:val="3"/>
                <w:sz w:val="18"/>
              </w:rPr>
              <w:t xml:space="preserve"> </w:t>
            </w:r>
            <w:r w:rsidRPr="00CA2CC1">
              <w:rPr>
                <w:rFonts w:cs="Calibri"/>
                <w:color w:val="414042"/>
                <w:spacing w:val="-5"/>
                <w:position w:val="6"/>
                <w:sz w:val="10"/>
              </w:rPr>
              <w:t>(i)</w:t>
            </w:r>
          </w:p>
        </w:tc>
        <w:tc>
          <w:tcPr>
            <w:tcW w:w="1502" w:type="dxa"/>
            <w:tcBorders>
              <w:top w:val="single" w:sz="2" w:space="0" w:color="73777A"/>
              <w:left w:val="nil"/>
              <w:bottom w:val="single" w:sz="2" w:space="0" w:color="73777A"/>
              <w:right w:val="single" w:sz="8" w:space="0" w:color="FFFFFF"/>
            </w:tcBorders>
            <w:shd w:val="clear" w:color="auto" w:fill="FFF0E7"/>
            <w:tcMar>
              <w:right w:w="57" w:type="dxa"/>
            </w:tcMar>
          </w:tcPr>
          <w:p w14:paraId="42945C81" w14:textId="77777777" w:rsidR="00FA4226" w:rsidRPr="00CA2CC1" w:rsidRDefault="00000000" w:rsidP="0043303B">
            <w:pPr>
              <w:pStyle w:val="TableParagraph"/>
              <w:rPr>
                <w:rFonts w:cs="Calibri"/>
                <w:sz w:val="18"/>
              </w:rPr>
            </w:pPr>
            <w:r w:rsidRPr="00CA2CC1">
              <w:rPr>
                <w:rFonts w:cs="Calibri"/>
                <w:color w:val="414042"/>
                <w:spacing w:val="-2"/>
                <w:sz w:val="18"/>
              </w:rPr>
              <w:t>28,407</w:t>
            </w:r>
          </w:p>
        </w:tc>
        <w:tc>
          <w:tcPr>
            <w:tcW w:w="1502" w:type="dxa"/>
            <w:tcBorders>
              <w:top w:val="single" w:sz="2" w:space="0" w:color="73777A"/>
              <w:left w:val="single" w:sz="8" w:space="0" w:color="FFFFFF"/>
              <w:bottom w:val="single" w:sz="2" w:space="0" w:color="73777A"/>
              <w:right w:val="nil"/>
            </w:tcBorders>
            <w:shd w:val="clear" w:color="auto" w:fill="EDEFF0"/>
            <w:tcMar>
              <w:right w:w="57" w:type="dxa"/>
            </w:tcMar>
          </w:tcPr>
          <w:p w14:paraId="50AD8CD7" w14:textId="77777777" w:rsidR="00FA4226" w:rsidRPr="00CA2CC1" w:rsidRDefault="00000000" w:rsidP="0043303B">
            <w:pPr>
              <w:pStyle w:val="TableParagraph"/>
              <w:rPr>
                <w:rFonts w:cs="Calibri"/>
                <w:sz w:val="18"/>
              </w:rPr>
            </w:pPr>
            <w:r w:rsidRPr="00CA2CC1">
              <w:rPr>
                <w:rFonts w:cs="Calibri"/>
                <w:color w:val="414042"/>
                <w:spacing w:val="-2"/>
                <w:sz w:val="18"/>
              </w:rPr>
              <w:t>22,472</w:t>
            </w:r>
          </w:p>
        </w:tc>
      </w:tr>
      <w:tr w:rsidR="00FA4226" w:rsidRPr="00CA2CC1" w14:paraId="142203F5" w14:textId="77777777" w:rsidTr="00835909">
        <w:trPr>
          <w:trHeight w:val="283"/>
        </w:trPr>
        <w:tc>
          <w:tcPr>
            <w:tcW w:w="6633" w:type="dxa"/>
            <w:tcBorders>
              <w:top w:val="single" w:sz="2" w:space="0" w:color="73777A"/>
              <w:left w:val="nil"/>
              <w:bottom w:val="single" w:sz="2" w:space="0" w:color="73777A"/>
              <w:right w:val="nil"/>
            </w:tcBorders>
          </w:tcPr>
          <w:p w14:paraId="18C3626F" w14:textId="77777777" w:rsidR="00FA4226" w:rsidRPr="00CA2CC1" w:rsidRDefault="00000000" w:rsidP="0043303B">
            <w:pPr>
              <w:pStyle w:val="TableParagraph"/>
              <w:jc w:val="left"/>
              <w:rPr>
                <w:rFonts w:cs="Calibri"/>
                <w:sz w:val="10"/>
              </w:rPr>
            </w:pPr>
            <w:r w:rsidRPr="00CA2CC1">
              <w:rPr>
                <w:rFonts w:cs="Calibri"/>
                <w:color w:val="414042"/>
                <w:sz w:val="18"/>
              </w:rPr>
              <w:t>Unconditional</w:t>
            </w:r>
            <w:r w:rsidRPr="00CA2CC1">
              <w:rPr>
                <w:rFonts w:cs="Calibri"/>
                <w:color w:val="414042"/>
                <w:spacing w:val="2"/>
                <w:sz w:val="18"/>
              </w:rPr>
              <w:t xml:space="preserve"> </w:t>
            </w:r>
            <w:r w:rsidRPr="00CA2CC1">
              <w:rPr>
                <w:rFonts w:cs="Calibri"/>
                <w:color w:val="414042"/>
                <w:sz w:val="18"/>
              </w:rPr>
              <w:t>and</w:t>
            </w:r>
            <w:r w:rsidRPr="00CA2CC1">
              <w:rPr>
                <w:rFonts w:cs="Calibri"/>
                <w:color w:val="414042"/>
                <w:spacing w:val="3"/>
                <w:sz w:val="18"/>
              </w:rPr>
              <w:t xml:space="preserve"> </w:t>
            </w:r>
            <w:r w:rsidRPr="00CA2CC1">
              <w:rPr>
                <w:rFonts w:cs="Calibri"/>
                <w:color w:val="414042"/>
                <w:sz w:val="18"/>
              </w:rPr>
              <w:t>expected</w:t>
            </w:r>
            <w:r w:rsidRPr="00CA2CC1">
              <w:rPr>
                <w:rFonts w:cs="Calibri"/>
                <w:color w:val="414042"/>
                <w:spacing w:val="2"/>
                <w:sz w:val="18"/>
              </w:rPr>
              <w:t xml:space="preserve"> </w:t>
            </w:r>
            <w:r w:rsidRPr="00CA2CC1">
              <w:rPr>
                <w:rFonts w:cs="Calibri"/>
                <w:color w:val="414042"/>
                <w:sz w:val="18"/>
              </w:rPr>
              <w:t>to</w:t>
            </w:r>
            <w:r w:rsidRPr="00CA2CC1">
              <w:rPr>
                <w:rFonts w:cs="Calibri"/>
                <w:color w:val="414042"/>
                <w:spacing w:val="3"/>
                <w:sz w:val="18"/>
              </w:rPr>
              <w:t xml:space="preserve"> </w:t>
            </w:r>
            <w:r w:rsidRPr="00CA2CC1">
              <w:rPr>
                <w:rFonts w:cs="Calibri"/>
                <w:color w:val="414042"/>
                <w:sz w:val="18"/>
              </w:rPr>
              <w:t>settle</w:t>
            </w:r>
            <w:r w:rsidRPr="00CA2CC1">
              <w:rPr>
                <w:rFonts w:cs="Calibri"/>
                <w:color w:val="414042"/>
                <w:spacing w:val="3"/>
                <w:sz w:val="18"/>
              </w:rPr>
              <w:t xml:space="preserve"> </w:t>
            </w:r>
            <w:r w:rsidRPr="00CA2CC1">
              <w:rPr>
                <w:rFonts w:cs="Calibri"/>
                <w:color w:val="414042"/>
                <w:sz w:val="18"/>
              </w:rPr>
              <w:t>after</w:t>
            </w:r>
            <w:r w:rsidRPr="00CA2CC1">
              <w:rPr>
                <w:rFonts w:cs="Calibri"/>
                <w:color w:val="414042"/>
                <w:spacing w:val="2"/>
                <w:sz w:val="18"/>
              </w:rPr>
              <w:t xml:space="preserve"> </w:t>
            </w:r>
            <w:r w:rsidRPr="00CA2CC1">
              <w:rPr>
                <w:rFonts w:cs="Calibri"/>
                <w:color w:val="414042"/>
                <w:sz w:val="18"/>
              </w:rPr>
              <w:t>12</w:t>
            </w:r>
            <w:r w:rsidRPr="00CA2CC1">
              <w:rPr>
                <w:rFonts w:cs="Calibri"/>
                <w:color w:val="414042"/>
                <w:spacing w:val="3"/>
                <w:sz w:val="18"/>
              </w:rPr>
              <w:t xml:space="preserve"> </w:t>
            </w:r>
            <w:r w:rsidRPr="00CA2CC1">
              <w:rPr>
                <w:rFonts w:cs="Calibri"/>
                <w:color w:val="414042"/>
                <w:sz w:val="18"/>
              </w:rPr>
              <w:t>months</w:t>
            </w:r>
            <w:r w:rsidRPr="00CA2CC1">
              <w:rPr>
                <w:rFonts w:cs="Calibri"/>
                <w:color w:val="414042"/>
                <w:spacing w:val="2"/>
                <w:sz w:val="18"/>
              </w:rPr>
              <w:t xml:space="preserve"> </w:t>
            </w:r>
            <w:r w:rsidRPr="00CA2CC1">
              <w:rPr>
                <w:rFonts w:cs="Calibri"/>
                <w:color w:val="414042"/>
                <w:spacing w:val="-5"/>
                <w:position w:val="6"/>
                <w:sz w:val="10"/>
              </w:rPr>
              <w:t>(i)</w:t>
            </w:r>
          </w:p>
        </w:tc>
        <w:tc>
          <w:tcPr>
            <w:tcW w:w="1502" w:type="dxa"/>
            <w:tcBorders>
              <w:top w:val="single" w:sz="2" w:space="0" w:color="73777A"/>
              <w:left w:val="nil"/>
              <w:bottom w:val="single" w:sz="2" w:space="0" w:color="73777A"/>
              <w:right w:val="single" w:sz="8" w:space="0" w:color="FFFFFF"/>
            </w:tcBorders>
            <w:shd w:val="clear" w:color="auto" w:fill="FFF0E7"/>
            <w:tcMar>
              <w:right w:w="57" w:type="dxa"/>
            </w:tcMar>
          </w:tcPr>
          <w:p w14:paraId="1AA3EB9B" w14:textId="77777777" w:rsidR="00FA4226" w:rsidRPr="00CA2CC1" w:rsidRDefault="00000000" w:rsidP="0043303B">
            <w:pPr>
              <w:pStyle w:val="TableParagraph"/>
              <w:rPr>
                <w:rFonts w:cs="Calibri"/>
                <w:sz w:val="18"/>
              </w:rPr>
            </w:pPr>
            <w:r w:rsidRPr="00CA2CC1">
              <w:rPr>
                <w:rFonts w:cs="Calibri"/>
                <w:color w:val="414042"/>
                <w:spacing w:val="-2"/>
                <w:sz w:val="18"/>
              </w:rPr>
              <w:t>326,793</w:t>
            </w:r>
          </w:p>
        </w:tc>
        <w:tc>
          <w:tcPr>
            <w:tcW w:w="1502" w:type="dxa"/>
            <w:tcBorders>
              <w:top w:val="single" w:sz="2" w:space="0" w:color="73777A"/>
              <w:left w:val="single" w:sz="8" w:space="0" w:color="FFFFFF"/>
              <w:bottom w:val="single" w:sz="2" w:space="0" w:color="73777A"/>
              <w:right w:val="nil"/>
            </w:tcBorders>
            <w:shd w:val="clear" w:color="auto" w:fill="EDEFF0"/>
            <w:tcMar>
              <w:right w:w="57" w:type="dxa"/>
            </w:tcMar>
          </w:tcPr>
          <w:p w14:paraId="1D926464" w14:textId="77777777" w:rsidR="00FA4226" w:rsidRPr="00CA2CC1" w:rsidRDefault="00000000" w:rsidP="0043303B">
            <w:pPr>
              <w:pStyle w:val="TableParagraph"/>
              <w:rPr>
                <w:rFonts w:cs="Calibri"/>
                <w:sz w:val="18"/>
              </w:rPr>
            </w:pPr>
            <w:r w:rsidRPr="00CA2CC1">
              <w:rPr>
                <w:rFonts w:cs="Calibri"/>
                <w:color w:val="414042"/>
                <w:spacing w:val="-2"/>
                <w:sz w:val="18"/>
              </w:rPr>
              <w:t>220,771</w:t>
            </w:r>
          </w:p>
        </w:tc>
      </w:tr>
      <w:tr w:rsidR="00FA4226" w:rsidRPr="00CA2CC1" w14:paraId="7DA5DA8F" w14:textId="77777777" w:rsidTr="00835909">
        <w:trPr>
          <w:trHeight w:val="283"/>
        </w:trPr>
        <w:tc>
          <w:tcPr>
            <w:tcW w:w="6633" w:type="dxa"/>
            <w:tcBorders>
              <w:top w:val="single" w:sz="2" w:space="0" w:color="73777A"/>
              <w:left w:val="nil"/>
              <w:bottom w:val="single" w:sz="2" w:space="0" w:color="73777A"/>
              <w:right w:val="nil"/>
            </w:tcBorders>
          </w:tcPr>
          <w:p w14:paraId="77FE873F" w14:textId="77777777" w:rsidR="00FA4226" w:rsidRPr="00CA2CC1" w:rsidRDefault="00000000" w:rsidP="0043303B">
            <w:pPr>
              <w:pStyle w:val="TableParagraph"/>
              <w:jc w:val="left"/>
              <w:rPr>
                <w:rFonts w:cs="Calibri"/>
                <w:sz w:val="10"/>
              </w:rPr>
            </w:pPr>
            <w:r w:rsidRPr="00CA2CC1">
              <w:rPr>
                <w:rFonts w:cs="Calibri"/>
                <w:color w:val="414042"/>
                <w:sz w:val="18"/>
              </w:rPr>
              <w:t>On-costs</w:t>
            </w:r>
            <w:r w:rsidRPr="00CA2CC1">
              <w:rPr>
                <w:rFonts w:cs="Calibri"/>
                <w:color w:val="414042"/>
                <w:spacing w:val="8"/>
                <w:sz w:val="18"/>
              </w:rPr>
              <w:t xml:space="preserve"> </w:t>
            </w:r>
            <w:r w:rsidRPr="00CA2CC1">
              <w:rPr>
                <w:rFonts w:cs="Calibri"/>
                <w:color w:val="414042"/>
                <w:spacing w:val="-5"/>
                <w:position w:val="6"/>
                <w:sz w:val="10"/>
              </w:rPr>
              <w:t>(i)</w:t>
            </w:r>
          </w:p>
        </w:tc>
        <w:tc>
          <w:tcPr>
            <w:tcW w:w="1502" w:type="dxa"/>
            <w:tcBorders>
              <w:top w:val="single" w:sz="2" w:space="0" w:color="73777A"/>
              <w:left w:val="nil"/>
              <w:bottom w:val="single" w:sz="2" w:space="0" w:color="73777A"/>
              <w:right w:val="single" w:sz="8" w:space="0" w:color="FFFFFF"/>
            </w:tcBorders>
            <w:shd w:val="clear" w:color="auto" w:fill="FFF0E7"/>
            <w:tcMar>
              <w:right w:w="57" w:type="dxa"/>
            </w:tcMar>
          </w:tcPr>
          <w:p w14:paraId="7A977365" w14:textId="77777777" w:rsidR="00FA4226" w:rsidRPr="00CA2CC1" w:rsidRDefault="00000000" w:rsidP="0043303B">
            <w:pPr>
              <w:pStyle w:val="TableParagraph"/>
              <w:rPr>
                <w:rFonts w:cs="Calibri"/>
                <w:sz w:val="18"/>
              </w:rPr>
            </w:pPr>
            <w:r w:rsidRPr="00CA2CC1">
              <w:rPr>
                <w:rFonts w:cs="Calibri"/>
                <w:color w:val="414042"/>
                <w:spacing w:val="-2"/>
                <w:sz w:val="18"/>
              </w:rPr>
              <w:t>140,867</w:t>
            </w:r>
          </w:p>
        </w:tc>
        <w:tc>
          <w:tcPr>
            <w:tcW w:w="1502" w:type="dxa"/>
            <w:tcBorders>
              <w:top w:val="single" w:sz="2" w:space="0" w:color="73777A"/>
              <w:left w:val="single" w:sz="8" w:space="0" w:color="FFFFFF"/>
              <w:bottom w:val="single" w:sz="2" w:space="0" w:color="73777A"/>
              <w:right w:val="nil"/>
            </w:tcBorders>
            <w:shd w:val="clear" w:color="auto" w:fill="EDEFF0"/>
            <w:tcMar>
              <w:right w:w="57" w:type="dxa"/>
            </w:tcMar>
          </w:tcPr>
          <w:p w14:paraId="1F32DF1B" w14:textId="77777777" w:rsidR="00FA4226" w:rsidRPr="00CA2CC1" w:rsidRDefault="00000000" w:rsidP="0043303B">
            <w:pPr>
              <w:pStyle w:val="TableParagraph"/>
              <w:rPr>
                <w:rFonts w:cs="Calibri"/>
                <w:sz w:val="18"/>
              </w:rPr>
            </w:pPr>
            <w:r w:rsidRPr="00CA2CC1">
              <w:rPr>
                <w:rFonts w:cs="Calibri"/>
                <w:color w:val="414042"/>
                <w:spacing w:val="-2"/>
                <w:sz w:val="18"/>
              </w:rPr>
              <w:t>110,119</w:t>
            </w:r>
          </w:p>
        </w:tc>
      </w:tr>
      <w:tr w:rsidR="00FA4226" w:rsidRPr="00CA2CC1" w14:paraId="0F03DEDA" w14:textId="77777777" w:rsidTr="00835909">
        <w:trPr>
          <w:trHeight w:val="278"/>
        </w:trPr>
        <w:tc>
          <w:tcPr>
            <w:tcW w:w="6633" w:type="dxa"/>
            <w:tcBorders>
              <w:top w:val="single" w:sz="2" w:space="0" w:color="73777A"/>
              <w:left w:val="nil"/>
              <w:bottom w:val="single" w:sz="6" w:space="0" w:color="73777A"/>
              <w:right w:val="nil"/>
            </w:tcBorders>
          </w:tcPr>
          <w:p w14:paraId="5EBE924A" w14:textId="77777777" w:rsidR="00FA4226" w:rsidRPr="00CA2CC1" w:rsidRDefault="00000000" w:rsidP="0043303B">
            <w:pPr>
              <w:pStyle w:val="TableParagraph"/>
              <w:jc w:val="left"/>
              <w:rPr>
                <w:rFonts w:cs="Calibri"/>
                <w:sz w:val="18"/>
              </w:rPr>
            </w:pPr>
            <w:r w:rsidRPr="00CA2CC1">
              <w:rPr>
                <w:rFonts w:cs="Calibri"/>
                <w:color w:val="414042"/>
                <w:sz w:val="18"/>
              </w:rPr>
              <w:t>Total</w:t>
            </w:r>
            <w:r w:rsidRPr="00CA2CC1">
              <w:rPr>
                <w:rFonts w:cs="Calibri"/>
                <w:color w:val="414042"/>
                <w:spacing w:val="5"/>
                <w:sz w:val="18"/>
              </w:rPr>
              <w:t xml:space="preserve"> </w:t>
            </w:r>
            <w:r w:rsidRPr="00CA2CC1">
              <w:rPr>
                <w:rFonts w:cs="Calibri"/>
                <w:color w:val="414042"/>
                <w:sz w:val="18"/>
              </w:rPr>
              <w:t>current</w:t>
            </w:r>
            <w:r w:rsidRPr="00CA2CC1">
              <w:rPr>
                <w:rFonts w:cs="Calibri"/>
                <w:color w:val="414042"/>
                <w:spacing w:val="5"/>
                <w:sz w:val="18"/>
              </w:rPr>
              <w:t xml:space="preserve"> </w:t>
            </w:r>
            <w:r w:rsidRPr="00CA2CC1">
              <w:rPr>
                <w:rFonts w:cs="Calibri"/>
                <w:color w:val="414042"/>
                <w:sz w:val="18"/>
              </w:rPr>
              <w:t>provisions</w:t>
            </w:r>
            <w:r w:rsidRPr="00CA2CC1">
              <w:rPr>
                <w:rFonts w:cs="Calibri"/>
                <w:color w:val="414042"/>
                <w:spacing w:val="6"/>
                <w:sz w:val="18"/>
              </w:rPr>
              <w:t xml:space="preserve"> </w:t>
            </w:r>
            <w:r w:rsidRPr="00CA2CC1">
              <w:rPr>
                <w:rFonts w:cs="Calibri"/>
                <w:color w:val="414042"/>
                <w:sz w:val="18"/>
              </w:rPr>
              <w:t>for</w:t>
            </w:r>
            <w:r w:rsidRPr="00CA2CC1">
              <w:rPr>
                <w:rFonts w:cs="Calibri"/>
                <w:color w:val="414042"/>
                <w:spacing w:val="5"/>
                <w:sz w:val="18"/>
              </w:rPr>
              <w:t xml:space="preserve"> </w:t>
            </w:r>
            <w:r w:rsidRPr="00CA2CC1">
              <w:rPr>
                <w:rFonts w:cs="Calibri"/>
                <w:color w:val="414042"/>
                <w:sz w:val="18"/>
              </w:rPr>
              <w:t>employee</w:t>
            </w:r>
            <w:r w:rsidRPr="00CA2CC1">
              <w:rPr>
                <w:rFonts w:cs="Calibri"/>
                <w:color w:val="414042"/>
                <w:spacing w:val="6"/>
                <w:sz w:val="18"/>
              </w:rPr>
              <w:t xml:space="preserve"> </w:t>
            </w:r>
            <w:r w:rsidRPr="00CA2CC1">
              <w:rPr>
                <w:rFonts w:cs="Calibri"/>
                <w:color w:val="414042"/>
                <w:spacing w:val="-2"/>
                <w:sz w:val="18"/>
              </w:rPr>
              <w:t>benefits</w:t>
            </w:r>
          </w:p>
        </w:tc>
        <w:tc>
          <w:tcPr>
            <w:tcW w:w="1502" w:type="dxa"/>
            <w:tcBorders>
              <w:top w:val="single" w:sz="2" w:space="0" w:color="73777A"/>
              <w:left w:val="nil"/>
              <w:bottom w:val="single" w:sz="6" w:space="0" w:color="73777A"/>
              <w:right w:val="single" w:sz="8" w:space="0" w:color="FFFFFF"/>
            </w:tcBorders>
            <w:shd w:val="clear" w:color="auto" w:fill="FFF0E7"/>
            <w:tcMar>
              <w:right w:w="57" w:type="dxa"/>
            </w:tcMar>
          </w:tcPr>
          <w:p w14:paraId="4FFF01C4" w14:textId="77777777" w:rsidR="00FA4226" w:rsidRPr="00CA2CC1" w:rsidRDefault="00000000" w:rsidP="0043303B">
            <w:pPr>
              <w:pStyle w:val="TableParagraph"/>
              <w:rPr>
                <w:rFonts w:cs="Calibri"/>
                <w:sz w:val="18"/>
              </w:rPr>
            </w:pPr>
            <w:r w:rsidRPr="00CA2CC1">
              <w:rPr>
                <w:rFonts w:cs="Calibri"/>
                <w:color w:val="414042"/>
                <w:spacing w:val="-2"/>
                <w:sz w:val="18"/>
              </w:rPr>
              <w:t>962,391</w:t>
            </w:r>
          </w:p>
        </w:tc>
        <w:tc>
          <w:tcPr>
            <w:tcW w:w="1502" w:type="dxa"/>
            <w:tcBorders>
              <w:top w:val="single" w:sz="2" w:space="0" w:color="73777A"/>
              <w:left w:val="single" w:sz="8" w:space="0" w:color="FFFFFF"/>
              <w:bottom w:val="single" w:sz="6" w:space="0" w:color="73777A"/>
              <w:right w:val="nil"/>
            </w:tcBorders>
            <w:shd w:val="clear" w:color="auto" w:fill="EDEFF0"/>
            <w:tcMar>
              <w:right w:w="57" w:type="dxa"/>
            </w:tcMar>
          </w:tcPr>
          <w:p w14:paraId="04F390BA" w14:textId="77777777" w:rsidR="00FA4226" w:rsidRPr="00CA2CC1" w:rsidRDefault="00000000" w:rsidP="0043303B">
            <w:pPr>
              <w:pStyle w:val="TableParagraph"/>
              <w:rPr>
                <w:rFonts w:cs="Calibri"/>
                <w:sz w:val="18"/>
              </w:rPr>
            </w:pPr>
            <w:r w:rsidRPr="00CA2CC1">
              <w:rPr>
                <w:rFonts w:cs="Calibri"/>
                <w:color w:val="414042"/>
                <w:spacing w:val="-2"/>
                <w:sz w:val="18"/>
              </w:rPr>
              <w:t>798,245</w:t>
            </w:r>
          </w:p>
        </w:tc>
      </w:tr>
      <w:tr w:rsidR="00FA4226" w:rsidRPr="00CA2CC1" w14:paraId="267B5FDB" w14:textId="77777777" w:rsidTr="00835909">
        <w:trPr>
          <w:trHeight w:val="567"/>
        </w:trPr>
        <w:tc>
          <w:tcPr>
            <w:tcW w:w="6633" w:type="dxa"/>
            <w:tcBorders>
              <w:top w:val="single" w:sz="6" w:space="0" w:color="73777A"/>
              <w:left w:val="nil"/>
              <w:bottom w:val="single" w:sz="2" w:space="0" w:color="73777A"/>
              <w:right w:val="nil"/>
            </w:tcBorders>
          </w:tcPr>
          <w:p w14:paraId="22891C47" w14:textId="77777777" w:rsidR="00FA4226" w:rsidRPr="00CA2CC1" w:rsidRDefault="00FA4226" w:rsidP="0043303B">
            <w:pPr>
              <w:pStyle w:val="TableParagraph"/>
              <w:spacing w:before="5"/>
              <w:jc w:val="left"/>
              <w:rPr>
                <w:rFonts w:cs="Calibri"/>
                <w:sz w:val="20"/>
              </w:rPr>
            </w:pPr>
          </w:p>
          <w:p w14:paraId="010E836C" w14:textId="77777777" w:rsidR="00FA4226" w:rsidRPr="00CA2CC1" w:rsidRDefault="00000000" w:rsidP="0043303B">
            <w:pPr>
              <w:pStyle w:val="TableParagraph"/>
              <w:spacing w:before="1"/>
              <w:jc w:val="left"/>
              <w:rPr>
                <w:rFonts w:cs="Calibri"/>
                <w:sz w:val="18"/>
              </w:rPr>
            </w:pPr>
            <w:r w:rsidRPr="00CA2CC1">
              <w:rPr>
                <w:rFonts w:cs="Calibri"/>
                <w:color w:val="F68C59"/>
                <w:sz w:val="18"/>
              </w:rPr>
              <w:t>Non-current</w:t>
            </w:r>
            <w:r w:rsidRPr="00CA2CC1">
              <w:rPr>
                <w:rFonts w:cs="Calibri"/>
                <w:color w:val="F68C59"/>
                <w:spacing w:val="21"/>
                <w:sz w:val="18"/>
              </w:rPr>
              <w:t xml:space="preserve"> </w:t>
            </w:r>
            <w:r w:rsidRPr="00CA2CC1">
              <w:rPr>
                <w:rFonts w:cs="Calibri"/>
                <w:color w:val="F68C59"/>
                <w:spacing w:val="-2"/>
                <w:sz w:val="18"/>
              </w:rPr>
              <w:t>provisions</w:t>
            </w:r>
          </w:p>
        </w:tc>
        <w:tc>
          <w:tcPr>
            <w:tcW w:w="1502" w:type="dxa"/>
            <w:tcBorders>
              <w:top w:val="single" w:sz="6" w:space="0" w:color="73777A"/>
              <w:left w:val="nil"/>
              <w:bottom w:val="single" w:sz="2" w:space="0" w:color="73777A"/>
              <w:right w:val="single" w:sz="8" w:space="0" w:color="FFFFFF"/>
            </w:tcBorders>
            <w:shd w:val="clear" w:color="auto" w:fill="FFF0E7"/>
            <w:tcMar>
              <w:right w:w="57" w:type="dxa"/>
            </w:tcMar>
          </w:tcPr>
          <w:p w14:paraId="24D47F7B" w14:textId="77777777" w:rsidR="00FA4226" w:rsidRPr="00CA2CC1" w:rsidRDefault="00FA4226" w:rsidP="0043303B">
            <w:pPr>
              <w:pStyle w:val="TableParagraph"/>
              <w:jc w:val="left"/>
              <w:rPr>
                <w:rFonts w:cs="Calibri"/>
                <w:sz w:val="16"/>
              </w:rPr>
            </w:pPr>
          </w:p>
        </w:tc>
        <w:tc>
          <w:tcPr>
            <w:tcW w:w="1502" w:type="dxa"/>
            <w:tcBorders>
              <w:top w:val="single" w:sz="6" w:space="0" w:color="73777A"/>
              <w:left w:val="single" w:sz="8" w:space="0" w:color="FFFFFF"/>
              <w:bottom w:val="single" w:sz="2" w:space="0" w:color="73777A"/>
              <w:right w:val="nil"/>
            </w:tcBorders>
            <w:shd w:val="clear" w:color="auto" w:fill="EDEFF0"/>
            <w:tcMar>
              <w:right w:w="57" w:type="dxa"/>
            </w:tcMar>
          </w:tcPr>
          <w:p w14:paraId="072B62D6" w14:textId="77777777" w:rsidR="00FA4226" w:rsidRPr="00CA2CC1" w:rsidRDefault="00FA4226" w:rsidP="0043303B">
            <w:pPr>
              <w:pStyle w:val="TableParagraph"/>
              <w:jc w:val="left"/>
              <w:rPr>
                <w:rFonts w:cs="Calibri"/>
                <w:sz w:val="16"/>
              </w:rPr>
            </w:pPr>
          </w:p>
        </w:tc>
      </w:tr>
      <w:tr w:rsidR="00FA4226" w:rsidRPr="00CA2CC1" w14:paraId="29B52A11" w14:textId="77777777" w:rsidTr="00835909">
        <w:trPr>
          <w:trHeight w:val="283"/>
        </w:trPr>
        <w:tc>
          <w:tcPr>
            <w:tcW w:w="6633" w:type="dxa"/>
            <w:tcBorders>
              <w:top w:val="single" w:sz="2" w:space="0" w:color="73777A"/>
              <w:left w:val="nil"/>
              <w:bottom w:val="single" w:sz="2" w:space="0" w:color="73777A"/>
              <w:right w:val="nil"/>
            </w:tcBorders>
          </w:tcPr>
          <w:p w14:paraId="661927EA" w14:textId="77777777" w:rsidR="00FA4226" w:rsidRPr="00CA2CC1" w:rsidRDefault="00000000" w:rsidP="0043303B">
            <w:pPr>
              <w:pStyle w:val="TableParagraph"/>
              <w:jc w:val="left"/>
              <w:rPr>
                <w:rFonts w:cs="Calibri"/>
                <w:sz w:val="18"/>
              </w:rPr>
            </w:pPr>
            <w:r w:rsidRPr="00CA2CC1">
              <w:rPr>
                <w:rFonts w:cs="Calibri"/>
                <w:color w:val="414042"/>
                <w:sz w:val="18"/>
              </w:rPr>
              <w:t>Long</w:t>
            </w:r>
            <w:r w:rsidRPr="00CA2CC1">
              <w:rPr>
                <w:rFonts w:cs="Calibri"/>
                <w:color w:val="414042"/>
                <w:spacing w:val="8"/>
                <w:sz w:val="18"/>
              </w:rPr>
              <w:t xml:space="preserve"> </w:t>
            </w:r>
            <w:r w:rsidRPr="00CA2CC1">
              <w:rPr>
                <w:rFonts w:cs="Calibri"/>
                <w:color w:val="414042"/>
                <w:sz w:val="18"/>
              </w:rPr>
              <w:t>service</w:t>
            </w:r>
            <w:r w:rsidRPr="00CA2CC1">
              <w:rPr>
                <w:rFonts w:cs="Calibri"/>
                <w:color w:val="414042"/>
                <w:spacing w:val="9"/>
                <w:sz w:val="18"/>
              </w:rPr>
              <w:t xml:space="preserve"> </w:t>
            </w:r>
            <w:r w:rsidRPr="00CA2CC1">
              <w:rPr>
                <w:rFonts w:cs="Calibri"/>
                <w:color w:val="414042"/>
                <w:spacing w:val="-2"/>
                <w:sz w:val="18"/>
              </w:rPr>
              <w:t>leave</w:t>
            </w:r>
          </w:p>
        </w:tc>
        <w:tc>
          <w:tcPr>
            <w:tcW w:w="1502" w:type="dxa"/>
            <w:tcBorders>
              <w:top w:val="single" w:sz="2" w:space="0" w:color="73777A"/>
              <w:left w:val="nil"/>
              <w:bottom w:val="single" w:sz="2" w:space="0" w:color="73777A"/>
              <w:right w:val="single" w:sz="8" w:space="0" w:color="FFFFFF"/>
            </w:tcBorders>
            <w:shd w:val="clear" w:color="auto" w:fill="FFF0E7"/>
            <w:tcMar>
              <w:right w:w="57" w:type="dxa"/>
            </w:tcMar>
          </w:tcPr>
          <w:p w14:paraId="6E1D2BE9" w14:textId="77777777" w:rsidR="00FA4226" w:rsidRPr="00CA2CC1" w:rsidRDefault="00000000" w:rsidP="0043303B">
            <w:pPr>
              <w:pStyle w:val="TableParagraph"/>
              <w:rPr>
                <w:rFonts w:cs="Calibri"/>
                <w:sz w:val="18"/>
              </w:rPr>
            </w:pPr>
            <w:r w:rsidRPr="00CA2CC1">
              <w:rPr>
                <w:rFonts w:cs="Calibri"/>
                <w:color w:val="414042"/>
                <w:spacing w:val="-2"/>
                <w:sz w:val="18"/>
              </w:rPr>
              <w:t>277,011</w:t>
            </w:r>
          </w:p>
        </w:tc>
        <w:tc>
          <w:tcPr>
            <w:tcW w:w="1502" w:type="dxa"/>
            <w:tcBorders>
              <w:top w:val="single" w:sz="2" w:space="0" w:color="73777A"/>
              <w:left w:val="single" w:sz="8" w:space="0" w:color="FFFFFF"/>
              <w:bottom w:val="single" w:sz="2" w:space="0" w:color="73777A"/>
              <w:right w:val="nil"/>
            </w:tcBorders>
            <w:shd w:val="clear" w:color="auto" w:fill="EDEFF0"/>
            <w:tcMar>
              <w:right w:w="57" w:type="dxa"/>
            </w:tcMar>
          </w:tcPr>
          <w:p w14:paraId="702A8174" w14:textId="77777777" w:rsidR="00FA4226" w:rsidRPr="00CA2CC1" w:rsidRDefault="00000000" w:rsidP="0043303B">
            <w:pPr>
              <w:pStyle w:val="TableParagraph"/>
              <w:rPr>
                <w:rFonts w:cs="Calibri"/>
                <w:sz w:val="18"/>
              </w:rPr>
            </w:pPr>
            <w:r w:rsidRPr="00CA2CC1">
              <w:rPr>
                <w:rFonts w:cs="Calibri"/>
                <w:color w:val="414042"/>
                <w:spacing w:val="-2"/>
                <w:sz w:val="18"/>
              </w:rPr>
              <w:t>224,515</w:t>
            </w:r>
          </w:p>
        </w:tc>
      </w:tr>
      <w:tr w:rsidR="00FA4226" w:rsidRPr="00CA2CC1" w14:paraId="19A6D0F4" w14:textId="77777777" w:rsidTr="00835909">
        <w:trPr>
          <w:trHeight w:val="283"/>
        </w:trPr>
        <w:tc>
          <w:tcPr>
            <w:tcW w:w="6633" w:type="dxa"/>
            <w:tcBorders>
              <w:top w:val="single" w:sz="2" w:space="0" w:color="73777A"/>
              <w:left w:val="nil"/>
              <w:bottom w:val="single" w:sz="2" w:space="0" w:color="73777A"/>
              <w:right w:val="nil"/>
            </w:tcBorders>
          </w:tcPr>
          <w:p w14:paraId="261B8972" w14:textId="77777777" w:rsidR="00FA4226" w:rsidRPr="00CA2CC1" w:rsidRDefault="00000000" w:rsidP="0043303B">
            <w:pPr>
              <w:pStyle w:val="TableParagraph"/>
              <w:jc w:val="left"/>
              <w:rPr>
                <w:rFonts w:cs="Calibri"/>
                <w:sz w:val="18"/>
              </w:rPr>
            </w:pPr>
            <w:r w:rsidRPr="00CA2CC1">
              <w:rPr>
                <w:rFonts w:cs="Calibri"/>
                <w:color w:val="414042"/>
                <w:sz w:val="18"/>
              </w:rPr>
              <w:t>On-</w:t>
            </w:r>
            <w:r w:rsidRPr="00CA2CC1">
              <w:rPr>
                <w:rFonts w:cs="Calibri"/>
                <w:color w:val="414042"/>
                <w:spacing w:val="-2"/>
                <w:sz w:val="18"/>
              </w:rPr>
              <w:t>costs</w:t>
            </w:r>
          </w:p>
        </w:tc>
        <w:tc>
          <w:tcPr>
            <w:tcW w:w="1502" w:type="dxa"/>
            <w:tcBorders>
              <w:top w:val="single" w:sz="2" w:space="0" w:color="73777A"/>
              <w:left w:val="nil"/>
              <w:bottom w:val="single" w:sz="2" w:space="0" w:color="73777A"/>
              <w:right w:val="single" w:sz="8" w:space="0" w:color="FFFFFF"/>
            </w:tcBorders>
            <w:shd w:val="clear" w:color="auto" w:fill="FFF0E7"/>
            <w:tcMar>
              <w:right w:w="57" w:type="dxa"/>
            </w:tcMar>
          </w:tcPr>
          <w:p w14:paraId="0974A7E5" w14:textId="77777777" w:rsidR="00FA4226" w:rsidRPr="00CA2CC1" w:rsidRDefault="00000000" w:rsidP="0043303B">
            <w:pPr>
              <w:pStyle w:val="TableParagraph"/>
              <w:rPr>
                <w:rFonts w:cs="Calibri"/>
                <w:sz w:val="18"/>
              </w:rPr>
            </w:pPr>
            <w:r w:rsidRPr="00CA2CC1">
              <w:rPr>
                <w:rFonts w:cs="Calibri"/>
                <w:color w:val="414042"/>
                <w:spacing w:val="-2"/>
                <w:sz w:val="18"/>
              </w:rPr>
              <w:t>39,389</w:t>
            </w:r>
          </w:p>
        </w:tc>
        <w:tc>
          <w:tcPr>
            <w:tcW w:w="1502" w:type="dxa"/>
            <w:tcBorders>
              <w:top w:val="single" w:sz="2" w:space="0" w:color="73777A"/>
              <w:left w:val="single" w:sz="8" w:space="0" w:color="FFFFFF"/>
              <w:bottom w:val="single" w:sz="2" w:space="0" w:color="73777A"/>
              <w:right w:val="nil"/>
            </w:tcBorders>
            <w:shd w:val="clear" w:color="auto" w:fill="EDEFF0"/>
            <w:tcMar>
              <w:right w:w="57" w:type="dxa"/>
            </w:tcMar>
          </w:tcPr>
          <w:p w14:paraId="5B59A89F" w14:textId="77777777" w:rsidR="00FA4226" w:rsidRPr="00CA2CC1" w:rsidRDefault="00000000" w:rsidP="0043303B">
            <w:pPr>
              <w:pStyle w:val="TableParagraph"/>
              <w:rPr>
                <w:rFonts w:cs="Calibri"/>
                <w:sz w:val="18"/>
              </w:rPr>
            </w:pPr>
            <w:r w:rsidRPr="00CA2CC1">
              <w:rPr>
                <w:rFonts w:cs="Calibri"/>
                <w:color w:val="414042"/>
                <w:spacing w:val="-2"/>
                <w:sz w:val="18"/>
              </w:rPr>
              <w:t>28,820</w:t>
            </w:r>
          </w:p>
        </w:tc>
      </w:tr>
      <w:tr w:rsidR="00FA4226" w:rsidRPr="00CA2CC1" w14:paraId="0812991D" w14:textId="77777777" w:rsidTr="00835909">
        <w:trPr>
          <w:trHeight w:val="278"/>
        </w:trPr>
        <w:tc>
          <w:tcPr>
            <w:tcW w:w="6633" w:type="dxa"/>
            <w:tcBorders>
              <w:top w:val="single" w:sz="2" w:space="0" w:color="73777A"/>
              <w:left w:val="nil"/>
              <w:bottom w:val="single" w:sz="6" w:space="0" w:color="73777A"/>
              <w:right w:val="nil"/>
            </w:tcBorders>
          </w:tcPr>
          <w:p w14:paraId="2FAAD76A" w14:textId="77777777" w:rsidR="00FA4226" w:rsidRPr="00CA2CC1" w:rsidRDefault="00000000" w:rsidP="0043303B">
            <w:pPr>
              <w:pStyle w:val="TableParagraph"/>
              <w:jc w:val="left"/>
              <w:rPr>
                <w:rFonts w:cs="Calibri"/>
                <w:sz w:val="18"/>
              </w:rPr>
            </w:pPr>
            <w:r w:rsidRPr="00CA2CC1">
              <w:rPr>
                <w:rFonts w:cs="Calibri"/>
                <w:color w:val="414042"/>
                <w:sz w:val="18"/>
              </w:rPr>
              <w:t>Total</w:t>
            </w:r>
            <w:r w:rsidRPr="00CA2CC1">
              <w:rPr>
                <w:rFonts w:cs="Calibri"/>
                <w:color w:val="414042"/>
                <w:spacing w:val="7"/>
                <w:sz w:val="18"/>
              </w:rPr>
              <w:t xml:space="preserve"> </w:t>
            </w:r>
            <w:r w:rsidRPr="00CA2CC1">
              <w:rPr>
                <w:rFonts w:cs="Calibri"/>
                <w:color w:val="414042"/>
                <w:sz w:val="18"/>
              </w:rPr>
              <w:t>non-current</w:t>
            </w:r>
            <w:r w:rsidRPr="00CA2CC1">
              <w:rPr>
                <w:rFonts w:cs="Calibri"/>
                <w:color w:val="414042"/>
                <w:spacing w:val="7"/>
                <w:sz w:val="18"/>
              </w:rPr>
              <w:t xml:space="preserve"> </w:t>
            </w:r>
            <w:r w:rsidRPr="00CA2CC1">
              <w:rPr>
                <w:rFonts w:cs="Calibri"/>
                <w:color w:val="414042"/>
                <w:sz w:val="18"/>
              </w:rPr>
              <w:t>provisions</w:t>
            </w:r>
            <w:r w:rsidRPr="00CA2CC1">
              <w:rPr>
                <w:rFonts w:cs="Calibri"/>
                <w:color w:val="414042"/>
                <w:spacing w:val="7"/>
                <w:sz w:val="18"/>
              </w:rPr>
              <w:t xml:space="preserve"> </w:t>
            </w:r>
            <w:r w:rsidRPr="00CA2CC1">
              <w:rPr>
                <w:rFonts w:cs="Calibri"/>
                <w:color w:val="414042"/>
                <w:sz w:val="18"/>
              </w:rPr>
              <w:t>for</w:t>
            </w:r>
            <w:r w:rsidRPr="00CA2CC1">
              <w:rPr>
                <w:rFonts w:cs="Calibri"/>
                <w:color w:val="414042"/>
                <w:spacing w:val="7"/>
                <w:sz w:val="18"/>
              </w:rPr>
              <w:t xml:space="preserve"> </w:t>
            </w:r>
            <w:r w:rsidRPr="00CA2CC1">
              <w:rPr>
                <w:rFonts w:cs="Calibri"/>
                <w:color w:val="414042"/>
                <w:sz w:val="18"/>
              </w:rPr>
              <w:t>employee</w:t>
            </w:r>
            <w:r w:rsidRPr="00CA2CC1">
              <w:rPr>
                <w:rFonts w:cs="Calibri"/>
                <w:color w:val="414042"/>
                <w:spacing w:val="8"/>
                <w:sz w:val="18"/>
              </w:rPr>
              <w:t xml:space="preserve"> </w:t>
            </w:r>
            <w:r w:rsidRPr="00CA2CC1">
              <w:rPr>
                <w:rFonts w:cs="Calibri"/>
                <w:color w:val="414042"/>
                <w:spacing w:val="-2"/>
                <w:sz w:val="18"/>
              </w:rPr>
              <w:t>benefits</w:t>
            </w:r>
          </w:p>
        </w:tc>
        <w:tc>
          <w:tcPr>
            <w:tcW w:w="1502" w:type="dxa"/>
            <w:tcBorders>
              <w:top w:val="single" w:sz="2" w:space="0" w:color="73777A"/>
              <w:left w:val="nil"/>
              <w:bottom w:val="single" w:sz="6" w:space="0" w:color="73777A"/>
              <w:right w:val="single" w:sz="8" w:space="0" w:color="FFFFFF"/>
            </w:tcBorders>
            <w:shd w:val="clear" w:color="auto" w:fill="FFF0E7"/>
            <w:tcMar>
              <w:right w:w="57" w:type="dxa"/>
            </w:tcMar>
          </w:tcPr>
          <w:p w14:paraId="4816CEE1" w14:textId="77777777" w:rsidR="00FA4226" w:rsidRPr="00CA2CC1" w:rsidRDefault="00000000" w:rsidP="0043303B">
            <w:pPr>
              <w:pStyle w:val="TableParagraph"/>
              <w:rPr>
                <w:rFonts w:cs="Calibri"/>
                <w:sz w:val="18"/>
              </w:rPr>
            </w:pPr>
            <w:r w:rsidRPr="00CA2CC1">
              <w:rPr>
                <w:rFonts w:cs="Calibri"/>
                <w:color w:val="414042"/>
                <w:spacing w:val="-2"/>
                <w:sz w:val="18"/>
              </w:rPr>
              <w:t>316,400</w:t>
            </w:r>
          </w:p>
        </w:tc>
        <w:tc>
          <w:tcPr>
            <w:tcW w:w="1502" w:type="dxa"/>
            <w:tcBorders>
              <w:top w:val="single" w:sz="2" w:space="0" w:color="73777A"/>
              <w:left w:val="single" w:sz="8" w:space="0" w:color="FFFFFF"/>
              <w:bottom w:val="single" w:sz="6" w:space="0" w:color="73777A"/>
              <w:right w:val="nil"/>
            </w:tcBorders>
            <w:shd w:val="clear" w:color="auto" w:fill="EDEFF0"/>
            <w:tcMar>
              <w:right w:w="57" w:type="dxa"/>
            </w:tcMar>
          </w:tcPr>
          <w:p w14:paraId="2E0B719E" w14:textId="77777777" w:rsidR="00FA4226" w:rsidRPr="00CA2CC1" w:rsidRDefault="00000000" w:rsidP="0043303B">
            <w:pPr>
              <w:pStyle w:val="TableParagraph"/>
              <w:rPr>
                <w:rFonts w:cs="Calibri"/>
                <w:sz w:val="18"/>
              </w:rPr>
            </w:pPr>
            <w:r w:rsidRPr="00CA2CC1">
              <w:rPr>
                <w:rFonts w:cs="Calibri"/>
                <w:color w:val="414042"/>
                <w:spacing w:val="-2"/>
                <w:sz w:val="18"/>
              </w:rPr>
              <w:t>253,335</w:t>
            </w:r>
          </w:p>
        </w:tc>
      </w:tr>
      <w:tr w:rsidR="00FA4226" w:rsidRPr="00CA2CC1" w14:paraId="3E1A8E7C" w14:textId="77777777" w:rsidTr="00835909">
        <w:trPr>
          <w:trHeight w:val="273"/>
        </w:trPr>
        <w:tc>
          <w:tcPr>
            <w:tcW w:w="6633" w:type="dxa"/>
            <w:tcBorders>
              <w:top w:val="single" w:sz="6" w:space="0" w:color="73777A"/>
              <w:left w:val="nil"/>
              <w:bottom w:val="single" w:sz="6" w:space="0" w:color="73777A"/>
              <w:right w:val="nil"/>
            </w:tcBorders>
          </w:tcPr>
          <w:p w14:paraId="4C88916D" w14:textId="77777777" w:rsidR="00FA4226" w:rsidRPr="00CA2CC1" w:rsidRDefault="00FA4226" w:rsidP="0043303B">
            <w:pPr>
              <w:pStyle w:val="TableParagraph"/>
              <w:jc w:val="left"/>
              <w:rPr>
                <w:rFonts w:cs="Calibri"/>
                <w:sz w:val="16"/>
              </w:rPr>
            </w:pPr>
          </w:p>
        </w:tc>
        <w:tc>
          <w:tcPr>
            <w:tcW w:w="1502" w:type="dxa"/>
            <w:tcBorders>
              <w:top w:val="single" w:sz="6" w:space="0" w:color="73777A"/>
              <w:left w:val="nil"/>
              <w:bottom w:val="single" w:sz="6" w:space="0" w:color="73777A"/>
              <w:right w:val="single" w:sz="8" w:space="0" w:color="FFFFFF"/>
            </w:tcBorders>
            <w:shd w:val="clear" w:color="auto" w:fill="FFF0E7"/>
            <w:tcMar>
              <w:right w:w="57" w:type="dxa"/>
            </w:tcMar>
          </w:tcPr>
          <w:p w14:paraId="2E3FDCAA" w14:textId="77777777" w:rsidR="00FA4226" w:rsidRPr="00CA2CC1" w:rsidRDefault="00FA4226" w:rsidP="0043303B">
            <w:pPr>
              <w:pStyle w:val="TableParagraph"/>
              <w:jc w:val="left"/>
              <w:rPr>
                <w:rFonts w:cs="Calibri"/>
                <w:sz w:val="16"/>
              </w:rPr>
            </w:pPr>
          </w:p>
        </w:tc>
        <w:tc>
          <w:tcPr>
            <w:tcW w:w="1502" w:type="dxa"/>
            <w:tcBorders>
              <w:top w:val="single" w:sz="6" w:space="0" w:color="73777A"/>
              <w:left w:val="single" w:sz="8" w:space="0" w:color="FFFFFF"/>
              <w:bottom w:val="single" w:sz="6" w:space="0" w:color="73777A"/>
              <w:right w:val="nil"/>
            </w:tcBorders>
            <w:shd w:val="clear" w:color="auto" w:fill="EDEFF0"/>
            <w:tcMar>
              <w:right w:w="57" w:type="dxa"/>
            </w:tcMar>
          </w:tcPr>
          <w:p w14:paraId="630125F8" w14:textId="77777777" w:rsidR="00FA4226" w:rsidRPr="00CA2CC1" w:rsidRDefault="00FA4226" w:rsidP="0043303B">
            <w:pPr>
              <w:pStyle w:val="TableParagraph"/>
              <w:jc w:val="left"/>
              <w:rPr>
                <w:rFonts w:cs="Calibri"/>
                <w:sz w:val="16"/>
              </w:rPr>
            </w:pPr>
          </w:p>
        </w:tc>
      </w:tr>
      <w:tr w:rsidR="00FA4226" w:rsidRPr="00CA2CC1" w14:paraId="4A98CFB9" w14:textId="77777777" w:rsidTr="00835909">
        <w:trPr>
          <w:trHeight w:val="258"/>
        </w:trPr>
        <w:tc>
          <w:tcPr>
            <w:tcW w:w="6633" w:type="dxa"/>
            <w:tcBorders>
              <w:top w:val="single" w:sz="6" w:space="0" w:color="73777A"/>
              <w:left w:val="nil"/>
              <w:bottom w:val="double" w:sz="6" w:space="0" w:color="73777A"/>
              <w:right w:val="nil"/>
            </w:tcBorders>
          </w:tcPr>
          <w:p w14:paraId="1BD8FA66" w14:textId="77777777" w:rsidR="00FA4226" w:rsidRPr="00CA2CC1" w:rsidRDefault="00000000" w:rsidP="0043303B">
            <w:pPr>
              <w:pStyle w:val="TableParagraph"/>
              <w:jc w:val="left"/>
              <w:rPr>
                <w:rFonts w:cs="Calibri"/>
                <w:sz w:val="18"/>
              </w:rPr>
            </w:pPr>
            <w:r w:rsidRPr="00CA2CC1">
              <w:rPr>
                <w:rFonts w:cs="Calibri"/>
                <w:color w:val="414042"/>
                <w:sz w:val="18"/>
              </w:rPr>
              <w:t>Total</w:t>
            </w:r>
            <w:r w:rsidRPr="00CA2CC1">
              <w:rPr>
                <w:rFonts w:cs="Calibri"/>
                <w:color w:val="414042"/>
                <w:spacing w:val="4"/>
                <w:sz w:val="18"/>
              </w:rPr>
              <w:t xml:space="preserve"> </w:t>
            </w:r>
            <w:r w:rsidRPr="00CA2CC1">
              <w:rPr>
                <w:rFonts w:cs="Calibri"/>
                <w:color w:val="414042"/>
                <w:sz w:val="18"/>
              </w:rPr>
              <w:t>provisions</w:t>
            </w:r>
            <w:r w:rsidRPr="00CA2CC1">
              <w:rPr>
                <w:rFonts w:cs="Calibri"/>
                <w:color w:val="414042"/>
                <w:spacing w:val="4"/>
                <w:sz w:val="18"/>
              </w:rPr>
              <w:t xml:space="preserve"> </w:t>
            </w:r>
            <w:r w:rsidRPr="00CA2CC1">
              <w:rPr>
                <w:rFonts w:cs="Calibri"/>
                <w:color w:val="414042"/>
                <w:sz w:val="18"/>
              </w:rPr>
              <w:t>for</w:t>
            </w:r>
            <w:r w:rsidRPr="00CA2CC1">
              <w:rPr>
                <w:rFonts w:cs="Calibri"/>
                <w:color w:val="414042"/>
                <w:spacing w:val="4"/>
                <w:sz w:val="18"/>
              </w:rPr>
              <w:t xml:space="preserve"> </w:t>
            </w:r>
            <w:r w:rsidRPr="00CA2CC1">
              <w:rPr>
                <w:rFonts w:cs="Calibri"/>
                <w:color w:val="414042"/>
                <w:sz w:val="18"/>
              </w:rPr>
              <w:t>employee</w:t>
            </w:r>
            <w:r w:rsidRPr="00CA2CC1">
              <w:rPr>
                <w:rFonts w:cs="Calibri"/>
                <w:color w:val="414042"/>
                <w:spacing w:val="4"/>
                <w:sz w:val="18"/>
              </w:rPr>
              <w:t xml:space="preserve"> </w:t>
            </w:r>
            <w:r w:rsidRPr="00CA2CC1">
              <w:rPr>
                <w:rFonts w:cs="Calibri"/>
                <w:color w:val="414042"/>
                <w:spacing w:val="-2"/>
                <w:sz w:val="18"/>
              </w:rPr>
              <w:t>benefits</w:t>
            </w:r>
          </w:p>
        </w:tc>
        <w:tc>
          <w:tcPr>
            <w:tcW w:w="1502" w:type="dxa"/>
            <w:tcBorders>
              <w:top w:val="single" w:sz="6" w:space="0" w:color="73777A"/>
              <w:left w:val="nil"/>
              <w:bottom w:val="double" w:sz="4" w:space="0" w:color="73777A"/>
              <w:right w:val="single" w:sz="8" w:space="0" w:color="FFFFFF"/>
            </w:tcBorders>
            <w:shd w:val="clear" w:color="auto" w:fill="FFF0E7"/>
            <w:tcMar>
              <w:right w:w="57" w:type="dxa"/>
            </w:tcMar>
          </w:tcPr>
          <w:p w14:paraId="6E0ADC3D" w14:textId="77777777" w:rsidR="00FA4226" w:rsidRPr="00CA2CC1" w:rsidRDefault="00000000" w:rsidP="0043303B">
            <w:pPr>
              <w:pStyle w:val="TableParagraph"/>
              <w:rPr>
                <w:rFonts w:cs="Calibri"/>
                <w:sz w:val="18"/>
              </w:rPr>
            </w:pPr>
            <w:r w:rsidRPr="00CA2CC1">
              <w:rPr>
                <w:rFonts w:cs="Calibri"/>
                <w:color w:val="414042"/>
                <w:spacing w:val="-2"/>
                <w:sz w:val="18"/>
              </w:rPr>
              <w:t>1,278,791</w:t>
            </w:r>
          </w:p>
        </w:tc>
        <w:tc>
          <w:tcPr>
            <w:tcW w:w="1502" w:type="dxa"/>
            <w:tcBorders>
              <w:top w:val="single" w:sz="6" w:space="0" w:color="73777A"/>
              <w:left w:val="single" w:sz="8" w:space="0" w:color="FFFFFF"/>
              <w:bottom w:val="double" w:sz="4" w:space="0" w:color="73777A"/>
              <w:right w:val="nil"/>
            </w:tcBorders>
            <w:shd w:val="clear" w:color="auto" w:fill="EDEFF0"/>
            <w:tcMar>
              <w:right w:w="57" w:type="dxa"/>
            </w:tcMar>
          </w:tcPr>
          <w:p w14:paraId="31B0116A" w14:textId="77777777" w:rsidR="00FA4226" w:rsidRPr="00CA2CC1" w:rsidRDefault="00000000" w:rsidP="0043303B">
            <w:pPr>
              <w:pStyle w:val="TableParagraph"/>
              <w:rPr>
                <w:rFonts w:cs="Calibri"/>
                <w:sz w:val="18"/>
              </w:rPr>
            </w:pPr>
            <w:r w:rsidRPr="00CA2CC1">
              <w:rPr>
                <w:rFonts w:cs="Calibri"/>
                <w:color w:val="414042"/>
                <w:spacing w:val="-2"/>
                <w:sz w:val="18"/>
              </w:rPr>
              <w:t>1,051,580</w:t>
            </w:r>
          </w:p>
        </w:tc>
      </w:tr>
    </w:tbl>
    <w:p w14:paraId="6365B93B" w14:textId="77777777" w:rsidR="00FA4226" w:rsidRPr="00CA2CC1" w:rsidRDefault="00FA4226" w:rsidP="0043303B">
      <w:pPr>
        <w:pStyle w:val="BodyText"/>
        <w:spacing w:before="3"/>
        <w:rPr>
          <w:rFonts w:cs="Calibri"/>
          <w:sz w:val="21"/>
        </w:rPr>
      </w:pPr>
    </w:p>
    <w:p w14:paraId="50800225" w14:textId="77777777" w:rsidR="00FA4226" w:rsidRPr="00CA2CC1" w:rsidRDefault="00000000" w:rsidP="0043303B">
      <w:pPr>
        <w:rPr>
          <w:rFonts w:cs="Calibri"/>
          <w:i/>
          <w:sz w:val="16"/>
        </w:rPr>
      </w:pPr>
      <w:r w:rsidRPr="00CA2CC1">
        <w:rPr>
          <w:rFonts w:cs="Calibri"/>
          <w:i/>
          <w:color w:val="414042"/>
          <w:sz w:val="16"/>
        </w:rPr>
        <w:t>(i)</w:t>
      </w:r>
      <w:r w:rsidRPr="00CA2CC1">
        <w:rPr>
          <w:rFonts w:cs="Calibri"/>
          <w:i/>
          <w:color w:val="414042"/>
          <w:spacing w:val="-2"/>
          <w:sz w:val="16"/>
        </w:rPr>
        <w:t xml:space="preserve"> </w:t>
      </w:r>
      <w:r w:rsidRPr="00CA2CC1">
        <w:rPr>
          <w:rFonts w:cs="Calibri"/>
          <w:i/>
          <w:color w:val="414042"/>
          <w:sz w:val="16"/>
        </w:rPr>
        <w:t>The 2021-22 comparative figures have been adjusted to separate out on-</w:t>
      </w:r>
      <w:r w:rsidRPr="00CA2CC1">
        <w:rPr>
          <w:rFonts w:cs="Calibri"/>
          <w:i/>
          <w:color w:val="414042"/>
          <w:spacing w:val="-2"/>
          <w:sz w:val="16"/>
        </w:rPr>
        <w:t>costs.</w:t>
      </w:r>
    </w:p>
    <w:p w14:paraId="59DF2CFE" w14:textId="77777777" w:rsidR="00FA4226" w:rsidRPr="00CA2CC1" w:rsidRDefault="00FA4226" w:rsidP="0043303B">
      <w:pPr>
        <w:pStyle w:val="BodyText"/>
        <w:spacing w:before="8"/>
        <w:rPr>
          <w:rFonts w:cs="Calibri"/>
          <w:i/>
          <w:sz w:val="12"/>
        </w:rPr>
      </w:pPr>
    </w:p>
    <w:p w14:paraId="61CDE729" w14:textId="77777777" w:rsidR="00FA4226" w:rsidRPr="00CA2CC1" w:rsidRDefault="00FA4226" w:rsidP="0043303B">
      <w:pPr>
        <w:rPr>
          <w:rFonts w:cs="Calibri"/>
          <w:sz w:val="12"/>
        </w:rPr>
        <w:sectPr w:rsidR="00FA4226" w:rsidRPr="00CA2CC1" w:rsidSect="00E941A5">
          <w:pgSz w:w="11910" w:h="16840"/>
          <w:pgMar w:top="1134" w:right="1278" w:bottom="1134" w:left="1134" w:header="720" w:footer="720" w:gutter="0"/>
          <w:cols w:space="720"/>
        </w:sectPr>
      </w:pPr>
    </w:p>
    <w:p w14:paraId="3329F666" w14:textId="77777777" w:rsidR="00FA4226" w:rsidRPr="00CA2CC1" w:rsidRDefault="00000000" w:rsidP="0043303B">
      <w:pPr>
        <w:pStyle w:val="BodyText"/>
        <w:spacing w:before="72"/>
        <w:jc w:val="both"/>
        <w:rPr>
          <w:rFonts w:cs="Calibri"/>
        </w:rPr>
      </w:pPr>
      <w:r w:rsidRPr="00CA2CC1">
        <w:rPr>
          <w:rFonts w:cs="Calibri"/>
          <w:color w:val="414042"/>
        </w:rPr>
        <w:t>Current provisions:</w:t>
      </w:r>
      <w:r w:rsidRPr="00CA2CC1">
        <w:rPr>
          <w:rFonts w:cs="Calibri"/>
          <w:color w:val="414042"/>
          <w:spacing w:val="-1"/>
        </w:rPr>
        <w:t xml:space="preserve"> </w:t>
      </w:r>
      <w:r w:rsidRPr="00CA2CC1">
        <w:rPr>
          <w:rFonts w:cs="Calibri"/>
          <w:color w:val="414042"/>
        </w:rPr>
        <w:t>The annual leave liability is classified as a</w:t>
      </w:r>
      <w:r w:rsidRPr="00CA2CC1">
        <w:rPr>
          <w:rFonts w:cs="Calibri"/>
          <w:color w:val="414042"/>
          <w:spacing w:val="-1"/>
        </w:rPr>
        <w:t xml:space="preserve"> </w:t>
      </w:r>
      <w:r w:rsidRPr="00CA2CC1">
        <w:rPr>
          <w:rFonts w:cs="Calibri"/>
          <w:color w:val="414042"/>
        </w:rPr>
        <w:t>current</w:t>
      </w:r>
      <w:r w:rsidRPr="00CA2CC1">
        <w:rPr>
          <w:rFonts w:cs="Calibri"/>
          <w:color w:val="414042"/>
          <w:spacing w:val="-1"/>
        </w:rPr>
        <w:t xml:space="preserve"> </w:t>
      </w:r>
      <w:r w:rsidRPr="00CA2CC1">
        <w:rPr>
          <w:rFonts w:cs="Calibri"/>
          <w:color w:val="414042"/>
        </w:rPr>
        <w:t>liability</w:t>
      </w:r>
      <w:r w:rsidRPr="00CA2CC1">
        <w:rPr>
          <w:rFonts w:cs="Calibri"/>
          <w:color w:val="414042"/>
          <w:spacing w:val="-1"/>
        </w:rPr>
        <w:t xml:space="preserve"> </w:t>
      </w:r>
      <w:r w:rsidRPr="00CA2CC1">
        <w:rPr>
          <w:rFonts w:cs="Calibri"/>
          <w:color w:val="414042"/>
        </w:rPr>
        <w:t>and</w:t>
      </w:r>
      <w:r w:rsidRPr="00CA2CC1">
        <w:rPr>
          <w:rFonts w:cs="Calibri"/>
          <w:color w:val="414042"/>
          <w:spacing w:val="-1"/>
        </w:rPr>
        <w:t xml:space="preserve"> </w:t>
      </w:r>
      <w:r w:rsidRPr="00CA2CC1">
        <w:rPr>
          <w:rFonts w:cs="Calibri"/>
          <w:color w:val="414042"/>
        </w:rPr>
        <w:t>measured</w:t>
      </w:r>
      <w:r w:rsidRPr="00CA2CC1">
        <w:rPr>
          <w:rFonts w:cs="Calibri"/>
          <w:color w:val="414042"/>
          <w:spacing w:val="-1"/>
        </w:rPr>
        <w:t xml:space="preserve"> </w:t>
      </w:r>
      <w:r w:rsidRPr="00CA2CC1">
        <w:rPr>
          <w:rFonts w:cs="Calibri"/>
          <w:color w:val="414042"/>
        </w:rPr>
        <w:t>at</w:t>
      </w:r>
      <w:r w:rsidRPr="00CA2CC1">
        <w:rPr>
          <w:rFonts w:cs="Calibri"/>
          <w:color w:val="414042"/>
          <w:spacing w:val="-1"/>
        </w:rPr>
        <w:t xml:space="preserve"> </w:t>
      </w:r>
      <w:r w:rsidRPr="00CA2CC1">
        <w:rPr>
          <w:rFonts w:cs="Calibri"/>
          <w:color w:val="414042"/>
        </w:rPr>
        <w:t>the</w:t>
      </w:r>
      <w:r w:rsidRPr="00CA2CC1">
        <w:rPr>
          <w:rFonts w:cs="Calibri"/>
          <w:color w:val="414042"/>
          <w:spacing w:val="-1"/>
        </w:rPr>
        <w:t xml:space="preserve"> </w:t>
      </w:r>
      <w:r w:rsidRPr="00CA2CC1">
        <w:rPr>
          <w:rFonts w:cs="Calibri"/>
          <w:color w:val="414042"/>
        </w:rPr>
        <w:t>undiscounted</w:t>
      </w:r>
      <w:r w:rsidRPr="00CA2CC1">
        <w:rPr>
          <w:rFonts w:cs="Calibri"/>
          <w:color w:val="414042"/>
          <w:spacing w:val="-1"/>
        </w:rPr>
        <w:t xml:space="preserve"> </w:t>
      </w:r>
      <w:r w:rsidRPr="00CA2CC1">
        <w:rPr>
          <w:rFonts w:cs="Calibri"/>
          <w:color w:val="414042"/>
        </w:rPr>
        <w:t>amount expected</w:t>
      </w:r>
      <w:r w:rsidRPr="00CA2CC1">
        <w:rPr>
          <w:rFonts w:cs="Calibri"/>
          <w:color w:val="414042"/>
          <w:spacing w:val="-5"/>
        </w:rPr>
        <w:t xml:space="preserve"> </w:t>
      </w:r>
      <w:r w:rsidRPr="00CA2CC1">
        <w:rPr>
          <w:rFonts w:cs="Calibri"/>
          <w:color w:val="414042"/>
        </w:rPr>
        <w:t>to</w:t>
      </w:r>
      <w:r w:rsidRPr="00CA2CC1">
        <w:rPr>
          <w:rFonts w:cs="Calibri"/>
          <w:color w:val="414042"/>
          <w:spacing w:val="-5"/>
        </w:rPr>
        <w:t xml:space="preserve"> </w:t>
      </w:r>
      <w:r w:rsidRPr="00CA2CC1">
        <w:rPr>
          <w:rFonts w:cs="Calibri"/>
          <w:color w:val="414042"/>
        </w:rPr>
        <w:t>be</w:t>
      </w:r>
      <w:r w:rsidRPr="00CA2CC1">
        <w:rPr>
          <w:rFonts w:cs="Calibri"/>
          <w:color w:val="414042"/>
          <w:spacing w:val="-5"/>
        </w:rPr>
        <w:t xml:space="preserve"> </w:t>
      </w:r>
      <w:r w:rsidRPr="00CA2CC1">
        <w:rPr>
          <w:rFonts w:cs="Calibri"/>
          <w:color w:val="414042"/>
        </w:rPr>
        <w:t>paid,</w:t>
      </w:r>
      <w:r w:rsidRPr="00CA2CC1">
        <w:rPr>
          <w:rFonts w:cs="Calibri"/>
          <w:color w:val="414042"/>
          <w:spacing w:val="-5"/>
        </w:rPr>
        <w:t xml:space="preserve"> </w:t>
      </w:r>
      <w:r w:rsidRPr="00CA2CC1">
        <w:rPr>
          <w:rFonts w:cs="Calibri"/>
          <w:color w:val="414042"/>
        </w:rPr>
        <w:t>as</w:t>
      </w:r>
      <w:r w:rsidRPr="00CA2CC1">
        <w:rPr>
          <w:rFonts w:cs="Calibri"/>
          <w:color w:val="414042"/>
          <w:spacing w:val="-5"/>
        </w:rPr>
        <w:t xml:space="preserve"> </w:t>
      </w:r>
      <w:r w:rsidRPr="00CA2CC1">
        <w:rPr>
          <w:rFonts w:cs="Calibri"/>
          <w:color w:val="414042"/>
        </w:rPr>
        <w:t>Infrastructure</w:t>
      </w:r>
      <w:r w:rsidRPr="00CA2CC1">
        <w:rPr>
          <w:rFonts w:cs="Calibri"/>
          <w:color w:val="414042"/>
          <w:spacing w:val="-5"/>
        </w:rPr>
        <w:t xml:space="preserve"> </w:t>
      </w:r>
      <w:r w:rsidRPr="00CA2CC1">
        <w:rPr>
          <w:rFonts w:cs="Calibri"/>
          <w:color w:val="414042"/>
        </w:rPr>
        <w:t>Victoria</w:t>
      </w:r>
      <w:r w:rsidRPr="00CA2CC1">
        <w:rPr>
          <w:rFonts w:cs="Calibri"/>
          <w:color w:val="414042"/>
          <w:spacing w:val="-5"/>
        </w:rPr>
        <w:t xml:space="preserve"> </w:t>
      </w:r>
      <w:r w:rsidRPr="00CA2CC1">
        <w:rPr>
          <w:rFonts w:cs="Calibri"/>
          <w:color w:val="414042"/>
        </w:rPr>
        <w:t>does</w:t>
      </w:r>
      <w:r w:rsidRPr="00CA2CC1">
        <w:rPr>
          <w:rFonts w:cs="Calibri"/>
          <w:color w:val="414042"/>
          <w:spacing w:val="-5"/>
        </w:rPr>
        <w:t xml:space="preserve"> </w:t>
      </w:r>
      <w:r w:rsidRPr="00CA2CC1">
        <w:rPr>
          <w:rFonts w:cs="Calibri"/>
          <w:color w:val="414042"/>
        </w:rPr>
        <w:t>not</w:t>
      </w:r>
      <w:r w:rsidRPr="00CA2CC1">
        <w:rPr>
          <w:rFonts w:cs="Calibri"/>
          <w:color w:val="414042"/>
          <w:spacing w:val="-5"/>
        </w:rPr>
        <w:t xml:space="preserve"> </w:t>
      </w:r>
      <w:r w:rsidRPr="00CA2CC1">
        <w:rPr>
          <w:rFonts w:cs="Calibri"/>
          <w:color w:val="414042"/>
        </w:rPr>
        <w:t>have an</w:t>
      </w:r>
      <w:r w:rsidRPr="00CA2CC1">
        <w:rPr>
          <w:rFonts w:cs="Calibri"/>
          <w:color w:val="414042"/>
          <w:spacing w:val="-3"/>
        </w:rPr>
        <w:t xml:space="preserve"> </w:t>
      </w:r>
      <w:r w:rsidRPr="00CA2CC1">
        <w:rPr>
          <w:rFonts w:cs="Calibri"/>
          <w:color w:val="414042"/>
        </w:rPr>
        <w:t>unconditional</w:t>
      </w:r>
      <w:r w:rsidRPr="00CA2CC1">
        <w:rPr>
          <w:rFonts w:cs="Calibri"/>
          <w:color w:val="414042"/>
          <w:spacing w:val="-3"/>
        </w:rPr>
        <w:t xml:space="preserve"> </w:t>
      </w:r>
      <w:r w:rsidRPr="00CA2CC1">
        <w:rPr>
          <w:rFonts w:cs="Calibri"/>
          <w:color w:val="414042"/>
        </w:rPr>
        <w:t>right</w:t>
      </w:r>
      <w:r w:rsidRPr="00CA2CC1">
        <w:rPr>
          <w:rFonts w:cs="Calibri"/>
          <w:color w:val="414042"/>
          <w:spacing w:val="-3"/>
        </w:rPr>
        <w:t xml:space="preserve"> </w:t>
      </w:r>
      <w:r w:rsidRPr="00CA2CC1">
        <w:rPr>
          <w:rFonts w:cs="Calibri"/>
          <w:color w:val="414042"/>
        </w:rPr>
        <w:t>to</w:t>
      </w:r>
      <w:r w:rsidRPr="00CA2CC1">
        <w:rPr>
          <w:rFonts w:cs="Calibri"/>
          <w:color w:val="414042"/>
          <w:spacing w:val="-3"/>
        </w:rPr>
        <w:t xml:space="preserve"> </w:t>
      </w:r>
      <w:r w:rsidRPr="00CA2CC1">
        <w:rPr>
          <w:rFonts w:cs="Calibri"/>
          <w:color w:val="414042"/>
        </w:rPr>
        <w:t>defer</w:t>
      </w:r>
      <w:r w:rsidRPr="00CA2CC1">
        <w:rPr>
          <w:rFonts w:cs="Calibri"/>
          <w:color w:val="414042"/>
          <w:spacing w:val="-3"/>
        </w:rPr>
        <w:t xml:space="preserve"> </w:t>
      </w:r>
      <w:r w:rsidRPr="00CA2CC1">
        <w:rPr>
          <w:rFonts w:cs="Calibri"/>
          <w:color w:val="414042"/>
        </w:rPr>
        <w:t>settlement</w:t>
      </w:r>
      <w:r w:rsidRPr="00CA2CC1">
        <w:rPr>
          <w:rFonts w:cs="Calibri"/>
          <w:color w:val="414042"/>
          <w:spacing w:val="-3"/>
        </w:rPr>
        <w:t xml:space="preserve"> </w:t>
      </w:r>
      <w:r w:rsidRPr="00CA2CC1">
        <w:rPr>
          <w:rFonts w:cs="Calibri"/>
          <w:color w:val="414042"/>
        </w:rPr>
        <w:t>of</w:t>
      </w:r>
      <w:r w:rsidRPr="00CA2CC1">
        <w:rPr>
          <w:rFonts w:cs="Calibri"/>
          <w:color w:val="414042"/>
          <w:spacing w:val="-3"/>
        </w:rPr>
        <w:t xml:space="preserve"> </w:t>
      </w:r>
      <w:r w:rsidRPr="00CA2CC1">
        <w:rPr>
          <w:rFonts w:cs="Calibri"/>
          <w:color w:val="414042"/>
        </w:rPr>
        <w:t>the</w:t>
      </w:r>
      <w:r w:rsidRPr="00CA2CC1">
        <w:rPr>
          <w:rFonts w:cs="Calibri"/>
          <w:color w:val="414042"/>
          <w:spacing w:val="-3"/>
        </w:rPr>
        <w:t xml:space="preserve"> </w:t>
      </w:r>
      <w:r w:rsidRPr="00CA2CC1">
        <w:rPr>
          <w:rFonts w:cs="Calibri"/>
          <w:color w:val="414042"/>
        </w:rPr>
        <w:t>liability</w:t>
      </w:r>
      <w:r w:rsidRPr="00CA2CC1">
        <w:rPr>
          <w:rFonts w:cs="Calibri"/>
          <w:color w:val="414042"/>
          <w:spacing w:val="-3"/>
        </w:rPr>
        <w:t xml:space="preserve"> </w:t>
      </w:r>
      <w:r w:rsidRPr="00CA2CC1">
        <w:rPr>
          <w:rFonts w:cs="Calibri"/>
          <w:color w:val="414042"/>
        </w:rPr>
        <w:t>for</w:t>
      </w:r>
      <w:r w:rsidRPr="00CA2CC1">
        <w:rPr>
          <w:rFonts w:cs="Calibri"/>
          <w:color w:val="414042"/>
          <w:spacing w:val="-3"/>
        </w:rPr>
        <w:t xml:space="preserve"> </w:t>
      </w:r>
      <w:r w:rsidRPr="00CA2CC1">
        <w:rPr>
          <w:rFonts w:cs="Calibri"/>
          <w:color w:val="414042"/>
        </w:rPr>
        <w:t>at least 12 months after the end of the reporting period.</w:t>
      </w:r>
    </w:p>
    <w:p w14:paraId="6BDE6D1C" w14:textId="77777777" w:rsidR="00FA4226" w:rsidRPr="00CA2CC1" w:rsidRDefault="00000000" w:rsidP="0043303B">
      <w:pPr>
        <w:pStyle w:val="BodyText"/>
        <w:spacing w:before="124"/>
        <w:rPr>
          <w:rFonts w:cs="Calibri"/>
        </w:rPr>
      </w:pPr>
      <w:r w:rsidRPr="00CA2CC1">
        <w:rPr>
          <w:rFonts w:cs="Calibri"/>
          <w:color w:val="414042"/>
        </w:rPr>
        <w:t>Unconditional long service leave (LSL) is disclosed as a current liability even where Infrastructure Victoria does not expect to settle the liability within 12 months because it</w:t>
      </w:r>
      <w:r w:rsidRPr="00CA2CC1">
        <w:rPr>
          <w:rFonts w:cs="Calibri"/>
          <w:color w:val="414042"/>
          <w:spacing w:val="40"/>
        </w:rPr>
        <w:t xml:space="preserve"> </w:t>
      </w:r>
      <w:r w:rsidRPr="00CA2CC1">
        <w:rPr>
          <w:rFonts w:cs="Calibri"/>
          <w:color w:val="414042"/>
        </w:rPr>
        <w:t>will</w:t>
      </w:r>
      <w:r w:rsidRPr="00CA2CC1">
        <w:rPr>
          <w:rFonts w:cs="Calibri"/>
          <w:color w:val="414042"/>
          <w:spacing w:val="-4"/>
        </w:rPr>
        <w:t xml:space="preserve"> </w:t>
      </w:r>
      <w:r w:rsidRPr="00CA2CC1">
        <w:rPr>
          <w:rFonts w:cs="Calibri"/>
          <w:color w:val="414042"/>
        </w:rPr>
        <w:t>not</w:t>
      </w:r>
      <w:r w:rsidRPr="00CA2CC1">
        <w:rPr>
          <w:rFonts w:cs="Calibri"/>
          <w:color w:val="414042"/>
          <w:spacing w:val="-4"/>
        </w:rPr>
        <w:t xml:space="preserve"> </w:t>
      </w:r>
      <w:r w:rsidRPr="00CA2CC1">
        <w:rPr>
          <w:rFonts w:cs="Calibri"/>
          <w:color w:val="414042"/>
        </w:rPr>
        <w:t>have</w:t>
      </w:r>
      <w:r w:rsidRPr="00CA2CC1">
        <w:rPr>
          <w:rFonts w:cs="Calibri"/>
          <w:color w:val="414042"/>
          <w:spacing w:val="-4"/>
        </w:rPr>
        <w:t xml:space="preserve"> </w:t>
      </w:r>
      <w:r w:rsidRPr="00CA2CC1">
        <w:rPr>
          <w:rFonts w:cs="Calibri"/>
          <w:color w:val="414042"/>
        </w:rPr>
        <w:t>the</w:t>
      </w:r>
      <w:r w:rsidRPr="00CA2CC1">
        <w:rPr>
          <w:rFonts w:cs="Calibri"/>
          <w:color w:val="414042"/>
          <w:spacing w:val="-4"/>
        </w:rPr>
        <w:t xml:space="preserve"> </w:t>
      </w:r>
      <w:r w:rsidRPr="00CA2CC1">
        <w:rPr>
          <w:rFonts w:cs="Calibri"/>
          <w:color w:val="414042"/>
        </w:rPr>
        <w:t>unconditional</w:t>
      </w:r>
      <w:r w:rsidRPr="00CA2CC1">
        <w:rPr>
          <w:rFonts w:cs="Calibri"/>
          <w:color w:val="414042"/>
          <w:spacing w:val="-4"/>
        </w:rPr>
        <w:t xml:space="preserve"> </w:t>
      </w:r>
      <w:r w:rsidRPr="00CA2CC1">
        <w:rPr>
          <w:rFonts w:cs="Calibri"/>
          <w:color w:val="414042"/>
        </w:rPr>
        <w:t>right</w:t>
      </w:r>
      <w:r w:rsidRPr="00CA2CC1">
        <w:rPr>
          <w:rFonts w:cs="Calibri"/>
          <w:color w:val="414042"/>
          <w:spacing w:val="-4"/>
        </w:rPr>
        <w:t xml:space="preserve"> </w:t>
      </w:r>
      <w:r w:rsidRPr="00CA2CC1">
        <w:rPr>
          <w:rFonts w:cs="Calibri"/>
          <w:color w:val="414042"/>
        </w:rPr>
        <w:t>to</w:t>
      </w:r>
      <w:r w:rsidRPr="00CA2CC1">
        <w:rPr>
          <w:rFonts w:cs="Calibri"/>
          <w:color w:val="414042"/>
          <w:spacing w:val="-4"/>
        </w:rPr>
        <w:t xml:space="preserve"> </w:t>
      </w:r>
      <w:r w:rsidRPr="00CA2CC1">
        <w:rPr>
          <w:rFonts w:cs="Calibri"/>
          <w:color w:val="414042"/>
        </w:rPr>
        <w:t>defer</w:t>
      </w:r>
      <w:r w:rsidRPr="00CA2CC1">
        <w:rPr>
          <w:rFonts w:cs="Calibri"/>
          <w:color w:val="414042"/>
          <w:spacing w:val="-4"/>
        </w:rPr>
        <w:t xml:space="preserve"> </w:t>
      </w:r>
      <w:r w:rsidRPr="00CA2CC1">
        <w:rPr>
          <w:rFonts w:cs="Calibri"/>
          <w:color w:val="414042"/>
        </w:rPr>
        <w:t>the</w:t>
      </w:r>
      <w:r w:rsidRPr="00CA2CC1">
        <w:rPr>
          <w:rFonts w:cs="Calibri"/>
          <w:color w:val="414042"/>
          <w:spacing w:val="-4"/>
        </w:rPr>
        <w:t xml:space="preserve"> </w:t>
      </w:r>
      <w:r w:rsidRPr="00CA2CC1">
        <w:rPr>
          <w:rFonts w:cs="Calibri"/>
          <w:color w:val="414042"/>
        </w:rPr>
        <w:t>settlement of the entitlement should an employee take leave within</w:t>
      </w:r>
      <w:r w:rsidRPr="00CA2CC1">
        <w:rPr>
          <w:rFonts w:cs="Calibri"/>
          <w:color w:val="414042"/>
          <w:spacing w:val="40"/>
        </w:rPr>
        <w:t xml:space="preserve"> </w:t>
      </w:r>
      <w:r w:rsidRPr="00CA2CC1">
        <w:rPr>
          <w:rFonts w:cs="Calibri"/>
          <w:color w:val="414042"/>
        </w:rPr>
        <w:t>12 months.</w:t>
      </w:r>
    </w:p>
    <w:p w14:paraId="4F0CC501" w14:textId="77777777" w:rsidR="00FA4226" w:rsidRPr="00CA2CC1" w:rsidRDefault="00000000" w:rsidP="0043303B">
      <w:pPr>
        <w:pStyle w:val="BodyText"/>
        <w:spacing w:before="113"/>
        <w:rPr>
          <w:rFonts w:cs="Calibri"/>
        </w:rPr>
      </w:pPr>
      <w:r w:rsidRPr="00CA2CC1">
        <w:rPr>
          <w:rFonts w:cs="Calibri"/>
          <w:color w:val="414042"/>
        </w:rPr>
        <w:t>No provision has been made for sick leave as all sick leave</w:t>
      </w:r>
      <w:r w:rsidRPr="00CA2CC1">
        <w:rPr>
          <w:rFonts w:cs="Calibri"/>
          <w:color w:val="414042"/>
          <w:spacing w:val="40"/>
        </w:rPr>
        <w:t xml:space="preserve"> </w:t>
      </w:r>
      <w:r w:rsidRPr="00CA2CC1">
        <w:rPr>
          <w:rFonts w:cs="Calibri"/>
          <w:color w:val="414042"/>
        </w:rPr>
        <w:t>is non-vesting and it is not considered probable that the average</w:t>
      </w:r>
      <w:r w:rsidRPr="00CA2CC1">
        <w:rPr>
          <w:rFonts w:cs="Calibri"/>
          <w:color w:val="414042"/>
          <w:spacing w:val="-4"/>
        </w:rPr>
        <w:t xml:space="preserve"> </w:t>
      </w:r>
      <w:r w:rsidRPr="00CA2CC1">
        <w:rPr>
          <w:rFonts w:cs="Calibri"/>
          <w:color w:val="414042"/>
        </w:rPr>
        <w:t>sick</w:t>
      </w:r>
      <w:r w:rsidRPr="00CA2CC1">
        <w:rPr>
          <w:rFonts w:cs="Calibri"/>
          <w:color w:val="414042"/>
          <w:spacing w:val="-4"/>
        </w:rPr>
        <w:t xml:space="preserve"> </w:t>
      </w:r>
      <w:r w:rsidRPr="00CA2CC1">
        <w:rPr>
          <w:rFonts w:cs="Calibri"/>
          <w:color w:val="414042"/>
        </w:rPr>
        <w:t>leave</w:t>
      </w:r>
      <w:r w:rsidRPr="00CA2CC1">
        <w:rPr>
          <w:rFonts w:cs="Calibri"/>
          <w:color w:val="414042"/>
          <w:spacing w:val="-4"/>
        </w:rPr>
        <w:t xml:space="preserve"> </w:t>
      </w:r>
      <w:r w:rsidRPr="00CA2CC1">
        <w:rPr>
          <w:rFonts w:cs="Calibri"/>
          <w:color w:val="414042"/>
        </w:rPr>
        <w:t>taken</w:t>
      </w:r>
      <w:r w:rsidRPr="00CA2CC1">
        <w:rPr>
          <w:rFonts w:cs="Calibri"/>
          <w:color w:val="414042"/>
          <w:spacing w:val="-4"/>
        </w:rPr>
        <w:t xml:space="preserve"> </w:t>
      </w:r>
      <w:r w:rsidRPr="00CA2CC1">
        <w:rPr>
          <w:rFonts w:cs="Calibri"/>
          <w:color w:val="414042"/>
        </w:rPr>
        <w:t>in</w:t>
      </w:r>
      <w:r w:rsidRPr="00CA2CC1">
        <w:rPr>
          <w:rFonts w:cs="Calibri"/>
          <w:color w:val="414042"/>
          <w:spacing w:val="-4"/>
        </w:rPr>
        <w:t xml:space="preserve"> </w:t>
      </w:r>
      <w:r w:rsidRPr="00CA2CC1">
        <w:rPr>
          <w:rFonts w:cs="Calibri"/>
          <w:color w:val="414042"/>
        </w:rPr>
        <w:t>the</w:t>
      </w:r>
      <w:r w:rsidRPr="00CA2CC1">
        <w:rPr>
          <w:rFonts w:cs="Calibri"/>
          <w:color w:val="414042"/>
          <w:spacing w:val="-4"/>
        </w:rPr>
        <w:t xml:space="preserve"> </w:t>
      </w:r>
      <w:r w:rsidRPr="00CA2CC1">
        <w:rPr>
          <w:rFonts w:cs="Calibri"/>
          <w:color w:val="414042"/>
        </w:rPr>
        <w:t>future</w:t>
      </w:r>
      <w:r w:rsidRPr="00CA2CC1">
        <w:rPr>
          <w:rFonts w:cs="Calibri"/>
          <w:color w:val="414042"/>
          <w:spacing w:val="-4"/>
        </w:rPr>
        <w:t xml:space="preserve"> </w:t>
      </w:r>
      <w:r w:rsidRPr="00CA2CC1">
        <w:rPr>
          <w:rFonts w:cs="Calibri"/>
          <w:color w:val="414042"/>
        </w:rPr>
        <w:t>will</w:t>
      </w:r>
      <w:r w:rsidRPr="00CA2CC1">
        <w:rPr>
          <w:rFonts w:cs="Calibri"/>
          <w:color w:val="414042"/>
          <w:spacing w:val="-4"/>
        </w:rPr>
        <w:t xml:space="preserve"> </w:t>
      </w:r>
      <w:r w:rsidRPr="00CA2CC1">
        <w:rPr>
          <w:rFonts w:cs="Calibri"/>
          <w:color w:val="414042"/>
        </w:rPr>
        <w:t>be</w:t>
      </w:r>
      <w:r w:rsidRPr="00CA2CC1">
        <w:rPr>
          <w:rFonts w:cs="Calibri"/>
          <w:color w:val="414042"/>
          <w:spacing w:val="-4"/>
        </w:rPr>
        <w:t xml:space="preserve"> </w:t>
      </w:r>
      <w:r w:rsidRPr="00CA2CC1">
        <w:rPr>
          <w:rFonts w:cs="Calibri"/>
          <w:color w:val="414042"/>
        </w:rPr>
        <w:t>greater</w:t>
      </w:r>
      <w:r w:rsidRPr="00CA2CC1">
        <w:rPr>
          <w:rFonts w:cs="Calibri"/>
          <w:color w:val="414042"/>
          <w:spacing w:val="-4"/>
        </w:rPr>
        <w:t xml:space="preserve"> </w:t>
      </w:r>
      <w:r w:rsidRPr="00CA2CC1">
        <w:rPr>
          <w:rFonts w:cs="Calibri"/>
          <w:color w:val="414042"/>
        </w:rPr>
        <w:t>than</w:t>
      </w:r>
      <w:r w:rsidRPr="00CA2CC1">
        <w:rPr>
          <w:rFonts w:cs="Calibri"/>
          <w:color w:val="414042"/>
          <w:spacing w:val="-4"/>
        </w:rPr>
        <w:t xml:space="preserve"> </w:t>
      </w:r>
      <w:r w:rsidRPr="00CA2CC1">
        <w:rPr>
          <w:rFonts w:cs="Calibri"/>
          <w:color w:val="414042"/>
        </w:rPr>
        <w:t>the benefits accrued in the future. As sick leave is non-vesting, an expense is recognised in the Comprehensive operating statement as it is taken.</w:t>
      </w:r>
    </w:p>
    <w:p w14:paraId="2F7D4CD4" w14:textId="77777777" w:rsidR="004D5806" w:rsidRPr="00CA2CC1" w:rsidRDefault="00000000" w:rsidP="0043303B">
      <w:pPr>
        <w:pStyle w:val="BodyText"/>
        <w:spacing w:before="113"/>
        <w:rPr>
          <w:rFonts w:cs="Calibri"/>
        </w:rPr>
      </w:pPr>
      <w:r w:rsidRPr="00CA2CC1">
        <w:rPr>
          <w:rFonts w:cs="Calibri"/>
          <w:color w:val="414042"/>
        </w:rPr>
        <w:t>Employment on-costs such as payroll tax, workers compensation and superannuation are not employee benefits. They are disclosed as a component of the provision</w:t>
      </w:r>
      <w:r w:rsidRPr="00CA2CC1">
        <w:rPr>
          <w:rFonts w:cs="Calibri"/>
          <w:color w:val="414042"/>
          <w:spacing w:val="-8"/>
        </w:rPr>
        <w:t xml:space="preserve"> </w:t>
      </w:r>
      <w:r w:rsidRPr="00CA2CC1">
        <w:rPr>
          <w:rFonts w:cs="Calibri"/>
          <w:color w:val="414042"/>
        </w:rPr>
        <w:t>for</w:t>
      </w:r>
      <w:r w:rsidRPr="00CA2CC1">
        <w:rPr>
          <w:rFonts w:cs="Calibri"/>
          <w:color w:val="414042"/>
          <w:spacing w:val="-8"/>
        </w:rPr>
        <w:t xml:space="preserve"> </w:t>
      </w:r>
      <w:r w:rsidRPr="00CA2CC1">
        <w:rPr>
          <w:rFonts w:cs="Calibri"/>
          <w:color w:val="414042"/>
        </w:rPr>
        <w:t>employee</w:t>
      </w:r>
      <w:r w:rsidRPr="00CA2CC1">
        <w:rPr>
          <w:rFonts w:cs="Calibri"/>
          <w:color w:val="414042"/>
          <w:spacing w:val="-8"/>
        </w:rPr>
        <w:t xml:space="preserve"> </w:t>
      </w:r>
      <w:r w:rsidRPr="00CA2CC1">
        <w:rPr>
          <w:rFonts w:cs="Calibri"/>
          <w:color w:val="414042"/>
        </w:rPr>
        <w:t>benefits</w:t>
      </w:r>
      <w:r w:rsidRPr="00CA2CC1">
        <w:rPr>
          <w:rFonts w:cs="Calibri"/>
          <w:color w:val="414042"/>
          <w:spacing w:val="-8"/>
        </w:rPr>
        <w:t xml:space="preserve"> </w:t>
      </w:r>
      <w:r w:rsidRPr="00CA2CC1">
        <w:rPr>
          <w:rFonts w:cs="Calibri"/>
          <w:color w:val="414042"/>
        </w:rPr>
        <w:t>where</w:t>
      </w:r>
      <w:r w:rsidRPr="00CA2CC1">
        <w:rPr>
          <w:rFonts w:cs="Calibri"/>
          <w:color w:val="414042"/>
          <w:spacing w:val="-8"/>
        </w:rPr>
        <w:t xml:space="preserve"> </w:t>
      </w:r>
      <w:r w:rsidRPr="00CA2CC1">
        <w:rPr>
          <w:rFonts w:cs="Calibri"/>
          <w:color w:val="414042"/>
        </w:rPr>
        <w:t>the</w:t>
      </w:r>
      <w:r w:rsidRPr="00CA2CC1">
        <w:rPr>
          <w:rFonts w:cs="Calibri"/>
          <w:color w:val="414042"/>
          <w:spacing w:val="-8"/>
        </w:rPr>
        <w:t xml:space="preserve"> </w:t>
      </w:r>
      <w:r w:rsidRPr="00CA2CC1">
        <w:rPr>
          <w:rFonts w:cs="Calibri"/>
          <w:color w:val="414042"/>
        </w:rPr>
        <w:t>employment to which they relate has occurred.</w:t>
      </w:r>
    </w:p>
    <w:p w14:paraId="5844F28B" w14:textId="30650BAA" w:rsidR="00FA4226" w:rsidRPr="00CA2CC1" w:rsidRDefault="00000000" w:rsidP="0043303B">
      <w:pPr>
        <w:pStyle w:val="BodyText"/>
        <w:spacing w:before="113"/>
        <w:rPr>
          <w:rFonts w:cs="Calibri"/>
        </w:rPr>
      </w:pPr>
      <w:r w:rsidRPr="00CA2CC1">
        <w:rPr>
          <w:rFonts w:cs="Calibri"/>
          <w:color w:val="414042"/>
        </w:rPr>
        <w:t>Non-Current</w:t>
      </w:r>
      <w:r w:rsidRPr="00CA2CC1">
        <w:rPr>
          <w:rFonts w:cs="Calibri"/>
          <w:color w:val="414042"/>
          <w:spacing w:val="-7"/>
        </w:rPr>
        <w:t xml:space="preserve"> </w:t>
      </w:r>
      <w:r w:rsidRPr="00CA2CC1">
        <w:rPr>
          <w:rFonts w:cs="Calibri"/>
          <w:color w:val="414042"/>
        </w:rPr>
        <w:t>provisions:</w:t>
      </w:r>
      <w:r w:rsidRPr="00CA2CC1">
        <w:rPr>
          <w:rFonts w:cs="Calibri"/>
          <w:color w:val="414042"/>
          <w:spacing w:val="-8"/>
        </w:rPr>
        <w:t xml:space="preserve"> </w:t>
      </w:r>
      <w:r w:rsidRPr="00CA2CC1">
        <w:rPr>
          <w:rFonts w:cs="Calibri"/>
          <w:color w:val="414042"/>
        </w:rPr>
        <w:t>Conditional</w:t>
      </w:r>
      <w:r w:rsidRPr="00CA2CC1">
        <w:rPr>
          <w:rFonts w:cs="Calibri"/>
          <w:color w:val="414042"/>
          <w:spacing w:val="-7"/>
        </w:rPr>
        <w:t xml:space="preserve"> </w:t>
      </w:r>
      <w:r w:rsidRPr="00CA2CC1">
        <w:rPr>
          <w:rFonts w:cs="Calibri"/>
          <w:color w:val="414042"/>
        </w:rPr>
        <w:t>LSL</w:t>
      </w:r>
      <w:r w:rsidRPr="00CA2CC1">
        <w:rPr>
          <w:rFonts w:cs="Calibri"/>
          <w:color w:val="414042"/>
          <w:spacing w:val="-7"/>
        </w:rPr>
        <w:t xml:space="preserve"> </w:t>
      </w:r>
      <w:r w:rsidRPr="00CA2CC1">
        <w:rPr>
          <w:rFonts w:cs="Calibri"/>
          <w:color w:val="414042"/>
        </w:rPr>
        <w:t>is</w:t>
      </w:r>
      <w:r w:rsidRPr="00CA2CC1">
        <w:rPr>
          <w:rFonts w:cs="Calibri"/>
          <w:color w:val="414042"/>
          <w:spacing w:val="-7"/>
        </w:rPr>
        <w:t xml:space="preserve"> </w:t>
      </w:r>
      <w:r w:rsidRPr="00CA2CC1">
        <w:rPr>
          <w:rFonts w:cs="Calibri"/>
          <w:color w:val="414042"/>
        </w:rPr>
        <w:t>disclosed</w:t>
      </w:r>
      <w:r w:rsidRPr="00CA2CC1">
        <w:rPr>
          <w:rFonts w:cs="Calibri"/>
          <w:color w:val="414042"/>
          <w:spacing w:val="-7"/>
        </w:rPr>
        <w:t xml:space="preserve"> </w:t>
      </w:r>
      <w:r w:rsidRPr="00CA2CC1">
        <w:rPr>
          <w:rFonts w:cs="Calibri"/>
          <w:color w:val="414042"/>
        </w:rPr>
        <w:t>as a non-current liability. There is a conditional right to defer the settlement of the entitlement until the employee has completed</w:t>
      </w:r>
      <w:r w:rsidRPr="00CA2CC1">
        <w:rPr>
          <w:rFonts w:cs="Calibri"/>
          <w:color w:val="414042"/>
          <w:spacing w:val="-5"/>
        </w:rPr>
        <w:t xml:space="preserve"> </w:t>
      </w:r>
      <w:r w:rsidRPr="00CA2CC1">
        <w:rPr>
          <w:rFonts w:cs="Calibri"/>
          <w:color w:val="414042"/>
        </w:rPr>
        <w:t>the</w:t>
      </w:r>
      <w:r w:rsidRPr="00CA2CC1">
        <w:rPr>
          <w:rFonts w:cs="Calibri"/>
          <w:color w:val="414042"/>
          <w:spacing w:val="-5"/>
        </w:rPr>
        <w:t xml:space="preserve"> </w:t>
      </w:r>
      <w:r w:rsidRPr="00CA2CC1">
        <w:rPr>
          <w:rFonts w:cs="Calibri"/>
          <w:color w:val="414042"/>
        </w:rPr>
        <w:t>requisite</w:t>
      </w:r>
      <w:r w:rsidRPr="00CA2CC1">
        <w:rPr>
          <w:rFonts w:cs="Calibri"/>
          <w:color w:val="414042"/>
          <w:spacing w:val="-5"/>
        </w:rPr>
        <w:t xml:space="preserve"> </w:t>
      </w:r>
      <w:r w:rsidRPr="00CA2CC1">
        <w:rPr>
          <w:rFonts w:cs="Calibri"/>
          <w:color w:val="414042"/>
        </w:rPr>
        <w:t>years</w:t>
      </w:r>
      <w:r w:rsidRPr="00CA2CC1">
        <w:rPr>
          <w:rFonts w:cs="Calibri"/>
          <w:color w:val="414042"/>
          <w:spacing w:val="-5"/>
        </w:rPr>
        <w:t xml:space="preserve"> </w:t>
      </w:r>
      <w:r w:rsidRPr="00CA2CC1">
        <w:rPr>
          <w:rFonts w:cs="Calibri"/>
          <w:color w:val="414042"/>
        </w:rPr>
        <w:t>of</w:t>
      </w:r>
      <w:r w:rsidRPr="00CA2CC1">
        <w:rPr>
          <w:rFonts w:cs="Calibri"/>
          <w:color w:val="414042"/>
          <w:spacing w:val="-5"/>
        </w:rPr>
        <w:t xml:space="preserve"> </w:t>
      </w:r>
      <w:r w:rsidRPr="00CA2CC1">
        <w:rPr>
          <w:rFonts w:cs="Calibri"/>
          <w:color w:val="414042"/>
        </w:rPr>
        <w:t>service.</w:t>
      </w:r>
      <w:r w:rsidRPr="00CA2CC1">
        <w:rPr>
          <w:rFonts w:cs="Calibri"/>
          <w:color w:val="414042"/>
          <w:spacing w:val="-5"/>
        </w:rPr>
        <w:t xml:space="preserve"> </w:t>
      </w:r>
      <w:r w:rsidRPr="00CA2CC1">
        <w:rPr>
          <w:rFonts w:cs="Calibri"/>
          <w:color w:val="414042"/>
        </w:rPr>
        <w:t>This</w:t>
      </w:r>
      <w:r w:rsidRPr="00CA2CC1">
        <w:rPr>
          <w:rFonts w:cs="Calibri"/>
          <w:color w:val="414042"/>
          <w:spacing w:val="-5"/>
        </w:rPr>
        <w:t xml:space="preserve"> </w:t>
      </w:r>
      <w:r w:rsidRPr="00CA2CC1">
        <w:rPr>
          <w:rFonts w:cs="Calibri"/>
          <w:color w:val="414042"/>
        </w:rPr>
        <w:t>non-current LSL is measured at present value.</w:t>
      </w:r>
    </w:p>
    <w:p w14:paraId="6819933D" w14:textId="77777777" w:rsidR="00FA4226" w:rsidRPr="00CA2CC1" w:rsidRDefault="00000000" w:rsidP="0043303B">
      <w:pPr>
        <w:pStyle w:val="BodyText"/>
        <w:spacing w:before="124"/>
        <w:rPr>
          <w:rFonts w:cs="Calibri"/>
        </w:rPr>
      </w:pPr>
      <w:r w:rsidRPr="00CA2CC1">
        <w:rPr>
          <w:rFonts w:cs="Calibri"/>
          <w:color w:val="414042"/>
        </w:rPr>
        <w:t>Any</w:t>
      </w:r>
      <w:r w:rsidRPr="00CA2CC1">
        <w:rPr>
          <w:rFonts w:cs="Calibri"/>
          <w:color w:val="414042"/>
          <w:spacing w:val="-6"/>
        </w:rPr>
        <w:t xml:space="preserve"> </w:t>
      </w:r>
      <w:r w:rsidRPr="00CA2CC1">
        <w:rPr>
          <w:rFonts w:cs="Calibri"/>
          <w:color w:val="414042"/>
        </w:rPr>
        <w:t>gain</w:t>
      </w:r>
      <w:r w:rsidRPr="00CA2CC1">
        <w:rPr>
          <w:rFonts w:cs="Calibri"/>
          <w:color w:val="414042"/>
          <w:spacing w:val="-6"/>
        </w:rPr>
        <w:t xml:space="preserve"> </w:t>
      </w:r>
      <w:r w:rsidRPr="00CA2CC1">
        <w:rPr>
          <w:rFonts w:cs="Calibri"/>
          <w:color w:val="414042"/>
        </w:rPr>
        <w:t>or</w:t>
      </w:r>
      <w:r w:rsidRPr="00CA2CC1">
        <w:rPr>
          <w:rFonts w:cs="Calibri"/>
          <w:color w:val="414042"/>
          <w:spacing w:val="-6"/>
        </w:rPr>
        <w:t xml:space="preserve"> </w:t>
      </w:r>
      <w:r w:rsidRPr="00CA2CC1">
        <w:rPr>
          <w:rFonts w:cs="Calibri"/>
          <w:color w:val="414042"/>
        </w:rPr>
        <w:t>loss</w:t>
      </w:r>
      <w:r w:rsidRPr="00CA2CC1">
        <w:rPr>
          <w:rFonts w:cs="Calibri"/>
          <w:color w:val="414042"/>
          <w:spacing w:val="-6"/>
        </w:rPr>
        <w:t xml:space="preserve"> </w:t>
      </w:r>
      <w:r w:rsidRPr="00CA2CC1">
        <w:rPr>
          <w:rFonts w:cs="Calibri"/>
          <w:color w:val="414042"/>
        </w:rPr>
        <w:t>following</w:t>
      </w:r>
      <w:r w:rsidRPr="00CA2CC1">
        <w:rPr>
          <w:rFonts w:cs="Calibri"/>
          <w:color w:val="414042"/>
          <w:spacing w:val="-6"/>
        </w:rPr>
        <w:t xml:space="preserve"> </w:t>
      </w:r>
      <w:r w:rsidRPr="00CA2CC1">
        <w:rPr>
          <w:rFonts w:cs="Calibri"/>
          <w:color w:val="414042"/>
        </w:rPr>
        <w:t>revaluation</w:t>
      </w:r>
      <w:r w:rsidRPr="00CA2CC1">
        <w:rPr>
          <w:rFonts w:cs="Calibri"/>
          <w:color w:val="414042"/>
          <w:spacing w:val="-6"/>
        </w:rPr>
        <w:t xml:space="preserve"> </w:t>
      </w:r>
      <w:r w:rsidRPr="00CA2CC1">
        <w:rPr>
          <w:rFonts w:cs="Calibri"/>
          <w:color w:val="414042"/>
        </w:rPr>
        <w:t>of</w:t>
      </w:r>
      <w:r w:rsidRPr="00CA2CC1">
        <w:rPr>
          <w:rFonts w:cs="Calibri"/>
          <w:color w:val="414042"/>
          <w:spacing w:val="-6"/>
        </w:rPr>
        <w:t xml:space="preserve"> </w:t>
      </w:r>
      <w:r w:rsidRPr="00CA2CC1">
        <w:rPr>
          <w:rFonts w:cs="Calibri"/>
          <w:color w:val="414042"/>
        </w:rPr>
        <w:t>the</w:t>
      </w:r>
      <w:r w:rsidRPr="00CA2CC1">
        <w:rPr>
          <w:rFonts w:cs="Calibri"/>
          <w:color w:val="414042"/>
          <w:spacing w:val="-6"/>
        </w:rPr>
        <w:t xml:space="preserve"> </w:t>
      </w:r>
      <w:r w:rsidRPr="00CA2CC1">
        <w:rPr>
          <w:rFonts w:cs="Calibri"/>
          <w:color w:val="414042"/>
        </w:rPr>
        <w:t>present value</w:t>
      </w:r>
      <w:r w:rsidRPr="00CA2CC1">
        <w:rPr>
          <w:rFonts w:cs="Calibri"/>
          <w:color w:val="414042"/>
          <w:spacing w:val="-1"/>
        </w:rPr>
        <w:t xml:space="preserve"> </w:t>
      </w:r>
      <w:r w:rsidRPr="00CA2CC1">
        <w:rPr>
          <w:rFonts w:cs="Calibri"/>
          <w:color w:val="414042"/>
        </w:rPr>
        <w:t>of</w:t>
      </w:r>
      <w:r w:rsidRPr="00CA2CC1">
        <w:rPr>
          <w:rFonts w:cs="Calibri"/>
          <w:color w:val="414042"/>
          <w:spacing w:val="-1"/>
        </w:rPr>
        <w:t xml:space="preserve"> </w:t>
      </w:r>
      <w:r w:rsidRPr="00CA2CC1">
        <w:rPr>
          <w:rFonts w:cs="Calibri"/>
          <w:color w:val="414042"/>
        </w:rPr>
        <w:t>non-current</w:t>
      </w:r>
      <w:r w:rsidRPr="00CA2CC1">
        <w:rPr>
          <w:rFonts w:cs="Calibri"/>
          <w:color w:val="414042"/>
          <w:spacing w:val="-1"/>
        </w:rPr>
        <w:t xml:space="preserve"> </w:t>
      </w:r>
      <w:r w:rsidRPr="00CA2CC1">
        <w:rPr>
          <w:rFonts w:cs="Calibri"/>
          <w:color w:val="414042"/>
        </w:rPr>
        <w:t>LSL</w:t>
      </w:r>
      <w:r w:rsidRPr="00CA2CC1">
        <w:rPr>
          <w:rFonts w:cs="Calibri"/>
          <w:color w:val="414042"/>
          <w:spacing w:val="-1"/>
        </w:rPr>
        <w:t xml:space="preserve"> </w:t>
      </w:r>
      <w:r w:rsidRPr="00CA2CC1">
        <w:rPr>
          <w:rFonts w:cs="Calibri"/>
          <w:color w:val="414042"/>
        </w:rPr>
        <w:t>liability</w:t>
      </w:r>
      <w:r w:rsidRPr="00CA2CC1">
        <w:rPr>
          <w:rFonts w:cs="Calibri"/>
          <w:color w:val="414042"/>
          <w:spacing w:val="-1"/>
        </w:rPr>
        <w:t xml:space="preserve"> </w:t>
      </w:r>
      <w:r w:rsidRPr="00CA2CC1">
        <w:rPr>
          <w:rFonts w:cs="Calibri"/>
          <w:color w:val="414042"/>
        </w:rPr>
        <w:t>is</w:t>
      </w:r>
      <w:r w:rsidRPr="00CA2CC1">
        <w:rPr>
          <w:rFonts w:cs="Calibri"/>
          <w:color w:val="414042"/>
          <w:spacing w:val="-1"/>
        </w:rPr>
        <w:t xml:space="preserve"> </w:t>
      </w:r>
      <w:r w:rsidRPr="00CA2CC1">
        <w:rPr>
          <w:rFonts w:cs="Calibri"/>
          <w:color w:val="414042"/>
        </w:rPr>
        <w:t>recognised</w:t>
      </w:r>
      <w:r w:rsidRPr="00CA2CC1">
        <w:rPr>
          <w:rFonts w:cs="Calibri"/>
          <w:color w:val="414042"/>
          <w:spacing w:val="-1"/>
        </w:rPr>
        <w:t xml:space="preserve"> </w:t>
      </w:r>
      <w:r w:rsidRPr="00CA2CC1">
        <w:rPr>
          <w:rFonts w:cs="Calibri"/>
          <w:color w:val="414042"/>
        </w:rPr>
        <w:t>as</w:t>
      </w:r>
      <w:r w:rsidRPr="00CA2CC1">
        <w:rPr>
          <w:rFonts w:cs="Calibri"/>
          <w:color w:val="414042"/>
          <w:spacing w:val="-1"/>
        </w:rPr>
        <w:t xml:space="preserve"> </w:t>
      </w:r>
      <w:r w:rsidRPr="00CA2CC1">
        <w:rPr>
          <w:rFonts w:cs="Calibri"/>
          <w:color w:val="414042"/>
          <w:spacing w:val="-10"/>
        </w:rPr>
        <w:t>a</w:t>
      </w:r>
    </w:p>
    <w:p w14:paraId="383275B6" w14:textId="77777777" w:rsidR="00FA4226" w:rsidRPr="00CA2CC1" w:rsidRDefault="00000000" w:rsidP="0043303B">
      <w:pPr>
        <w:pStyle w:val="BodyText"/>
        <w:rPr>
          <w:rFonts w:cs="Calibri"/>
        </w:rPr>
      </w:pPr>
      <w:r w:rsidRPr="00CA2CC1">
        <w:rPr>
          <w:rFonts w:cs="Calibri"/>
          <w:color w:val="414042"/>
        </w:rPr>
        <w:t>transaction,</w:t>
      </w:r>
      <w:r w:rsidRPr="00CA2CC1">
        <w:rPr>
          <w:rFonts w:cs="Calibri"/>
          <w:color w:val="414042"/>
          <w:spacing w:val="-4"/>
        </w:rPr>
        <w:t xml:space="preserve"> </w:t>
      </w:r>
      <w:r w:rsidRPr="00CA2CC1">
        <w:rPr>
          <w:rFonts w:cs="Calibri"/>
          <w:color w:val="414042"/>
        </w:rPr>
        <w:t>except</w:t>
      </w:r>
      <w:r w:rsidRPr="00CA2CC1">
        <w:rPr>
          <w:rFonts w:cs="Calibri"/>
          <w:color w:val="414042"/>
          <w:spacing w:val="-4"/>
        </w:rPr>
        <w:t xml:space="preserve"> </w:t>
      </w:r>
      <w:r w:rsidRPr="00CA2CC1">
        <w:rPr>
          <w:rFonts w:cs="Calibri"/>
          <w:color w:val="414042"/>
        </w:rPr>
        <w:t>to</w:t>
      </w:r>
      <w:r w:rsidRPr="00CA2CC1">
        <w:rPr>
          <w:rFonts w:cs="Calibri"/>
          <w:color w:val="414042"/>
          <w:spacing w:val="-4"/>
        </w:rPr>
        <w:t xml:space="preserve"> </w:t>
      </w:r>
      <w:r w:rsidRPr="00CA2CC1">
        <w:rPr>
          <w:rFonts w:cs="Calibri"/>
          <w:color w:val="414042"/>
        </w:rPr>
        <w:t>the</w:t>
      </w:r>
      <w:r w:rsidRPr="00CA2CC1">
        <w:rPr>
          <w:rFonts w:cs="Calibri"/>
          <w:color w:val="414042"/>
          <w:spacing w:val="-4"/>
        </w:rPr>
        <w:t xml:space="preserve"> </w:t>
      </w:r>
      <w:r w:rsidRPr="00CA2CC1">
        <w:rPr>
          <w:rFonts w:cs="Calibri"/>
          <w:color w:val="414042"/>
        </w:rPr>
        <w:t>extent</w:t>
      </w:r>
      <w:r w:rsidRPr="00CA2CC1">
        <w:rPr>
          <w:rFonts w:cs="Calibri"/>
          <w:color w:val="414042"/>
          <w:spacing w:val="-4"/>
        </w:rPr>
        <w:t xml:space="preserve"> </w:t>
      </w:r>
      <w:r w:rsidRPr="00CA2CC1">
        <w:rPr>
          <w:rFonts w:cs="Calibri"/>
          <w:color w:val="414042"/>
        </w:rPr>
        <w:t>that</w:t>
      </w:r>
      <w:r w:rsidRPr="00CA2CC1">
        <w:rPr>
          <w:rFonts w:cs="Calibri"/>
          <w:color w:val="414042"/>
          <w:spacing w:val="-4"/>
        </w:rPr>
        <w:t xml:space="preserve"> </w:t>
      </w:r>
      <w:r w:rsidRPr="00CA2CC1">
        <w:rPr>
          <w:rFonts w:cs="Calibri"/>
          <w:color w:val="414042"/>
        </w:rPr>
        <w:t>a</w:t>
      </w:r>
      <w:r w:rsidRPr="00CA2CC1">
        <w:rPr>
          <w:rFonts w:cs="Calibri"/>
          <w:color w:val="414042"/>
          <w:spacing w:val="-4"/>
        </w:rPr>
        <w:t xml:space="preserve"> </w:t>
      </w:r>
      <w:r w:rsidRPr="00CA2CC1">
        <w:rPr>
          <w:rFonts w:cs="Calibri"/>
          <w:color w:val="414042"/>
        </w:rPr>
        <w:t>gain</w:t>
      </w:r>
      <w:r w:rsidRPr="00CA2CC1">
        <w:rPr>
          <w:rFonts w:cs="Calibri"/>
          <w:color w:val="414042"/>
          <w:spacing w:val="-4"/>
        </w:rPr>
        <w:t xml:space="preserve"> </w:t>
      </w:r>
      <w:r w:rsidRPr="00CA2CC1">
        <w:rPr>
          <w:rFonts w:cs="Calibri"/>
          <w:color w:val="414042"/>
        </w:rPr>
        <w:t>or</w:t>
      </w:r>
      <w:r w:rsidRPr="00CA2CC1">
        <w:rPr>
          <w:rFonts w:cs="Calibri"/>
          <w:color w:val="414042"/>
          <w:spacing w:val="-4"/>
        </w:rPr>
        <w:t xml:space="preserve"> </w:t>
      </w:r>
      <w:r w:rsidRPr="00CA2CC1">
        <w:rPr>
          <w:rFonts w:cs="Calibri"/>
          <w:color w:val="414042"/>
        </w:rPr>
        <w:t>loss</w:t>
      </w:r>
      <w:r w:rsidRPr="00CA2CC1">
        <w:rPr>
          <w:rFonts w:cs="Calibri"/>
          <w:color w:val="414042"/>
          <w:spacing w:val="-4"/>
        </w:rPr>
        <w:t xml:space="preserve"> </w:t>
      </w:r>
      <w:r w:rsidRPr="00CA2CC1">
        <w:rPr>
          <w:rFonts w:cs="Calibri"/>
          <w:color w:val="414042"/>
        </w:rPr>
        <w:t>arises due to changes in bond interest rates for which it is then recognised as an ‘other economic flow’ in the net result.</w:t>
      </w:r>
    </w:p>
    <w:p w14:paraId="2E3775FD" w14:textId="781BFBF4" w:rsidR="00FA4226" w:rsidRPr="00CA2CC1" w:rsidRDefault="00000000" w:rsidP="006018ED">
      <w:pPr>
        <w:pStyle w:val="BodyText"/>
        <w:spacing w:before="114"/>
        <w:rPr>
          <w:rFonts w:cs="Calibri"/>
        </w:rPr>
      </w:pPr>
      <w:r w:rsidRPr="00CA2CC1">
        <w:rPr>
          <w:rFonts w:cs="Calibri"/>
          <w:color w:val="414042"/>
        </w:rPr>
        <w:t>Infrastructure</w:t>
      </w:r>
      <w:r w:rsidRPr="00CA2CC1">
        <w:rPr>
          <w:rFonts w:cs="Calibri"/>
          <w:color w:val="414042"/>
          <w:spacing w:val="-7"/>
        </w:rPr>
        <w:t xml:space="preserve"> </w:t>
      </w:r>
      <w:r w:rsidRPr="00CA2CC1">
        <w:rPr>
          <w:rFonts w:cs="Calibri"/>
          <w:color w:val="414042"/>
        </w:rPr>
        <w:t>Victoria</w:t>
      </w:r>
      <w:r w:rsidRPr="00CA2CC1">
        <w:rPr>
          <w:rFonts w:cs="Calibri"/>
          <w:color w:val="414042"/>
          <w:spacing w:val="-7"/>
        </w:rPr>
        <w:t xml:space="preserve"> </w:t>
      </w:r>
      <w:r w:rsidRPr="00CA2CC1">
        <w:rPr>
          <w:rFonts w:cs="Calibri"/>
          <w:color w:val="414042"/>
        </w:rPr>
        <w:t>does</w:t>
      </w:r>
      <w:r w:rsidRPr="00CA2CC1">
        <w:rPr>
          <w:rFonts w:cs="Calibri"/>
          <w:color w:val="414042"/>
          <w:spacing w:val="-7"/>
        </w:rPr>
        <w:t xml:space="preserve"> </w:t>
      </w:r>
      <w:r w:rsidRPr="00CA2CC1">
        <w:rPr>
          <w:rFonts w:cs="Calibri"/>
          <w:color w:val="414042"/>
        </w:rPr>
        <w:t>not</w:t>
      </w:r>
      <w:r w:rsidRPr="00CA2CC1">
        <w:rPr>
          <w:rFonts w:cs="Calibri"/>
          <w:color w:val="414042"/>
          <w:spacing w:val="-7"/>
        </w:rPr>
        <w:t xml:space="preserve"> </w:t>
      </w:r>
      <w:r w:rsidRPr="00CA2CC1">
        <w:rPr>
          <w:rFonts w:cs="Calibri"/>
          <w:color w:val="414042"/>
        </w:rPr>
        <w:t>recognise</w:t>
      </w:r>
      <w:r w:rsidRPr="00CA2CC1">
        <w:rPr>
          <w:rFonts w:cs="Calibri"/>
          <w:color w:val="414042"/>
          <w:spacing w:val="-7"/>
        </w:rPr>
        <w:t xml:space="preserve"> </w:t>
      </w:r>
      <w:r w:rsidRPr="00CA2CC1">
        <w:rPr>
          <w:rFonts w:cs="Calibri"/>
          <w:color w:val="414042"/>
        </w:rPr>
        <w:t>any</w:t>
      </w:r>
      <w:r w:rsidRPr="00CA2CC1">
        <w:rPr>
          <w:rFonts w:cs="Calibri"/>
          <w:color w:val="414042"/>
          <w:spacing w:val="-7"/>
        </w:rPr>
        <w:t xml:space="preserve"> </w:t>
      </w:r>
      <w:r w:rsidRPr="00CA2CC1">
        <w:rPr>
          <w:rFonts w:cs="Calibri"/>
          <w:color w:val="414042"/>
        </w:rPr>
        <w:t>defined</w:t>
      </w:r>
      <w:r w:rsidRPr="00CA2CC1">
        <w:rPr>
          <w:rFonts w:cs="Calibri"/>
          <w:color w:val="414042"/>
          <w:spacing w:val="-7"/>
        </w:rPr>
        <w:t xml:space="preserve"> </w:t>
      </w:r>
      <w:r w:rsidRPr="00CA2CC1">
        <w:rPr>
          <w:rFonts w:cs="Calibri"/>
          <w:color w:val="414042"/>
        </w:rPr>
        <w:t>benefit liabilities because it has no legal or constructive obligation</w:t>
      </w:r>
      <w:r w:rsidR="004E21BF" w:rsidRPr="00CA2CC1">
        <w:rPr>
          <w:rFonts w:cs="Calibri"/>
        </w:rPr>
        <w:t xml:space="preserve"> </w:t>
      </w:r>
      <w:r w:rsidRPr="00CA2CC1">
        <w:rPr>
          <w:rFonts w:cs="Calibri"/>
          <w:color w:val="414042"/>
        </w:rPr>
        <w:t>to pay future benefits relating to its employees. Instead,</w:t>
      </w:r>
      <w:r w:rsidRPr="00CA2CC1">
        <w:rPr>
          <w:rFonts w:cs="Calibri"/>
          <w:color w:val="414042"/>
          <w:spacing w:val="40"/>
        </w:rPr>
        <w:t xml:space="preserve"> </w:t>
      </w:r>
      <w:r w:rsidRPr="00CA2CC1">
        <w:rPr>
          <w:rFonts w:cs="Calibri"/>
          <w:color w:val="414042"/>
        </w:rPr>
        <w:t>the</w:t>
      </w:r>
      <w:r w:rsidRPr="00CA2CC1">
        <w:rPr>
          <w:rFonts w:cs="Calibri"/>
          <w:color w:val="414042"/>
          <w:spacing w:val="-2"/>
        </w:rPr>
        <w:t xml:space="preserve"> </w:t>
      </w:r>
      <w:r w:rsidRPr="00CA2CC1">
        <w:rPr>
          <w:rFonts w:cs="Calibri"/>
          <w:color w:val="414042"/>
        </w:rPr>
        <w:t>Department</w:t>
      </w:r>
      <w:r w:rsidRPr="00CA2CC1">
        <w:rPr>
          <w:rFonts w:cs="Calibri"/>
          <w:color w:val="414042"/>
          <w:spacing w:val="-2"/>
        </w:rPr>
        <w:t xml:space="preserve"> </w:t>
      </w:r>
      <w:r w:rsidRPr="00CA2CC1">
        <w:rPr>
          <w:rFonts w:cs="Calibri"/>
          <w:color w:val="414042"/>
        </w:rPr>
        <w:t>of</w:t>
      </w:r>
      <w:r w:rsidRPr="00CA2CC1">
        <w:rPr>
          <w:rFonts w:cs="Calibri"/>
          <w:color w:val="414042"/>
          <w:spacing w:val="-2"/>
        </w:rPr>
        <w:t xml:space="preserve"> </w:t>
      </w:r>
      <w:r w:rsidRPr="00CA2CC1">
        <w:rPr>
          <w:rFonts w:cs="Calibri"/>
          <w:color w:val="414042"/>
        </w:rPr>
        <w:t>Treasury</w:t>
      </w:r>
      <w:r w:rsidRPr="00CA2CC1">
        <w:rPr>
          <w:rFonts w:cs="Calibri"/>
          <w:color w:val="414042"/>
          <w:spacing w:val="-2"/>
        </w:rPr>
        <w:t xml:space="preserve"> </w:t>
      </w:r>
      <w:r w:rsidRPr="00CA2CC1">
        <w:rPr>
          <w:rFonts w:cs="Calibri"/>
          <w:color w:val="414042"/>
        </w:rPr>
        <w:t>and</w:t>
      </w:r>
      <w:r w:rsidRPr="00CA2CC1">
        <w:rPr>
          <w:rFonts w:cs="Calibri"/>
          <w:color w:val="414042"/>
          <w:spacing w:val="-2"/>
        </w:rPr>
        <w:t xml:space="preserve"> </w:t>
      </w:r>
      <w:r w:rsidRPr="00CA2CC1">
        <w:rPr>
          <w:rFonts w:cs="Calibri"/>
          <w:color w:val="414042"/>
        </w:rPr>
        <w:t>Finance</w:t>
      </w:r>
      <w:r w:rsidRPr="00CA2CC1">
        <w:rPr>
          <w:rFonts w:cs="Calibri"/>
          <w:color w:val="414042"/>
          <w:spacing w:val="-2"/>
        </w:rPr>
        <w:t xml:space="preserve"> </w:t>
      </w:r>
      <w:r w:rsidRPr="00CA2CC1">
        <w:rPr>
          <w:rFonts w:cs="Calibri"/>
          <w:color w:val="414042"/>
        </w:rPr>
        <w:t>(DTF)</w:t>
      </w:r>
      <w:r w:rsidRPr="00CA2CC1">
        <w:rPr>
          <w:rFonts w:cs="Calibri"/>
          <w:color w:val="414042"/>
          <w:spacing w:val="-2"/>
        </w:rPr>
        <w:t xml:space="preserve"> </w:t>
      </w:r>
      <w:r w:rsidRPr="00CA2CC1">
        <w:rPr>
          <w:rFonts w:cs="Calibri"/>
          <w:color w:val="414042"/>
        </w:rPr>
        <w:t>discloses</w:t>
      </w:r>
      <w:r w:rsidRPr="00CA2CC1">
        <w:rPr>
          <w:rFonts w:cs="Calibri"/>
          <w:color w:val="414042"/>
          <w:spacing w:val="-2"/>
        </w:rPr>
        <w:t xml:space="preserve"> </w:t>
      </w:r>
      <w:r w:rsidRPr="00CA2CC1">
        <w:rPr>
          <w:rFonts w:cs="Calibri"/>
          <w:color w:val="414042"/>
        </w:rPr>
        <w:t xml:space="preserve">in its annual financial statements the net defined benefit cost related to the members of these plans as an administered liability (on behalf of the State as the sponsoring </w:t>
      </w:r>
      <w:r w:rsidRPr="00CA2CC1">
        <w:rPr>
          <w:rFonts w:cs="Calibri"/>
          <w:color w:val="414042"/>
          <w:spacing w:val="-2"/>
        </w:rPr>
        <w:t>employer).</w:t>
      </w:r>
      <w:r w:rsidR="006018ED" w:rsidRPr="00CA2CC1">
        <w:rPr>
          <w:rFonts w:cs="Calibri"/>
        </w:rPr>
        <w:t xml:space="preserve"> </w:t>
      </w:r>
    </w:p>
    <w:p w14:paraId="48AFB066" w14:textId="77777777" w:rsidR="00FA4226" w:rsidRPr="00CA2CC1" w:rsidRDefault="00FA4226" w:rsidP="0043303B">
      <w:pPr>
        <w:pStyle w:val="BodyText"/>
        <w:spacing w:before="8"/>
        <w:rPr>
          <w:rFonts w:cs="Calibri"/>
        </w:rPr>
      </w:pPr>
    </w:p>
    <w:p w14:paraId="170F0CD4" w14:textId="77777777" w:rsidR="00FA4226" w:rsidRPr="00396443" w:rsidRDefault="00000000" w:rsidP="0043303B">
      <w:pPr>
        <w:pStyle w:val="Heading7"/>
        <w:numPr>
          <w:ilvl w:val="1"/>
          <w:numId w:val="14"/>
        </w:numPr>
        <w:spacing w:before="60"/>
        <w:ind w:left="0" w:firstLine="0"/>
        <w:rPr>
          <w:rFonts w:cs="Calibri"/>
          <w:color w:val="000000" w:themeColor="text1"/>
        </w:rPr>
      </w:pPr>
      <w:r w:rsidRPr="00396443">
        <w:rPr>
          <w:rFonts w:cs="Calibri"/>
          <w:color w:val="000000" w:themeColor="text1"/>
        </w:rPr>
        <w:t xml:space="preserve">Other operating </w:t>
      </w:r>
      <w:r w:rsidRPr="00396443">
        <w:rPr>
          <w:rFonts w:cs="Calibri"/>
          <w:color w:val="000000" w:themeColor="text1"/>
          <w:spacing w:val="-2"/>
        </w:rPr>
        <w:t>expenses</w:t>
      </w:r>
    </w:p>
    <w:p w14:paraId="376BD757" w14:textId="77777777" w:rsidR="00FA4226" w:rsidRPr="00CA2CC1" w:rsidRDefault="00FA4226" w:rsidP="0043303B">
      <w:pPr>
        <w:pStyle w:val="BodyText"/>
        <w:spacing w:before="6"/>
        <w:rPr>
          <w:rFonts w:cs="Calibri"/>
          <w:sz w:val="9"/>
        </w:rPr>
      </w:pPr>
    </w:p>
    <w:tbl>
      <w:tblPr>
        <w:tblW w:w="9637" w:type="dxa"/>
        <w:tblBorders>
          <w:top w:val="single" w:sz="4" w:space="0" w:color="C48F1B"/>
          <w:left w:val="single" w:sz="4" w:space="0" w:color="C48F1B"/>
          <w:bottom w:val="single" w:sz="4" w:space="0" w:color="C48F1B"/>
          <w:right w:val="single" w:sz="4" w:space="0" w:color="C48F1B"/>
          <w:insideH w:val="single" w:sz="4" w:space="0" w:color="C48F1B"/>
          <w:insideV w:val="single" w:sz="4" w:space="0" w:color="C48F1B"/>
        </w:tblBorders>
        <w:tblLayout w:type="fixed"/>
        <w:tblCellMar>
          <w:left w:w="0" w:type="dxa"/>
          <w:right w:w="0" w:type="dxa"/>
        </w:tblCellMar>
        <w:tblLook w:val="01E0" w:firstRow="1" w:lastRow="1" w:firstColumn="1" w:lastColumn="1" w:noHBand="0" w:noVBand="0"/>
      </w:tblPr>
      <w:tblGrid>
        <w:gridCol w:w="6633"/>
        <w:gridCol w:w="1502"/>
        <w:gridCol w:w="1502"/>
      </w:tblGrid>
      <w:tr w:rsidR="00FA4226" w:rsidRPr="00CA2CC1" w14:paraId="448BAE6B" w14:textId="77777777" w:rsidTr="0064166C">
        <w:trPr>
          <w:trHeight w:val="615"/>
        </w:trPr>
        <w:tc>
          <w:tcPr>
            <w:tcW w:w="6633" w:type="dxa"/>
            <w:tcBorders>
              <w:top w:val="nil"/>
              <w:left w:val="nil"/>
              <w:right w:val="nil"/>
            </w:tcBorders>
          </w:tcPr>
          <w:p w14:paraId="3F30F288" w14:textId="77777777" w:rsidR="00FA4226" w:rsidRPr="00CA2CC1" w:rsidRDefault="00FA4226" w:rsidP="0043303B">
            <w:pPr>
              <w:pStyle w:val="TableParagraph"/>
              <w:jc w:val="left"/>
              <w:rPr>
                <w:rFonts w:cs="Calibri"/>
                <w:sz w:val="16"/>
              </w:rPr>
            </w:pPr>
          </w:p>
        </w:tc>
        <w:tc>
          <w:tcPr>
            <w:tcW w:w="1502" w:type="dxa"/>
            <w:tcBorders>
              <w:top w:val="nil"/>
              <w:left w:val="nil"/>
              <w:right w:val="single" w:sz="8" w:space="0" w:color="FFFFFF"/>
            </w:tcBorders>
            <w:shd w:val="clear" w:color="auto" w:fill="FFF0E7"/>
            <w:tcMar>
              <w:right w:w="57" w:type="dxa"/>
            </w:tcMar>
          </w:tcPr>
          <w:p w14:paraId="53D521A6" w14:textId="77777777" w:rsidR="00FA4226" w:rsidRPr="00CA2CC1" w:rsidRDefault="00000000" w:rsidP="0043303B">
            <w:pPr>
              <w:pStyle w:val="TableParagraph"/>
              <w:spacing w:before="109"/>
              <w:rPr>
                <w:rFonts w:cs="Calibri"/>
                <w:sz w:val="17"/>
              </w:rPr>
            </w:pPr>
            <w:r w:rsidRPr="00CA2CC1">
              <w:rPr>
                <w:rFonts w:cs="Calibri"/>
                <w:color w:val="F68C59"/>
                <w:spacing w:val="-4"/>
                <w:sz w:val="17"/>
              </w:rPr>
              <w:t>2023</w:t>
            </w:r>
          </w:p>
          <w:p w14:paraId="3278B9C4" w14:textId="77777777" w:rsidR="00FA4226" w:rsidRPr="00CA2CC1" w:rsidRDefault="00000000" w:rsidP="0043303B">
            <w:pPr>
              <w:pStyle w:val="TableParagraph"/>
              <w:spacing w:before="2"/>
              <w:rPr>
                <w:rFonts w:cs="Calibri"/>
                <w:sz w:val="17"/>
              </w:rPr>
            </w:pPr>
            <w:r w:rsidRPr="00CA2CC1">
              <w:rPr>
                <w:rFonts w:cs="Calibri"/>
                <w:color w:val="F68C59"/>
                <w:sz w:val="17"/>
              </w:rPr>
              <w:t>$</w:t>
            </w:r>
          </w:p>
        </w:tc>
        <w:tc>
          <w:tcPr>
            <w:tcW w:w="1502" w:type="dxa"/>
            <w:tcBorders>
              <w:top w:val="nil"/>
              <w:left w:val="single" w:sz="8" w:space="0" w:color="FFFFFF"/>
              <w:right w:val="nil"/>
            </w:tcBorders>
            <w:shd w:val="clear" w:color="auto" w:fill="EDEFF0"/>
            <w:tcMar>
              <w:right w:w="57" w:type="dxa"/>
            </w:tcMar>
          </w:tcPr>
          <w:p w14:paraId="5C7B7396" w14:textId="77777777" w:rsidR="00FA4226" w:rsidRPr="00CA2CC1" w:rsidRDefault="00000000" w:rsidP="0043303B">
            <w:pPr>
              <w:pStyle w:val="TableParagraph"/>
              <w:spacing w:before="109"/>
              <w:rPr>
                <w:rFonts w:cs="Calibri"/>
                <w:sz w:val="17"/>
              </w:rPr>
            </w:pPr>
            <w:r w:rsidRPr="00CA2CC1">
              <w:rPr>
                <w:rFonts w:cs="Calibri"/>
                <w:color w:val="F68C59"/>
                <w:spacing w:val="-4"/>
                <w:sz w:val="17"/>
              </w:rPr>
              <w:t>2022</w:t>
            </w:r>
          </w:p>
          <w:p w14:paraId="070E241A" w14:textId="77777777" w:rsidR="00FA4226" w:rsidRPr="00CA2CC1" w:rsidRDefault="00000000" w:rsidP="0043303B">
            <w:pPr>
              <w:pStyle w:val="TableParagraph"/>
              <w:spacing w:before="2"/>
              <w:rPr>
                <w:rFonts w:cs="Calibri"/>
                <w:sz w:val="17"/>
              </w:rPr>
            </w:pPr>
            <w:r w:rsidRPr="00CA2CC1">
              <w:rPr>
                <w:rFonts w:cs="Calibri"/>
                <w:color w:val="F68C59"/>
                <w:sz w:val="17"/>
              </w:rPr>
              <w:t>$</w:t>
            </w:r>
          </w:p>
        </w:tc>
      </w:tr>
      <w:tr w:rsidR="00FA4226" w:rsidRPr="00CA2CC1" w14:paraId="010042C1" w14:textId="77777777" w:rsidTr="0064166C">
        <w:trPr>
          <w:trHeight w:val="281"/>
        </w:trPr>
        <w:tc>
          <w:tcPr>
            <w:tcW w:w="6633" w:type="dxa"/>
            <w:tcBorders>
              <w:left w:val="nil"/>
              <w:bottom w:val="single" w:sz="2" w:space="0" w:color="73777A"/>
              <w:right w:val="nil"/>
            </w:tcBorders>
          </w:tcPr>
          <w:p w14:paraId="3DAF28D2" w14:textId="77777777" w:rsidR="00FA4226" w:rsidRPr="00CA2CC1" w:rsidRDefault="00000000" w:rsidP="0043303B">
            <w:pPr>
              <w:pStyle w:val="TableParagraph"/>
              <w:jc w:val="left"/>
              <w:rPr>
                <w:rFonts w:cs="Calibri"/>
                <w:sz w:val="18"/>
              </w:rPr>
            </w:pPr>
            <w:r w:rsidRPr="00CA2CC1">
              <w:rPr>
                <w:rFonts w:cs="Calibri"/>
                <w:color w:val="414042"/>
                <w:sz w:val="18"/>
              </w:rPr>
              <w:t>Purchases</w:t>
            </w:r>
            <w:r w:rsidRPr="00CA2CC1">
              <w:rPr>
                <w:rFonts w:cs="Calibri"/>
                <w:color w:val="414042"/>
                <w:spacing w:val="4"/>
                <w:sz w:val="18"/>
              </w:rPr>
              <w:t xml:space="preserve"> </w:t>
            </w:r>
            <w:r w:rsidRPr="00CA2CC1">
              <w:rPr>
                <w:rFonts w:cs="Calibri"/>
                <w:color w:val="414042"/>
                <w:sz w:val="18"/>
              </w:rPr>
              <w:t>of</w:t>
            </w:r>
            <w:r w:rsidRPr="00CA2CC1">
              <w:rPr>
                <w:rFonts w:cs="Calibri"/>
                <w:color w:val="414042"/>
                <w:spacing w:val="4"/>
                <w:sz w:val="18"/>
              </w:rPr>
              <w:t xml:space="preserve"> </w:t>
            </w:r>
            <w:r w:rsidRPr="00CA2CC1">
              <w:rPr>
                <w:rFonts w:cs="Calibri"/>
                <w:color w:val="414042"/>
                <w:spacing w:val="-2"/>
                <w:sz w:val="18"/>
              </w:rPr>
              <w:t>services</w:t>
            </w:r>
          </w:p>
        </w:tc>
        <w:tc>
          <w:tcPr>
            <w:tcW w:w="1502" w:type="dxa"/>
            <w:tcBorders>
              <w:left w:val="nil"/>
              <w:bottom w:val="single" w:sz="2" w:space="0" w:color="73777A"/>
              <w:right w:val="single" w:sz="8" w:space="0" w:color="FFFFFF"/>
            </w:tcBorders>
            <w:shd w:val="clear" w:color="auto" w:fill="FFF0E7"/>
            <w:tcMar>
              <w:right w:w="57" w:type="dxa"/>
            </w:tcMar>
          </w:tcPr>
          <w:p w14:paraId="03BDD3FD" w14:textId="77777777" w:rsidR="00FA4226" w:rsidRPr="00CA2CC1" w:rsidRDefault="00000000" w:rsidP="0043303B">
            <w:pPr>
              <w:pStyle w:val="TableParagraph"/>
              <w:rPr>
                <w:rFonts w:cs="Calibri"/>
                <w:sz w:val="18"/>
              </w:rPr>
            </w:pPr>
            <w:r w:rsidRPr="00CA2CC1">
              <w:rPr>
                <w:rFonts w:cs="Calibri"/>
                <w:color w:val="414042"/>
                <w:spacing w:val="-2"/>
                <w:sz w:val="18"/>
              </w:rPr>
              <w:t>2,139,808</w:t>
            </w:r>
          </w:p>
        </w:tc>
        <w:tc>
          <w:tcPr>
            <w:tcW w:w="1502" w:type="dxa"/>
            <w:tcBorders>
              <w:left w:val="single" w:sz="8" w:space="0" w:color="FFFFFF"/>
              <w:bottom w:val="single" w:sz="2" w:space="0" w:color="73777A"/>
              <w:right w:val="nil"/>
            </w:tcBorders>
            <w:shd w:val="clear" w:color="auto" w:fill="EDEFF0"/>
            <w:tcMar>
              <w:right w:w="57" w:type="dxa"/>
            </w:tcMar>
          </w:tcPr>
          <w:p w14:paraId="247A4044" w14:textId="77777777" w:rsidR="00FA4226" w:rsidRPr="00CA2CC1" w:rsidRDefault="00000000" w:rsidP="0043303B">
            <w:pPr>
              <w:pStyle w:val="TableParagraph"/>
              <w:rPr>
                <w:rFonts w:cs="Calibri"/>
                <w:sz w:val="18"/>
              </w:rPr>
            </w:pPr>
            <w:r w:rsidRPr="00CA2CC1">
              <w:rPr>
                <w:rFonts w:cs="Calibri"/>
                <w:color w:val="414042"/>
                <w:spacing w:val="-2"/>
                <w:sz w:val="18"/>
              </w:rPr>
              <w:t>1,857,260</w:t>
            </w:r>
          </w:p>
        </w:tc>
      </w:tr>
      <w:tr w:rsidR="00FA4226" w:rsidRPr="00CA2CC1" w14:paraId="7ED0BDFB" w14:textId="77777777" w:rsidTr="0064166C">
        <w:trPr>
          <w:trHeight w:val="283"/>
        </w:trPr>
        <w:tc>
          <w:tcPr>
            <w:tcW w:w="6633" w:type="dxa"/>
            <w:tcBorders>
              <w:top w:val="single" w:sz="2" w:space="0" w:color="73777A"/>
              <w:left w:val="nil"/>
              <w:bottom w:val="single" w:sz="2" w:space="0" w:color="73777A"/>
              <w:right w:val="nil"/>
            </w:tcBorders>
          </w:tcPr>
          <w:p w14:paraId="020D959F" w14:textId="77777777" w:rsidR="00FA4226" w:rsidRPr="00CA2CC1" w:rsidRDefault="00000000" w:rsidP="0043303B">
            <w:pPr>
              <w:pStyle w:val="TableParagraph"/>
              <w:jc w:val="left"/>
              <w:rPr>
                <w:rFonts w:cs="Calibri"/>
                <w:sz w:val="10"/>
              </w:rPr>
            </w:pPr>
            <w:r w:rsidRPr="00CA2CC1">
              <w:rPr>
                <w:rFonts w:cs="Calibri"/>
                <w:color w:val="414042"/>
                <w:sz w:val="18"/>
              </w:rPr>
              <w:t>Supplies</w:t>
            </w:r>
            <w:r w:rsidRPr="00CA2CC1">
              <w:rPr>
                <w:rFonts w:cs="Calibri"/>
                <w:color w:val="414042"/>
                <w:spacing w:val="8"/>
                <w:sz w:val="18"/>
              </w:rPr>
              <w:t xml:space="preserve"> </w:t>
            </w:r>
            <w:r w:rsidRPr="00CA2CC1">
              <w:rPr>
                <w:rFonts w:cs="Calibri"/>
                <w:color w:val="414042"/>
                <w:sz w:val="18"/>
              </w:rPr>
              <w:t>and</w:t>
            </w:r>
            <w:r w:rsidRPr="00CA2CC1">
              <w:rPr>
                <w:rFonts w:cs="Calibri"/>
                <w:color w:val="414042"/>
                <w:spacing w:val="10"/>
                <w:sz w:val="18"/>
              </w:rPr>
              <w:t xml:space="preserve"> </w:t>
            </w:r>
            <w:r w:rsidRPr="00CA2CC1">
              <w:rPr>
                <w:rFonts w:cs="Calibri"/>
                <w:color w:val="414042"/>
                <w:sz w:val="18"/>
              </w:rPr>
              <w:t>services</w:t>
            </w:r>
            <w:r w:rsidRPr="00CA2CC1">
              <w:rPr>
                <w:rFonts w:cs="Calibri"/>
                <w:color w:val="414042"/>
                <w:spacing w:val="10"/>
                <w:sz w:val="18"/>
              </w:rPr>
              <w:t xml:space="preserve"> </w:t>
            </w:r>
            <w:r w:rsidRPr="00CA2CC1">
              <w:rPr>
                <w:rFonts w:cs="Calibri"/>
                <w:color w:val="414042"/>
                <w:spacing w:val="-5"/>
                <w:position w:val="6"/>
                <w:sz w:val="10"/>
              </w:rPr>
              <w:t>(i)</w:t>
            </w:r>
          </w:p>
        </w:tc>
        <w:tc>
          <w:tcPr>
            <w:tcW w:w="1502" w:type="dxa"/>
            <w:tcBorders>
              <w:top w:val="single" w:sz="2" w:space="0" w:color="73777A"/>
              <w:left w:val="nil"/>
              <w:bottom w:val="single" w:sz="2" w:space="0" w:color="73777A"/>
              <w:right w:val="single" w:sz="8" w:space="0" w:color="FFFFFF"/>
            </w:tcBorders>
            <w:shd w:val="clear" w:color="auto" w:fill="FFF0E7"/>
            <w:tcMar>
              <w:right w:w="57" w:type="dxa"/>
            </w:tcMar>
          </w:tcPr>
          <w:p w14:paraId="5E31AE62" w14:textId="77777777" w:rsidR="00FA4226" w:rsidRPr="00CA2CC1" w:rsidRDefault="00000000" w:rsidP="0043303B">
            <w:pPr>
              <w:pStyle w:val="TableParagraph"/>
              <w:rPr>
                <w:rFonts w:cs="Calibri"/>
                <w:sz w:val="18"/>
              </w:rPr>
            </w:pPr>
            <w:r w:rsidRPr="00CA2CC1">
              <w:rPr>
                <w:rFonts w:cs="Calibri"/>
                <w:color w:val="414042"/>
                <w:spacing w:val="-2"/>
                <w:sz w:val="18"/>
              </w:rPr>
              <w:t>562,789</w:t>
            </w:r>
          </w:p>
        </w:tc>
        <w:tc>
          <w:tcPr>
            <w:tcW w:w="1502" w:type="dxa"/>
            <w:tcBorders>
              <w:top w:val="single" w:sz="2" w:space="0" w:color="73777A"/>
              <w:left w:val="single" w:sz="8" w:space="0" w:color="FFFFFF"/>
              <w:bottom w:val="single" w:sz="2" w:space="0" w:color="73777A"/>
              <w:right w:val="nil"/>
            </w:tcBorders>
            <w:shd w:val="clear" w:color="auto" w:fill="EDEFF0"/>
            <w:tcMar>
              <w:right w:w="57" w:type="dxa"/>
            </w:tcMar>
          </w:tcPr>
          <w:p w14:paraId="32FBBEBA" w14:textId="77777777" w:rsidR="00FA4226" w:rsidRPr="00CA2CC1" w:rsidRDefault="00000000" w:rsidP="0043303B">
            <w:pPr>
              <w:pStyle w:val="TableParagraph"/>
              <w:rPr>
                <w:rFonts w:cs="Calibri"/>
                <w:sz w:val="18"/>
              </w:rPr>
            </w:pPr>
            <w:r w:rsidRPr="00CA2CC1">
              <w:rPr>
                <w:rFonts w:cs="Calibri"/>
                <w:color w:val="414042"/>
                <w:spacing w:val="-2"/>
                <w:sz w:val="18"/>
              </w:rPr>
              <w:t>654,460</w:t>
            </w:r>
          </w:p>
        </w:tc>
      </w:tr>
      <w:tr w:rsidR="00FA4226" w:rsidRPr="00CA2CC1" w14:paraId="0FBA404E" w14:textId="77777777" w:rsidTr="0064166C">
        <w:trPr>
          <w:trHeight w:val="283"/>
        </w:trPr>
        <w:tc>
          <w:tcPr>
            <w:tcW w:w="6633" w:type="dxa"/>
            <w:tcBorders>
              <w:top w:val="single" w:sz="2" w:space="0" w:color="73777A"/>
              <w:left w:val="nil"/>
              <w:bottom w:val="single" w:sz="2" w:space="0" w:color="73777A"/>
              <w:right w:val="nil"/>
            </w:tcBorders>
          </w:tcPr>
          <w:p w14:paraId="29155346" w14:textId="77777777" w:rsidR="00FA4226" w:rsidRPr="00CA2CC1" w:rsidRDefault="00000000" w:rsidP="0043303B">
            <w:pPr>
              <w:pStyle w:val="TableParagraph"/>
              <w:jc w:val="left"/>
              <w:rPr>
                <w:rFonts w:cs="Calibri"/>
                <w:sz w:val="18"/>
              </w:rPr>
            </w:pPr>
            <w:r w:rsidRPr="00CA2CC1">
              <w:rPr>
                <w:rFonts w:cs="Calibri"/>
                <w:color w:val="414042"/>
                <w:sz w:val="18"/>
              </w:rPr>
              <w:t>Information</w:t>
            </w:r>
            <w:r w:rsidRPr="00CA2CC1">
              <w:rPr>
                <w:rFonts w:cs="Calibri"/>
                <w:color w:val="414042"/>
                <w:spacing w:val="5"/>
                <w:sz w:val="18"/>
              </w:rPr>
              <w:t xml:space="preserve"> </w:t>
            </w:r>
            <w:r w:rsidRPr="00CA2CC1">
              <w:rPr>
                <w:rFonts w:cs="Calibri"/>
                <w:color w:val="414042"/>
                <w:sz w:val="18"/>
              </w:rPr>
              <w:t>technology</w:t>
            </w:r>
            <w:r w:rsidRPr="00CA2CC1">
              <w:rPr>
                <w:rFonts w:cs="Calibri"/>
                <w:color w:val="414042"/>
                <w:spacing w:val="8"/>
                <w:sz w:val="18"/>
              </w:rPr>
              <w:t xml:space="preserve"> </w:t>
            </w:r>
            <w:r w:rsidRPr="00CA2CC1">
              <w:rPr>
                <w:rFonts w:cs="Calibri"/>
                <w:color w:val="414042"/>
                <w:spacing w:val="-2"/>
                <w:sz w:val="18"/>
              </w:rPr>
              <w:t>costs</w:t>
            </w:r>
          </w:p>
        </w:tc>
        <w:tc>
          <w:tcPr>
            <w:tcW w:w="1502" w:type="dxa"/>
            <w:tcBorders>
              <w:top w:val="single" w:sz="2" w:space="0" w:color="73777A"/>
              <w:left w:val="nil"/>
              <w:bottom w:val="single" w:sz="2" w:space="0" w:color="73777A"/>
              <w:right w:val="single" w:sz="8" w:space="0" w:color="FFFFFF"/>
            </w:tcBorders>
            <w:shd w:val="clear" w:color="auto" w:fill="FFF0E7"/>
            <w:tcMar>
              <w:right w:w="57" w:type="dxa"/>
            </w:tcMar>
          </w:tcPr>
          <w:p w14:paraId="32287F78" w14:textId="77777777" w:rsidR="00FA4226" w:rsidRPr="00CA2CC1" w:rsidRDefault="00000000" w:rsidP="0043303B">
            <w:pPr>
              <w:pStyle w:val="TableParagraph"/>
              <w:rPr>
                <w:rFonts w:cs="Calibri"/>
                <w:sz w:val="18"/>
              </w:rPr>
            </w:pPr>
            <w:r w:rsidRPr="00CA2CC1">
              <w:rPr>
                <w:rFonts w:cs="Calibri"/>
                <w:color w:val="414042"/>
                <w:spacing w:val="-2"/>
                <w:sz w:val="18"/>
              </w:rPr>
              <w:t>149,522</w:t>
            </w:r>
          </w:p>
        </w:tc>
        <w:tc>
          <w:tcPr>
            <w:tcW w:w="1502" w:type="dxa"/>
            <w:tcBorders>
              <w:top w:val="single" w:sz="2" w:space="0" w:color="73777A"/>
              <w:left w:val="single" w:sz="8" w:space="0" w:color="FFFFFF"/>
              <w:bottom w:val="single" w:sz="2" w:space="0" w:color="73777A"/>
              <w:right w:val="nil"/>
            </w:tcBorders>
            <w:shd w:val="clear" w:color="auto" w:fill="EDEFF0"/>
            <w:tcMar>
              <w:right w:w="57" w:type="dxa"/>
            </w:tcMar>
          </w:tcPr>
          <w:p w14:paraId="56AEECAB" w14:textId="77777777" w:rsidR="00FA4226" w:rsidRPr="00CA2CC1" w:rsidRDefault="00000000" w:rsidP="0043303B">
            <w:pPr>
              <w:pStyle w:val="TableParagraph"/>
              <w:rPr>
                <w:rFonts w:cs="Calibri"/>
                <w:sz w:val="18"/>
              </w:rPr>
            </w:pPr>
            <w:r w:rsidRPr="00CA2CC1">
              <w:rPr>
                <w:rFonts w:cs="Calibri"/>
                <w:color w:val="414042"/>
                <w:spacing w:val="-2"/>
                <w:sz w:val="18"/>
              </w:rPr>
              <w:t>196,272</w:t>
            </w:r>
          </w:p>
        </w:tc>
      </w:tr>
      <w:tr w:rsidR="00FA4226" w:rsidRPr="00CA2CC1" w14:paraId="3F874F54" w14:textId="77777777" w:rsidTr="0064166C">
        <w:trPr>
          <w:trHeight w:val="283"/>
        </w:trPr>
        <w:tc>
          <w:tcPr>
            <w:tcW w:w="6633" w:type="dxa"/>
            <w:tcBorders>
              <w:top w:val="single" w:sz="2" w:space="0" w:color="73777A"/>
              <w:left w:val="nil"/>
              <w:bottom w:val="single" w:sz="2" w:space="0" w:color="73777A"/>
              <w:right w:val="nil"/>
            </w:tcBorders>
          </w:tcPr>
          <w:p w14:paraId="77419E30" w14:textId="77777777" w:rsidR="00FA4226" w:rsidRPr="00CA2CC1" w:rsidRDefault="00000000" w:rsidP="0043303B">
            <w:pPr>
              <w:pStyle w:val="TableParagraph"/>
              <w:jc w:val="left"/>
              <w:rPr>
                <w:rFonts w:cs="Calibri"/>
                <w:sz w:val="10"/>
              </w:rPr>
            </w:pPr>
            <w:r w:rsidRPr="00CA2CC1">
              <w:rPr>
                <w:rFonts w:cs="Calibri"/>
                <w:color w:val="414042"/>
                <w:sz w:val="18"/>
              </w:rPr>
              <w:t>Occupancy</w:t>
            </w:r>
            <w:r w:rsidRPr="00CA2CC1">
              <w:rPr>
                <w:rFonts w:cs="Calibri"/>
                <w:color w:val="414042"/>
                <w:spacing w:val="5"/>
                <w:sz w:val="18"/>
              </w:rPr>
              <w:t xml:space="preserve"> </w:t>
            </w:r>
            <w:r w:rsidRPr="00CA2CC1">
              <w:rPr>
                <w:rFonts w:cs="Calibri"/>
                <w:color w:val="414042"/>
                <w:sz w:val="18"/>
              </w:rPr>
              <w:t>costs</w:t>
            </w:r>
            <w:r w:rsidRPr="00CA2CC1">
              <w:rPr>
                <w:rFonts w:cs="Calibri"/>
                <w:color w:val="414042"/>
                <w:spacing w:val="7"/>
                <w:sz w:val="18"/>
              </w:rPr>
              <w:t xml:space="preserve"> </w:t>
            </w:r>
            <w:r w:rsidRPr="00CA2CC1">
              <w:rPr>
                <w:rFonts w:cs="Calibri"/>
                <w:color w:val="414042"/>
                <w:spacing w:val="-5"/>
                <w:position w:val="6"/>
                <w:sz w:val="10"/>
              </w:rPr>
              <w:t>(i)</w:t>
            </w:r>
          </w:p>
        </w:tc>
        <w:tc>
          <w:tcPr>
            <w:tcW w:w="1502" w:type="dxa"/>
            <w:tcBorders>
              <w:top w:val="single" w:sz="2" w:space="0" w:color="73777A"/>
              <w:left w:val="nil"/>
              <w:bottom w:val="single" w:sz="2" w:space="0" w:color="73777A"/>
              <w:right w:val="single" w:sz="8" w:space="0" w:color="FFFFFF"/>
            </w:tcBorders>
            <w:shd w:val="clear" w:color="auto" w:fill="FFF0E7"/>
            <w:tcMar>
              <w:right w:w="57" w:type="dxa"/>
            </w:tcMar>
          </w:tcPr>
          <w:p w14:paraId="2B5E9DEF" w14:textId="77777777" w:rsidR="00FA4226" w:rsidRPr="00CA2CC1" w:rsidRDefault="00000000" w:rsidP="0043303B">
            <w:pPr>
              <w:pStyle w:val="TableParagraph"/>
              <w:rPr>
                <w:rFonts w:cs="Calibri"/>
                <w:sz w:val="18"/>
              </w:rPr>
            </w:pPr>
            <w:r w:rsidRPr="00CA2CC1">
              <w:rPr>
                <w:rFonts w:cs="Calibri"/>
                <w:color w:val="414042"/>
                <w:spacing w:val="-2"/>
                <w:sz w:val="18"/>
              </w:rPr>
              <w:t>99,561</w:t>
            </w:r>
          </w:p>
        </w:tc>
        <w:tc>
          <w:tcPr>
            <w:tcW w:w="1502" w:type="dxa"/>
            <w:tcBorders>
              <w:top w:val="single" w:sz="2" w:space="0" w:color="73777A"/>
              <w:left w:val="single" w:sz="8" w:space="0" w:color="FFFFFF"/>
              <w:bottom w:val="single" w:sz="2" w:space="0" w:color="73777A"/>
              <w:right w:val="nil"/>
            </w:tcBorders>
            <w:shd w:val="clear" w:color="auto" w:fill="EDEFF0"/>
            <w:tcMar>
              <w:right w:w="57" w:type="dxa"/>
            </w:tcMar>
          </w:tcPr>
          <w:p w14:paraId="67DDB576" w14:textId="77777777" w:rsidR="00FA4226" w:rsidRPr="00CA2CC1" w:rsidRDefault="00000000" w:rsidP="0043303B">
            <w:pPr>
              <w:pStyle w:val="TableParagraph"/>
              <w:rPr>
                <w:rFonts w:cs="Calibri"/>
                <w:sz w:val="18"/>
              </w:rPr>
            </w:pPr>
            <w:r w:rsidRPr="00CA2CC1">
              <w:rPr>
                <w:rFonts w:cs="Calibri"/>
                <w:color w:val="414042"/>
                <w:spacing w:val="-2"/>
                <w:sz w:val="18"/>
              </w:rPr>
              <w:t>87,461</w:t>
            </w:r>
          </w:p>
        </w:tc>
      </w:tr>
      <w:tr w:rsidR="00FA4226" w:rsidRPr="00CA2CC1" w14:paraId="66AE6737" w14:textId="77777777" w:rsidTr="0064166C">
        <w:trPr>
          <w:trHeight w:val="278"/>
        </w:trPr>
        <w:tc>
          <w:tcPr>
            <w:tcW w:w="6633" w:type="dxa"/>
            <w:tcBorders>
              <w:top w:val="single" w:sz="2" w:space="0" w:color="73777A"/>
              <w:left w:val="nil"/>
              <w:bottom w:val="single" w:sz="6" w:space="0" w:color="73777A"/>
              <w:right w:val="nil"/>
            </w:tcBorders>
          </w:tcPr>
          <w:p w14:paraId="44FB0CBA" w14:textId="77777777" w:rsidR="00FA4226" w:rsidRPr="00CA2CC1" w:rsidRDefault="00000000" w:rsidP="0043303B">
            <w:pPr>
              <w:pStyle w:val="TableParagraph"/>
              <w:jc w:val="left"/>
              <w:rPr>
                <w:rFonts w:cs="Calibri"/>
                <w:sz w:val="18"/>
              </w:rPr>
            </w:pPr>
            <w:r w:rsidRPr="00CA2CC1">
              <w:rPr>
                <w:rFonts w:cs="Calibri"/>
                <w:color w:val="414042"/>
                <w:sz w:val="18"/>
              </w:rPr>
              <w:t>Low-value lease</w:t>
            </w:r>
            <w:r w:rsidRPr="00CA2CC1">
              <w:rPr>
                <w:rFonts w:cs="Calibri"/>
                <w:color w:val="414042"/>
                <w:spacing w:val="2"/>
                <w:sz w:val="18"/>
              </w:rPr>
              <w:t xml:space="preserve"> </w:t>
            </w:r>
            <w:r w:rsidRPr="00CA2CC1">
              <w:rPr>
                <w:rFonts w:cs="Calibri"/>
                <w:color w:val="414042"/>
                <w:spacing w:val="-2"/>
                <w:sz w:val="18"/>
              </w:rPr>
              <w:t>expenses</w:t>
            </w:r>
          </w:p>
        </w:tc>
        <w:tc>
          <w:tcPr>
            <w:tcW w:w="1502" w:type="dxa"/>
            <w:tcBorders>
              <w:top w:val="single" w:sz="2" w:space="0" w:color="73777A"/>
              <w:left w:val="nil"/>
              <w:bottom w:val="single" w:sz="6" w:space="0" w:color="73777A"/>
              <w:right w:val="single" w:sz="8" w:space="0" w:color="FFFFFF"/>
            </w:tcBorders>
            <w:shd w:val="clear" w:color="auto" w:fill="FFF0E7"/>
            <w:tcMar>
              <w:right w:w="57" w:type="dxa"/>
            </w:tcMar>
          </w:tcPr>
          <w:p w14:paraId="6E2412C9" w14:textId="77777777" w:rsidR="00FA4226" w:rsidRPr="00CA2CC1" w:rsidRDefault="00000000" w:rsidP="0043303B">
            <w:pPr>
              <w:pStyle w:val="TableParagraph"/>
              <w:rPr>
                <w:rFonts w:cs="Calibri"/>
                <w:sz w:val="18"/>
              </w:rPr>
            </w:pPr>
            <w:r w:rsidRPr="00CA2CC1">
              <w:rPr>
                <w:rFonts w:cs="Calibri"/>
                <w:color w:val="414042"/>
                <w:spacing w:val="-2"/>
                <w:sz w:val="18"/>
              </w:rPr>
              <w:t>23,290</w:t>
            </w:r>
          </w:p>
        </w:tc>
        <w:tc>
          <w:tcPr>
            <w:tcW w:w="1502" w:type="dxa"/>
            <w:tcBorders>
              <w:top w:val="single" w:sz="2" w:space="0" w:color="73777A"/>
              <w:left w:val="single" w:sz="8" w:space="0" w:color="FFFFFF"/>
              <w:bottom w:val="single" w:sz="6" w:space="0" w:color="73777A"/>
              <w:right w:val="nil"/>
            </w:tcBorders>
            <w:shd w:val="clear" w:color="auto" w:fill="EDEFF0"/>
            <w:tcMar>
              <w:right w:w="57" w:type="dxa"/>
            </w:tcMar>
          </w:tcPr>
          <w:p w14:paraId="78F19357" w14:textId="77777777" w:rsidR="00FA4226" w:rsidRPr="00CA2CC1" w:rsidRDefault="00000000" w:rsidP="0043303B">
            <w:pPr>
              <w:pStyle w:val="TableParagraph"/>
              <w:rPr>
                <w:rFonts w:cs="Calibri"/>
                <w:sz w:val="18"/>
              </w:rPr>
            </w:pPr>
            <w:r w:rsidRPr="00CA2CC1">
              <w:rPr>
                <w:rFonts w:cs="Calibri"/>
                <w:color w:val="414042"/>
                <w:spacing w:val="-2"/>
                <w:sz w:val="18"/>
              </w:rPr>
              <w:t>47,494</w:t>
            </w:r>
          </w:p>
        </w:tc>
      </w:tr>
      <w:tr w:rsidR="00FA4226" w:rsidRPr="00CA2CC1" w14:paraId="406251AA" w14:textId="77777777" w:rsidTr="0064166C">
        <w:trPr>
          <w:trHeight w:val="258"/>
        </w:trPr>
        <w:tc>
          <w:tcPr>
            <w:tcW w:w="6633" w:type="dxa"/>
            <w:tcBorders>
              <w:top w:val="single" w:sz="6" w:space="0" w:color="73777A"/>
              <w:left w:val="nil"/>
              <w:bottom w:val="double" w:sz="6" w:space="0" w:color="73777A"/>
              <w:right w:val="nil"/>
            </w:tcBorders>
          </w:tcPr>
          <w:p w14:paraId="4BBA9780" w14:textId="77777777" w:rsidR="00FA4226" w:rsidRPr="00CA2CC1" w:rsidRDefault="00000000" w:rsidP="0043303B">
            <w:pPr>
              <w:pStyle w:val="TableParagraph"/>
              <w:jc w:val="left"/>
              <w:rPr>
                <w:rFonts w:cs="Calibri"/>
                <w:sz w:val="10"/>
              </w:rPr>
            </w:pPr>
            <w:r w:rsidRPr="00CA2CC1">
              <w:rPr>
                <w:rFonts w:cs="Calibri"/>
                <w:color w:val="414042"/>
                <w:sz w:val="18"/>
              </w:rPr>
              <w:t>Total</w:t>
            </w:r>
            <w:r w:rsidRPr="00CA2CC1">
              <w:rPr>
                <w:rFonts w:cs="Calibri"/>
                <w:color w:val="414042"/>
                <w:spacing w:val="3"/>
                <w:sz w:val="18"/>
              </w:rPr>
              <w:t xml:space="preserve"> </w:t>
            </w:r>
            <w:r w:rsidRPr="00CA2CC1">
              <w:rPr>
                <w:rFonts w:cs="Calibri"/>
                <w:color w:val="414042"/>
                <w:sz w:val="18"/>
              </w:rPr>
              <w:t>other</w:t>
            </w:r>
            <w:r w:rsidRPr="00CA2CC1">
              <w:rPr>
                <w:rFonts w:cs="Calibri"/>
                <w:color w:val="414042"/>
                <w:spacing w:val="6"/>
                <w:sz w:val="18"/>
              </w:rPr>
              <w:t xml:space="preserve"> </w:t>
            </w:r>
            <w:r w:rsidRPr="00CA2CC1">
              <w:rPr>
                <w:rFonts w:cs="Calibri"/>
                <w:color w:val="414042"/>
                <w:sz w:val="18"/>
              </w:rPr>
              <w:t>operating</w:t>
            </w:r>
            <w:r w:rsidRPr="00CA2CC1">
              <w:rPr>
                <w:rFonts w:cs="Calibri"/>
                <w:color w:val="414042"/>
                <w:spacing w:val="5"/>
                <w:sz w:val="18"/>
              </w:rPr>
              <w:t xml:space="preserve"> </w:t>
            </w:r>
            <w:r w:rsidRPr="00CA2CC1">
              <w:rPr>
                <w:rFonts w:cs="Calibri"/>
                <w:color w:val="414042"/>
                <w:sz w:val="18"/>
              </w:rPr>
              <w:t>expenses</w:t>
            </w:r>
            <w:r w:rsidRPr="00CA2CC1">
              <w:rPr>
                <w:rFonts w:cs="Calibri"/>
                <w:color w:val="414042"/>
                <w:spacing w:val="6"/>
                <w:sz w:val="18"/>
              </w:rPr>
              <w:t xml:space="preserve"> </w:t>
            </w:r>
            <w:r w:rsidRPr="00CA2CC1">
              <w:rPr>
                <w:rFonts w:cs="Calibri"/>
                <w:color w:val="414042"/>
                <w:spacing w:val="-5"/>
                <w:position w:val="6"/>
                <w:sz w:val="10"/>
              </w:rPr>
              <w:t>(i)</w:t>
            </w:r>
          </w:p>
        </w:tc>
        <w:tc>
          <w:tcPr>
            <w:tcW w:w="1502" w:type="dxa"/>
            <w:tcBorders>
              <w:top w:val="single" w:sz="6" w:space="0" w:color="73777A"/>
              <w:left w:val="nil"/>
              <w:bottom w:val="double" w:sz="4" w:space="0" w:color="73777A"/>
              <w:right w:val="single" w:sz="8" w:space="0" w:color="FFFFFF"/>
            </w:tcBorders>
            <w:shd w:val="clear" w:color="auto" w:fill="FFF0E7"/>
            <w:tcMar>
              <w:right w:w="57" w:type="dxa"/>
            </w:tcMar>
          </w:tcPr>
          <w:p w14:paraId="5052E044" w14:textId="77777777" w:rsidR="00FA4226" w:rsidRPr="00CA2CC1" w:rsidRDefault="00000000" w:rsidP="0043303B">
            <w:pPr>
              <w:pStyle w:val="TableParagraph"/>
              <w:rPr>
                <w:rFonts w:cs="Calibri"/>
                <w:sz w:val="18"/>
              </w:rPr>
            </w:pPr>
            <w:r w:rsidRPr="00CA2CC1">
              <w:rPr>
                <w:rFonts w:cs="Calibri"/>
                <w:color w:val="414042"/>
                <w:spacing w:val="-2"/>
                <w:sz w:val="18"/>
              </w:rPr>
              <w:t>2,974,970</w:t>
            </w:r>
          </w:p>
        </w:tc>
        <w:tc>
          <w:tcPr>
            <w:tcW w:w="1502" w:type="dxa"/>
            <w:tcBorders>
              <w:top w:val="single" w:sz="6" w:space="0" w:color="73777A"/>
              <w:left w:val="single" w:sz="8" w:space="0" w:color="FFFFFF"/>
              <w:bottom w:val="double" w:sz="4" w:space="0" w:color="73777A"/>
              <w:right w:val="nil"/>
            </w:tcBorders>
            <w:shd w:val="clear" w:color="auto" w:fill="EDEFF0"/>
            <w:tcMar>
              <w:right w:w="57" w:type="dxa"/>
            </w:tcMar>
          </w:tcPr>
          <w:p w14:paraId="16727795" w14:textId="77777777" w:rsidR="00FA4226" w:rsidRPr="00CA2CC1" w:rsidRDefault="00000000" w:rsidP="0043303B">
            <w:pPr>
              <w:pStyle w:val="TableParagraph"/>
              <w:rPr>
                <w:rFonts w:cs="Calibri"/>
                <w:sz w:val="18"/>
              </w:rPr>
            </w:pPr>
            <w:r w:rsidRPr="00CA2CC1">
              <w:rPr>
                <w:rFonts w:cs="Calibri"/>
                <w:color w:val="414042"/>
                <w:spacing w:val="-2"/>
                <w:sz w:val="18"/>
              </w:rPr>
              <w:t>2,842,947</w:t>
            </w:r>
          </w:p>
        </w:tc>
      </w:tr>
    </w:tbl>
    <w:p w14:paraId="16E3CBFD" w14:textId="77777777" w:rsidR="00FA4226" w:rsidRPr="00CA2CC1" w:rsidRDefault="00FA4226" w:rsidP="0043303B">
      <w:pPr>
        <w:pStyle w:val="BodyText"/>
        <w:spacing w:before="10"/>
        <w:rPr>
          <w:rFonts w:cs="Calibri"/>
          <w:sz w:val="19"/>
        </w:rPr>
      </w:pPr>
    </w:p>
    <w:p w14:paraId="3C156B99" w14:textId="77777777" w:rsidR="00FA4226" w:rsidRPr="00CA2CC1" w:rsidRDefault="00000000" w:rsidP="0043303B">
      <w:pPr>
        <w:rPr>
          <w:rFonts w:cs="Calibri"/>
          <w:i/>
          <w:sz w:val="16"/>
        </w:rPr>
      </w:pPr>
      <w:r w:rsidRPr="00CA2CC1">
        <w:rPr>
          <w:rFonts w:cs="Calibri"/>
          <w:i/>
          <w:color w:val="414042"/>
          <w:sz w:val="16"/>
        </w:rPr>
        <w:t>(i)</w:t>
      </w:r>
      <w:r w:rsidRPr="00CA2CC1">
        <w:rPr>
          <w:rFonts w:cs="Calibri"/>
          <w:i/>
          <w:color w:val="414042"/>
          <w:spacing w:val="-4"/>
          <w:sz w:val="16"/>
        </w:rPr>
        <w:t xml:space="preserve"> </w:t>
      </w:r>
      <w:r w:rsidRPr="00CA2CC1">
        <w:rPr>
          <w:rFonts w:cs="Calibri"/>
          <w:i/>
          <w:color w:val="414042"/>
          <w:sz w:val="16"/>
        </w:rPr>
        <w:t>The</w:t>
      </w:r>
      <w:r w:rsidRPr="00CA2CC1">
        <w:rPr>
          <w:rFonts w:cs="Calibri"/>
          <w:i/>
          <w:color w:val="414042"/>
          <w:spacing w:val="-4"/>
          <w:sz w:val="16"/>
        </w:rPr>
        <w:t xml:space="preserve"> </w:t>
      </w:r>
      <w:r w:rsidRPr="00CA2CC1">
        <w:rPr>
          <w:rFonts w:cs="Calibri"/>
          <w:i/>
          <w:color w:val="414042"/>
          <w:sz w:val="16"/>
        </w:rPr>
        <w:t>2021-22</w:t>
      </w:r>
      <w:r w:rsidRPr="00CA2CC1">
        <w:rPr>
          <w:rFonts w:cs="Calibri"/>
          <w:i/>
          <w:color w:val="414042"/>
          <w:spacing w:val="-4"/>
          <w:sz w:val="16"/>
        </w:rPr>
        <w:t xml:space="preserve"> </w:t>
      </w:r>
      <w:r w:rsidRPr="00CA2CC1">
        <w:rPr>
          <w:rFonts w:cs="Calibri"/>
          <w:i/>
          <w:color w:val="414042"/>
          <w:sz w:val="16"/>
        </w:rPr>
        <w:t>comparative</w:t>
      </w:r>
      <w:r w:rsidRPr="00CA2CC1">
        <w:rPr>
          <w:rFonts w:cs="Calibri"/>
          <w:i/>
          <w:color w:val="414042"/>
          <w:spacing w:val="-4"/>
          <w:sz w:val="16"/>
        </w:rPr>
        <w:t xml:space="preserve"> </w:t>
      </w:r>
      <w:r w:rsidRPr="00CA2CC1">
        <w:rPr>
          <w:rFonts w:cs="Calibri"/>
          <w:i/>
          <w:color w:val="414042"/>
          <w:sz w:val="16"/>
        </w:rPr>
        <w:t>figures</w:t>
      </w:r>
      <w:r w:rsidRPr="00CA2CC1">
        <w:rPr>
          <w:rFonts w:cs="Calibri"/>
          <w:i/>
          <w:color w:val="414042"/>
          <w:spacing w:val="-4"/>
          <w:sz w:val="16"/>
        </w:rPr>
        <w:t xml:space="preserve"> </w:t>
      </w:r>
      <w:r w:rsidRPr="00CA2CC1">
        <w:rPr>
          <w:rFonts w:cs="Calibri"/>
          <w:i/>
          <w:color w:val="414042"/>
          <w:sz w:val="16"/>
        </w:rPr>
        <w:t>have</w:t>
      </w:r>
      <w:r w:rsidRPr="00CA2CC1">
        <w:rPr>
          <w:rFonts w:cs="Calibri"/>
          <w:i/>
          <w:color w:val="414042"/>
          <w:spacing w:val="-4"/>
          <w:sz w:val="16"/>
        </w:rPr>
        <w:t xml:space="preserve"> </w:t>
      </w:r>
      <w:r w:rsidRPr="00CA2CC1">
        <w:rPr>
          <w:rFonts w:cs="Calibri"/>
          <w:i/>
          <w:color w:val="414042"/>
          <w:sz w:val="16"/>
        </w:rPr>
        <w:t>been</w:t>
      </w:r>
      <w:r w:rsidRPr="00CA2CC1">
        <w:rPr>
          <w:rFonts w:cs="Calibri"/>
          <w:i/>
          <w:color w:val="414042"/>
          <w:spacing w:val="-4"/>
          <w:sz w:val="16"/>
        </w:rPr>
        <w:t xml:space="preserve"> </w:t>
      </w:r>
      <w:r w:rsidRPr="00CA2CC1">
        <w:rPr>
          <w:rFonts w:cs="Calibri"/>
          <w:i/>
          <w:color w:val="414042"/>
          <w:sz w:val="16"/>
        </w:rPr>
        <w:t>adjusted</w:t>
      </w:r>
      <w:r w:rsidRPr="00CA2CC1">
        <w:rPr>
          <w:rFonts w:cs="Calibri"/>
          <w:i/>
          <w:color w:val="414042"/>
          <w:spacing w:val="-4"/>
          <w:sz w:val="16"/>
        </w:rPr>
        <w:t xml:space="preserve"> </w:t>
      </w:r>
      <w:r w:rsidRPr="00CA2CC1">
        <w:rPr>
          <w:rFonts w:cs="Calibri"/>
          <w:i/>
          <w:color w:val="414042"/>
          <w:sz w:val="16"/>
        </w:rPr>
        <w:t>to</w:t>
      </w:r>
      <w:r w:rsidRPr="00CA2CC1">
        <w:rPr>
          <w:rFonts w:cs="Calibri"/>
          <w:i/>
          <w:color w:val="414042"/>
          <w:spacing w:val="-4"/>
          <w:sz w:val="16"/>
        </w:rPr>
        <w:t xml:space="preserve"> </w:t>
      </w:r>
      <w:r w:rsidRPr="00CA2CC1">
        <w:rPr>
          <w:rFonts w:cs="Calibri"/>
          <w:i/>
          <w:color w:val="414042"/>
          <w:sz w:val="16"/>
        </w:rPr>
        <w:t>correct a prior period error. Refer to note 8.5 for more information.</w:t>
      </w:r>
    </w:p>
    <w:p w14:paraId="1CCD9963" w14:textId="77777777" w:rsidR="00FA4226" w:rsidRPr="00CA2CC1" w:rsidRDefault="00000000" w:rsidP="0043303B">
      <w:pPr>
        <w:pStyle w:val="BodyText"/>
        <w:spacing w:before="100"/>
        <w:rPr>
          <w:rFonts w:cs="Calibri"/>
        </w:rPr>
      </w:pPr>
      <w:r w:rsidRPr="00CA2CC1">
        <w:rPr>
          <w:rFonts w:cs="Calibri"/>
          <w:color w:val="414042"/>
        </w:rPr>
        <w:t>Other</w:t>
      </w:r>
      <w:r w:rsidRPr="00CA2CC1">
        <w:rPr>
          <w:rFonts w:cs="Calibri"/>
          <w:color w:val="414042"/>
          <w:spacing w:val="-7"/>
        </w:rPr>
        <w:t xml:space="preserve"> </w:t>
      </w:r>
      <w:r w:rsidRPr="00CA2CC1">
        <w:rPr>
          <w:rFonts w:cs="Calibri"/>
          <w:color w:val="414042"/>
        </w:rPr>
        <w:t>operating</w:t>
      </w:r>
      <w:r w:rsidRPr="00CA2CC1">
        <w:rPr>
          <w:rFonts w:cs="Calibri"/>
          <w:color w:val="414042"/>
          <w:spacing w:val="-7"/>
        </w:rPr>
        <w:t xml:space="preserve"> </w:t>
      </w:r>
      <w:r w:rsidRPr="00CA2CC1">
        <w:rPr>
          <w:rFonts w:cs="Calibri"/>
          <w:color w:val="414042"/>
        </w:rPr>
        <w:t>expenses</w:t>
      </w:r>
      <w:r w:rsidRPr="00CA2CC1">
        <w:rPr>
          <w:rFonts w:cs="Calibri"/>
          <w:color w:val="414042"/>
          <w:spacing w:val="-7"/>
        </w:rPr>
        <w:t xml:space="preserve"> </w:t>
      </w:r>
      <w:r w:rsidRPr="00CA2CC1">
        <w:rPr>
          <w:rFonts w:cs="Calibri"/>
          <w:color w:val="414042"/>
        </w:rPr>
        <w:t>represent</w:t>
      </w:r>
      <w:r w:rsidRPr="00CA2CC1">
        <w:rPr>
          <w:rFonts w:cs="Calibri"/>
          <w:color w:val="414042"/>
          <w:spacing w:val="-7"/>
        </w:rPr>
        <w:t xml:space="preserve"> </w:t>
      </w:r>
      <w:r w:rsidRPr="00CA2CC1">
        <w:rPr>
          <w:rFonts w:cs="Calibri"/>
          <w:color w:val="414042"/>
        </w:rPr>
        <w:t>the</w:t>
      </w:r>
      <w:r w:rsidRPr="00CA2CC1">
        <w:rPr>
          <w:rFonts w:cs="Calibri"/>
          <w:color w:val="414042"/>
          <w:spacing w:val="-7"/>
        </w:rPr>
        <w:t xml:space="preserve"> </w:t>
      </w:r>
      <w:r w:rsidRPr="00CA2CC1">
        <w:rPr>
          <w:rFonts w:cs="Calibri"/>
          <w:color w:val="414042"/>
        </w:rPr>
        <w:t>day-to-day</w:t>
      </w:r>
      <w:r w:rsidRPr="00CA2CC1">
        <w:rPr>
          <w:rFonts w:cs="Calibri"/>
          <w:color w:val="414042"/>
          <w:spacing w:val="-7"/>
        </w:rPr>
        <w:t xml:space="preserve"> </w:t>
      </w:r>
      <w:r w:rsidRPr="00CA2CC1">
        <w:rPr>
          <w:rFonts w:cs="Calibri"/>
          <w:color w:val="414042"/>
        </w:rPr>
        <w:t xml:space="preserve">running costs incurred in delivering the services of Infrastructure </w:t>
      </w:r>
      <w:r w:rsidRPr="00CA2CC1">
        <w:rPr>
          <w:rFonts w:cs="Calibri"/>
          <w:color w:val="414042"/>
          <w:spacing w:val="-2"/>
        </w:rPr>
        <w:t>Victoria.</w:t>
      </w:r>
    </w:p>
    <w:p w14:paraId="16822569" w14:textId="77777777" w:rsidR="00FA4226" w:rsidRPr="00CA2CC1" w:rsidRDefault="00000000" w:rsidP="0043303B">
      <w:pPr>
        <w:pStyle w:val="BodyText"/>
        <w:spacing w:before="117"/>
        <w:rPr>
          <w:rFonts w:cs="Calibri"/>
        </w:rPr>
      </w:pPr>
      <w:r w:rsidRPr="00CA2CC1">
        <w:rPr>
          <w:rFonts w:cs="Calibri"/>
          <w:color w:val="414042"/>
        </w:rPr>
        <w:t xml:space="preserve">All leases are accounted under AASB 16 </w:t>
      </w:r>
      <w:r w:rsidRPr="00CA2CC1">
        <w:rPr>
          <w:rFonts w:cs="Calibri"/>
          <w:i/>
          <w:color w:val="414042"/>
        </w:rPr>
        <w:t xml:space="preserve">Leases </w:t>
      </w:r>
      <w:r w:rsidRPr="00CA2CC1">
        <w:rPr>
          <w:rFonts w:cs="Calibri"/>
          <w:color w:val="414042"/>
        </w:rPr>
        <w:t>in the balance</w:t>
      </w:r>
      <w:r w:rsidRPr="00CA2CC1">
        <w:rPr>
          <w:rFonts w:cs="Calibri"/>
          <w:color w:val="414042"/>
          <w:spacing w:val="-5"/>
        </w:rPr>
        <w:t xml:space="preserve"> </w:t>
      </w:r>
      <w:r w:rsidRPr="00CA2CC1">
        <w:rPr>
          <w:rFonts w:cs="Calibri"/>
          <w:color w:val="414042"/>
        </w:rPr>
        <w:t>sheet,</w:t>
      </w:r>
      <w:r w:rsidRPr="00CA2CC1">
        <w:rPr>
          <w:rFonts w:cs="Calibri"/>
          <w:color w:val="414042"/>
          <w:spacing w:val="-5"/>
        </w:rPr>
        <w:t xml:space="preserve"> </w:t>
      </w:r>
      <w:r w:rsidRPr="00CA2CC1">
        <w:rPr>
          <w:rFonts w:cs="Calibri"/>
          <w:color w:val="414042"/>
        </w:rPr>
        <w:t>except</w:t>
      </w:r>
      <w:r w:rsidRPr="00CA2CC1">
        <w:rPr>
          <w:rFonts w:cs="Calibri"/>
          <w:color w:val="414042"/>
          <w:spacing w:val="-5"/>
        </w:rPr>
        <w:t xml:space="preserve"> </w:t>
      </w:r>
      <w:r w:rsidRPr="00CA2CC1">
        <w:rPr>
          <w:rFonts w:cs="Calibri"/>
          <w:color w:val="414042"/>
        </w:rPr>
        <w:t>for</w:t>
      </w:r>
      <w:r w:rsidRPr="00CA2CC1">
        <w:rPr>
          <w:rFonts w:cs="Calibri"/>
          <w:color w:val="414042"/>
          <w:spacing w:val="-5"/>
        </w:rPr>
        <w:t xml:space="preserve"> </w:t>
      </w:r>
      <w:r w:rsidRPr="00CA2CC1">
        <w:rPr>
          <w:rFonts w:cs="Calibri"/>
          <w:color w:val="414042"/>
        </w:rPr>
        <w:t>the</w:t>
      </w:r>
      <w:r w:rsidRPr="00CA2CC1">
        <w:rPr>
          <w:rFonts w:cs="Calibri"/>
          <w:color w:val="414042"/>
          <w:spacing w:val="-5"/>
        </w:rPr>
        <w:t xml:space="preserve"> </w:t>
      </w:r>
      <w:r w:rsidRPr="00CA2CC1">
        <w:rPr>
          <w:rFonts w:cs="Calibri"/>
          <w:color w:val="414042"/>
        </w:rPr>
        <w:t>following</w:t>
      </w:r>
      <w:r w:rsidRPr="00CA2CC1">
        <w:rPr>
          <w:rFonts w:cs="Calibri"/>
          <w:color w:val="414042"/>
          <w:spacing w:val="-5"/>
        </w:rPr>
        <w:t xml:space="preserve"> </w:t>
      </w:r>
      <w:r w:rsidRPr="00CA2CC1">
        <w:rPr>
          <w:rFonts w:cs="Calibri"/>
          <w:color w:val="414042"/>
        </w:rPr>
        <w:t>which</w:t>
      </w:r>
      <w:r w:rsidRPr="00CA2CC1">
        <w:rPr>
          <w:rFonts w:cs="Calibri"/>
          <w:color w:val="414042"/>
          <w:spacing w:val="-5"/>
        </w:rPr>
        <w:t xml:space="preserve"> </w:t>
      </w:r>
      <w:r w:rsidRPr="00CA2CC1">
        <w:rPr>
          <w:rFonts w:cs="Calibri"/>
          <w:color w:val="414042"/>
        </w:rPr>
        <w:t>are</w:t>
      </w:r>
      <w:r w:rsidRPr="00CA2CC1">
        <w:rPr>
          <w:rFonts w:cs="Calibri"/>
          <w:color w:val="414042"/>
          <w:spacing w:val="-5"/>
        </w:rPr>
        <w:t xml:space="preserve"> </w:t>
      </w:r>
      <w:r w:rsidRPr="00CA2CC1">
        <w:rPr>
          <w:rFonts w:cs="Calibri"/>
          <w:color w:val="414042"/>
        </w:rPr>
        <w:t>expensed on a straight-line basis over the lease term.</w:t>
      </w:r>
    </w:p>
    <w:p w14:paraId="19E1FAB3" w14:textId="77777777" w:rsidR="00FA4226" w:rsidRPr="00CA2CC1" w:rsidRDefault="00000000" w:rsidP="0043303B">
      <w:pPr>
        <w:pStyle w:val="ListParagraph"/>
        <w:numPr>
          <w:ilvl w:val="0"/>
          <w:numId w:val="61"/>
        </w:numPr>
        <w:tabs>
          <w:tab w:val="left" w:pos="1417"/>
        </w:tabs>
        <w:spacing w:before="116"/>
        <w:rPr>
          <w:rFonts w:cs="Calibri"/>
        </w:rPr>
      </w:pPr>
      <w:r w:rsidRPr="00CA2CC1">
        <w:rPr>
          <w:rFonts w:cs="Calibri"/>
          <w:color w:val="414042"/>
        </w:rPr>
        <w:t>Short-term</w:t>
      </w:r>
      <w:r w:rsidRPr="00CA2CC1">
        <w:rPr>
          <w:rFonts w:cs="Calibri"/>
          <w:color w:val="414042"/>
          <w:spacing w:val="-5"/>
        </w:rPr>
        <w:t xml:space="preserve"> </w:t>
      </w:r>
      <w:r w:rsidRPr="00CA2CC1">
        <w:rPr>
          <w:rFonts w:cs="Calibri"/>
          <w:color w:val="414042"/>
        </w:rPr>
        <w:t>leases</w:t>
      </w:r>
      <w:r w:rsidRPr="00CA2CC1">
        <w:rPr>
          <w:rFonts w:cs="Calibri"/>
          <w:color w:val="414042"/>
          <w:spacing w:val="-5"/>
        </w:rPr>
        <w:t xml:space="preserve"> </w:t>
      </w:r>
      <w:r w:rsidRPr="00CA2CC1">
        <w:rPr>
          <w:rFonts w:cs="Calibri"/>
          <w:color w:val="414042"/>
        </w:rPr>
        <w:t>–</w:t>
      </w:r>
      <w:r w:rsidRPr="00CA2CC1">
        <w:rPr>
          <w:rFonts w:cs="Calibri"/>
          <w:color w:val="414042"/>
          <w:spacing w:val="-5"/>
        </w:rPr>
        <w:t xml:space="preserve"> </w:t>
      </w:r>
      <w:r w:rsidRPr="00CA2CC1">
        <w:rPr>
          <w:rFonts w:cs="Calibri"/>
          <w:color w:val="414042"/>
        </w:rPr>
        <w:t>leases</w:t>
      </w:r>
      <w:r w:rsidRPr="00CA2CC1">
        <w:rPr>
          <w:rFonts w:cs="Calibri"/>
          <w:color w:val="414042"/>
          <w:spacing w:val="-5"/>
        </w:rPr>
        <w:t xml:space="preserve"> </w:t>
      </w:r>
      <w:r w:rsidRPr="00CA2CC1">
        <w:rPr>
          <w:rFonts w:cs="Calibri"/>
          <w:color w:val="414042"/>
        </w:rPr>
        <w:t>with</w:t>
      </w:r>
      <w:r w:rsidRPr="00CA2CC1">
        <w:rPr>
          <w:rFonts w:cs="Calibri"/>
          <w:color w:val="414042"/>
          <w:spacing w:val="-5"/>
        </w:rPr>
        <w:t xml:space="preserve"> </w:t>
      </w:r>
      <w:r w:rsidRPr="00CA2CC1">
        <w:rPr>
          <w:rFonts w:cs="Calibri"/>
          <w:color w:val="414042"/>
        </w:rPr>
        <w:t>a</w:t>
      </w:r>
      <w:r w:rsidRPr="00CA2CC1">
        <w:rPr>
          <w:rFonts w:cs="Calibri"/>
          <w:color w:val="414042"/>
          <w:spacing w:val="-5"/>
        </w:rPr>
        <w:t xml:space="preserve"> </w:t>
      </w:r>
      <w:r w:rsidRPr="00CA2CC1">
        <w:rPr>
          <w:rFonts w:cs="Calibri"/>
          <w:color w:val="414042"/>
        </w:rPr>
        <w:t>term</w:t>
      </w:r>
      <w:r w:rsidRPr="00CA2CC1">
        <w:rPr>
          <w:rFonts w:cs="Calibri"/>
          <w:color w:val="414042"/>
          <w:spacing w:val="-5"/>
        </w:rPr>
        <w:t xml:space="preserve"> </w:t>
      </w:r>
      <w:r w:rsidRPr="00CA2CC1">
        <w:rPr>
          <w:rFonts w:cs="Calibri"/>
          <w:color w:val="414042"/>
        </w:rPr>
        <w:t>less</w:t>
      </w:r>
      <w:r w:rsidRPr="00CA2CC1">
        <w:rPr>
          <w:rFonts w:cs="Calibri"/>
          <w:color w:val="414042"/>
          <w:spacing w:val="-5"/>
        </w:rPr>
        <w:t xml:space="preserve"> </w:t>
      </w:r>
      <w:r w:rsidRPr="00CA2CC1">
        <w:rPr>
          <w:rFonts w:cs="Calibri"/>
          <w:color w:val="414042"/>
        </w:rPr>
        <w:t>than 12 months; (there are none in 2022-23) or</w:t>
      </w:r>
    </w:p>
    <w:p w14:paraId="0D5B586E" w14:textId="77777777" w:rsidR="00FA4226" w:rsidRPr="00CA2CC1" w:rsidRDefault="00000000" w:rsidP="0043303B">
      <w:pPr>
        <w:pStyle w:val="ListParagraph"/>
        <w:numPr>
          <w:ilvl w:val="0"/>
          <w:numId w:val="61"/>
        </w:numPr>
        <w:tabs>
          <w:tab w:val="left" w:pos="1417"/>
        </w:tabs>
        <w:spacing w:before="118"/>
        <w:rPr>
          <w:rFonts w:cs="Calibri"/>
        </w:rPr>
      </w:pPr>
      <w:r w:rsidRPr="00CA2CC1">
        <w:rPr>
          <w:rFonts w:cs="Calibri"/>
          <w:color w:val="414042"/>
        </w:rPr>
        <w:t>Low value leases – leases with the underlying asset’s fair</w:t>
      </w:r>
      <w:r w:rsidRPr="00CA2CC1">
        <w:rPr>
          <w:rFonts w:cs="Calibri"/>
          <w:color w:val="414042"/>
          <w:spacing w:val="-5"/>
        </w:rPr>
        <w:t xml:space="preserve"> </w:t>
      </w:r>
      <w:r w:rsidRPr="00CA2CC1">
        <w:rPr>
          <w:rFonts w:cs="Calibri"/>
          <w:color w:val="414042"/>
        </w:rPr>
        <w:t>value</w:t>
      </w:r>
      <w:r w:rsidRPr="00CA2CC1">
        <w:rPr>
          <w:rFonts w:cs="Calibri"/>
          <w:color w:val="414042"/>
          <w:spacing w:val="-5"/>
        </w:rPr>
        <w:t xml:space="preserve"> </w:t>
      </w:r>
      <w:r w:rsidRPr="00CA2CC1">
        <w:rPr>
          <w:rFonts w:cs="Calibri"/>
          <w:color w:val="414042"/>
        </w:rPr>
        <w:t>(when</w:t>
      </w:r>
      <w:r w:rsidRPr="00CA2CC1">
        <w:rPr>
          <w:rFonts w:cs="Calibri"/>
          <w:color w:val="414042"/>
          <w:spacing w:val="-5"/>
        </w:rPr>
        <w:t xml:space="preserve"> </w:t>
      </w:r>
      <w:r w:rsidRPr="00CA2CC1">
        <w:rPr>
          <w:rFonts w:cs="Calibri"/>
          <w:color w:val="414042"/>
        </w:rPr>
        <w:t>new,</w:t>
      </w:r>
      <w:r w:rsidRPr="00CA2CC1">
        <w:rPr>
          <w:rFonts w:cs="Calibri"/>
          <w:color w:val="414042"/>
          <w:spacing w:val="-5"/>
        </w:rPr>
        <w:t xml:space="preserve"> </w:t>
      </w:r>
      <w:r w:rsidRPr="00CA2CC1">
        <w:rPr>
          <w:rFonts w:cs="Calibri"/>
          <w:color w:val="414042"/>
        </w:rPr>
        <w:t>regardless</w:t>
      </w:r>
      <w:r w:rsidRPr="00CA2CC1">
        <w:rPr>
          <w:rFonts w:cs="Calibri"/>
          <w:color w:val="414042"/>
          <w:spacing w:val="-5"/>
        </w:rPr>
        <w:t xml:space="preserve"> </w:t>
      </w:r>
      <w:r w:rsidRPr="00CA2CC1">
        <w:rPr>
          <w:rFonts w:cs="Calibri"/>
          <w:color w:val="414042"/>
        </w:rPr>
        <w:t>of</w:t>
      </w:r>
      <w:r w:rsidRPr="00CA2CC1">
        <w:rPr>
          <w:rFonts w:cs="Calibri"/>
          <w:color w:val="414042"/>
          <w:spacing w:val="-5"/>
        </w:rPr>
        <w:t xml:space="preserve"> </w:t>
      </w:r>
      <w:r w:rsidRPr="00CA2CC1">
        <w:rPr>
          <w:rFonts w:cs="Calibri"/>
          <w:color w:val="414042"/>
        </w:rPr>
        <w:t>the</w:t>
      </w:r>
      <w:r w:rsidRPr="00CA2CC1">
        <w:rPr>
          <w:rFonts w:cs="Calibri"/>
          <w:color w:val="414042"/>
          <w:spacing w:val="-5"/>
        </w:rPr>
        <w:t xml:space="preserve"> </w:t>
      </w:r>
      <w:r w:rsidRPr="00CA2CC1">
        <w:rPr>
          <w:rFonts w:cs="Calibri"/>
          <w:color w:val="414042"/>
        </w:rPr>
        <w:t>age</w:t>
      </w:r>
      <w:r w:rsidRPr="00CA2CC1">
        <w:rPr>
          <w:rFonts w:cs="Calibri"/>
          <w:color w:val="414042"/>
          <w:spacing w:val="-5"/>
        </w:rPr>
        <w:t xml:space="preserve"> </w:t>
      </w:r>
      <w:r w:rsidRPr="00CA2CC1">
        <w:rPr>
          <w:rFonts w:cs="Calibri"/>
          <w:color w:val="414042"/>
        </w:rPr>
        <w:t>of</w:t>
      </w:r>
      <w:r w:rsidRPr="00CA2CC1">
        <w:rPr>
          <w:rFonts w:cs="Calibri"/>
          <w:color w:val="414042"/>
          <w:spacing w:val="-5"/>
        </w:rPr>
        <w:t xml:space="preserve"> </w:t>
      </w:r>
      <w:r w:rsidRPr="00CA2CC1">
        <w:rPr>
          <w:rFonts w:cs="Calibri"/>
          <w:color w:val="414042"/>
        </w:rPr>
        <w:t>the</w:t>
      </w:r>
      <w:r w:rsidRPr="00CA2CC1">
        <w:rPr>
          <w:rFonts w:cs="Calibri"/>
          <w:color w:val="414042"/>
          <w:spacing w:val="-5"/>
        </w:rPr>
        <w:t xml:space="preserve"> </w:t>
      </w:r>
      <w:r w:rsidRPr="00CA2CC1">
        <w:rPr>
          <w:rFonts w:cs="Calibri"/>
          <w:color w:val="414042"/>
        </w:rPr>
        <w:t>asset being leased) is no more than $10,000.</w:t>
      </w:r>
    </w:p>
    <w:p w14:paraId="045C3EAB" w14:textId="77777777" w:rsidR="00FA4226" w:rsidRPr="00CA2CC1" w:rsidRDefault="00FA4226" w:rsidP="0043303B">
      <w:pPr>
        <w:pStyle w:val="BodyText"/>
        <w:rPr>
          <w:rFonts w:cs="Calibri"/>
          <w:sz w:val="20"/>
        </w:rPr>
      </w:pPr>
    </w:p>
    <w:p w14:paraId="61DCDD44" w14:textId="77777777" w:rsidR="00FA4226" w:rsidRPr="00CA2CC1" w:rsidRDefault="00FA4226" w:rsidP="0043303B">
      <w:pPr>
        <w:pStyle w:val="BodyText"/>
        <w:rPr>
          <w:rFonts w:cs="Calibri"/>
          <w:sz w:val="20"/>
        </w:rPr>
      </w:pPr>
    </w:p>
    <w:p w14:paraId="71216DEA" w14:textId="77777777" w:rsidR="00FA4226" w:rsidRPr="00CA2CC1" w:rsidRDefault="00FA4226" w:rsidP="0043303B">
      <w:pPr>
        <w:pStyle w:val="BodyText"/>
        <w:rPr>
          <w:rFonts w:cs="Calibri"/>
          <w:sz w:val="20"/>
        </w:rPr>
      </w:pPr>
    </w:p>
    <w:p w14:paraId="3EF88283" w14:textId="77A0FDE0" w:rsidR="00FA4226" w:rsidRPr="00396443" w:rsidRDefault="00000000" w:rsidP="0043303B">
      <w:pPr>
        <w:pStyle w:val="Heading3"/>
        <w:numPr>
          <w:ilvl w:val="0"/>
          <w:numId w:val="15"/>
        </w:numPr>
        <w:spacing w:before="36"/>
        <w:ind w:left="0" w:firstLine="0"/>
        <w:rPr>
          <w:rFonts w:cs="Calibri"/>
          <w:color w:val="000000" w:themeColor="text1"/>
        </w:rPr>
      </w:pPr>
      <w:bookmarkStart w:id="127" w:name="_bookmark74"/>
      <w:bookmarkEnd w:id="127"/>
      <w:r w:rsidRPr="00396443">
        <w:rPr>
          <w:rFonts w:cs="Calibri"/>
          <w:color w:val="000000" w:themeColor="text1"/>
        </w:rPr>
        <w:t>Key</w:t>
      </w:r>
      <w:r w:rsidRPr="00396443">
        <w:rPr>
          <w:rFonts w:cs="Calibri"/>
          <w:color w:val="000000" w:themeColor="text1"/>
          <w:spacing w:val="-2"/>
        </w:rPr>
        <w:t xml:space="preserve"> </w:t>
      </w:r>
      <w:r w:rsidRPr="00396443">
        <w:rPr>
          <w:rFonts w:cs="Calibri"/>
          <w:color w:val="000000" w:themeColor="text1"/>
        </w:rPr>
        <w:t>assets available</w:t>
      </w:r>
      <w:r w:rsidRPr="00396443">
        <w:rPr>
          <w:rFonts w:cs="Calibri"/>
          <w:color w:val="000000" w:themeColor="text1"/>
          <w:spacing w:val="-1"/>
        </w:rPr>
        <w:t xml:space="preserve"> </w:t>
      </w:r>
      <w:r w:rsidRPr="00396443">
        <w:rPr>
          <w:rFonts w:cs="Calibri"/>
          <w:color w:val="000000" w:themeColor="text1"/>
        </w:rPr>
        <w:t xml:space="preserve">to support output </w:t>
      </w:r>
      <w:r w:rsidRPr="00396443">
        <w:rPr>
          <w:rFonts w:cs="Calibri"/>
          <w:color w:val="000000" w:themeColor="text1"/>
          <w:spacing w:val="-2"/>
        </w:rPr>
        <w:t>delivery</w:t>
      </w:r>
    </w:p>
    <w:p w14:paraId="517CDB84" w14:textId="77777777" w:rsidR="00FA4226" w:rsidRPr="00396443" w:rsidRDefault="00FA4226" w:rsidP="0043303B">
      <w:pPr>
        <w:rPr>
          <w:rFonts w:cs="Calibri"/>
          <w:color w:val="000000" w:themeColor="text1"/>
          <w:sz w:val="9"/>
        </w:rPr>
        <w:sectPr w:rsidR="00FA4226" w:rsidRPr="00396443" w:rsidSect="00E941A5">
          <w:pgSz w:w="11910" w:h="16840"/>
          <w:pgMar w:top="1134" w:right="1278" w:bottom="1134" w:left="1134" w:header="720" w:footer="720" w:gutter="0"/>
          <w:cols w:space="720"/>
        </w:sectPr>
      </w:pPr>
    </w:p>
    <w:p w14:paraId="5C43C799" w14:textId="6E7483F2" w:rsidR="00696515" w:rsidRPr="00396443" w:rsidRDefault="00696515" w:rsidP="0043303B">
      <w:pPr>
        <w:pStyle w:val="BodyText"/>
        <w:spacing w:before="87"/>
        <w:rPr>
          <w:rFonts w:cs="Calibri"/>
        </w:rPr>
      </w:pPr>
      <w:r w:rsidRPr="00396443">
        <w:rPr>
          <w:rFonts w:cs="Calibri"/>
        </w:rPr>
        <w:t>Introduction</w:t>
      </w:r>
    </w:p>
    <w:p w14:paraId="3DFE36B6" w14:textId="5281E53A" w:rsidR="00FA4226" w:rsidRPr="00396443" w:rsidRDefault="00000000" w:rsidP="0043303B">
      <w:pPr>
        <w:pStyle w:val="BodyText"/>
        <w:spacing w:before="87"/>
        <w:rPr>
          <w:rFonts w:cs="Calibri"/>
          <w:spacing w:val="-2"/>
        </w:rPr>
      </w:pPr>
      <w:r w:rsidRPr="00396443">
        <w:rPr>
          <w:rFonts w:cs="Calibri"/>
        </w:rPr>
        <w:t>Infrastructure Victoria controls property, plant and equipment in fulfilling its objectives and conducting its activities. These assets represent the key resources</w:t>
      </w:r>
      <w:r w:rsidRPr="00396443">
        <w:rPr>
          <w:rFonts w:cs="Calibri"/>
          <w:spacing w:val="40"/>
        </w:rPr>
        <w:t xml:space="preserve"> </w:t>
      </w:r>
      <w:r w:rsidRPr="00396443">
        <w:rPr>
          <w:rFonts w:cs="Calibri"/>
        </w:rPr>
        <w:t xml:space="preserve">that Infrastructure Victoria uses for the delivery of these </w:t>
      </w:r>
      <w:r w:rsidRPr="00396443">
        <w:rPr>
          <w:rFonts w:cs="Calibri"/>
          <w:spacing w:val="-2"/>
        </w:rPr>
        <w:t>activities.</w:t>
      </w:r>
    </w:p>
    <w:p w14:paraId="456694E9" w14:textId="39A85B02" w:rsidR="00696515" w:rsidRPr="00396443" w:rsidRDefault="00696515" w:rsidP="0043303B">
      <w:pPr>
        <w:pStyle w:val="BodyText"/>
        <w:spacing w:before="87"/>
        <w:rPr>
          <w:rFonts w:cs="Calibri"/>
          <w:spacing w:val="-2"/>
        </w:rPr>
      </w:pPr>
      <w:r w:rsidRPr="00396443">
        <w:rPr>
          <w:rFonts w:cs="Calibri"/>
          <w:spacing w:val="-2"/>
        </w:rPr>
        <w:t>St</w:t>
      </w:r>
      <w:r w:rsidR="0062125E" w:rsidRPr="00396443">
        <w:rPr>
          <w:rFonts w:cs="Calibri"/>
          <w:spacing w:val="-2"/>
        </w:rPr>
        <w:t>ru</w:t>
      </w:r>
      <w:r w:rsidRPr="00396443">
        <w:rPr>
          <w:rFonts w:cs="Calibri"/>
          <w:spacing w:val="-2"/>
        </w:rPr>
        <w:t>cture</w:t>
      </w:r>
    </w:p>
    <w:p w14:paraId="14581FE5" w14:textId="77777777" w:rsidR="00696515" w:rsidRPr="00396443" w:rsidRDefault="00696515" w:rsidP="0043303B">
      <w:pPr>
        <w:pStyle w:val="ListParagraph"/>
        <w:numPr>
          <w:ilvl w:val="1"/>
          <w:numId w:val="15"/>
        </w:numPr>
        <w:tabs>
          <w:tab w:val="left" w:pos="743"/>
        </w:tabs>
        <w:spacing w:before="64"/>
        <w:ind w:left="0" w:firstLine="0"/>
        <w:rPr>
          <w:rFonts w:cs="Calibri"/>
          <w:szCs w:val="22"/>
        </w:rPr>
      </w:pPr>
      <w:r w:rsidRPr="00396443">
        <w:rPr>
          <w:rFonts w:cs="Calibri"/>
          <w:szCs w:val="22"/>
        </w:rPr>
        <w:t>Property,</w:t>
      </w:r>
      <w:r w:rsidRPr="00396443">
        <w:rPr>
          <w:rFonts w:cs="Calibri"/>
          <w:spacing w:val="1"/>
          <w:szCs w:val="22"/>
        </w:rPr>
        <w:t xml:space="preserve"> </w:t>
      </w:r>
      <w:r w:rsidRPr="00396443">
        <w:rPr>
          <w:rFonts w:cs="Calibri"/>
          <w:szCs w:val="22"/>
        </w:rPr>
        <w:t>plant</w:t>
      </w:r>
      <w:r w:rsidRPr="00396443">
        <w:rPr>
          <w:rFonts w:cs="Calibri"/>
          <w:spacing w:val="3"/>
          <w:szCs w:val="22"/>
        </w:rPr>
        <w:t xml:space="preserve"> </w:t>
      </w:r>
      <w:r w:rsidRPr="00396443">
        <w:rPr>
          <w:rFonts w:cs="Calibri"/>
          <w:szCs w:val="22"/>
        </w:rPr>
        <w:t>and</w:t>
      </w:r>
      <w:r w:rsidRPr="00396443">
        <w:rPr>
          <w:rFonts w:cs="Calibri"/>
          <w:spacing w:val="4"/>
          <w:szCs w:val="22"/>
        </w:rPr>
        <w:t xml:space="preserve"> </w:t>
      </w:r>
      <w:r w:rsidRPr="00396443">
        <w:rPr>
          <w:rFonts w:cs="Calibri"/>
          <w:spacing w:val="-2"/>
          <w:szCs w:val="22"/>
        </w:rPr>
        <w:t>equipment</w:t>
      </w:r>
    </w:p>
    <w:p w14:paraId="13CC58C1" w14:textId="77777777" w:rsidR="00696515" w:rsidRPr="00396443" w:rsidRDefault="00696515" w:rsidP="0043303B">
      <w:pPr>
        <w:pStyle w:val="ListParagraph"/>
        <w:numPr>
          <w:ilvl w:val="1"/>
          <w:numId w:val="15"/>
        </w:numPr>
        <w:tabs>
          <w:tab w:val="left" w:pos="763"/>
        </w:tabs>
        <w:spacing w:before="85"/>
        <w:ind w:left="0" w:firstLine="0"/>
        <w:rPr>
          <w:rFonts w:cs="Calibri"/>
          <w:szCs w:val="22"/>
        </w:rPr>
      </w:pPr>
      <w:r w:rsidRPr="00396443">
        <w:rPr>
          <w:rFonts w:cs="Calibri"/>
          <w:szCs w:val="22"/>
        </w:rPr>
        <w:t>Asset</w:t>
      </w:r>
      <w:r w:rsidRPr="00396443">
        <w:rPr>
          <w:rFonts w:cs="Calibri"/>
          <w:spacing w:val="5"/>
          <w:szCs w:val="22"/>
        </w:rPr>
        <w:t xml:space="preserve"> </w:t>
      </w:r>
      <w:r w:rsidRPr="00396443">
        <w:rPr>
          <w:rFonts w:cs="Calibri"/>
          <w:spacing w:val="-2"/>
          <w:szCs w:val="22"/>
        </w:rPr>
        <w:t>depreciation</w:t>
      </w:r>
    </w:p>
    <w:p w14:paraId="14FE4795" w14:textId="77777777" w:rsidR="00FA4226" w:rsidRPr="00396443" w:rsidRDefault="00FA4226" w:rsidP="0043303B">
      <w:pPr>
        <w:pStyle w:val="BodyText"/>
        <w:spacing w:before="5"/>
        <w:rPr>
          <w:rFonts w:cs="Calibri"/>
          <w:sz w:val="17"/>
        </w:rPr>
      </w:pPr>
    </w:p>
    <w:p w14:paraId="7A0CDA8B" w14:textId="35106E6F" w:rsidR="00FA4226" w:rsidRPr="00396443" w:rsidRDefault="00FA4226" w:rsidP="0043303B">
      <w:pPr>
        <w:pStyle w:val="BodyText"/>
        <w:rPr>
          <w:rFonts w:cs="Calibri"/>
          <w:sz w:val="2"/>
        </w:rPr>
      </w:pPr>
    </w:p>
    <w:p w14:paraId="5A290845" w14:textId="77777777" w:rsidR="00FA4226" w:rsidRPr="00396443" w:rsidRDefault="00FA4226" w:rsidP="0043303B">
      <w:pPr>
        <w:pStyle w:val="BodyText"/>
        <w:spacing w:before="6"/>
        <w:rPr>
          <w:rFonts w:cs="Calibri"/>
          <w:sz w:val="9"/>
        </w:rPr>
      </w:pPr>
    </w:p>
    <w:p w14:paraId="732F2FFB" w14:textId="77777777" w:rsidR="00FA4226" w:rsidRPr="00396443" w:rsidRDefault="00000000" w:rsidP="0043303B">
      <w:pPr>
        <w:pStyle w:val="Heading7"/>
        <w:numPr>
          <w:ilvl w:val="1"/>
          <w:numId w:val="13"/>
        </w:numPr>
        <w:tabs>
          <w:tab w:val="left" w:pos="1466"/>
        </w:tabs>
        <w:spacing w:before="60"/>
        <w:ind w:left="0" w:firstLine="0"/>
        <w:rPr>
          <w:rFonts w:cs="Calibri"/>
          <w:color w:val="000000" w:themeColor="text1"/>
        </w:rPr>
      </w:pPr>
      <w:r w:rsidRPr="00396443">
        <w:rPr>
          <w:rFonts w:cs="Calibri"/>
          <w:color w:val="000000" w:themeColor="text1"/>
        </w:rPr>
        <w:t>Property,</w:t>
      </w:r>
      <w:r w:rsidRPr="00396443">
        <w:rPr>
          <w:rFonts w:cs="Calibri"/>
          <w:color w:val="000000" w:themeColor="text1"/>
          <w:spacing w:val="-10"/>
        </w:rPr>
        <w:t xml:space="preserve"> </w:t>
      </w:r>
      <w:r w:rsidRPr="00396443">
        <w:rPr>
          <w:rFonts w:cs="Calibri"/>
          <w:color w:val="000000" w:themeColor="text1"/>
        </w:rPr>
        <w:t>plant</w:t>
      </w:r>
      <w:r w:rsidRPr="00396443">
        <w:rPr>
          <w:rFonts w:cs="Calibri"/>
          <w:color w:val="000000" w:themeColor="text1"/>
          <w:spacing w:val="-8"/>
        </w:rPr>
        <w:t xml:space="preserve"> </w:t>
      </w:r>
      <w:r w:rsidRPr="00396443">
        <w:rPr>
          <w:rFonts w:cs="Calibri"/>
          <w:color w:val="000000" w:themeColor="text1"/>
        </w:rPr>
        <w:t>and</w:t>
      </w:r>
      <w:r w:rsidRPr="00396443">
        <w:rPr>
          <w:rFonts w:cs="Calibri"/>
          <w:color w:val="000000" w:themeColor="text1"/>
          <w:spacing w:val="-7"/>
        </w:rPr>
        <w:t xml:space="preserve"> </w:t>
      </w:r>
      <w:r w:rsidRPr="00396443">
        <w:rPr>
          <w:rFonts w:cs="Calibri"/>
          <w:color w:val="000000" w:themeColor="text1"/>
          <w:spacing w:val="-2"/>
        </w:rPr>
        <w:t>equipment</w:t>
      </w:r>
    </w:p>
    <w:p w14:paraId="7450A61E" w14:textId="77777777" w:rsidR="00FA4226" w:rsidRPr="00CA2CC1" w:rsidRDefault="00FA4226" w:rsidP="0043303B">
      <w:pPr>
        <w:pStyle w:val="BodyText"/>
        <w:spacing w:before="6"/>
        <w:rPr>
          <w:rFonts w:cs="Calibri"/>
          <w:sz w:val="9"/>
        </w:rPr>
      </w:pPr>
    </w:p>
    <w:tbl>
      <w:tblPr>
        <w:tblW w:w="9639" w:type="dxa"/>
        <w:tblBorders>
          <w:top w:val="single" w:sz="4" w:space="0" w:color="C48F1B"/>
          <w:left w:val="single" w:sz="4" w:space="0" w:color="C48F1B"/>
          <w:bottom w:val="single" w:sz="4" w:space="0" w:color="C48F1B"/>
          <w:right w:val="single" w:sz="4" w:space="0" w:color="C48F1B"/>
          <w:insideH w:val="single" w:sz="4" w:space="0" w:color="C48F1B"/>
          <w:insideV w:val="single" w:sz="4" w:space="0" w:color="C48F1B"/>
        </w:tblBorders>
        <w:tblLayout w:type="fixed"/>
        <w:tblCellMar>
          <w:left w:w="0" w:type="dxa"/>
          <w:right w:w="0" w:type="dxa"/>
        </w:tblCellMar>
        <w:tblLook w:val="01E0" w:firstRow="1" w:lastRow="1" w:firstColumn="1" w:lastColumn="1" w:noHBand="0" w:noVBand="0"/>
      </w:tblPr>
      <w:tblGrid>
        <w:gridCol w:w="2552"/>
        <w:gridCol w:w="1134"/>
        <w:gridCol w:w="1134"/>
        <w:gridCol w:w="1276"/>
        <w:gridCol w:w="1276"/>
        <w:gridCol w:w="1134"/>
        <w:gridCol w:w="1133"/>
      </w:tblGrid>
      <w:tr w:rsidR="00FA4226" w:rsidRPr="00CA2CC1" w14:paraId="753F4CDB" w14:textId="77777777" w:rsidTr="0066501D">
        <w:trPr>
          <w:trHeight w:val="332"/>
        </w:trPr>
        <w:tc>
          <w:tcPr>
            <w:tcW w:w="4820" w:type="dxa"/>
            <w:gridSpan w:val="3"/>
            <w:tcBorders>
              <w:top w:val="nil"/>
              <w:left w:val="nil"/>
            </w:tcBorders>
            <w:tcMar>
              <w:right w:w="57" w:type="dxa"/>
            </w:tcMar>
          </w:tcPr>
          <w:p w14:paraId="5501C95A" w14:textId="77777777" w:rsidR="00FA4226" w:rsidRPr="00CA2CC1" w:rsidRDefault="00000000" w:rsidP="0066501D">
            <w:pPr>
              <w:pStyle w:val="TableParagraph"/>
              <w:spacing w:before="62"/>
              <w:ind w:left="1360"/>
              <w:rPr>
                <w:rFonts w:cs="Calibri"/>
                <w:i/>
                <w:sz w:val="17"/>
              </w:rPr>
            </w:pPr>
            <w:r w:rsidRPr="00CA2CC1">
              <w:rPr>
                <w:rFonts w:cs="Calibri"/>
                <w:i/>
                <w:color w:val="F68C59"/>
                <w:sz w:val="17"/>
              </w:rPr>
              <w:t>Gross</w:t>
            </w:r>
            <w:r w:rsidRPr="00CA2CC1">
              <w:rPr>
                <w:rFonts w:cs="Calibri"/>
                <w:i/>
                <w:color w:val="F68C59"/>
                <w:spacing w:val="11"/>
                <w:sz w:val="17"/>
              </w:rPr>
              <w:t xml:space="preserve"> </w:t>
            </w:r>
            <w:r w:rsidRPr="00CA2CC1">
              <w:rPr>
                <w:rFonts w:cs="Calibri"/>
                <w:i/>
                <w:color w:val="F68C59"/>
                <w:sz w:val="17"/>
              </w:rPr>
              <w:t>carrying</w:t>
            </w:r>
            <w:r w:rsidRPr="00CA2CC1">
              <w:rPr>
                <w:rFonts w:cs="Calibri"/>
                <w:i/>
                <w:color w:val="F68C59"/>
                <w:spacing w:val="11"/>
                <w:sz w:val="17"/>
              </w:rPr>
              <w:t xml:space="preserve"> </w:t>
            </w:r>
            <w:r w:rsidRPr="00CA2CC1">
              <w:rPr>
                <w:rFonts w:cs="Calibri"/>
                <w:i/>
                <w:color w:val="F68C59"/>
                <w:spacing w:val="-2"/>
                <w:sz w:val="17"/>
              </w:rPr>
              <w:t>amount</w:t>
            </w:r>
          </w:p>
        </w:tc>
        <w:tc>
          <w:tcPr>
            <w:tcW w:w="2552" w:type="dxa"/>
            <w:gridSpan w:val="2"/>
            <w:tcBorders>
              <w:top w:val="nil"/>
            </w:tcBorders>
          </w:tcPr>
          <w:p w14:paraId="409676A9" w14:textId="77777777" w:rsidR="00FA4226" w:rsidRPr="00CA2CC1" w:rsidRDefault="00000000" w:rsidP="0043303B">
            <w:pPr>
              <w:pStyle w:val="TableParagraph"/>
              <w:spacing w:before="62"/>
              <w:jc w:val="center"/>
              <w:rPr>
                <w:rFonts w:cs="Calibri"/>
                <w:i/>
                <w:sz w:val="17"/>
              </w:rPr>
            </w:pPr>
            <w:r w:rsidRPr="00CA2CC1">
              <w:rPr>
                <w:rFonts w:cs="Calibri"/>
                <w:i/>
                <w:color w:val="F68C59"/>
                <w:sz w:val="17"/>
              </w:rPr>
              <w:t>Accumulated</w:t>
            </w:r>
            <w:r w:rsidRPr="00CA2CC1">
              <w:rPr>
                <w:rFonts w:cs="Calibri"/>
                <w:i/>
                <w:color w:val="F68C59"/>
                <w:spacing w:val="9"/>
                <w:sz w:val="17"/>
              </w:rPr>
              <w:t xml:space="preserve"> </w:t>
            </w:r>
            <w:r w:rsidRPr="00CA2CC1">
              <w:rPr>
                <w:rFonts w:cs="Calibri"/>
                <w:i/>
                <w:color w:val="F68C59"/>
                <w:spacing w:val="-2"/>
                <w:sz w:val="17"/>
              </w:rPr>
              <w:t>depreciation</w:t>
            </w:r>
          </w:p>
        </w:tc>
        <w:tc>
          <w:tcPr>
            <w:tcW w:w="2267" w:type="dxa"/>
            <w:gridSpan w:val="2"/>
            <w:tcBorders>
              <w:top w:val="nil"/>
              <w:right w:val="nil"/>
            </w:tcBorders>
          </w:tcPr>
          <w:p w14:paraId="6752F9A0" w14:textId="77777777" w:rsidR="00FA4226" w:rsidRPr="00CA2CC1" w:rsidRDefault="00000000" w:rsidP="0043303B">
            <w:pPr>
              <w:pStyle w:val="TableParagraph"/>
              <w:spacing w:before="62"/>
              <w:jc w:val="center"/>
              <w:rPr>
                <w:rFonts w:cs="Calibri"/>
                <w:i/>
                <w:sz w:val="17"/>
              </w:rPr>
            </w:pPr>
            <w:r w:rsidRPr="00CA2CC1">
              <w:rPr>
                <w:rFonts w:cs="Calibri"/>
                <w:i/>
                <w:color w:val="F68C59"/>
                <w:sz w:val="17"/>
              </w:rPr>
              <w:t>Net</w:t>
            </w:r>
            <w:r w:rsidRPr="00CA2CC1">
              <w:rPr>
                <w:rFonts w:cs="Calibri"/>
                <w:i/>
                <w:color w:val="F68C59"/>
                <w:spacing w:val="9"/>
                <w:sz w:val="17"/>
              </w:rPr>
              <w:t xml:space="preserve"> </w:t>
            </w:r>
            <w:r w:rsidRPr="00CA2CC1">
              <w:rPr>
                <w:rFonts w:cs="Calibri"/>
                <w:i/>
                <w:color w:val="F68C59"/>
                <w:sz w:val="17"/>
              </w:rPr>
              <w:t>carrying</w:t>
            </w:r>
            <w:r w:rsidRPr="00CA2CC1">
              <w:rPr>
                <w:rFonts w:cs="Calibri"/>
                <w:i/>
                <w:color w:val="F68C59"/>
                <w:spacing w:val="10"/>
                <w:sz w:val="17"/>
              </w:rPr>
              <w:t xml:space="preserve"> </w:t>
            </w:r>
            <w:r w:rsidRPr="00CA2CC1">
              <w:rPr>
                <w:rFonts w:cs="Calibri"/>
                <w:i/>
                <w:color w:val="F68C59"/>
                <w:spacing w:val="-2"/>
                <w:sz w:val="17"/>
              </w:rPr>
              <w:t>amount</w:t>
            </w:r>
          </w:p>
        </w:tc>
      </w:tr>
      <w:tr w:rsidR="00FA4226" w:rsidRPr="00CA2CC1" w14:paraId="54705AE5" w14:textId="77777777" w:rsidTr="00281366">
        <w:trPr>
          <w:trHeight w:val="582"/>
        </w:trPr>
        <w:tc>
          <w:tcPr>
            <w:tcW w:w="2552" w:type="dxa"/>
            <w:tcBorders>
              <w:left w:val="nil"/>
              <w:right w:val="nil"/>
            </w:tcBorders>
          </w:tcPr>
          <w:p w14:paraId="187476AE" w14:textId="77777777" w:rsidR="00FA4226" w:rsidRPr="00CA2CC1" w:rsidRDefault="00FA4226" w:rsidP="0043303B">
            <w:pPr>
              <w:pStyle w:val="TableParagraph"/>
              <w:jc w:val="left"/>
              <w:rPr>
                <w:rFonts w:cs="Calibri"/>
                <w:sz w:val="18"/>
              </w:rPr>
            </w:pPr>
          </w:p>
        </w:tc>
        <w:tc>
          <w:tcPr>
            <w:tcW w:w="1134" w:type="dxa"/>
            <w:tcBorders>
              <w:left w:val="nil"/>
              <w:right w:val="single" w:sz="8" w:space="0" w:color="FFFFFF"/>
            </w:tcBorders>
            <w:shd w:val="clear" w:color="auto" w:fill="FFF0E7"/>
            <w:tcMar>
              <w:right w:w="57" w:type="dxa"/>
            </w:tcMar>
          </w:tcPr>
          <w:p w14:paraId="46F9B41F" w14:textId="77777777" w:rsidR="00FA4226" w:rsidRPr="00CA2CC1" w:rsidRDefault="00000000" w:rsidP="0043303B">
            <w:pPr>
              <w:pStyle w:val="TableParagraph"/>
              <w:spacing w:before="55"/>
              <w:rPr>
                <w:rFonts w:cs="Calibri"/>
                <w:sz w:val="17"/>
              </w:rPr>
            </w:pPr>
            <w:r w:rsidRPr="00CA2CC1">
              <w:rPr>
                <w:rFonts w:cs="Calibri"/>
                <w:color w:val="F68C59"/>
                <w:spacing w:val="-4"/>
                <w:sz w:val="17"/>
              </w:rPr>
              <w:t>2023</w:t>
            </w:r>
          </w:p>
          <w:p w14:paraId="747FEAF7" w14:textId="77777777" w:rsidR="00FA4226" w:rsidRPr="00CA2CC1" w:rsidRDefault="00000000" w:rsidP="0043303B">
            <w:pPr>
              <w:pStyle w:val="TableParagraph"/>
              <w:spacing w:before="23"/>
              <w:rPr>
                <w:rFonts w:cs="Calibri"/>
                <w:sz w:val="17"/>
              </w:rPr>
            </w:pPr>
            <w:r w:rsidRPr="00CA2CC1">
              <w:rPr>
                <w:rFonts w:cs="Calibri"/>
                <w:color w:val="F68C59"/>
                <w:sz w:val="17"/>
              </w:rPr>
              <w:t>$</w:t>
            </w:r>
          </w:p>
        </w:tc>
        <w:tc>
          <w:tcPr>
            <w:tcW w:w="1134" w:type="dxa"/>
            <w:tcBorders>
              <w:left w:val="single" w:sz="8" w:space="0" w:color="FFFFFF"/>
            </w:tcBorders>
            <w:shd w:val="clear" w:color="auto" w:fill="EDEFF0"/>
            <w:tcMar>
              <w:right w:w="57" w:type="dxa"/>
            </w:tcMar>
          </w:tcPr>
          <w:p w14:paraId="6A660089" w14:textId="77777777" w:rsidR="00FA4226" w:rsidRPr="00CA2CC1" w:rsidRDefault="00000000" w:rsidP="0043303B">
            <w:pPr>
              <w:pStyle w:val="TableParagraph"/>
              <w:spacing w:before="55"/>
              <w:rPr>
                <w:rFonts w:cs="Calibri"/>
                <w:sz w:val="17"/>
              </w:rPr>
            </w:pPr>
            <w:r w:rsidRPr="00CA2CC1">
              <w:rPr>
                <w:rFonts w:cs="Calibri"/>
                <w:color w:val="F68C59"/>
                <w:spacing w:val="-4"/>
                <w:sz w:val="17"/>
              </w:rPr>
              <w:t>2022</w:t>
            </w:r>
          </w:p>
          <w:p w14:paraId="662F7CE1" w14:textId="77777777" w:rsidR="00FA4226" w:rsidRPr="00CA2CC1" w:rsidRDefault="00000000" w:rsidP="0043303B">
            <w:pPr>
              <w:pStyle w:val="TableParagraph"/>
              <w:spacing w:before="23"/>
              <w:rPr>
                <w:rFonts w:cs="Calibri"/>
                <w:sz w:val="17"/>
              </w:rPr>
            </w:pPr>
            <w:r w:rsidRPr="00CA2CC1">
              <w:rPr>
                <w:rFonts w:cs="Calibri"/>
                <w:color w:val="F68C59"/>
                <w:sz w:val="17"/>
              </w:rPr>
              <w:t>$</w:t>
            </w:r>
          </w:p>
        </w:tc>
        <w:tc>
          <w:tcPr>
            <w:tcW w:w="1276" w:type="dxa"/>
            <w:tcBorders>
              <w:right w:val="single" w:sz="4" w:space="0" w:color="FFFFFF"/>
            </w:tcBorders>
            <w:shd w:val="clear" w:color="auto" w:fill="FFF0E7"/>
            <w:tcMar>
              <w:right w:w="57" w:type="dxa"/>
            </w:tcMar>
          </w:tcPr>
          <w:p w14:paraId="46D6C045" w14:textId="77777777" w:rsidR="00FA4226" w:rsidRPr="00CA2CC1" w:rsidRDefault="00000000" w:rsidP="0043303B">
            <w:pPr>
              <w:pStyle w:val="TableParagraph"/>
              <w:spacing w:before="55"/>
              <w:rPr>
                <w:rFonts w:cs="Calibri"/>
                <w:sz w:val="17"/>
              </w:rPr>
            </w:pPr>
            <w:r w:rsidRPr="00CA2CC1">
              <w:rPr>
                <w:rFonts w:cs="Calibri"/>
                <w:color w:val="F68C59"/>
                <w:spacing w:val="-4"/>
                <w:sz w:val="17"/>
              </w:rPr>
              <w:t>2023</w:t>
            </w:r>
          </w:p>
          <w:p w14:paraId="379AEC8F" w14:textId="77777777" w:rsidR="00FA4226" w:rsidRPr="00CA2CC1" w:rsidRDefault="00000000" w:rsidP="0043303B">
            <w:pPr>
              <w:pStyle w:val="TableParagraph"/>
              <w:spacing w:before="23"/>
              <w:rPr>
                <w:rFonts w:cs="Calibri"/>
                <w:sz w:val="17"/>
              </w:rPr>
            </w:pPr>
            <w:r w:rsidRPr="00CA2CC1">
              <w:rPr>
                <w:rFonts w:cs="Calibri"/>
                <w:color w:val="F68C59"/>
                <w:sz w:val="17"/>
              </w:rPr>
              <w:t>$</w:t>
            </w:r>
          </w:p>
        </w:tc>
        <w:tc>
          <w:tcPr>
            <w:tcW w:w="1276" w:type="dxa"/>
            <w:tcBorders>
              <w:left w:val="single" w:sz="4" w:space="0" w:color="FFFFFF"/>
            </w:tcBorders>
            <w:shd w:val="clear" w:color="auto" w:fill="EDEFF0"/>
            <w:tcMar>
              <w:right w:w="57" w:type="dxa"/>
            </w:tcMar>
          </w:tcPr>
          <w:p w14:paraId="4D720D74" w14:textId="77777777" w:rsidR="00FA4226" w:rsidRPr="00CA2CC1" w:rsidRDefault="00000000" w:rsidP="0043303B">
            <w:pPr>
              <w:pStyle w:val="TableParagraph"/>
              <w:spacing w:before="55"/>
              <w:rPr>
                <w:rFonts w:cs="Calibri"/>
                <w:sz w:val="17"/>
              </w:rPr>
            </w:pPr>
            <w:r w:rsidRPr="00CA2CC1">
              <w:rPr>
                <w:rFonts w:cs="Calibri"/>
                <w:color w:val="F68C59"/>
                <w:spacing w:val="-4"/>
                <w:sz w:val="17"/>
              </w:rPr>
              <w:t>2022</w:t>
            </w:r>
          </w:p>
          <w:p w14:paraId="2B7AFD60" w14:textId="77777777" w:rsidR="00FA4226" w:rsidRPr="00CA2CC1" w:rsidRDefault="00000000" w:rsidP="0043303B">
            <w:pPr>
              <w:pStyle w:val="TableParagraph"/>
              <w:spacing w:before="23"/>
              <w:rPr>
                <w:rFonts w:cs="Calibri"/>
                <w:sz w:val="17"/>
              </w:rPr>
            </w:pPr>
            <w:r w:rsidRPr="00CA2CC1">
              <w:rPr>
                <w:rFonts w:cs="Calibri"/>
                <w:color w:val="F68C59"/>
                <w:sz w:val="17"/>
              </w:rPr>
              <w:t>$</w:t>
            </w:r>
          </w:p>
        </w:tc>
        <w:tc>
          <w:tcPr>
            <w:tcW w:w="1134" w:type="dxa"/>
            <w:tcBorders>
              <w:right w:val="single" w:sz="8" w:space="0" w:color="FFFFFF"/>
            </w:tcBorders>
            <w:shd w:val="clear" w:color="auto" w:fill="FFF0E7"/>
            <w:tcMar>
              <w:right w:w="57" w:type="dxa"/>
            </w:tcMar>
          </w:tcPr>
          <w:p w14:paraId="2857045F" w14:textId="77777777" w:rsidR="00FA4226" w:rsidRPr="00CA2CC1" w:rsidRDefault="00000000" w:rsidP="0043303B">
            <w:pPr>
              <w:pStyle w:val="TableParagraph"/>
              <w:spacing w:before="55"/>
              <w:rPr>
                <w:rFonts w:cs="Calibri"/>
                <w:sz w:val="17"/>
              </w:rPr>
            </w:pPr>
            <w:r w:rsidRPr="00CA2CC1">
              <w:rPr>
                <w:rFonts w:cs="Calibri"/>
                <w:color w:val="F68C59"/>
                <w:spacing w:val="-4"/>
                <w:sz w:val="17"/>
              </w:rPr>
              <w:t>2023</w:t>
            </w:r>
          </w:p>
          <w:p w14:paraId="2D4F88B4" w14:textId="77777777" w:rsidR="00FA4226" w:rsidRPr="00CA2CC1" w:rsidRDefault="00000000" w:rsidP="0043303B">
            <w:pPr>
              <w:pStyle w:val="TableParagraph"/>
              <w:spacing w:before="23"/>
              <w:rPr>
                <w:rFonts w:cs="Calibri"/>
                <w:sz w:val="17"/>
              </w:rPr>
            </w:pPr>
            <w:r w:rsidRPr="00CA2CC1">
              <w:rPr>
                <w:rFonts w:cs="Calibri"/>
                <w:color w:val="F68C59"/>
                <w:sz w:val="17"/>
              </w:rPr>
              <w:t>$</w:t>
            </w:r>
          </w:p>
        </w:tc>
        <w:tc>
          <w:tcPr>
            <w:tcW w:w="1133" w:type="dxa"/>
            <w:tcBorders>
              <w:left w:val="single" w:sz="8" w:space="0" w:color="FFFFFF"/>
              <w:right w:val="nil"/>
            </w:tcBorders>
            <w:shd w:val="clear" w:color="auto" w:fill="EDEFF0"/>
            <w:tcMar>
              <w:right w:w="57" w:type="dxa"/>
            </w:tcMar>
          </w:tcPr>
          <w:p w14:paraId="5F3C3336" w14:textId="77777777" w:rsidR="00FA4226" w:rsidRPr="00CA2CC1" w:rsidRDefault="00000000" w:rsidP="0043303B">
            <w:pPr>
              <w:pStyle w:val="TableParagraph"/>
              <w:spacing w:before="55"/>
              <w:rPr>
                <w:rFonts w:cs="Calibri"/>
                <w:sz w:val="17"/>
              </w:rPr>
            </w:pPr>
            <w:r w:rsidRPr="00CA2CC1">
              <w:rPr>
                <w:rFonts w:cs="Calibri"/>
                <w:color w:val="F68C59"/>
                <w:spacing w:val="-4"/>
                <w:sz w:val="17"/>
              </w:rPr>
              <w:t>2022</w:t>
            </w:r>
          </w:p>
          <w:p w14:paraId="238585F2" w14:textId="77777777" w:rsidR="00FA4226" w:rsidRPr="00CA2CC1" w:rsidRDefault="00000000" w:rsidP="0043303B">
            <w:pPr>
              <w:pStyle w:val="TableParagraph"/>
              <w:spacing w:before="23"/>
              <w:rPr>
                <w:rFonts w:cs="Calibri"/>
                <w:sz w:val="17"/>
              </w:rPr>
            </w:pPr>
            <w:r w:rsidRPr="00CA2CC1">
              <w:rPr>
                <w:rFonts w:cs="Calibri"/>
                <w:color w:val="F68C59"/>
                <w:sz w:val="17"/>
              </w:rPr>
              <w:t>$</w:t>
            </w:r>
          </w:p>
        </w:tc>
      </w:tr>
      <w:tr w:rsidR="00FA4226" w:rsidRPr="00CA2CC1" w14:paraId="0E226362" w14:textId="77777777" w:rsidTr="00281366">
        <w:trPr>
          <w:trHeight w:val="281"/>
        </w:trPr>
        <w:tc>
          <w:tcPr>
            <w:tcW w:w="2552" w:type="dxa"/>
            <w:tcBorders>
              <w:left w:val="nil"/>
              <w:bottom w:val="single" w:sz="2" w:space="0" w:color="73777A"/>
              <w:right w:val="nil"/>
            </w:tcBorders>
          </w:tcPr>
          <w:p w14:paraId="755BF60E" w14:textId="77777777" w:rsidR="00FA4226" w:rsidRPr="00CA2CC1" w:rsidRDefault="00000000" w:rsidP="0043303B">
            <w:pPr>
              <w:pStyle w:val="TableParagraph"/>
              <w:jc w:val="left"/>
              <w:rPr>
                <w:rFonts w:cs="Calibri"/>
                <w:sz w:val="18"/>
              </w:rPr>
            </w:pPr>
            <w:r w:rsidRPr="00CA2CC1">
              <w:rPr>
                <w:rFonts w:cs="Calibri"/>
                <w:color w:val="414042"/>
                <w:sz w:val="18"/>
              </w:rPr>
              <w:t>Right-of-use</w:t>
            </w:r>
            <w:r w:rsidRPr="00CA2CC1">
              <w:rPr>
                <w:rFonts w:cs="Calibri"/>
                <w:color w:val="414042"/>
                <w:spacing w:val="-3"/>
                <w:sz w:val="18"/>
              </w:rPr>
              <w:t xml:space="preserve"> </w:t>
            </w:r>
            <w:r w:rsidRPr="00CA2CC1">
              <w:rPr>
                <w:rFonts w:cs="Calibri"/>
                <w:color w:val="414042"/>
                <w:spacing w:val="-2"/>
                <w:sz w:val="18"/>
              </w:rPr>
              <w:t>buildings</w:t>
            </w:r>
          </w:p>
        </w:tc>
        <w:tc>
          <w:tcPr>
            <w:tcW w:w="1134" w:type="dxa"/>
            <w:tcBorders>
              <w:left w:val="nil"/>
              <w:bottom w:val="single" w:sz="2" w:space="0" w:color="73777A"/>
              <w:right w:val="single" w:sz="8" w:space="0" w:color="FFFFFF"/>
            </w:tcBorders>
            <w:shd w:val="clear" w:color="auto" w:fill="FFF0E7"/>
            <w:tcMar>
              <w:right w:w="57" w:type="dxa"/>
            </w:tcMar>
          </w:tcPr>
          <w:p w14:paraId="63FB6262" w14:textId="77777777" w:rsidR="00FA4226" w:rsidRPr="00CA2CC1" w:rsidRDefault="00000000" w:rsidP="0043303B">
            <w:pPr>
              <w:pStyle w:val="TableParagraph"/>
              <w:rPr>
                <w:rFonts w:cs="Calibri"/>
                <w:sz w:val="18"/>
              </w:rPr>
            </w:pPr>
            <w:r w:rsidRPr="00CA2CC1">
              <w:rPr>
                <w:rFonts w:cs="Calibri"/>
                <w:color w:val="414042"/>
                <w:spacing w:val="-2"/>
                <w:sz w:val="18"/>
              </w:rPr>
              <w:t>3,095,214</w:t>
            </w:r>
          </w:p>
        </w:tc>
        <w:tc>
          <w:tcPr>
            <w:tcW w:w="1134" w:type="dxa"/>
            <w:tcBorders>
              <w:left w:val="single" w:sz="8" w:space="0" w:color="FFFFFF"/>
              <w:bottom w:val="single" w:sz="2" w:space="0" w:color="73777A"/>
            </w:tcBorders>
            <w:shd w:val="clear" w:color="auto" w:fill="EDEFF0"/>
            <w:tcMar>
              <w:right w:w="57" w:type="dxa"/>
            </w:tcMar>
          </w:tcPr>
          <w:p w14:paraId="3DFA27A3" w14:textId="77777777" w:rsidR="00FA4226" w:rsidRPr="00CA2CC1" w:rsidRDefault="00000000" w:rsidP="0043303B">
            <w:pPr>
              <w:pStyle w:val="TableParagraph"/>
              <w:rPr>
                <w:rFonts w:cs="Calibri"/>
                <w:sz w:val="18"/>
              </w:rPr>
            </w:pPr>
            <w:r w:rsidRPr="00CA2CC1">
              <w:rPr>
                <w:rFonts w:cs="Calibri"/>
                <w:color w:val="414042"/>
                <w:spacing w:val="-2"/>
                <w:sz w:val="18"/>
              </w:rPr>
              <w:t>3,095,214</w:t>
            </w:r>
          </w:p>
        </w:tc>
        <w:tc>
          <w:tcPr>
            <w:tcW w:w="1276" w:type="dxa"/>
            <w:tcBorders>
              <w:bottom w:val="single" w:sz="2" w:space="0" w:color="73777A"/>
              <w:right w:val="single" w:sz="4" w:space="0" w:color="FFFFFF"/>
            </w:tcBorders>
            <w:shd w:val="clear" w:color="auto" w:fill="FFF0E7"/>
            <w:tcMar>
              <w:right w:w="57" w:type="dxa"/>
            </w:tcMar>
          </w:tcPr>
          <w:p w14:paraId="40CF707B" w14:textId="77777777" w:rsidR="00FA4226" w:rsidRPr="00CA2CC1" w:rsidRDefault="00000000" w:rsidP="0043303B">
            <w:pPr>
              <w:pStyle w:val="TableParagraph"/>
              <w:rPr>
                <w:rFonts w:cs="Calibri"/>
                <w:sz w:val="18"/>
              </w:rPr>
            </w:pPr>
            <w:r w:rsidRPr="00CA2CC1">
              <w:rPr>
                <w:rFonts w:cs="Calibri"/>
                <w:color w:val="414042"/>
                <w:spacing w:val="-2"/>
                <w:sz w:val="18"/>
              </w:rPr>
              <w:t>(1,486,297)</w:t>
            </w:r>
          </w:p>
        </w:tc>
        <w:tc>
          <w:tcPr>
            <w:tcW w:w="1276" w:type="dxa"/>
            <w:tcBorders>
              <w:left w:val="single" w:sz="4" w:space="0" w:color="FFFFFF"/>
              <w:bottom w:val="single" w:sz="2" w:space="0" w:color="73777A"/>
            </w:tcBorders>
            <w:shd w:val="clear" w:color="auto" w:fill="EDEFF0"/>
            <w:tcMar>
              <w:right w:w="57" w:type="dxa"/>
            </w:tcMar>
          </w:tcPr>
          <w:p w14:paraId="711AF779" w14:textId="77777777" w:rsidR="00FA4226" w:rsidRPr="00CA2CC1" w:rsidRDefault="00000000" w:rsidP="0043303B">
            <w:pPr>
              <w:pStyle w:val="TableParagraph"/>
              <w:rPr>
                <w:rFonts w:cs="Calibri"/>
                <w:sz w:val="18"/>
              </w:rPr>
            </w:pPr>
            <w:r w:rsidRPr="00CA2CC1">
              <w:rPr>
                <w:rFonts w:cs="Calibri"/>
                <w:color w:val="414042"/>
                <w:spacing w:val="-2"/>
                <w:sz w:val="18"/>
              </w:rPr>
              <w:t>(1,114,723)</w:t>
            </w:r>
          </w:p>
        </w:tc>
        <w:tc>
          <w:tcPr>
            <w:tcW w:w="1134" w:type="dxa"/>
            <w:tcBorders>
              <w:bottom w:val="single" w:sz="2" w:space="0" w:color="73777A"/>
              <w:right w:val="single" w:sz="8" w:space="0" w:color="FFFFFF"/>
            </w:tcBorders>
            <w:shd w:val="clear" w:color="auto" w:fill="FFF0E7"/>
            <w:tcMar>
              <w:right w:w="57" w:type="dxa"/>
            </w:tcMar>
          </w:tcPr>
          <w:p w14:paraId="3294C02A" w14:textId="77777777" w:rsidR="00FA4226" w:rsidRPr="00CA2CC1" w:rsidRDefault="00000000" w:rsidP="0043303B">
            <w:pPr>
              <w:pStyle w:val="TableParagraph"/>
              <w:rPr>
                <w:rFonts w:cs="Calibri"/>
                <w:sz w:val="18"/>
              </w:rPr>
            </w:pPr>
            <w:r w:rsidRPr="00CA2CC1">
              <w:rPr>
                <w:rFonts w:cs="Calibri"/>
                <w:color w:val="414042"/>
                <w:spacing w:val="-2"/>
                <w:sz w:val="18"/>
              </w:rPr>
              <w:t>1,608,917</w:t>
            </w:r>
          </w:p>
        </w:tc>
        <w:tc>
          <w:tcPr>
            <w:tcW w:w="1133" w:type="dxa"/>
            <w:tcBorders>
              <w:left w:val="single" w:sz="8" w:space="0" w:color="FFFFFF"/>
              <w:bottom w:val="single" w:sz="2" w:space="0" w:color="73777A"/>
              <w:right w:val="nil"/>
            </w:tcBorders>
            <w:shd w:val="clear" w:color="auto" w:fill="EDEFF0"/>
            <w:tcMar>
              <w:right w:w="57" w:type="dxa"/>
            </w:tcMar>
          </w:tcPr>
          <w:p w14:paraId="0F9CD19E" w14:textId="77777777" w:rsidR="00FA4226" w:rsidRPr="00CA2CC1" w:rsidRDefault="00000000" w:rsidP="0043303B">
            <w:pPr>
              <w:pStyle w:val="TableParagraph"/>
              <w:rPr>
                <w:rFonts w:cs="Calibri"/>
                <w:sz w:val="18"/>
              </w:rPr>
            </w:pPr>
            <w:r w:rsidRPr="00CA2CC1">
              <w:rPr>
                <w:rFonts w:cs="Calibri"/>
                <w:color w:val="414042"/>
                <w:spacing w:val="-2"/>
                <w:sz w:val="18"/>
              </w:rPr>
              <w:t>1,980,491</w:t>
            </w:r>
          </w:p>
        </w:tc>
      </w:tr>
      <w:tr w:rsidR="00FA4226" w:rsidRPr="00CA2CC1" w14:paraId="46585E47" w14:textId="77777777" w:rsidTr="00281366">
        <w:trPr>
          <w:trHeight w:val="283"/>
        </w:trPr>
        <w:tc>
          <w:tcPr>
            <w:tcW w:w="2552" w:type="dxa"/>
            <w:tcBorders>
              <w:top w:val="single" w:sz="2" w:space="0" w:color="73777A"/>
              <w:left w:val="nil"/>
              <w:bottom w:val="single" w:sz="2" w:space="0" w:color="73777A"/>
              <w:right w:val="nil"/>
            </w:tcBorders>
          </w:tcPr>
          <w:p w14:paraId="584B56EE" w14:textId="77777777" w:rsidR="00FA4226" w:rsidRPr="00CA2CC1" w:rsidRDefault="00000000" w:rsidP="0043303B">
            <w:pPr>
              <w:pStyle w:val="TableParagraph"/>
              <w:jc w:val="left"/>
              <w:rPr>
                <w:rFonts w:cs="Calibri"/>
                <w:sz w:val="18"/>
              </w:rPr>
            </w:pPr>
            <w:r w:rsidRPr="00CA2CC1">
              <w:rPr>
                <w:rFonts w:cs="Calibri"/>
                <w:color w:val="414042"/>
                <w:sz w:val="18"/>
              </w:rPr>
              <w:t>Leasehold</w:t>
            </w:r>
            <w:r w:rsidRPr="00CA2CC1">
              <w:rPr>
                <w:rFonts w:cs="Calibri"/>
                <w:color w:val="414042"/>
                <w:spacing w:val="9"/>
                <w:sz w:val="18"/>
              </w:rPr>
              <w:t xml:space="preserve"> </w:t>
            </w:r>
            <w:r w:rsidRPr="00CA2CC1">
              <w:rPr>
                <w:rFonts w:cs="Calibri"/>
                <w:color w:val="414042"/>
                <w:spacing w:val="-2"/>
                <w:sz w:val="18"/>
              </w:rPr>
              <w:t>improvements</w:t>
            </w:r>
          </w:p>
        </w:tc>
        <w:tc>
          <w:tcPr>
            <w:tcW w:w="1134" w:type="dxa"/>
            <w:tcBorders>
              <w:top w:val="single" w:sz="2" w:space="0" w:color="73777A"/>
              <w:left w:val="nil"/>
              <w:bottom w:val="single" w:sz="2" w:space="0" w:color="73777A"/>
              <w:right w:val="single" w:sz="8" w:space="0" w:color="FFFFFF"/>
            </w:tcBorders>
            <w:shd w:val="clear" w:color="auto" w:fill="FFF0E7"/>
            <w:tcMar>
              <w:right w:w="57" w:type="dxa"/>
            </w:tcMar>
          </w:tcPr>
          <w:p w14:paraId="5D52C85E" w14:textId="77777777" w:rsidR="00FA4226" w:rsidRPr="00CA2CC1" w:rsidRDefault="00000000" w:rsidP="0043303B">
            <w:pPr>
              <w:pStyle w:val="TableParagraph"/>
              <w:rPr>
                <w:rFonts w:cs="Calibri"/>
                <w:sz w:val="18"/>
              </w:rPr>
            </w:pPr>
            <w:r w:rsidRPr="00CA2CC1">
              <w:rPr>
                <w:rFonts w:cs="Calibri"/>
                <w:color w:val="414042"/>
                <w:spacing w:val="-2"/>
                <w:sz w:val="18"/>
              </w:rPr>
              <w:t>128,603</w:t>
            </w:r>
          </w:p>
        </w:tc>
        <w:tc>
          <w:tcPr>
            <w:tcW w:w="1134" w:type="dxa"/>
            <w:tcBorders>
              <w:top w:val="single" w:sz="2" w:space="0" w:color="73777A"/>
              <w:left w:val="single" w:sz="8" w:space="0" w:color="FFFFFF"/>
              <w:bottom w:val="single" w:sz="2" w:space="0" w:color="73777A"/>
            </w:tcBorders>
            <w:shd w:val="clear" w:color="auto" w:fill="EDEFF0"/>
            <w:tcMar>
              <w:right w:w="57" w:type="dxa"/>
            </w:tcMar>
          </w:tcPr>
          <w:p w14:paraId="4BDDAB2B" w14:textId="77777777" w:rsidR="00FA4226" w:rsidRPr="00CA2CC1" w:rsidRDefault="00000000" w:rsidP="0043303B">
            <w:pPr>
              <w:pStyle w:val="TableParagraph"/>
              <w:rPr>
                <w:rFonts w:cs="Calibri"/>
                <w:sz w:val="18"/>
              </w:rPr>
            </w:pPr>
            <w:r w:rsidRPr="00CA2CC1">
              <w:rPr>
                <w:rFonts w:cs="Calibri"/>
                <w:color w:val="414042"/>
                <w:spacing w:val="-2"/>
                <w:sz w:val="18"/>
              </w:rPr>
              <w:t>304,323</w:t>
            </w:r>
          </w:p>
        </w:tc>
        <w:tc>
          <w:tcPr>
            <w:tcW w:w="1276" w:type="dxa"/>
            <w:tcBorders>
              <w:top w:val="single" w:sz="2" w:space="0" w:color="73777A"/>
              <w:bottom w:val="single" w:sz="2" w:space="0" w:color="73777A"/>
              <w:right w:val="single" w:sz="4" w:space="0" w:color="FFFFFF"/>
            </w:tcBorders>
            <w:shd w:val="clear" w:color="auto" w:fill="FFF0E7"/>
            <w:tcMar>
              <w:right w:w="57" w:type="dxa"/>
            </w:tcMar>
          </w:tcPr>
          <w:p w14:paraId="11FC757A" w14:textId="77777777" w:rsidR="00FA4226" w:rsidRPr="00CA2CC1" w:rsidRDefault="00000000" w:rsidP="0043303B">
            <w:pPr>
              <w:pStyle w:val="TableParagraph"/>
              <w:rPr>
                <w:rFonts w:cs="Calibri"/>
                <w:sz w:val="18"/>
              </w:rPr>
            </w:pPr>
            <w:r w:rsidRPr="00CA2CC1">
              <w:rPr>
                <w:rFonts w:cs="Calibri"/>
                <w:color w:val="414042"/>
                <w:spacing w:val="-2"/>
                <w:sz w:val="18"/>
              </w:rPr>
              <w:t>(107,068)</w:t>
            </w:r>
          </w:p>
        </w:tc>
        <w:tc>
          <w:tcPr>
            <w:tcW w:w="1276" w:type="dxa"/>
            <w:tcBorders>
              <w:top w:val="single" w:sz="2" w:space="0" w:color="73777A"/>
              <w:left w:val="single" w:sz="4" w:space="0" w:color="FFFFFF"/>
              <w:bottom w:val="single" w:sz="2" w:space="0" w:color="73777A"/>
            </w:tcBorders>
            <w:shd w:val="clear" w:color="auto" w:fill="EDEFF0"/>
            <w:tcMar>
              <w:right w:w="57" w:type="dxa"/>
            </w:tcMar>
          </w:tcPr>
          <w:p w14:paraId="1D338F88" w14:textId="77777777" w:rsidR="00FA4226" w:rsidRPr="00CA2CC1" w:rsidRDefault="00000000" w:rsidP="0043303B">
            <w:pPr>
              <w:pStyle w:val="TableParagraph"/>
              <w:rPr>
                <w:rFonts w:cs="Calibri"/>
                <w:sz w:val="18"/>
              </w:rPr>
            </w:pPr>
            <w:r w:rsidRPr="00CA2CC1">
              <w:rPr>
                <w:rFonts w:cs="Calibri"/>
                <w:color w:val="414042"/>
                <w:spacing w:val="-2"/>
                <w:sz w:val="18"/>
              </w:rPr>
              <w:t>(257,067)</w:t>
            </w:r>
          </w:p>
        </w:tc>
        <w:tc>
          <w:tcPr>
            <w:tcW w:w="1134" w:type="dxa"/>
            <w:tcBorders>
              <w:top w:val="single" w:sz="2" w:space="0" w:color="73777A"/>
              <w:bottom w:val="single" w:sz="2" w:space="0" w:color="73777A"/>
              <w:right w:val="single" w:sz="8" w:space="0" w:color="FFFFFF"/>
            </w:tcBorders>
            <w:shd w:val="clear" w:color="auto" w:fill="FFF0E7"/>
            <w:tcMar>
              <w:right w:w="57" w:type="dxa"/>
            </w:tcMar>
          </w:tcPr>
          <w:p w14:paraId="5E160F73" w14:textId="77777777" w:rsidR="00FA4226" w:rsidRPr="00CA2CC1" w:rsidRDefault="00000000" w:rsidP="0043303B">
            <w:pPr>
              <w:pStyle w:val="TableParagraph"/>
              <w:rPr>
                <w:rFonts w:cs="Calibri"/>
                <w:sz w:val="18"/>
              </w:rPr>
            </w:pPr>
            <w:r w:rsidRPr="00CA2CC1">
              <w:rPr>
                <w:rFonts w:cs="Calibri"/>
                <w:color w:val="414042"/>
                <w:spacing w:val="-2"/>
                <w:sz w:val="18"/>
              </w:rPr>
              <w:t>21,535</w:t>
            </w:r>
          </w:p>
        </w:tc>
        <w:tc>
          <w:tcPr>
            <w:tcW w:w="1133" w:type="dxa"/>
            <w:tcBorders>
              <w:top w:val="single" w:sz="2" w:space="0" w:color="73777A"/>
              <w:left w:val="single" w:sz="8" w:space="0" w:color="FFFFFF"/>
              <w:bottom w:val="single" w:sz="2" w:space="0" w:color="73777A"/>
              <w:right w:val="nil"/>
            </w:tcBorders>
            <w:shd w:val="clear" w:color="auto" w:fill="EDEFF0"/>
            <w:tcMar>
              <w:right w:w="57" w:type="dxa"/>
            </w:tcMar>
          </w:tcPr>
          <w:p w14:paraId="0F5B8DB7" w14:textId="77777777" w:rsidR="00FA4226" w:rsidRPr="00CA2CC1" w:rsidRDefault="00000000" w:rsidP="0043303B">
            <w:pPr>
              <w:pStyle w:val="TableParagraph"/>
              <w:rPr>
                <w:rFonts w:cs="Calibri"/>
                <w:sz w:val="18"/>
              </w:rPr>
            </w:pPr>
            <w:r w:rsidRPr="00CA2CC1">
              <w:rPr>
                <w:rFonts w:cs="Calibri"/>
                <w:color w:val="414042"/>
                <w:spacing w:val="-2"/>
                <w:sz w:val="18"/>
              </w:rPr>
              <w:t>47,256</w:t>
            </w:r>
          </w:p>
        </w:tc>
      </w:tr>
      <w:tr w:rsidR="00FA4226" w:rsidRPr="00CA2CC1" w14:paraId="140CA274" w14:textId="77777777" w:rsidTr="00281366">
        <w:trPr>
          <w:trHeight w:val="283"/>
        </w:trPr>
        <w:tc>
          <w:tcPr>
            <w:tcW w:w="2552" w:type="dxa"/>
            <w:tcBorders>
              <w:top w:val="single" w:sz="2" w:space="0" w:color="73777A"/>
              <w:left w:val="nil"/>
              <w:bottom w:val="single" w:sz="2" w:space="0" w:color="73777A"/>
              <w:right w:val="nil"/>
            </w:tcBorders>
          </w:tcPr>
          <w:p w14:paraId="4725977E" w14:textId="77777777" w:rsidR="00FA4226" w:rsidRPr="00CA2CC1" w:rsidRDefault="00000000" w:rsidP="0043303B">
            <w:pPr>
              <w:pStyle w:val="TableParagraph"/>
              <w:jc w:val="left"/>
              <w:rPr>
                <w:rFonts w:cs="Calibri"/>
                <w:sz w:val="10"/>
              </w:rPr>
            </w:pPr>
            <w:r w:rsidRPr="00CA2CC1">
              <w:rPr>
                <w:rFonts w:cs="Calibri"/>
                <w:color w:val="414042"/>
                <w:sz w:val="18"/>
              </w:rPr>
              <w:t>Leased</w:t>
            </w:r>
            <w:r w:rsidRPr="00CA2CC1">
              <w:rPr>
                <w:rFonts w:cs="Calibri"/>
                <w:color w:val="414042"/>
                <w:spacing w:val="2"/>
                <w:sz w:val="18"/>
              </w:rPr>
              <w:t xml:space="preserve"> </w:t>
            </w:r>
            <w:r w:rsidRPr="00CA2CC1">
              <w:rPr>
                <w:rFonts w:cs="Calibri"/>
                <w:color w:val="414042"/>
                <w:sz w:val="18"/>
              </w:rPr>
              <w:t>motor</w:t>
            </w:r>
            <w:r w:rsidRPr="00CA2CC1">
              <w:rPr>
                <w:rFonts w:cs="Calibri"/>
                <w:color w:val="414042"/>
                <w:spacing w:val="4"/>
                <w:sz w:val="18"/>
              </w:rPr>
              <w:t xml:space="preserve"> </w:t>
            </w:r>
            <w:r w:rsidRPr="00CA2CC1">
              <w:rPr>
                <w:rFonts w:cs="Calibri"/>
                <w:color w:val="414042"/>
                <w:sz w:val="18"/>
              </w:rPr>
              <w:t>vehicles</w:t>
            </w:r>
            <w:r w:rsidRPr="00CA2CC1">
              <w:rPr>
                <w:rFonts w:cs="Calibri"/>
                <w:color w:val="414042"/>
                <w:spacing w:val="4"/>
                <w:sz w:val="18"/>
              </w:rPr>
              <w:t xml:space="preserve"> </w:t>
            </w:r>
            <w:r w:rsidRPr="00CA2CC1">
              <w:rPr>
                <w:rFonts w:cs="Calibri"/>
                <w:color w:val="414042"/>
                <w:spacing w:val="-5"/>
                <w:position w:val="6"/>
                <w:sz w:val="10"/>
              </w:rPr>
              <w:t>(i)</w:t>
            </w:r>
          </w:p>
        </w:tc>
        <w:tc>
          <w:tcPr>
            <w:tcW w:w="1134" w:type="dxa"/>
            <w:tcBorders>
              <w:top w:val="single" w:sz="2" w:space="0" w:color="73777A"/>
              <w:left w:val="nil"/>
              <w:bottom w:val="single" w:sz="2" w:space="0" w:color="73777A"/>
              <w:right w:val="single" w:sz="8" w:space="0" w:color="FFFFFF"/>
            </w:tcBorders>
            <w:shd w:val="clear" w:color="auto" w:fill="FFF0E7"/>
            <w:tcMar>
              <w:right w:w="57" w:type="dxa"/>
            </w:tcMar>
          </w:tcPr>
          <w:p w14:paraId="0831A47A" w14:textId="77777777" w:rsidR="00FA4226" w:rsidRPr="00CA2CC1" w:rsidRDefault="00000000" w:rsidP="0043303B">
            <w:pPr>
              <w:pStyle w:val="TableParagraph"/>
              <w:rPr>
                <w:rFonts w:cs="Calibri"/>
                <w:sz w:val="18"/>
              </w:rPr>
            </w:pPr>
            <w:r w:rsidRPr="00CA2CC1">
              <w:rPr>
                <w:rFonts w:cs="Calibri"/>
                <w:color w:val="414042"/>
                <w:spacing w:val="-2"/>
                <w:sz w:val="18"/>
              </w:rPr>
              <w:t>48,199</w:t>
            </w:r>
          </w:p>
        </w:tc>
        <w:tc>
          <w:tcPr>
            <w:tcW w:w="1134" w:type="dxa"/>
            <w:tcBorders>
              <w:top w:val="single" w:sz="2" w:space="0" w:color="73777A"/>
              <w:left w:val="single" w:sz="8" w:space="0" w:color="FFFFFF"/>
              <w:bottom w:val="single" w:sz="2" w:space="0" w:color="73777A"/>
            </w:tcBorders>
            <w:shd w:val="clear" w:color="auto" w:fill="EDEFF0"/>
            <w:tcMar>
              <w:right w:w="57" w:type="dxa"/>
            </w:tcMar>
          </w:tcPr>
          <w:p w14:paraId="737F9EC7" w14:textId="77777777" w:rsidR="00FA4226" w:rsidRPr="00CA2CC1" w:rsidRDefault="00000000" w:rsidP="0043303B">
            <w:pPr>
              <w:pStyle w:val="TableParagraph"/>
              <w:rPr>
                <w:rFonts w:cs="Calibri"/>
                <w:sz w:val="18"/>
              </w:rPr>
            </w:pPr>
            <w:r w:rsidRPr="00CA2CC1">
              <w:rPr>
                <w:rFonts w:cs="Calibri"/>
                <w:color w:val="414042"/>
                <w:spacing w:val="-2"/>
                <w:sz w:val="18"/>
              </w:rPr>
              <w:t>86,176</w:t>
            </w:r>
          </w:p>
        </w:tc>
        <w:tc>
          <w:tcPr>
            <w:tcW w:w="1276" w:type="dxa"/>
            <w:tcBorders>
              <w:top w:val="single" w:sz="2" w:space="0" w:color="73777A"/>
              <w:bottom w:val="single" w:sz="2" w:space="0" w:color="73777A"/>
              <w:right w:val="single" w:sz="4" w:space="0" w:color="FFFFFF"/>
            </w:tcBorders>
            <w:shd w:val="clear" w:color="auto" w:fill="FFF0E7"/>
            <w:tcMar>
              <w:right w:w="57" w:type="dxa"/>
            </w:tcMar>
          </w:tcPr>
          <w:p w14:paraId="01FB3CEC" w14:textId="77777777" w:rsidR="00FA4226" w:rsidRPr="00CA2CC1" w:rsidRDefault="00000000" w:rsidP="0043303B">
            <w:pPr>
              <w:pStyle w:val="TableParagraph"/>
              <w:rPr>
                <w:rFonts w:cs="Calibri"/>
                <w:sz w:val="18"/>
              </w:rPr>
            </w:pPr>
            <w:r w:rsidRPr="00CA2CC1">
              <w:rPr>
                <w:rFonts w:cs="Calibri"/>
                <w:color w:val="414042"/>
                <w:spacing w:val="-2"/>
                <w:sz w:val="18"/>
              </w:rPr>
              <w:t>(7,366)</w:t>
            </w:r>
          </w:p>
        </w:tc>
        <w:tc>
          <w:tcPr>
            <w:tcW w:w="1276" w:type="dxa"/>
            <w:tcBorders>
              <w:top w:val="single" w:sz="2" w:space="0" w:color="73777A"/>
              <w:left w:val="single" w:sz="4" w:space="0" w:color="FFFFFF"/>
              <w:bottom w:val="single" w:sz="2" w:space="0" w:color="73777A"/>
            </w:tcBorders>
            <w:shd w:val="clear" w:color="auto" w:fill="EDEFF0"/>
            <w:tcMar>
              <w:right w:w="57" w:type="dxa"/>
            </w:tcMar>
          </w:tcPr>
          <w:p w14:paraId="1E5CCA2E" w14:textId="77777777" w:rsidR="00FA4226" w:rsidRPr="00CA2CC1" w:rsidRDefault="00000000" w:rsidP="0043303B">
            <w:pPr>
              <w:pStyle w:val="TableParagraph"/>
              <w:rPr>
                <w:rFonts w:cs="Calibri"/>
                <w:sz w:val="18"/>
              </w:rPr>
            </w:pPr>
            <w:r w:rsidRPr="00CA2CC1">
              <w:rPr>
                <w:rFonts w:cs="Calibri"/>
                <w:color w:val="414042"/>
                <w:spacing w:val="-2"/>
                <w:sz w:val="18"/>
              </w:rPr>
              <w:t>(16,011)</w:t>
            </w:r>
          </w:p>
        </w:tc>
        <w:tc>
          <w:tcPr>
            <w:tcW w:w="1134" w:type="dxa"/>
            <w:tcBorders>
              <w:top w:val="single" w:sz="2" w:space="0" w:color="73777A"/>
              <w:bottom w:val="single" w:sz="2" w:space="0" w:color="73777A"/>
              <w:right w:val="single" w:sz="8" w:space="0" w:color="FFFFFF"/>
            </w:tcBorders>
            <w:shd w:val="clear" w:color="auto" w:fill="FFF0E7"/>
            <w:tcMar>
              <w:right w:w="57" w:type="dxa"/>
            </w:tcMar>
          </w:tcPr>
          <w:p w14:paraId="68C51323" w14:textId="77777777" w:rsidR="00FA4226" w:rsidRPr="00CA2CC1" w:rsidRDefault="00000000" w:rsidP="0043303B">
            <w:pPr>
              <w:pStyle w:val="TableParagraph"/>
              <w:rPr>
                <w:rFonts w:cs="Calibri"/>
                <w:sz w:val="18"/>
              </w:rPr>
            </w:pPr>
            <w:r w:rsidRPr="00CA2CC1">
              <w:rPr>
                <w:rFonts w:cs="Calibri"/>
                <w:color w:val="414042"/>
                <w:spacing w:val="-2"/>
                <w:sz w:val="18"/>
              </w:rPr>
              <w:t>40,833</w:t>
            </w:r>
          </w:p>
        </w:tc>
        <w:tc>
          <w:tcPr>
            <w:tcW w:w="1133" w:type="dxa"/>
            <w:tcBorders>
              <w:top w:val="single" w:sz="2" w:space="0" w:color="73777A"/>
              <w:left w:val="single" w:sz="8" w:space="0" w:color="FFFFFF"/>
              <w:bottom w:val="single" w:sz="2" w:space="0" w:color="73777A"/>
              <w:right w:val="nil"/>
            </w:tcBorders>
            <w:shd w:val="clear" w:color="auto" w:fill="EDEFF0"/>
            <w:tcMar>
              <w:right w:w="57" w:type="dxa"/>
            </w:tcMar>
          </w:tcPr>
          <w:p w14:paraId="6B7C210B" w14:textId="77777777" w:rsidR="00FA4226" w:rsidRPr="00CA2CC1" w:rsidRDefault="00000000" w:rsidP="0043303B">
            <w:pPr>
              <w:pStyle w:val="TableParagraph"/>
              <w:rPr>
                <w:rFonts w:cs="Calibri"/>
                <w:sz w:val="18"/>
              </w:rPr>
            </w:pPr>
            <w:r w:rsidRPr="00CA2CC1">
              <w:rPr>
                <w:rFonts w:cs="Calibri"/>
                <w:color w:val="414042"/>
                <w:spacing w:val="-2"/>
                <w:sz w:val="18"/>
              </w:rPr>
              <w:t>70,165</w:t>
            </w:r>
          </w:p>
        </w:tc>
      </w:tr>
      <w:tr w:rsidR="00FA4226" w:rsidRPr="00CA2CC1" w14:paraId="74DA2271" w14:textId="77777777" w:rsidTr="00754293">
        <w:trPr>
          <w:trHeight w:val="278"/>
        </w:trPr>
        <w:tc>
          <w:tcPr>
            <w:tcW w:w="2552" w:type="dxa"/>
            <w:tcBorders>
              <w:top w:val="single" w:sz="2" w:space="0" w:color="73777A"/>
              <w:left w:val="nil"/>
              <w:bottom w:val="single" w:sz="6" w:space="0" w:color="73777A"/>
              <w:right w:val="nil"/>
            </w:tcBorders>
          </w:tcPr>
          <w:p w14:paraId="43C0EE91" w14:textId="77777777" w:rsidR="00FA4226" w:rsidRPr="00CA2CC1" w:rsidRDefault="00000000" w:rsidP="0043303B">
            <w:pPr>
              <w:pStyle w:val="TableParagraph"/>
              <w:jc w:val="left"/>
              <w:rPr>
                <w:rFonts w:cs="Calibri"/>
                <w:sz w:val="18"/>
              </w:rPr>
            </w:pPr>
            <w:r w:rsidRPr="00CA2CC1">
              <w:rPr>
                <w:rFonts w:cs="Calibri"/>
                <w:color w:val="414042"/>
                <w:sz w:val="18"/>
              </w:rPr>
              <w:t>Assets</w:t>
            </w:r>
            <w:r w:rsidRPr="00CA2CC1">
              <w:rPr>
                <w:rFonts w:cs="Calibri"/>
                <w:color w:val="414042"/>
                <w:spacing w:val="3"/>
                <w:sz w:val="18"/>
              </w:rPr>
              <w:t xml:space="preserve"> </w:t>
            </w:r>
            <w:r w:rsidRPr="00CA2CC1">
              <w:rPr>
                <w:rFonts w:cs="Calibri"/>
                <w:color w:val="414042"/>
                <w:sz w:val="18"/>
              </w:rPr>
              <w:t>under</w:t>
            </w:r>
            <w:r w:rsidRPr="00CA2CC1">
              <w:rPr>
                <w:rFonts w:cs="Calibri"/>
                <w:color w:val="414042"/>
                <w:spacing w:val="5"/>
                <w:sz w:val="18"/>
              </w:rPr>
              <w:t xml:space="preserve"> </w:t>
            </w:r>
            <w:r w:rsidRPr="00CA2CC1">
              <w:rPr>
                <w:rFonts w:cs="Calibri"/>
                <w:color w:val="414042"/>
                <w:spacing w:val="-2"/>
                <w:sz w:val="18"/>
              </w:rPr>
              <w:t>construction</w:t>
            </w:r>
          </w:p>
        </w:tc>
        <w:tc>
          <w:tcPr>
            <w:tcW w:w="1134" w:type="dxa"/>
            <w:tcBorders>
              <w:top w:val="single" w:sz="2" w:space="0" w:color="73777A"/>
              <w:left w:val="nil"/>
              <w:bottom w:val="single" w:sz="6" w:space="0" w:color="73777A"/>
              <w:right w:val="single" w:sz="8" w:space="0" w:color="FFFFFF"/>
            </w:tcBorders>
            <w:shd w:val="clear" w:color="auto" w:fill="FFF0E7"/>
            <w:tcMar>
              <w:right w:w="57" w:type="dxa"/>
            </w:tcMar>
          </w:tcPr>
          <w:p w14:paraId="5B8D13E1" w14:textId="77777777" w:rsidR="00FA4226" w:rsidRPr="00CA2CC1" w:rsidRDefault="00000000" w:rsidP="0043303B">
            <w:pPr>
              <w:pStyle w:val="TableParagraph"/>
              <w:rPr>
                <w:rFonts w:cs="Calibri"/>
                <w:sz w:val="18"/>
              </w:rPr>
            </w:pPr>
            <w:r w:rsidRPr="00CA2CC1">
              <w:rPr>
                <w:rFonts w:cs="Calibri"/>
                <w:color w:val="414042"/>
                <w:spacing w:val="-2"/>
                <w:sz w:val="18"/>
              </w:rPr>
              <w:t>53,815</w:t>
            </w:r>
          </w:p>
        </w:tc>
        <w:tc>
          <w:tcPr>
            <w:tcW w:w="1134" w:type="dxa"/>
            <w:tcBorders>
              <w:top w:val="single" w:sz="2" w:space="0" w:color="73777A"/>
              <w:left w:val="single" w:sz="8" w:space="0" w:color="FFFFFF"/>
              <w:bottom w:val="single" w:sz="6" w:space="0" w:color="73777A"/>
            </w:tcBorders>
            <w:shd w:val="clear" w:color="auto" w:fill="EDEFF0"/>
            <w:tcMar>
              <w:right w:w="57" w:type="dxa"/>
            </w:tcMar>
          </w:tcPr>
          <w:p w14:paraId="4E408B75" w14:textId="77777777" w:rsidR="00FA4226" w:rsidRPr="00CA2CC1" w:rsidRDefault="00000000" w:rsidP="0043303B">
            <w:pPr>
              <w:pStyle w:val="TableParagraph"/>
              <w:rPr>
                <w:rFonts w:cs="Calibri"/>
                <w:sz w:val="18"/>
              </w:rPr>
            </w:pPr>
            <w:r w:rsidRPr="00CA2CC1">
              <w:rPr>
                <w:rFonts w:cs="Calibri"/>
                <w:color w:val="414042"/>
                <w:sz w:val="18"/>
              </w:rPr>
              <w:t>-</w:t>
            </w:r>
          </w:p>
        </w:tc>
        <w:tc>
          <w:tcPr>
            <w:tcW w:w="1276" w:type="dxa"/>
            <w:tcBorders>
              <w:top w:val="single" w:sz="2" w:space="0" w:color="73777A"/>
              <w:bottom w:val="single" w:sz="6" w:space="0" w:color="73777A"/>
              <w:right w:val="single" w:sz="4" w:space="0" w:color="FFFFFF"/>
            </w:tcBorders>
            <w:shd w:val="clear" w:color="auto" w:fill="FFF0E7"/>
            <w:tcMar>
              <w:right w:w="57" w:type="dxa"/>
            </w:tcMar>
          </w:tcPr>
          <w:p w14:paraId="1D32F6DA" w14:textId="77777777" w:rsidR="00FA4226" w:rsidRPr="00CA2CC1" w:rsidRDefault="00000000" w:rsidP="0043303B">
            <w:pPr>
              <w:pStyle w:val="TableParagraph"/>
              <w:rPr>
                <w:rFonts w:cs="Calibri"/>
                <w:sz w:val="18"/>
              </w:rPr>
            </w:pPr>
            <w:r w:rsidRPr="00CA2CC1">
              <w:rPr>
                <w:rFonts w:cs="Calibri"/>
                <w:color w:val="414042"/>
                <w:sz w:val="18"/>
              </w:rPr>
              <w:t>-</w:t>
            </w:r>
          </w:p>
        </w:tc>
        <w:tc>
          <w:tcPr>
            <w:tcW w:w="1276" w:type="dxa"/>
            <w:tcBorders>
              <w:top w:val="single" w:sz="2" w:space="0" w:color="73777A"/>
              <w:left w:val="single" w:sz="4" w:space="0" w:color="FFFFFF"/>
              <w:bottom w:val="single" w:sz="6" w:space="0" w:color="73777A"/>
            </w:tcBorders>
            <w:shd w:val="clear" w:color="auto" w:fill="EDEFF0"/>
            <w:tcMar>
              <w:right w:w="57" w:type="dxa"/>
            </w:tcMar>
          </w:tcPr>
          <w:p w14:paraId="4734B986" w14:textId="77777777" w:rsidR="00FA4226" w:rsidRPr="00CA2CC1" w:rsidRDefault="00000000" w:rsidP="0043303B">
            <w:pPr>
              <w:pStyle w:val="TableParagraph"/>
              <w:rPr>
                <w:rFonts w:cs="Calibri"/>
                <w:sz w:val="18"/>
              </w:rPr>
            </w:pPr>
            <w:r w:rsidRPr="00CA2CC1">
              <w:rPr>
                <w:rFonts w:cs="Calibri"/>
                <w:color w:val="414042"/>
                <w:sz w:val="18"/>
              </w:rPr>
              <w:t>-</w:t>
            </w:r>
          </w:p>
        </w:tc>
        <w:tc>
          <w:tcPr>
            <w:tcW w:w="1134" w:type="dxa"/>
            <w:tcBorders>
              <w:top w:val="single" w:sz="2" w:space="0" w:color="73777A"/>
              <w:bottom w:val="single" w:sz="6" w:space="0" w:color="73777A"/>
              <w:right w:val="single" w:sz="8" w:space="0" w:color="FFFFFF"/>
            </w:tcBorders>
            <w:shd w:val="clear" w:color="auto" w:fill="FFF0E7"/>
            <w:tcMar>
              <w:right w:w="57" w:type="dxa"/>
            </w:tcMar>
          </w:tcPr>
          <w:p w14:paraId="4CBE2996" w14:textId="77777777" w:rsidR="00FA4226" w:rsidRPr="00CA2CC1" w:rsidRDefault="00000000" w:rsidP="0043303B">
            <w:pPr>
              <w:pStyle w:val="TableParagraph"/>
              <w:rPr>
                <w:rFonts w:cs="Calibri"/>
                <w:sz w:val="18"/>
              </w:rPr>
            </w:pPr>
            <w:r w:rsidRPr="00CA2CC1">
              <w:rPr>
                <w:rFonts w:cs="Calibri"/>
                <w:color w:val="414042"/>
                <w:spacing w:val="-2"/>
                <w:sz w:val="18"/>
              </w:rPr>
              <w:t>53,815</w:t>
            </w:r>
          </w:p>
        </w:tc>
        <w:tc>
          <w:tcPr>
            <w:tcW w:w="1133" w:type="dxa"/>
            <w:tcBorders>
              <w:top w:val="single" w:sz="2" w:space="0" w:color="73777A"/>
              <w:left w:val="single" w:sz="8" w:space="0" w:color="FFFFFF"/>
              <w:bottom w:val="single" w:sz="6" w:space="0" w:color="73777A"/>
              <w:right w:val="nil"/>
            </w:tcBorders>
            <w:shd w:val="clear" w:color="auto" w:fill="EDEFF0"/>
            <w:tcMar>
              <w:right w:w="57" w:type="dxa"/>
            </w:tcMar>
          </w:tcPr>
          <w:p w14:paraId="364E4C84" w14:textId="77777777" w:rsidR="00FA4226" w:rsidRPr="00CA2CC1" w:rsidRDefault="00000000" w:rsidP="0043303B">
            <w:pPr>
              <w:pStyle w:val="TableParagraph"/>
              <w:rPr>
                <w:rFonts w:cs="Calibri"/>
                <w:sz w:val="18"/>
              </w:rPr>
            </w:pPr>
            <w:r w:rsidRPr="00CA2CC1">
              <w:rPr>
                <w:rFonts w:cs="Calibri"/>
                <w:color w:val="414042"/>
                <w:sz w:val="18"/>
              </w:rPr>
              <w:t>-</w:t>
            </w:r>
          </w:p>
        </w:tc>
      </w:tr>
      <w:tr w:rsidR="00FA4226" w:rsidRPr="00CA2CC1" w14:paraId="154FB1D7" w14:textId="77777777" w:rsidTr="00754293">
        <w:trPr>
          <w:trHeight w:val="258"/>
        </w:trPr>
        <w:tc>
          <w:tcPr>
            <w:tcW w:w="2552" w:type="dxa"/>
            <w:tcBorders>
              <w:top w:val="single" w:sz="6" w:space="0" w:color="73777A"/>
              <w:left w:val="nil"/>
              <w:bottom w:val="double" w:sz="6" w:space="0" w:color="73777A"/>
              <w:right w:val="nil"/>
            </w:tcBorders>
          </w:tcPr>
          <w:p w14:paraId="6F68359F" w14:textId="77777777" w:rsidR="00FA4226" w:rsidRPr="00CA2CC1" w:rsidRDefault="00000000" w:rsidP="0043303B">
            <w:pPr>
              <w:pStyle w:val="TableParagraph"/>
              <w:jc w:val="left"/>
              <w:rPr>
                <w:rFonts w:cs="Calibri"/>
                <w:sz w:val="10"/>
              </w:rPr>
            </w:pPr>
            <w:r w:rsidRPr="00CA2CC1">
              <w:rPr>
                <w:rFonts w:cs="Calibri"/>
                <w:color w:val="414042"/>
                <w:sz w:val="18"/>
              </w:rPr>
              <w:t>Total</w:t>
            </w:r>
            <w:r w:rsidRPr="00CA2CC1">
              <w:rPr>
                <w:rFonts w:cs="Calibri"/>
                <w:color w:val="414042"/>
                <w:spacing w:val="-7"/>
                <w:sz w:val="18"/>
              </w:rPr>
              <w:t xml:space="preserve"> </w:t>
            </w:r>
            <w:r w:rsidRPr="00CA2CC1">
              <w:rPr>
                <w:rFonts w:cs="Calibri"/>
                <w:color w:val="414042"/>
                <w:spacing w:val="-5"/>
                <w:position w:val="6"/>
                <w:sz w:val="10"/>
              </w:rPr>
              <w:t>(i)</w:t>
            </w:r>
          </w:p>
        </w:tc>
        <w:tc>
          <w:tcPr>
            <w:tcW w:w="1134" w:type="dxa"/>
            <w:tcBorders>
              <w:top w:val="single" w:sz="6" w:space="0" w:color="73777A"/>
              <w:left w:val="nil"/>
              <w:bottom w:val="double" w:sz="4" w:space="0" w:color="73777A"/>
              <w:right w:val="single" w:sz="8" w:space="0" w:color="FFFFFF"/>
            </w:tcBorders>
            <w:shd w:val="clear" w:color="auto" w:fill="FFF0E7"/>
            <w:tcMar>
              <w:right w:w="57" w:type="dxa"/>
            </w:tcMar>
          </w:tcPr>
          <w:p w14:paraId="0BDDF63F" w14:textId="77777777" w:rsidR="00FA4226" w:rsidRPr="00CA2CC1" w:rsidRDefault="00000000" w:rsidP="0043303B">
            <w:pPr>
              <w:pStyle w:val="TableParagraph"/>
              <w:rPr>
                <w:rFonts w:cs="Calibri"/>
                <w:sz w:val="18"/>
              </w:rPr>
            </w:pPr>
            <w:r w:rsidRPr="00CA2CC1">
              <w:rPr>
                <w:rFonts w:cs="Calibri"/>
                <w:color w:val="414042"/>
                <w:spacing w:val="-2"/>
                <w:sz w:val="18"/>
              </w:rPr>
              <w:t>3,325,831</w:t>
            </w:r>
          </w:p>
        </w:tc>
        <w:tc>
          <w:tcPr>
            <w:tcW w:w="1134" w:type="dxa"/>
            <w:tcBorders>
              <w:top w:val="single" w:sz="6" w:space="0" w:color="73777A"/>
              <w:left w:val="single" w:sz="8" w:space="0" w:color="FFFFFF"/>
              <w:bottom w:val="double" w:sz="4" w:space="0" w:color="73777A"/>
            </w:tcBorders>
            <w:shd w:val="clear" w:color="auto" w:fill="EDEFF0"/>
            <w:tcMar>
              <w:right w:w="57" w:type="dxa"/>
            </w:tcMar>
          </w:tcPr>
          <w:p w14:paraId="5D3C8E80" w14:textId="77777777" w:rsidR="00FA4226" w:rsidRPr="00CA2CC1" w:rsidRDefault="00000000" w:rsidP="0043303B">
            <w:pPr>
              <w:pStyle w:val="TableParagraph"/>
              <w:rPr>
                <w:rFonts w:cs="Calibri"/>
                <w:sz w:val="18"/>
              </w:rPr>
            </w:pPr>
            <w:r w:rsidRPr="00CA2CC1">
              <w:rPr>
                <w:rFonts w:cs="Calibri"/>
                <w:color w:val="414042"/>
                <w:spacing w:val="-2"/>
                <w:sz w:val="18"/>
              </w:rPr>
              <w:t>3,485,713</w:t>
            </w:r>
          </w:p>
        </w:tc>
        <w:tc>
          <w:tcPr>
            <w:tcW w:w="1276" w:type="dxa"/>
            <w:tcBorders>
              <w:top w:val="single" w:sz="6" w:space="0" w:color="73777A"/>
              <w:bottom w:val="double" w:sz="4" w:space="0" w:color="73777A"/>
              <w:right w:val="single" w:sz="4" w:space="0" w:color="FFFFFF"/>
            </w:tcBorders>
            <w:shd w:val="clear" w:color="auto" w:fill="FFF0E7"/>
            <w:tcMar>
              <w:right w:w="57" w:type="dxa"/>
            </w:tcMar>
          </w:tcPr>
          <w:p w14:paraId="7733A681" w14:textId="77777777" w:rsidR="00FA4226" w:rsidRPr="00CA2CC1" w:rsidRDefault="00000000" w:rsidP="0043303B">
            <w:pPr>
              <w:pStyle w:val="TableParagraph"/>
              <w:rPr>
                <w:rFonts w:cs="Calibri"/>
                <w:sz w:val="18"/>
              </w:rPr>
            </w:pPr>
            <w:r w:rsidRPr="00CA2CC1">
              <w:rPr>
                <w:rFonts w:cs="Calibri"/>
                <w:color w:val="414042"/>
                <w:spacing w:val="-2"/>
                <w:sz w:val="18"/>
              </w:rPr>
              <w:t>(1,600,731)</w:t>
            </w:r>
          </w:p>
        </w:tc>
        <w:tc>
          <w:tcPr>
            <w:tcW w:w="1276" w:type="dxa"/>
            <w:tcBorders>
              <w:top w:val="single" w:sz="6" w:space="0" w:color="73777A"/>
              <w:left w:val="single" w:sz="4" w:space="0" w:color="FFFFFF"/>
              <w:bottom w:val="double" w:sz="4" w:space="0" w:color="73777A"/>
            </w:tcBorders>
            <w:shd w:val="clear" w:color="auto" w:fill="EDEFF0"/>
            <w:tcMar>
              <w:right w:w="57" w:type="dxa"/>
            </w:tcMar>
          </w:tcPr>
          <w:p w14:paraId="1387932F" w14:textId="77777777" w:rsidR="00FA4226" w:rsidRPr="00CA2CC1" w:rsidRDefault="00000000" w:rsidP="0043303B">
            <w:pPr>
              <w:pStyle w:val="TableParagraph"/>
              <w:rPr>
                <w:rFonts w:cs="Calibri"/>
                <w:sz w:val="18"/>
              </w:rPr>
            </w:pPr>
            <w:r w:rsidRPr="00CA2CC1">
              <w:rPr>
                <w:rFonts w:cs="Calibri"/>
                <w:color w:val="414042"/>
                <w:spacing w:val="-2"/>
                <w:sz w:val="18"/>
              </w:rPr>
              <w:t>(1,387,801)</w:t>
            </w:r>
          </w:p>
        </w:tc>
        <w:tc>
          <w:tcPr>
            <w:tcW w:w="1134" w:type="dxa"/>
            <w:tcBorders>
              <w:top w:val="single" w:sz="6" w:space="0" w:color="73777A"/>
              <w:bottom w:val="double" w:sz="4" w:space="0" w:color="73777A"/>
              <w:right w:val="single" w:sz="8" w:space="0" w:color="FFFFFF"/>
            </w:tcBorders>
            <w:shd w:val="clear" w:color="auto" w:fill="FFF0E7"/>
            <w:tcMar>
              <w:right w:w="57" w:type="dxa"/>
            </w:tcMar>
          </w:tcPr>
          <w:p w14:paraId="53263057" w14:textId="77777777" w:rsidR="00FA4226" w:rsidRPr="00CA2CC1" w:rsidRDefault="00000000" w:rsidP="0043303B">
            <w:pPr>
              <w:pStyle w:val="TableParagraph"/>
              <w:rPr>
                <w:rFonts w:cs="Calibri"/>
                <w:sz w:val="18"/>
              </w:rPr>
            </w:pPr>
            <w:r w:rsidRPr="00CA2CC1">
              <w:rPr>
                <w:rFonts w:cs="Calibri"/>
                <w:color w:val="414042"/>
                <w:spacing w:val="-2"/>
                <w:sz w:val="18"/>
              </w:rPr>
              <w:t>1,725,100</w:t>
            </w:r>
          </w:p>
        </w:tc>
        <w:tc>
          <w:tcPr>
            <w:tcW w:w="1133" w:type="dxa"/>
            <w:tcBorders>
              <w:top w:val="single" w:sz="6" w:space="0" w:color="73777A"/>
              <w:left w:val="single" w:sz="8" w:space="0" w:color="FFFFFF"/>
              <w:bottom w:val="double" w:sz="4" w:space="0" w:color="73777A"/>
              <w:right w:val="nil"/>
            </w:tcBorders>
            <w:shd w:val="clear" w:color="auto" w:fill="EDEFF0"/>
            <w:tcMar>
              <w:right w:w="57" w:type="dxa"/>
            </w:tcMar>
          </w:tcPr>
          <w:p w14:paraId="7B195145" w14:textId="77777777" w:rsidR="00FA4226" w:rsidRPr="00CA2CC1" w:rsidRDefault="00000000" w:rsidP="0043303B">
            <w:pPr>
              <w:pStyle w:val="TableParagraph"/>
              <w:rPr>
                <w:rFonts w:cs="Calibri"/>
                <w:sz w:val="18"/>
              </w:rPr>
            </w:pPr>
            <w:r w:rsidRPr="00CA2CC1">
              <w:rPr>
                <w:rFonts w:cs="Calibri"/>
                <w:color w:val="414042"/>
                <w:spacing w:val="-2"/>
                <w:sz w:val="18"/>
              </w:rPr>
              <w:t>2,097,912</w:t>
            </w:r>
          </w:p>
        </w:tc>
      </w:tr>
    </w:tbl>
    <w:p w14:paraId="2D663CA1" w14:textId="77777777" w:rsidR="00FA4226" w:rsidRPr="00CA2CC1" w:rsidRDefault="00FA4226" w:rsidP="0043303B">
      <w:pPr>
        <w:pStyle w:val="BodyText"/>
        <w:spacing w:before="3"/>
        <w:rPr>
          <w:rFonts w:cs="Calibri"/>
        </w:rPr>
      </w:pPr>
    </w:p>
    <w:p w14:paraId="4630B6D1" w14:textId="77777777" w:rsidR="00FA4226" w:rsidRPr="00CA2CC1" w:rsidRDefault="00000000" w:rsidP="0043303B">
      <w:pPr>
        <w:rPr>
          <w:rFonts w:cs="Calibri"/>
          <w:i/>
          <w:sz w:val="16"/>
        </w:rPr>
      </w:pPr>
      <w:r w:rsidRPr="00CA2CC1">
        <w:rPr>
          <w:rFonts w:cs="Calibri"/>
          <w:i/>
          <w:color w:val="414042"/>
          <w:sz w:val="16"/>
        </w:rPr>
        <w:t>(i)</w:t>
      </w:r>
      <w:r w:rsidRPr="00CA2CC1">
        <w:rPr>
          <w:rFonts w:cs="Calibri"/>
          <w:i/>
          <w:color w:val="414042"/>
          <w:spacing w:val="-3"/>
          <w:sz w:val="16"/>
        </w:rPr>
        <w:t xml:space="preserve"> </w:t>
      </w:r>
      <w:r w:rsidRPr="00CA2CC1">
        <w:rPr>
          <w:rFonts w:cs="Calibri"/>
          <w:i/>
          <w:color w:val="414042"/>
          <w:sz w:val="16"/>
        </w:rPr>
        <w:t>The</w:t>
      </w:r>
      <w:r w:rsidRPr="00CA2CC1">
        <w:rPr>
          <w:rFonts w:cs="Calibri"/>
          <w:i/>
          <w:color w:val="414042"/>
          <w:spacing w:val="-1"/>
          <w:sz w:val="16"/>
        </w:rPr>
        <w:t xml:space="preserve"> </w:t>
      </w:r>
      <w:r w:rsidRPr="00CA2CC1">
        <w:rPr>
          <w:rFonts w:cs="Calibri"/>
          <w:i/>
          <w:color w:val="414042"/>
          <w:sz w:val="16"/>
        </w:rPr>
        <w:t>2021-22</w:t>
      </w:r>
      <w:r w:rsidRPr="00CA2CC1">
        <w:rPr>
          <w:rFonts w:cs="Calibri"/>
          <w:i/>
          <w:color w:val="414042"/>
          <w:spacing w:val="-1"/>
          <w:sz w:val="16"/>
        </w:rPr>
        <w:t xml:space="preserve"> </w:t>
      </w:r>
      <w:r w:rsidRPr="00CA2CC1">
        <w:rPr>
          <w:rFonts w:cs="Calibri"/>
          <w:i/>
          <w:color w:val="414042"/>
          <w:sz w:val="16"/>
        </w:rPr>
        <w:t>comparative figures</w:t>
      </w:r>
      <w:r w:rsidRPr="00CA2CC1">
        <w:rPr>
          <w:rFonts w:cs="Calibri"/>
          <w:i/>
          <w:color w:val="414042"/>
          <w:spacing w:val="-1"/>
          <w:sz w:val="16"/>
        </w:rPr>
        <w:t xml:space="preserve"> </w:t>
      </w:r>
      <w:r w:rsidRPr="00CA2CC1">
        <w:rPr>
          <w:rFonts w:cs="Calibri"/>
          <w:i/>
          <w:color w:val="414042"/>
          <w:sz w:val="16"/>
        </w:rPr>
        <w:t>have</w:t>
      </w:r>
      <w:r w:rsidRPr="00CA2CC1">
        <w:rPr>
          <w:rFonts w:cs="Calibri"/>
          <w:i/>
          <w:color w:val="414042"/>
          <w:spacing w:val="-1"/>
          <w:sz w:val="16"/>
        </w:rPr>
        <w:t xml:space="preserve"> </w:t>
      </w:r>
      <w:r w:rsidRPr="00CA2CC1">
        <w:rPr>
          <w:rFonts w:cs="Calibri"/>
          <w:i/>
          <w:color w:val="414042"/>
          <w:sz w:val="16"/>
        </w:rPr>
        <w:t>been</w:t>
      </w:r>
      <w:r w:rsidRPr="00CA2CC1">
        <w:rPr>
          <w:rFonts w:cs="Calibri"/>
          <w:i/>
          <w:color w:val="414042"/>
          <w:spacing w:val="-1"/>
          <w:sz w:val="16"/>
        </w:rPr>
        <w:t xml:space="preserve"> </w:t>
      </w:r>
      <w:r w:rsidRPr="00CA2CC1">
        <w:rPr>
          <w:rFonts w:cs="Calibri"/>
          <w:i/>
          <w:color w:val="414042"/>
          <w:sz w:val="16"/>
        </w:rPr>
        <w:t>adjusted to</w:t>
      </w:r>
      <w:r w:rsidRPr="00CA2CC1">
        <w:rPr>
          <w:rFonts w:cs="Calibri"/>
          <w:i/>
          <w:color w:val="414042"/>
          <w:spacing w:val="-1"/>
          <w:sz w:val="16"/>
        </w:rPr>
        <w:t xml:space="preserve"> </w:t>
      </w:r>
      <w:r w:rsidRPr="00CA2CC1">
        <w:rPr>
          <w:rFonts w:cs="Calibri"/>
          <w:i/>
          <w:color w:val="414042"/>
          <w:sz w:val="16"/>
        </w:rPr>
        <w:t>correct</w:t>
      </w:r>
      <w:r w:rsidRPr="00CA2CC1">
        <w:rPr>
          <w:rFonts w:cs="Calibri"/>
          <w:i/>
          <w:color w:val="414042"/>
          <w:spacing w:val="-1"/>
          <w:sz w:val="16"/>
        </w:rPr>
        <w:t xml:space="preserve"> </w:t>
      </w:r>
      <w:r w:rsidRPr="00CA2CC1">
        <w:rPr>
          <w:rFonts w:cs="Calibri"/>
          <w:i/>
          <w:color w:val="414042"/>
          <w:sz w:val="16"/>
        </w:rPr>
        <w:t>a</w:t>
      </w:r>
      <w:r w:rsidRPr="00CA2CC1">
        <w:rPr>
          <w:rFonts w:cs="Calibri"/>
          <w:i/>
          <w:color w:val="414042"/>
          <w:spacing w:val="-1"/>
          <w:sz w:val="16"/>
        </w:rPr>
        <w:t xml:space="preserve"> </w:t>
      </w:r>
      <w:r w:rsidRPr="00CA2CC1">
        <w:rPr>
          <w:rFonts w:cs="Calibri"/>
          <w:i/>
          <w:color w:val="414042"/>
          <w:sz w:val="16"/>
        </w:rPr>
        <w:t>prior period</w:t>
      </w:r>
      <w:r w:rsidRPr="00CA2CC1">
        <w:rPr>
          <w:rFonts w:cs="Calibri"/>
          <w:i/>
          <w:color w:val="414042"/>
          <w:spacing w:val="-1"/>
          <w:sz w:val="16"/>
        </w:rPr>
        <w:t xml:space="preserve"> </w:t>
      </w:r>
      <w:r w:rsidRPr="00CA2CC1">
        <w:rPr>
          <w:rFonts w:cs="Calibri"/>
          <w:i/>
          <w:color w:val="414042"/>
          <w:sz w:val="16"/>
        </w:rPr>
        <w:t>error.</w:t>
      </w:r>
      <w:r w:rsidRPr="00CA2CC1">
        <w:rPr>
          <w:rFonts w:cs="Calibri"/>
          <w:i/>
          <w:color w:val="414042"/>
          <w:spacing w:val="-1"/>
          <w:sz w:val="16"/>
        </w:rPr>
        <w:t xml:space="preserve"> </w:t>
      </w:r>
      <w:r w:rsidRPr="00CA2CC1">
        <w:rPr>
          <w:rFonts w:cs="Calibri"/>
          <w:i/>
          <w:color w:val="414042"/>
          <w:sz w:val="16"/>
        </w:rPr>
        <w:t>Refer</w:t>
      </w:r>
      <w:r w:rsidRPr="00CA2CC1">
        <w:rPr>
          <w:rFonts w:cs="Calibri"/>
          <w:i/>
          <w:color w:val="414042"/>
          <w:spacing w:val="-1"/>
          <w:sz w:val="16"/>
        </w:rPr>
        <w:t xml:space="preserve"> </w:t>
      </w:r>
      <w:r w:rsidRPr="00CA2CC1">
        <w:rPr>
          <w:rFonts w:cs="Calibri"/>
          <w:i/>
          <w:color w:val="414042"/>
          <w:sz w:val="16"/>
        </w:rPr>
        <w:t>to note</w:t>
      </w:r>
      <w:r w:rsidRPr="00CA2CC1">
        <w:rPr>
          <w:rFonts w:cs="Calibri"/>
          <w:i/>
          <w:color w:val="414042"/>
          <w:spacing w:val="-1"/>
          <w:sz w:val="16"/>
        </w:rPr>
        <w:t xml:space="preserve"> </w:t>
      </w:r>
      <w:r w:rsidRPr="00CA2CC1">
        <w:rPr>
          <w:rFonts w:cs="Calibri"/>
          <w:i/>
          <w:color w:val="414042"/>
          <w:sz w:val="16"/>
        </w:rPr>
        <w:t>8.5</w:t>
      </w:r>
      <w:r w:rsidRPr="00CA2CC1">
        <w:rPr>
          <w:rFonts w:cs="Calibri"/>
          <w:i/>
          <w:color w:val="414042"/>
          <w:spacing w:val="-1"/>
          <w:sz w:val="16"/>
        </w:rPr>
        <w:t xml:space="preserve"> </w:t>
      </w:r>
      <w:r w:rsidRPr="00CA2CC1">
        <w:rPr>
          <w:rFonts w:cs="Calibri"/>
          <w:i/>
          <w:color w:val="414042"/>
          <w:sz w:val="16"/>
        </w:rPr>
        <w:t>for</w:t>
      </w:r>
      <w:r w:rsidRPr="00CA2CC1">
        <w:rPr>
          <w:rFonts w:cs="Calibri"/>
          <w:i/>
          <w:color w:val="414042"/>
          <w:spacing w:val="-1"/>
          <w:sz w:val="16"/>
        </w:rPr>
        <w:t xml:space="preserve"> </w:t>
      </w:r>
      <w:r w:rsidRPr="00CA2CC1">
        <w:rPr>
          <w:rFonts w:cs="Calibri"/>
          <w:i/>
          <w:color w:val="414042"/>
          <w:sz w:val="16"/>
        </w:rPr>
        <w:t xml:space="preserve">more </w:t>
      </w:r>
      <w:r w:rsidRPr="00CA2CC1">
        <w:rPr>
          <w:rFonts w:cs="Calibri"/>
          <w:i/>
          <w:color w:val="414042"/>
          <w:spacing w:val="-2"/>
          <w:sz w:val="16"/>
        </w:rPr>
        <w:t>information.</w:t>
      </w:r>
    </w:p>
    <w:p w14:paraId="55E250F5" w14:textId="77777777" w:rsidR="00FA4226" w:rsidRPr="00CA2CC1" w:rsidRDefault="00FA4226" w:rsidP="0043303B">
      <w:pPr>
        <w:pStyle w:val="BodyText"/>
        <w:spacing w:before="5"/>
        <w:rPr>
          <w:rFonts w:cs="Calibri"/>
          <w:i/>
          <w:sz w:val="11"/>
        </w:rPr>
      </w:pPr>
    </w:p>
    <w:p w14:paraId="6648A975" w14:textId="77777777" w:rsidR="00FA4226" w:rsidRPr="00CA2CC1" w:rsidRDefault="00FA4226" w:rsidP="0043303B">
      <w:pPr>
        <w:rPr>
          <w:rFonts w:cs="Calibri"/>
          <w:sz w:val="11"/>
        </w:rPr>
        <w:sectPr w:rsidR="00FA4226" w:rsidRPr="00CA2CC1" w:rsidSect="00E941A5">
          <w:type w:val="continuous"/>
          <w:pgSz w:w="11910" w:h="16840"/>
          <w:pgMar w:top="1134" w:right="1278" w:bottom="1134" w:left="1134" w:header="720" w:footer="720" w:gutter="0"/>
          <w:cols w:space="720"/>
        </w:sectPr>
      </w:pPr>
    </w:p>
    <w:p w14:paraId="0C99E146" w14:textId="77777777" w:rsidR="00FA4226" w:rsidRPr="00396443" w:rsidRDefault="00000000" w:rsidP="0043303B">
      <w:pPr>
        <w:pStyle w:val="Heading7"/>
        <w:spacing w:before="60"/>
        <w:rPr>
          <w:rFonts w:cs="Calibri"/>
          <w:color w:val="000000" w:themeColor="text1"/>
        </w:rPr>
      </w:pPr>
      <w:r w:rsidRPr="00396443">
        <w:rPr>
          <w:rFonts w:cs="Calibri"/>
          <w:color w:val="000000" w:themeColor="text1"/>
        </w:rPr>
        <w:t>Leasehold</w:t>
      </w:r>
      <w:r w:rsidRPr="00396443">
        <w:rPr>
          <w:rFonts w:cs="Calibri"/>
          <w:color w:val="000000" w:themeColor="text1"/>
          <w:spacing w:val="-3"/>
        </w:rPr>
        <w:t xml:space="preserve"> </w:t>
      </w:r>
      <w:r w:rsidRPr="00396443">
        <w:rPr>
          <w:rFonts w:cs="Calibri"/>
          <w:color w:val="000000" w:themeColor="text1"/>
        </w:rPr>
        <w:t>Improvements</w:t>
      </w:r>
      <w:r w:rsidRPr="00396443">
        <w:rPr>
          <w:rFonts w:cs="Calibri"/>
          <w:color w:val="000000" w:themeColor="text1"/>
          <w:spacing w:val="-1"/>
        </w:rPr>
        <w:t xml:space="preserve"> </w:t>
      </w:r>
      <w:r w:rsidRPr="00396443">
        <w:rPr>
          <w:rFonts w:cs="Calibri"/>
          <w:color w:val="000000" w:themeColor="text1"/>
        </w:rPr>
        <w:t>–</w:t>
      </w:r>
      <w:r w:rsidRPr="00396443">
        <w:rPr>
          <w:rFonts w:cs="Calibri"/>
          <w:color w:val="000000" w:themeColor="text1"/>
          <w:spacing w:val="-1"/>
        </w:rPr>
        <w:t xml:space="preserve"> </w:t>
      </w:r>
      <w:r w:rsidRPr="00396443">
        <w:rPr>
          <w:rFonts w:cs="Calibri"/>
          <w:color w:val="000000" w:themeColor="text1"/>
        </w:rPr>
        <w:t>Initial</w:t>
      </w:r>
      <w:r w:rsidRPr="00396443">
        <w:rPr>
          <w:rFonts w:cs="Calibri"/>
          <w:color w:val="000000" w:themeColor="text1"/>
          <w:spacing w:val="-1"/>
        </w:rPr>
        <w:t xml:space="preserve"> </w:t>
      </w:r>
      <w:r w:rsidRPr="00396443">
        <w:rPr>
          <w:rFonts w:cs="Calibri"/>
          <w:color w:val="000000" w:themeColor="text1"/>
          <w:spacing w:val="-2"/>
        </w:rPr>
        <w:t>recognition</w:t>
      </w:r>
    </w:p>
    <w:p w14:paraId="0663DFE6" w14:textId="77777777" w:rsidR="00FA4226" w:rsidRPr="00396443" w:rsidRDefault="00000000" w:rsidP="0043303B">
      <w:pPr>
        <w:pStyle w:val="BodyText"/>
        <w:spacing w:before="112"/>
        <w:rPr>
          <w:rFonts w:cs="Calibri"/>
        </w:rPr>
      </w:pPr>
      <w:r w:rsidRPr="00396443">
        <w:rPr>
          <w:rFonts w:cs="Calibri"/>
        </w:rPr>
        <w:t>The cost of leasehold improvements is capitalised as an asset</w:t>
      </w:r>
      <w:r w:rsidRPr="00396443">
        <w:rPr>
          <w:rFonts w:cs="Calibri"/>
          <w:spacing w:val="-2"/>
        </w:rPr>
        <w:t xml:space="preserve"> </w:t>
      </w:r>
      <w:r w:rsidRPr="00396443">
        <w:rPr>
          <w:rFonts w:cs="Calibri"/>
        </w:rPr>
        <w:t>and</w:t>
      </w:r>
      <w:r w:rsidRPr="00396443">
        <w:rPr>
          <w:rFonts w:cs="Calibri"/>
          <w:spacing w:val="-2"/>
        </w:rPr>
        <w:t xml:space="preserve"> </w:t>
      </w:r>
      <w:r w:rsidRPr="00396443">
        <w:rPr>
          <w:rFonts w:cs="Calibri"/>
        </w:rPr>
        <w:t>depreciated</w:t>
      </w:r>
      <w:r w:rsidRPr="00396443">
        <w:rPr>
          <w:rFonts w:cs="Calibri"/>
          <w:spacing w:val="-2"/>
        </w:rPr>
        <w:t xml:space="preserve"> </w:t>
      </w:r>
      <w:r w:rsidRPr="00396443">
        <w:rPr>
          <w:rFonts w:cs="Calibri"/>
        </w:rPr>
        <w:t>over</w:t>
      </w:r>
      <w:r w:rsidRPr="00396443">
        <w:rPr>
          <w:rFonts w:cs="Calibri"/>
          <w:spacing w:val="-2"/>
        </w:rPr>
        <w:t xml:space="preserve"> </w:t>
      </w:r>
      <w:r w:rsidRPr="00396443">
        <w:rPr>
          <w:rFonts w:cs="Calibri"/>
        </w:rPr>
        <w:t>the</w:t>
      </w:r>
      <w:r w:rsidRPr="00396443">
        <w:rPr>
          <w:rFonts w:cs="Calibri"/>
          <w:spacing w:val="-2"/>
        </w:rPr>
        <w:t xml:space="preserve"> </w:t>
      </w:r>
      <w:r w:rsidRPr="00396443">
        <w:rPr>
          <w:rFonts w:cs="Calibri"/>
        </w:rPr>
        <w:t>expected</w:t>
      </w:r>
      <w:r w:rsidRPr="00396443">
        <w:rPr>
          <w:rFonts w:cs="Calibri"/>
          <w:spacing w:val="-2"/>
        </w:rPr>
        <w:t xml:space="preserve"> </w:t>
      </w:r>
      <w:r w:rsidRPr="00396443">
        <w:rPr>
          <w:rFonts w:cs="Calibri"/>
        </w:rPr>
        <w:t>term</w:t>
      </w:r>
      <w:r w:rsidRPr="00396443">
        <w:rPr>
          <w:rFonts w:cs="Calibri"/>
          <w:spacing w:val="-2"/>
        </w:rPr>
        <w:t xml:space="preserve"> </w:t>
      </w:r>
      <w:r w:rsidRPr="00396443">
        <w:rPr>
          <w:rFonts w:cs="Calibri"/>
        </w:rPr>
        <w:t>of</w:t>
      </w:r>
      <w:r w:rsidRPr="00396443">
        <w:rPr>
          <w:rFonts w:cs="Calibri"/>
          <w:spacing w:val="-2"/>
        </w:rPr>
        <w:t xml:space="preserve"> </w:t>
      </w:r>
      <w:r w:rsidRPr="00396443">
        <w:rPr>
          <w:rFonts w:cs="Calibri"/>
        </w:rPr>
        <w:t>the</w:t>
      </w:r>
      <w:r w:rsidRPr="00396443">
        <w:rPr>
          <w:rFonts w:cs="Calibri"/>
          <w:spacing w:val="-2"/>
        </w:rPr>
        <w:t xml:space="preserve"> </w:t>
      </w:r>
      <w:r w:rsidRPr="00396443">
        <w:rPr>
          <w:rFonts w:cs="Calibri"/>
        </w:rPr>
        <w:t>lease or</w:t>
      </w:r>
      <w:r w:rsidRPr="00396443">
        <w:rPr>
          <w:rFonts w:cs="Calibri"/>
          <w:spacing w:val="-5"/>
        </w:rPr>
        <w:t xml:space="preserve"> </w:t>
      </w:r>
      <w:r w:rsidRPr="00396443">
        <w:rPr>
          <w:rFonts w:cs="Calibri"/>
        </w:rPr>
        <w:t>the</w:t>
      </w:r>
      <w:r w:rsidRPr="00396443">
        <w:rPr>
          <w:rFonts w:cs="Calibri"/>
          <w:spacing w:val="-5"/>
        </w:rPr>
        <w:t xml:space="preserve"> </w:t>
      </w:r>
      <w:r w:rsidRPr="00396443">
        <w:rPr>
          <w:rFonts w:cs="Calibri"/>
        </w:rPr>
        <w:t>estimated</w:t>
      </w:r>
      <w:r w:rsidRPr="00396443">
        <w:rPr>
          <w:rFonts w:cs="Calibri"/>
          <w:spacing w:val="-5"/>
        </w:rPr>
        <w:t xml:space="preserve"> </w:t>
      </w:r>
      <w:r w:rsidRPr="00396443">
        <w:rPr>
          <w:rFonts w:cs="Calibri"/>
        </w:rPr>
        <w:t>useful</w:t>
      </w:r>
      <w:r w:rsidRPr="00396443">
        <w:rPr>
          <w:rFonts w:cs="Calibri"/>
          <w:spacing w:val="-5"/>
        </w:rPr>
        <w:t xml:space="preserve"> </w:t>
      </w:r>
      <w:r w:rsidRPr="00396443">
        <w:rPr>
          <w:rFonts w:cs="Calibri"/>
        </w:rPr>
        <w:t>life</w:t>
      </w:r>
      <w:r w:rsidRPr="00396443">
        <w:rPr>
          <w:rFonts w:cs="Calibri"/>
          <w:spacing w:val="-5"/>
        </w:rPr>
        <w:t xml:space="preserve"> </w:t>
      </w:r>
      <w:r w:rsidRPr="00396443">
        <w:rPr>
          <w:rFonts w:cs="Calibri"/>
        </w:rPr>
        <w:t>of</w:t>
      </w:r>
      <w:r w:rsidRPr="00396443">
        <w:rPr>
          <w:rFonts w:cs="Calibri"/>
          <w:spacing w:val="-5"/>
        </w:rPr>
        <w:t xml:space="preserve"> </w:t>
      </w:r>
      <w:r w:rsidRPr="00396443">
        <w:rPr>
          <w:rFonts w:cs="Calibri"/>
        </w:rPr>
        <w:t>the</w:t>
      </w:r>
      <w:r w:rsidRPr="00396443">
        <w:rPr>
          <w:rFonts w:cs="Calibri"/>
          <w:spacing w:val="-5"/>
        </w:rPr>
        <w:t xml:space="preserve"> </w:t>
      </w:r>
      <w:r w:rsidRPr="00396443">
        <w:rPr>
          <w:rFonts w:cs="Calibri"/>
        </w:rPr>
        <w:t>improvements,</w:t>
      </w:r>
      <w:r w:rsidRPr="00396443">
        <w:rPr>
          <w:rFonts w:cs="Calibri"/>
          <w:spacing w:val="-5"/>
        </w:rPr>
        <w:t xml:space="preserve"> </w:t>
      </w:r>
      <w:r w:rsidRPr="00396443">
        <w:rPr>
          <w:rFonts w:cs="Calibri"/>
        </w:rPr>
        <w:t>whichever is the shorter.</w:t>
      </w:r>
    </w:p>
    <w:p w14:paraId="40912723" w14:textId="77777777" w:rsidR="00FA4226" w:rsidRPr="00396443" w:rsidRDefault="00FA4226" w:rsidP="0043303B">
      <w:pPr>
        <w:pStyle w:val="BodyText"/>
        <w:spacing w:before="4"/>
        <w:rPr>
          <w:rFonts w:cs="Calibri"/>
          <w:sz w:val="17"/>
        </w:rPr>
      </w:pPr>
    </w:p>
    <w:p w14:paraId="1B97467B" w14:textId="77777777" w:rsidR="00FA4226" w:rsidRPr="00396443" w:rsidRDefault="00000000" w:rsidP="0043303B">
      <w:pPr>
        <w:pStyle w:val="Heading7"/>
        <w:rPr>
          <w:rFonts w:cs="Calibri"/>
          <w:color w:val="000000" w:themeColor="text1"/>
        </w:rPr>
      </w:pPr>
      <w:r w:rsidRPr="00396443">
        <w:rPr>
          <w:rFonts w:cs="Calibri"/>
          <w:color w:val="000000" w:themeColor="text1"/>
        </w:rPr>
        <w:t>Leasehold</w:t>
      </w:r>
      <w:r w:rsidRPr="00396443">
        <w:rPr>
          <w:rFonts w:cs="Calibri"/>
          <w:color w:val="000000" w:themeColor="text1"/>
          <w:spacing w:val="-14"/>
        </w:rPr>
        <w:t xml:space="preserve"> </w:t>
      </w:r>
      <w:r w:rsidRPr="00396443">
        <w:rPr>
          <w:rFonts w:cs="Calibri"/>
          <w:color w:val="000000" w:themeColor="text1"/>
        </w:rPr>
        <w:t>Improvements</w:t>
      </w:r>
      <w:r w:rsidRPr="00396443">
        <w:rPr>
          <w:rFonts w:cs="Calibri"/>
          <w:color w:val="000000" w:themeColor="text1"/>
          <w:spacing w:val="-14"/>
        </w:rPr>
        <w:t xml:space="preserve"> </w:t>
      </w:r>
      <w:r w:rsidRPr="00396443">
        <w:rPr>
          <w:rFonts w:cs="Calibri"/>
          <w:color w:val="000000" w:themeColor="text1"/>
        </w:rPr>
        <w:t>–</w:t>
      </w:r>
      <w:r w:rsidRPr="00396443">
        <w:rPr>
          <w:rFonts w:cs="Calibri"/>
          <w:color w:val="000000" w:themeColor="text1"/>
          <w:spacing w:val="-14"/>
        </w:rPr>
        <w:t xml:space="preserve"> </w:t>
      </w:r>
      <w:r w:rsidRPr="00396443">
        <w:rPr>
          <w:rFonts w:cs="Calibri"/>
          <w:color w:val="000000" w:themeColor="text1"/>
        </w:rPr>
        <w:t xml:space="preserve">Subsequent </w:t>
      </w:r>
      <w:r w:rsidRPr="00396443">
        <w:rPr>
          <w:rFonts w:cs="Calibri"/>
          <w:color w:val="000000" w:themeColor="text1"/>
          <w:spacing w:val="-2"/>
        </w:rPr>
        <w:t>measurement</w:t>
      </w:r>
    </w:p>
    <w:p w14:paraId="15778B38" w14:textId="77777777" w:rsidR="00FA4226" w:rsidRPr="00396443" w:rsidRDefault="00000000" w:rsidP="0043303B">
      <w:pPr>
        <w:pStyle w:val="BodyText"/>
        <w:spacing w:before="119"/>
        <w:rPr>
          <w:rFonts w:cs="Calibri"/>
        </w:rPr>
      </w:pPr>
      <w:r w:rsidRPr="00396443">
        <w:rPr>
          <w:rFonts w:cs="Calibri"/>
        </w:rPr>
        <w:t>In reporting periods subsequent to initial recognition, leasehold improvements are valued using the fair value less accumulated</w:t>
      </w:r>
      <w:r w:rsidRPr="00396443">
        <w:rPr>
          <w:rFonts w:cs="Calibri"/>
          <w:spacing w:val="-7"/>
        </w:rPr>
        <w:t xml:space="preserve"> </w:t>
      </w:r>
      <w:r w:rsidRPr="00396443">
        <w:rPr>
          <w:rFonts w:cs="Calibri"/>
        </w:rPr>
        <w:t>depreciation</w:t>
      </w:r>
      <w:r w:rsidRPr="00396443">
        <w:rPr>
          <w:rFonts w:cs="Calibri"/>
          <w:spacing w:val="-7"/>
        </w:rPr>
        <w:t xml:space="preserve"> </w:t>
      </w:r>
      <w:r w:rsidRPr="00396443">
        <w:rPr>
          <w:rFonts w:cs="Calibri"/>
        </w:rPr>
        <w:t>and</w:t>
      </w:r>
      <w:r w:rsidRPr="00396443">
        <w:rPr>
          <w:rFonts w:cs="Calibri"/>
          <w:spacing w:val="-7"/>
        </w:rPr>
        <w:t xml:space="preserve"> </w:t>
      </w:r>
      <w:r w:rsidRPr="00396443">
        <w:rPr>
          <w:rFonts w:cs="Calibri"/>
        </w:rPr>
        <w:t>impairment.</w:t>
      </w:r>
      <w:r w:rsidRPr="00396443">
        <w:rPr>
          <w:rFonts w:cs="Calibri"/>
          <w:spacing w:val="-7"/>
        </w:rPr>
        <w:t xml:space="preserve"> </w:t>
      </w:r>
      <w:r w:rsidRPr="00396443">
        <w:rPr>
          <w:rFonts w:cs="Calibri"/>
        </w:rPr>
        <w:t>Historical</w:t>
      </w:r>
      <w:r w:rsidRPr="00396443">
        <w:rPr>
          <w:rFonts w:cs="Calibri"/>
          <w:spacing w:val="-7"/>
        </w:rPr>
        <w:t xml:space="preserve"> </w:t>
      </w:r>
      <w:r w:rsidRPr="00396443">
        <w:rPr>
          <w:rFonts w:cs="Calibri"/>
        </w:rPr>
        <w:t>cost</w:t>
      </w:r>
      <w:r w:rsidRPr="00396443">
        <w:rPr>
          <w:rFonts w:cs="Calibri"/>
          <w:spacing w:val="-7"/>
        </w:rPr>
        <w:t xml:space="preserve"> </w:t>
      </w:r>
      <w:r w:rsidRPr="00396443">
        <w:rPr>
          <w:rFonts w:cs="Calibri"/>
        </w:rPr>
        <w:t>is used as a close proxy to the current replacement cost due to its short useful life.</w:t>
      </w:r>
    </w:p>
    <w:p w14:paraId="26248F1B" w14:textId="77777777" w:rsidR="00FA4226" w:rsidRPr="00396443" w:rsidRDefault="00FA4226" w:rsidP="0043303B">
      <w:pPr>
        <w:pStyle w:val="BodyText"/>
        <w:spacing w:before="3"/>
        <w:rPr>
          <w:rFonts w:cs="Calibri"/>
          <w:sz w:val="17"/>
        </w:rPr>
      </w:pPr>
    </w:p>
    <w:p w14:paraId="6392B548" w14:textId="77777777" w:rsidR="00FA4226" w:rsidRPr="00396443" w:rsidRDefault="00000000" w:rsidP="0043303B">
      <w:pPr>
        <w:pStyle w:val="Heading7"/>
        <w:rPr>
          <w:rFonts w:cs="Calibri"/>
          <w:color w:val="000000" w:themeColor="text1"/>
        </w:rPr>
      </w:pPr>
      <w:r w:rsidRPr="00396443">
        <w:rPr>
          <w:rFonts w:cs="Calibri"/>
          <w:color w:val="000000" w:themeColor="text1"/>
        </w:rPr>
        <w:t>Right-of-use</w:t>
      </w:r>
      <w:r w:rsidRPr="00396443">
        <w:rPr>
          <w:rFonts w:cs="Calibri"/>
          <w:color w:val="000000" w:themeColor="text1"/>
          <w:spacing w:val="-10"/>
        </w:rPr>
        <w:t xml:space="preserve"> </w:t>
      </w:r>
      <w:r w:rsidRPr="00396443">
        <w:rPr>
          <w:rFonts w:cs="Calibri"/>
          <w:color w:val="000000" w:themeColor="text1"/>
        </w:rPr>
        <w:t>asset</w:t>
      </w:r>
      <w:r w:rsidRPr="00396443">
        <w:rPr>
          <w:rFonts w:cs="Calibri"/>
          <w:color w:val="000000" w:themeColor="text1"/>
          <w:spacing w:val="-10"/>
        </w:rPr>
        <w:t xml:space="preserve"> </w:t>
      </w:r>
      <w:r w:rsidRPr="00396443">
        <w:rPr>
          <w:rFonts w:cs="Calibri"/>
          <w:color w:val="000000" w:themeColor="text1"/>
        </w:rPr>
        <w:t>acquired</w:t>
      </w:r>
      <w:r w:rsidRPr="00396443">
        <w:rPr>
          <w:rFonts w:cs="Calibri"/>
          <w:color w:val="000000" w:themeColor="text1"/>
          <w:spacing w:val="-10"/>
        </w:rPr>
        <w:t xml:space="preserve"> </w:t>
      </w:r>
      <w:r w:rsidRPr="00396443">
        <w:rPr>
          <w:rFonts w:cs="Calibri"/>
          <w:color w:val="000000" w:themeColor="text1"/>
        </w:rPr>
        <w:t>by</w:t>
      </w:r>
      <w:r w:rsidRPr="00396443">
        <w:rPr>
          <w:rFonts w:cs="Calibri"/>
          <w:color w:val="000000" w:themeColor="text1"/>
          <w:spacing w:val="-10"/>
        </w:rPr>
        <w:t xml:space="preserve"> </w:t>
      </w:r>
      <w:r w:rsidRPr="00396443">
        <w:rPr>
          <w:rFonts w:cs="Calibri"/>
          <w:color w:val="000000" w:themeColor="text1"/>
        </w:rPr>
        <w:t>lessees – Initial recognition</w:t>
      </w:r>
    </w:p>
    <w:p w14:paraId="0E416706" w14:textId="77777777" w:rsidR="00FA4226" w:rsidRPr="00396443" w:rsidRDefault="00000000" w:rsidP="0043303B">
      <w:pPr>
        <w:pStyle w:val="BodyText"/>
        <w:spacing w:before="119"/>
        <w:rPr>
          <w:rFonts w:cs="Calibri"/>
        </w:rPr>
      </w:pPr>
      <w:r w:rsidRPr="00396443">
        <w:rPr>
          <w:rFonts w:cs="Calibri"/>
        </w:rPr>
        <w:t>Infrastructure Victoria recognises a right-of-use asset and a lease</w:t>
      </w:r>
      <w:r w:rsidRPr="00396443">
        <w:rPr>
          <w:rFonts w:cs="Calibri"/>
          <w:spacing w:val="-5"/>
        </w:rPr>
        <w:t xml:space="preserve"> </w:t>
      </w:r>
      <w:r w:rsidRPr="00396443">
        <w:rPr>
          <w:rFonts w:cs="Calibri"/>
        </w:rPr>
        <w:t>liability</w:t>
      </w:r>
      <w:r w:rsidRPr="00396443">
        <w:rPr>
          <w:rFonts w:cs="Calibri"/>
          <w:spacing w:val="-5"/>
        </w:rPr>
        <w:t xml:space="preserve"> </w:t>
      </w:r>
      <w:r w:rsidRPr="00396443">
        <w:rPr>
          <w:rFonts w:cs="Calibri"/>
        </w:rPr>
        <w:t>at</w:t>
      </w:r>
      <w:r w:rsidRPr="00396443">
        <w:rPr>
          <w:rFonts w:cs="Calibri"/>
          <w:spacing w:val="-5"/>
        </w:rPr>
        <w:t xml:space="preserve"> </w:t>
      </w:r>
      <w:r w:rsidRPr="00396443">
        <w:rPr>
          <w:rFonts w:cs="Calibri"/>
        </w:rPr>
        <w:t>the</w:t>
      </w:r>
      <w:r w:rsidRPr="00396443">
        <w:rPr>
          <w:rFonts w:cs="Calibri"/>
          <w:spacing w:val="-5"/>
        </w:rPr>
        <w:t xml:space="preserve"> </w:t>
      </w:r>
      <w:r w:rsidRPr="00396443">
        <w:rPr>
          <w:rFonts w:cs="Calibri"/>
        </w:rPr>
        <w:t>lease</w:t>
      </w:r>
      <w:r w:rsidRPr="00396443">
        <w:rPr>
          <w:rFonts w:cs="Calibri"/>
          <w:spacing w:val="-5"/>
        </w:rPr>
        <w:t xml:space="preserve"> </w:t>
      </w:r>
      <w:r w:rsidRPr="00396443">
        <w:rPr>
          <w:rFonts w:cs="Calibri"/>
        </w:rPr>
        <w:t>commencement</w:t>
      </w:r>
      <w:r w:rsidRPr="00396443">
        <w:rPr>
          <w:rFonts w:cs="Calibri"/>
          <w:spacing w:val="-5"/>
        </w:rPr>
        <w:t xml:space="preserve"> </w:t>
      </w:r>
      <w:r w:rsidRPr="00396443">
        <w:rPr>
          <w:rFonts w:cs="Calibri"/>
        </w:rPr>
        <w:t>date.</w:t>
      </w:r>
      <w:r w:rsidRPr="00396443">
        <w:rPr>
          <w:rFonts w:cs="Calibri"/>
          <w:spacing w:val="-5"/>
        </w:rPr>
        <w:t xml:space="preserve"> </w:t>
      </w:r>
      <w:r w:rsidRPr="00396443">
        <w:rPr>
          <w:rFonts w:cs="Calibri"/>
        </w:rPr>
        <w:t>The</w:t>
      </w:r>
      <w:r w:rsidRPr="00396443">
        <w:rPr>
          <w:rFonts w:cs="Calibri"/>
          <w:spacing w:val="-5"/>
        </w:rPr>
        <w:t xml:space="preserve"> </w:t>
      </w:r>
      <w:r w:rsidRPr="00396443">
        <w:rPr>
          <w:rFonts w:cs="Calibri"/>
        </w:rPr>
        <w:t>right-of- use asset is initially measured at cost which comprises the initial amount of the lease liability adjusted for:</w:t>
      </w:r>
    </w:p>
    <w:p w14:paraId="7E19F8D0" w14:textId="77777777" w:rsidR="00FA4226" w:rsidRPr="00396443" w:rsidRDefault="00000000" w:rsidP="0043303B">
      <w:pPr>
        <w:pStyle w:val="BodyText"/>
        <w:numPr>
          <w:ilvl w:val="0"/>
          <w:numId w:val="63"/>
        </w:numPr>
        <w:rPr>
          <w:rFonts w:cs="Calibri"/>
        </w:rPr>
      </w:pPr>
      <w:r w:rsidRPr="00396443">
        <w:rPr>
          <w:rFonts w:cs="Calibri"/>
        </w:rPr>
        <w:t>any lease payments made at or before the commencement</w:t>
      </w:r>
      <w:r w:rsidRPr="00396443">
        <w:rPr>
          <w:rFonts w:cs="Calibri"/>
          <w:spacing w:val="-8"/>
        </w:rPr>
        <w:t xml:space="preserve"> </w:t>
      </w:r>
      <w:r w:rsidRPr="00396443">
        <w:rPr>
          <w:rFonts w:cs="Calibri"/>
        </w:rPr>
        <w:t>date</w:t>
      </w:r>
      <w:r w:rsidRPr="00396443">
        <w:rPr>
          <w:rFonts w:cs="Calibri"/>
          <w:spacing w:val="-8"/>
        </w:rPr>
        <w:t xml:space="preserve"> </w:t>
      </w:r>
      <w:r w:rsidRPr="00396443">
        <w:rPr>
          <w:rFonts w:cs="Calibri"/>
        </w:rPr>
        <w:t>less</w:t>
      </w:r>
      <w:r w:rsidRPr="00396443">
        <w:rPr>
          <w:rFonts w:cs="Calibri"/>
          <w:spacing w:val="-8"/>
        </w:rPr>
        <w:t xml:space="preserve"> </w:t>
      </w:r>
      <w:r w:rsidRPr="00396443">
        <w:rPr>
          <w:rFonts w:cs="Calibri"/>
        </w:rPr>
        <w:t>any</w:t>
      </w:r>
      <w:r w:rsidRPr="00396443">
        <w:rPr>
          <w:rFonts w:cs="Calibri"/>
          <w:spacing w:val="-8"/>
        </w:rPr>
        <w:t xml:space="preserve"> </w:t>
      </w:r>
      <w:r w:rsidRPr="00396443">
        <w:rPr>
          <w:rFonts w:cs="Calibri"/>
        </w:rPr>
        <w:t>lease</w:t>
      </w:r>
      <w:r w:rsidRPr="00396443">
        <w:rPr>
          <w:rFonts w:cs="Calibri"/>
          <w:spacing w:val="-8"/>
        </w:rPr>
        <w:t xml:space="preserve"> </w:t>
      </w:r>
      <w:r w:rsidRPr="00396443">
        <w:rPr>
          <w:rFonts w:cs="Calibri"/>
        </w:rPr>
        <w:t>incentive received; plus</w:t>
      </w:r>
    </w:p>
    <w:p w14:paraId="456B4723" w14:textId="77777777" w:rsidR="00FA4226" w:rsidRPr="00396443" w:rsidRDefault="00000000" w:rsidP="0043303B">
      <w:pPr>
        <w:pStyle w:val="BodyText"/>
        <w:numPr>
          <w:ilvl w:val="0"/>
          <w:numId w:val="63"/>
        </w:numPr>
        <w:rPr>
          <w:rFonts w:cs="Calibri"/>
        </w:rPr>
      </w:pPr>
      <w:r w:rsidRPr="00396443">
        <w:rPr>
          <w:rFonts w:cs="Calibri"/>
        </w:rPr>
        <w:t>any</w:t>
      </w:r>
      <w:r w:rsidRPr="00396443">
        <w:rPr>
          <w:rFonts w:cs="Calibri"/>
          <w:spacing w:val="-2"/>
        </w:rPr>
        <w:t xml:space="preserve"> </w:t>
      </w:r>
      <w:r w:rsidRPr="00396443">
        <w:rPr>
          <w:rFonts w:cs="Calibri"/>
        </w:rPr>
        <w:t>initial</w:t>
      </w:r>
      <w:r w:rsidRPr="00396443">
        <w:rPr>
          <w:rFonts w:cs="Calibri"/>
          <w:spacing w:val="-2"/>
        </w:rPr>
        <w:t xml:space="preserve"> </w:t>
      </w:r>
      <w:r w:rsidRPr="00396443">
        <w:rPr>
          <w:rFonts w:cs="Calibri"/>
        </w:rPr>
        <w:t>direct</w:t>
      </w:r>
      <w:r w:rsidRPr="00396443">
        <w:rPr>
          <w:rFonts w:cs="Calibri"/>
          <w:spacing w:val="-1"/>
        </w:rPr>
        <w:t xml:space="preserve"> </w:t>
      </w:r>
      <w:r w:rsidRPr="00396443">
        <w:rPr>
          <w:rFonts w:cs="Calibri"/>
        </w:rPr>
        <w:t>costs</w:t>
      </w:r>
      <w:r w:rsidRPr="00396443">
        <w:rPr>
          <w:rFonts w:cs="Calibri"/>
          <w:spacing w:val="-2"/>
        </w:rPr>
        <w:t xml:space="preserve"> </w:t>
      </w:r>
      <w:r w:rsidRPr="00396443">
        <w:rPr>
          <w:rFonts w:cs="Calibri"/>
        </w:rPr>
        <w:t>incurred;</w:t>
      </w:r>
      <w:r w:rsidRPr="00396443">
        <w:rPr>
          <w:rFonts w:cs="Calibri"/>
          <w:spacing w:val="-1"/>
        </w:rPr>
        <w:t xml:space="preserve"> </w:t>
      </w:r>
      <w:r w:rsidRPr="00396443">
        <w:rPr>
          <w:rFonts w:cs="Calibri"/>
          <w:spacing w:val="-5"/>
        </w:rPr>
        <w:t>and</w:t>
      </w:r>
    </w:p>
    <w:p w14:paraId="1CBD00C1" w14:textId="77777777" w:rsidR="000F47C8" w:rsidRPr="00396443" w:rsidRDefault="00000000" w:rsidP="0043303B">
      <w:pPr>
        <w:pStyle w:val="BodyText"/>
        <w:numPr>
          <w:ilvl w:val="0"/>
          <w:numId w:val="63"/>
        </w:numPr>
        <w:rPr>
          <w:rFonts w:cs="Calibri"/>
        </w:rPr>
      </w:pPr>
      <w:r w:rsidRPr="00396443">
        <w:rPr>
          <w:rFonts w:cs="Calibri"/>
        </w:rPr>
        <w:t>an</w:t>
      </w:r>
      <w:r w:rsidRPr="00396443">
        <w:rPr>
          <w:rFonts w:cs="Calibri"/>
          <w:spacing w:val="-2"/>
        </w:rPr>
        <w:t xml:space="preserve"> </w:t>
      </w:r>
      <w:r w:rsidRPr="00396443">
        <w:rPr>
          <w:rFonts w:cs="Calibri"/>
        </w:rPr>
        <w:t>estimate</w:t>
      </w:r>
      <w:r w:rsidRPr="00396443">
        <w:rPr>
          <w:rFonts w:cs="Calibri"/>
          <w:spacing w:val="-2"/>
        </w:rPr>
        <w:t xml:space="preserve"> </w:t>
      </w:r>
      <w:r w:rsidRPr="00396443">
        <w:rPr>
          <w:rFonts w:cs="Calibri"/>
        </w:rPr>
        <w:t>of</w:t>
      </w:r>
      <w:r w:rsidRPr="00396443">
        <w:rPr>
          <w:rFonts w:cs="Calibri"/>
          <w:spacing w:val="-2"/>
        </w:rPr>
        <w:t xml:space="preserve"> </w:t>
      </w:r>
      <w:r w:rsidRPr="00396443">
        <w:rPr>
          <w:rFonts w:cs="Calibri"/>
        </w:rPr>
        <w:t>costs</w:t>
      </w:r>
      <w:r w:rsidRPr="00396443">
        <w:rPr>
          <w:rFonts w:cs="Calibri"/>
          <w:spacing w:val="-2"/>
        </w:rPr>
        <w:t xml:space="preserve"> </w:t>
      </w:r>
      <w:r w:rsidRPr="00396443">
        <w:rPr>
          <w:rFonts w:cs="Calibri"/>
        </w:rPr>
        <w:t>to</w:t>
      </w:r>
      <w:r w:rsidRPr="00396443">
        <w:rPr>
          <w:rFonts w:cs="Calibri"/>
          <w:spacing w:val="-2"/>
        </w:rPr>
        <w:t xml:space="preserve"> </w:t>
      </w:r>
      <w:r w:rsidRPr="00396443">
        <w:rPr>
          <w:rFonts w:cs="Calibri"/>
        </w:rPr>
        <w:t>dismantle</w:t>
      </w:r>
      <w:r w:rsidRPr="00396443">
        <w:rPr>
          <w:rFonts w:cs="Calibri"/>
          <w:spacing w:val="-2"/>
        </w:rPr>
        <w:t xml:space="preserve"> </w:t>
      </w:r>
      <w:r w:rsidRPr="00396443">
        <w:rPr>
          <w:rFonts w:cs="Calibri"/>
        </w:rPr>
        <w:t>and</w:t>
      </w:r>
      <w:r w:rsidRPr="00396443">
        <w:rPr>
          <w:rFonts w:cs="Calibri"/>
          <w:spacing w:val="-2"/>
        </w:rPr>
        <w:t xml:space="preserve"> </w:t>
      </w:r>
      <w:r w:rsidRPr="00396443">
        <w:rPr>
          <w:rFonts w:cs="Calibri"/>
        </w:rPr>
        <w:t>remove</w:t>
      </w:r>
      <w:r w:rsidRPr="00396443">
        <w:rPr>
          <w:rFonts w:cs="Calibri"/>
          <w:spacing w:val="-2"/>
        </w:rPr>
        <w:t xml:space="preserve"> </w:t>
      </w:r>
      <w:r w:rsidRPr="00396443">
        <w:rPr>
          <w:rFonts w:cs="Calibri"/>
        </w:rPr>
        <w:t>the underlying</w:t>
      </w:r>
      <w:r w:rsidRPr="00396443">
        <w:rPr>
          <w:rFonts w:cs="Calibri"/>
          <w:spacing w:val="-7"/>
        </w:rPr>
        <w:t xml:space="preserve"> </w:t>
      </w:r>
      <w:r w:rsidRPr="00396443">
        <w:rPr>
          <w:rFonts w:cs="Calibri"/>
        </w:rPr>
        <w:t>asset</w:t>
      </w:r>
      <w:r w:rsidRPr="00396443">
        <w:rPr>
          <w:rFonts w:cs="Calibri"/>
          <w:spacing w:val="-7"/>
        </w:rPr>
        <w:t xml:space="preserve"> </w:t>
      </w:r>
      <w:r w:rsidRPr="00396443">
        <w:rPr>
          <w:rFonts w:cs="Calibri"/>
        </w:rPr>
        <w:t>or</w:t>
      </w:r>
      <w:r w:rsidRPr="00396443">
        <w:rPr>
          <w:rFonts w:cs="Calibri"/>
          <w:spacing w:val="-7"/>
        </w:rPr>
        <w:t xml:space="preserve"> </w:t>
      </w:r>
      <w:r w:rsidRPr="00396443">
        <w:rPr>
          <w:rFonts w:cs="Calibri"/>
        </w:rPr>
        <w:t>to</w:t>
      </w:r>
      <w:r w:rsidRPr="00396443">
        <w:rPr>
          <w:rFonts w:cs="Calibri"/>
          <w:spacing w:val="-7"/>
        </w:rPr>
        <w:t xml:space="preserve"> </w:t>
      </w:r>
      <w:r w:rsidRPr="00396443">
        <w:rPr>
          <w:rFonts w:cs="Calibri"/>
        </w:rPr>
        <w:t>restore</w:t>
      </w:r>
      <w:r w:rsidRPr="00396443">
        <w:rPr>
          <w:rFonts w:cs="Calibri"/>
          <w:spacing w:val="-7"/>
        </w:rPr>
        <w:t xml:space="preserve"> </w:t>
      </w:r>
      <w:r w:rsidRPr="00396443">
        <w:rPr>
          <w:rFonts w:cs="Calibri"/>
        </w:rPr>
        <w:t>the</w:t>
      </w:r>
      <w:r w:rsidRPr="00396443">
        <w:rPr>
          <w:rFonts w:cs="Calibri"/>
          <w:spacing w:val="-7"/>
        </w:rPr>
        <w:t xml:space="preserve"> </w:t>
      </w:r>
      <w:r w:rsidRPr="00396443">
        <w:rPr>
          <w:rFonts w:cs="Calibri"/>
        </w:rPr>
        <w:t>underlying</w:t>
      </w:r>
      <w:r w:rsidRPr="00396443">
        <w:rPr>
          <w:rFonts w:cs="Calibri"/>
          <w:spacing w:val="-7"/>
        </w:rPr>
        <w:t xml:space="preserve"> </w:t>
      </w:r>
      <w:r w:rsidRPr="00396443">
        <w:rPr>
          <w:rFonts w:cs="Calibri"/>
        </w:rPr>
        <w:t>asset or the site on which it is located.</w:t>
      </w:r>
    </w:p>
    <w:p w14:paraId="4DB112D8" w14:textId="20D8157C" w:rsidR="00FA4226" w:rsidRPr="00396443" w:rsidRDefault="00000000" w:rsidP="0043303B">
      <w:pPr>
        <w:tabs>
          <w:tab w:val="left" w:pos="1417"/>
        </w:tabs>
        <w:spacing w:before="118"/>
        <w:jc w:val="both"/>
        <w:rPr>
          <w:rFonts w:cs="Calibri"/>
          <w:color w:val="000000" w:themeColor="text1"/>
        </w:rPr>
      </w:pPr>
      <w:r w:rsidRPr="00396443">
        <w:rPr>
          <w:rFonts w:cs="Calibri"/>
          <w:color w:val="000000" w:themeColor="text1"/>
        </w:rPr>
        <w:t xml:space="preserve">Right-of-use asset – Subsequent </w:t>
      </w:r>
      <w:r w:rsidRPr="00396443">
        <w:rPr>
          <w:rFonts w:cs="Calibri"/>
          <w:color w:val="000000" w:themeColor="text1"/>
          <w:spacing w:val="-2"/>
        </w:rPr>
        <w:t>measurement</w:t>
      </w:r>
    </w:p>
    <w:p w14:paraId="1D2CC78E" w14:textId="77777777" w:rsidR="00FA4226" w:rsidRPr="00396443" w:rsidRDefault="00000000" w:rsidP="0043303B">
      <w:pPr>
        <w:pStyle w:val="BodyText"/>
        <w:spacing w:before="106"/>
        <w:rPr>
          <w:rFonts w:cs="Calibri"/>
        </w:rPr>
      </w:pPr>
      <w:r w:rsidRPr="00396443">
        <w:rPr>
          <w:rFonts w:cs="Calibri"/>
        </w:rPr>
        <w:t>Infrastructure</w:t>
      </w:r>
      <w:r w:rsidRPr="00396443">
        <w:rPr>
          <w:rFonts w:cs="Calibri"/>
          <w:spacing w:val="-2"/>
        </w:rPr>
        <w:t xml:space="preserve"> </w:t>
      </w:r>
      <w:r w:rsidRPr="00396443">
        <w:rPr>
          <w:rFonts w:cs="Calibri"/>
        </w:rPr>
        <w:t>Victoria</w:t>
      </w:r>
      <w:r w:rsidRPr="00396443">
        <w:rPr>
          <w:rFonts w:cs="Calibri"/>
          <w:spacing w:val="-2"/>
        </w:rPr>
        <w:t xml:space="preserve"> </w:t>
      </w:r>
      <w:r w:rsidRPr="00396443">
        <w:rPr>
          <w:rFonts w:cs="Calibri"/>
        </w:rPr>
        <w:t>subsequently</w:t>
      </w:r>
      <w:r w:rsidRPr="00396443">
        <w:rPr>
          <w:rFonts w:cs="Calibri"/>
          <w:spacing w:val="-2"/>
        </w:rPr>
        <w:t xml:space="preserve"> </w:t>
      </w:r>
      <w:r w:rsidRPr="00396443">
        <w:rPr>
          <w:rFonts w:cs="Calibri"/>
        </w:rPr>
        <w:t>depreciates</w:t>
      </w:r>
      <w:r w:rsidRPr="00396443">
        <w:rPr>
          <w:rFonts w:cs="Calibri"/>
          <w:spacing w:val="-1"/>
        </w:rPr>
        <w:t xml:space="preserve"> </w:t>
      </w:r>
      <w:r w:rsidRPr="00396443">
        <w:rPr>
          <w:rFonts w:cs="Calibri"/>
          <w:spacing w:val="-5"/>
        </w:rPr>
        <w:t>the</w:t>
      </w:r>
    </w:p>
    <w:p w14:paraId="59F05951" w14:textId="77777777" w:rsidR="00FA4226" w:rsidRPr="00396443" w:rsidRDefault="00000000" w:rsidP="0043303B">
      <w:pPr>
        <w:pStyle w:val="BodyText"/>
        <w:spacing w:before="2"/>
        <w:rPr>
          <w:rFonts w:cs="Calibri"/>
        </w:rPr>
      </w:pPr>
      <w:r w:rsidRPr="00396443">
        <w:rPr>
          <w:rFonts w:cs="Calibri"/>
        </w:rPr>
        <w:t>right-of-use assets on a straight-line basis from the lease commencement</w:t>
      </w:r>
      <w:r w:rsidRPr="00396443">
        <w:rPr>
          <w:rFonts w:cs="Calibri"/>
          <w:spacing w:val="-4"/>
        </w:rPr>
        <w:t xml:space="preserve"> </w:t>
      </w:r>
      <w:r w:rsidRPr="00396443">
        <w:rPr>
          <w:rFonts w:cs="Calibri"/>
        </w:rPr>
        <w:t>date</w:t>
      </w:r>
      <w:r w:rsidRPr="00396443">
        <w:rPr>
          <w:rFonts w:cs="Calibri"/>
          <w:spacing w:val="-4"/>
        </w:rPr>
        <w:t xml:space="preserve"> </w:t>
      </w:r>
      <w:r w:rsidRPr="00396443">
        <w:rPr>
          <w:rFonts w:cs="Calibri"/>
        </w:rPr>
        <w:t>to</w:t>
      </w:r>
      <w:r w:rsidRPr="00396443">
        <w:rPr>
          <w:rFonts w:cs="Calibri"/>
          <w:spacing w:val="-4"/>
        </w:rPr>
        <w:t xml:space="preserve"> </w:t>
      </w:r>
      <w:r w:rsidRPr="00396443">
        <w:rPr>
          <w:rFonts w:cs="Calibri"/>
        </w:rPr>
        <w:t>the</w:t>
      </w:r>
      <w:r w:rsidRPr="00396443">
        <w:rPr>
          <w:rFonts w:cs="Calibri"/>
          <w:spacing w:val="-4"/>
        </w:rPr>
        <w:t xml:space="preserve"> </w:t>
      </w:r>
      <w:r w:rsidRPr="00396443">
        <w:rPr>
          <w:rFonts w:cs="Calibri"/>
        </w:rPr>
        <w:t>earlier</w:t>
      </w:r>
      <w:r w:rsidRPr="00396443">
        <w:rPr>
          <w:rFonts w:cs="Calibri"/>
          <w:spacing w:val="-4"/>
        </w:rPr>
        <w:t xml:space="preserve"> </w:t>
      </w:r>
      <w:r w:rsidRPr="00396443">
        <w:rPr>
          <w:rFonts w:cs="Calibri"/>
        </w:rPr>
        <w:t>of</w:t>
      </w:r>
      <w:r w:rsidRPr="00396443">
        <w:rPr>
          <w:rFonts w:cs="Calibri"/>
          <w:spacing w:val="-4"/>
        </w:rPr>
        <w:t xml:space="preserve"> </w:t>
      </w:r>
      <w:r w:rsidRPr="00396443">
        <w:rPr>
          <w:rFonts w:cs="Calibri"/>
        </w:rPr>
        <w:t>the</w:t>
      </w:r>
      <w:r w:rsidRPr="00396443">
        <w:rPr>
          <w:rFonts w:cs="Calibri"/>
          <w:spacing w:val="-4"/>
        </w:rPr>
        <w:t xml:space="preserve"> </w:t>
      </w:r>
      <w:r w:rsidRPr="00396443">
        <w:rPr>
          <w:rFonts w:cs="Calibri"/>
        </w:rPr>
        <w:t>end</w:t>
      </w:r>
      <w:r w:rsidRPr="00396443">
        <w:rPr>
          <w:rFonts w:cs="Calibri"/>
          <w:spacing w:val="-4"/>
        </w:rPr>
        <w:t xml:space="preserve"> </w:t>
      </w:r>
      <w:r w:rsidRPr="00396443">
        <w:rPr>
          <w:rFonts w:cs="Calibri"/>
        </w:rPr>
        <w:t>of</w:t>
      </w:r>
      <w:r w:rsidRPr="00396443">
        <w:rPr>
          <w:rFonts w:cs="Calibri"/>
          <w:spacing w:val="-4"/>
        </w:rPr>
        <w:t xml:space="preserve"> </w:t>
      </w:r>
      <w:r w:rsidRPr="00396443">
        <w:rPr>
          <w:rFonts w:cs="Calibri"/>
        </w:rPr>
        <w:t>the</w:t>
      </w:r>
      <w:r w:rsidRPr="00396443">
        <w:rPr>
          <w:rFonts w:cs="Calibri"/>
          <w:spacing w:val="-4"/>
        </w:rPr>
        <w:t xml:space="preserve"> </w:t>
      </w:r>
      <w:r w:rsidRPr="00396443">
        <w:rPr>
          <w:rFonts w:cs="Calibri"/>
        </w:rPr>
        <w:t>useful life of the right-of-use asset or the end of the lease term. The right-of-use assets are also subject to revaluation.</w:t>
      </w:r>
    </w:p>
    <w:p w14:paraId="749F643F" w14:textId="77777777" w:rsidR="00FA4226" w:rsidRPr="00396443" w:rsidRDefault="00000000" w:rsidP="0043303B">
      <w:pPr>
        <w:pStyle w:val="BodyText"/>
        <w:spacing w:before="115"/>
        <w:rPr>
          <w:rFonts w:cs="Calibri"/>
        </w:rPr>
      </w:pPr>
      <w:r w:rsidRPr="00396443">
        <w:rPr>
          <w:rFonts w:cs="Calibri"/>
        </w:rPr>
        <w:t>In</w:t>
      </w:r>
      <w:r w:rsidRPr="00396443">
        <w:rPr>
          <w:rFonts w:cs="Calibri"/>
          <w:spacing w:val="-6"/>
        </w:rPr>
        <w:t xml:space="preserve"> </w:t>
      </w:r>
      <w:r w:rsidRPr="00396443">
        <w:rPr>
          <w:rFonts w:cs="Calibri"/>
        </w:rPr>
        <w:t>addition,</w:t>
      </w:r>
      <w:r w:rsidRPr="00396443">
        <w:rPr>
          <w:rFonts w:cs="Calibri"/>
          <w:spacing w:val="-6"/>
        </w:rPr>
        <w:t xml:space="preserve"> </w:t>
      </w:r>
      <w:r w:rsidRPr="00396443">
        <w:rPr>
          <w:rFonts w:cs="Calibri"/>
        </w:rPr>
        <w:t>the</w:t>
      </w:r>
      <w:r w:rsidRPr="00396443">
        <w:rPr>
          <w:rFonts w:cs="Calibri"/>
          <w:spacing w:val="-6"/>
        </w:rPr>
        <w:t xml:space="preserve"> </w:t>
      </w:r>
      <w:r w:rsidRPr="00396443">
        <w:rPr>
          <w:rFonts w:cs="Calibri"/>
        </w:rPr>
        <w:t>right-of-use</w:t>
      </w:r>
      <w:r w:rsidRPr="00396443">
        <w:rPr>
          <w:rFonts w:cs="Calibri"/>
          <w:spacing w:val="-6"/>
        </w:rPr>
        <w:t xml:space="preserve"> </w:t>
      </w:r>
      <w:r w:rsidRPr="00396443">
        <w:rPr>
          <w:rFonts w:cs="Calibri"/>
        </w:rPr>
        <w:t>asset</w:t>
      </w:r>
      <w:r w:rsidRPr="00396443">
        <w:rPr>
          <w:rFonts w:cs="Calibri"/>
          <w:spacing w:val="-6"/>
        </w:rPr>
        <w:t xml:space="preserve"> </w:t>
      </w:r>
      <w:r w:rsidRPr="00396443">
        <w:rPr>
          <w:rFonts w:cs="Calibri"/>
        </w:rPr>
        <w:t>is</w:t>
      </w:r>
      <w:r w:rsidRPr="00396443">
        <w:rPr>
          <w:rFonts w:cs="Calibri"/>
          <w:spacing w:val="-6"/>
        </w:rPr>
        <w:t xml:space="preserve"> </w:t>
      </w:r>
      <w:r w:rsidRPr="00396443">
        <w:rPr>
          <w:rFonts w:cs="Calibri"/>
        </w:rPr>
        <w:t>periodically</w:t>
      </w:r>
      <w:r w:rsidRPr="00396443">
        <w:rPr>
          <w:rFonts w:cs="Calibri"/>
          <w:spacing w:val="-6"/>
        </w:rPr>
        <w:t xml:space="preserve"> </w:t>
      </w:r>
      <w:r w:rsidRPr="00396443">
        <w:rPr>
          <w:rFonts w:cs="Calibri"/>
        </w:rPr>
        <w:t>reduced by impairment losses, if any and adjusted for certain remeasurements of the lease liability.</w:t>
      </w:r>
    </w:p>
    <w:p w14:paraId="21D5AD57" w14:textId="77777777" w:rsidR="00FA4226" w:rsidRPr="00396443" w:rsidRDefault="00FA4226" w:rsidP="0043303B">
      <w:pPr>
        <w:pStyle w:val="BodyText"/>
        <w:spacing w:before="5"/>
        <w:rPr>
          <w:rFonts w:cs="Calibri"/>
          <w:sz w:val="17"/>
        </w:rPr>
      </w:pPr>
    </w:p>
    <w:p w14:paraId="1D679E07" w14:textId="77777777" w:rsidR="00FA4226" w:rsidRPr="00396443" w:rsidRDefault="00000000" w:rsidP="0043303B">
      <w:pPr>
        <w:pStyle w:val="Heading7"/>
        <w:spacing w:before="1"/>
        <w:rPr>
          <w:rFonts w:cs="Calibri"/>
          <w:color w:val="000000" w:themeColor="text1"/>
        </w:rPr>
      </w:pPr>
      <w:r w:rsidRPr="00396443">
        <w:rPr>
          <w:rFonts w:cs="Calibri"/>
          <w:color w:val="000000" w:themeColor="text1"/>
        </w:rPr>
        <w:t>Motor</w:t>
      </w:r>
      <w:r w:rsidRPr="00396443">
        <w:rPr>
          <w:rFonts w:cs="Calibri"/>
          <w:color w:val="000000" w:themeColor="text1"/>
          <w:spacing w:val="-9"/>
        </w:rPr>
        <w:t xml:space="preserve"> </w:t>
      </w:r>
      <w:r w:rsidRPr="00396443">
        <w:rPr>
          <w:rFonts w:cs="Calibri"/>
          <w:color w:val="000000" w:themeColor="text1"/>
        </w:rPr>
        <w:t>vehicles</w:t>
      </w:r>
      <w:r w:rsidRPr="00396443">
        <w:rPr>
          <w:rFonts w:cs="Calibri"/>
          <w:color w:val="000000" w:themeColor="text1"/>
          <w:spacing w:val="-9"/>
        </w:rPr>
        <w:t xml:space="preserve"> </w:t>
      </w:r>
      <w:r w:rsidRPr="00396443">
        <w:rPr>
          <w:rFonts w:cs="Calibri"/>
          <w:color w:val="000000" w:themeColor="text1"/>
        </w:rPr>
        <w:t>(including</w:t>
      </w:r>
      <w:r w:rsidRPr="00396443">
        <w:rPr>
          <w:rFonts w:cs="Calibri"/>
          <w:color w:val="000000" w:themeColor="text1"/>
          <w:spacing w:val="-9"/>
        </w:rPr>
        <w:t xml:space="preserve"> </w:t>
      </w:r>
      <w:r w:rsidRPr="00396443">
        <w:rPr>
          <w:rFonts w:cs="Calibri"/>
          <w:color w:val="000000" w:themeColor="text1"/>
        </w:rPr>
        <w:t>motor</w:t>
      </w:r>
      <w:r w:rsidRPr="00396443">
        <w:rPr>
          <w:rFonts w:cs="Calibri"/>
          <w:color w:val="000000" w:themeColor="text1"/>
          <w:spacing w:val="-9"/>
        </w:rPr>
        <w:t xml:space="preserve"> </w:t>
      </w:r>
      <w:r w:rsidRPr="00396443">
        <w:rPr>
          <w:rFonts w:cs="Calibri"/>
          <w:color w:val="000000" w:themeColor="text1"/>
        </w:rPr>
        <w:t>vehicles under leases)</w:t>
      </w:r>
    </w:p>
    <w:p w14:paraId="2B262798" w14:textId="77777777" w:rsidR="00FA4226" w:rsidRPr="00396443" w:rsidRDefault="00000000" w:rsidP="0043303B">
      <w:pPr>
        <w:pStyle w:val="BodyText"/>
        <w:spacing w:before="119"/>
        <w:rPr>
          <w:rFonts w:cs="Calibri"/>
        </w:rPr>
      </w:pPr>
      <w:r w:rsidRPr="00396443">
        <w:rPr>
          <w:rFonts w:cs="Calibri"/>
        </w:rPr>
        <w:t>Vehicles are valued using the current replacement cost method. Infrastructure Victoria acquires new vehicles and at times</w:t>
      </w:r>
      <w:r w:rsidRPr="00396443">
        <w:rPr>
          <w:rFonts w:cs="Calibri"/>
          <w:spacing w:val="-3"/>
        </w:rPr>
        <w:t xml:space="preserve"> </w:t>
      </w:r>
      <w:r w:rsidRPr="00396443">
        <w:rPr>
          <w:rFonts w:cs="Calibri"/>
        </w:rPr>
        <w:t>disposes of</w:t>
      </w:r>
      <w:r w:rsidRPr="00396443">
        <w:rPr>
          <w:rFonts w:cs="Calibri"/>
          <w:spacing w:val="-1"/>
        </w:rPr>
        <w:t xml:space="preserve"> </w:t>
      </w:r>
      <w:r w:rsidRPr="00396443">
        <w:rPr>
          <w:rFonts w:cs="Calibri"/>
        </w:rPr>
        <w:t>them before the</w:t>
      </w:r>
      <w:r w:rsidRPr="00396443">
        <w:rPr>
          <w:rFonts w:cs="Calibri"/>
          <w:spacing w:val="-1"/>
        </w:rPr>
        <w:t xml:space="preserve"> </w:t>
      </w:r>
      <w:r w:rsidRPr="00396443">
        <w:rPr>
          <w:rFonts w:cs="Calibri"/>
        </w:rPr>
        <w:t>end of</w:t>
      </w:r>
      <w:r w:rsidRPr="00396443">
        <w:rPr>
          <w:rFonts w:cs="Calibri"/>
          <w:spacing w:val="-1"/>
        </w:rPr>
        <w:t xml:space="preserve"> </w:t>
      </w:r>
      <w:r w:rsidRPr="00396443">
        <w:rPr>
          <w:rFonts w:cs="Calibri"/>
        </w:rPr>
        <w:t xml:space="preserve">their economic </w:t>
      </w:r>
      <w:r w:rsidRPr="00396443">
        <w:rPr>
          <w:rFonts w:cs="Calibri"/>
          <w:spacing w:val="-2"/>
        </w:rPr>
        <w:t>life.</w:t>
      </w:r>
    </w:p>
    <w:p w14:paraId="71C9BCC5" w14:textId="77777777" w:rsidR="00FA4226" w:rsidRPr="00396443" w:rsidRDefault="00000000" w:rsidP="0043303B">
      <w:pPr>
        <w:pStyle w:val="BodyText"/>
        <w:rPr>
          <w:rFonts w:cs="Calibri"/>
        </w:rPr>
      </w:pPr>
      <w:r w:rsidRPr="00396443">
        <w:rPr>
          <w:rFonts w:cs="Calibri"/>
        </w:rPr>
        <w:t>The process of acquisition use and disposal in the market is</w:t>
      </w:r>
      <w:r w:rsidRPr="00396443">
        <w:rPr>
          <w:rFonts w:cs="Calibri"/>
          <w:spacing w:val="-2"/>
        </w:rPr>
        <w:t xml:space="preserve"> </w:t>
      </w:r>
      <w:r w:rsidRPr="00396443">
        <w:rPr>
          <w:rFonts w:cs="Calibri"/>
        </w:rPr>
        <w:t>managed</w:t>
      </w:r>
      <w:r w:rsidRPr="00396443">
        <w:rPr>
          <w:rFonts w:cs="Calibri"/>
          <w:spacing w:val="-2"/>
        </w:rPr>
        <w:t xml:space="preserve"> </w:t>
      </w:r>
      <w:r w:rsidRPr="00396443">
        <w:rPr>
          <w:rFonts w:cs="Calibri"/>
        </w:rPr>
        <w:t>by</w:t>
      </w:r>
      <w:r w:rsidRPr="00396443">
        <w:rPr>
          <w:rFonts w:cs="Calibri"/>
          <w:spacing w:val="-2"/>
        </w:rPr>
        <w:t xml:space="preserve"> </w:t>
      </w:r>
      <w:r w:rsidRPr="00396443">
        <w:rPr>
          <w:rFonts w:cs="Calibri"/>
        </w:rPr>
        <w:t>experienced</w:t>
      </w:r>
      <w:r w:rsidRPr="00396443">
        <w:rPr>
          <w:rFonts w:cs="Calibri"/>
          <w:spacing w:val="-2"/>
        </w:rPr>
        <w:t xml:space="preserve"> </w:t>
      </w:r>
      <w:r w:rsidRPr="00396443">
        <w:rPr>
          <w:rFonts w:cs="Calibri"/>
        </w:rPr>
        <w:t>fleet</w:t>
      </w:r>
      <w:r w:rsidRPr="00396443">
        <w:rPr>
          <w:rFonts w:cs="Calibri"/>
          <w:spacing w:val="-2"/>
        </w:rPr>
        <w:t xml:space="preserve"> </w:t>
      </w:r>
      <w:r w:rsidRPr="00396443">
        <w:rPr>
          <w:rFonts w:cs="Calibri"/>
        </w:rPr>
        <w:t>managers</w:t>
      </w:r>
      <w:r w:rsidRPr="00396443">
        <w:rPr>
          <w:rFonts w:cs="Calibri"/>
          <w:spacing w:val="-2"/>
        </w:rPr>
        <w:t xml:space="preserve"> </w:t>
      </w:r>
      <w:r w:rsidRPr="00396443">
        <w:rPr>
          <w:rFonts w:cs="Calibri"/>
        </w:rPr>
        <w:t>in</w:t>
      </w:r>
      <w:r w:rsidRPr="00396443">
        <w:rPr>
          <w:rFonts w:cs="Calibri"/>
          <w:spacing w:val="-2"/>
        </w:rPr>
        <w:t xml:space="preserve"> </w:t>
      </w:r>
      <w:r w:rsidRPr="00396443">
        <w:rPr>
          <w:rFonts w:cs="Calibri"/>
        </w:rPr>
        <w:t>VicFleet</w:t>
      </w:r>
      <w:r w:rsidRPr="00396443">
        <w:rPr>
          <w:rFonts w:cs="Calibri"/>
          <w:spacing w:val="-2"/>
        </w:rPr>
        <w:t xml:space="preserve"> </w:t>
      </w:r>
      <w:r w:rsidRPr="00396443">
        <w:rPr>
          <w:rFonts w:cs="Calibri"/>
        </w:rPr>
        <w:t>who set</w:t>
      </w:r>
      <w:r w:rsidRPr="00396443">
        <w:rPr>
          <w:rFonts w:cs="Calibri"/>
          <w:spacing w:val="-4"/>
        </w:rPr>
        <w:t xml:space="preserve"> </w:t>
      </w:r>
      <w:r w:rsidRPr="00396443">
        <w:rPr>
          <w:rFonts w:cs="Calibri"/>
        </w:rPr>
        <w:t>relevant</w:t>
      </w:r>
      <w:r w:rsidRPr="00396443">
        <w:rPr>
          <w:rFonts w:cs="Calibri"/>
          <w:spacing w:val="-4"/>
        </w:rPr>
        <w:t xml:space="preserve"> </w:t>
      </w:r>
      <w:r w:rsidRPr="00396443">
        <w:rPr>
          <w:rFonts w:cs="Calibri"/>
        </w:rPr>
        <w:t>depreciation</w:t>
      </w:r>
      <w:r w:rsidRPr="00396443">
        <w:rPr>
          <w:rFonts w:cs="Calibri"/>
          <w:spacing w:val="-4"/>
        </w:rPr>
        <w:t xml:space="preserve"> </w:t>
      </w:r>
      <w:r w:rsidRPr="00396443">
        <w:rPr>
          <w:rFonts w:cs="Calibri"/>
        </w:rPr>
        <w:t>rates</w:t>
      </w:r>
      <w:r w:rsidRPr="00396443">
        <w:rPr>
          <w:rFonts w:cs="Calibri"/>
          <w:spacing w:val="-4"/>
        </w:rPr>
        <w:t xml:space="preserve"> </w:t>
      </w:r>
      <w:r w:rsidRPr="00396443">
        <w:rPr>
          <w:rFonts w:cs="Calibri"/>
        </w:rPr>
        <w:t>during</w:t>
      </w:r>
      <w:r w:rsidRPr="00396443">
        <w:rPr>
          <w:rFonts w:cs="Calibri"/>
          <w:spacing w:val="-4"/>
        </w:rPr>
        <w:t xml:space="preserve"> </w:t>
      </w:r>
      <w:r w:rsidRPr="00396443">
        <w:rPr>
          <w:rFonts w:cs="Calibri"/>
        </w:rPr>
        <w:t>the</w:t>
      </w:r>
      <w:r w:rsidRPr="00396443">
        <w:rPr>
          <w:rFonts w:cs="Calibri"/>
          <w:spacing w:val="-4"/>
        </w:rPr>
        <w:t xml:space="preserve"> </w:t>
      </w:r>
      <w:r w:rsidRPr="00396443">
        <w:rPr>
          <w:rFonts w:cs="Calibri"/>
        </w:rPr>
        <w:t>life</w:t>
      </w:r>
      <w:r w:rsidRPr="00396443">
        <w:rPr>
          <w:rFonts w:cs="Calibri"/>
          <w:spacing w:val="-4"/>
        </w:rPr>
        <w:t xml:space="preserve"> </w:t>
      </w:r>
      <w:r w:rsidRPr="00396443">
        <w:rPr>
          <w:rFonts w:cs="Calibri"/>
        </w:rPr>
        <w:t>of</w:t>
      </w:r>
      <w:r w:rsidRPr="00396443">
        <w:rPr>
          <w:rFonts w:cs="Calibri"/>
          <w:spacing w:val="-4"/>
        </w:rPr>
        <w:t xml:space="preserve"> </w:t>
      </w:r>
      <w:r w:rsidRPr="00396443">
        <w:rPr>
          <w:rFonts w:cs="Calibri"/>
        </w:rPr>
        <w:t>the</w:t>
      </w:r>
      <w:r w:rsidRPr="00396443">
        <w:rPr>
          <w:rFonts w:cs="Calibri"/>
          <w:spacing w:val="-4"/>
        </w:rPr>
        <w:t xml:space="preserve"> </w:t>
      </w:r>
      <w:r w:rsidRPr="00396443">
        <w:rPr>
          <w:rFonts w:cs="Calibri"/>
        </w:rPr>
        <w:t>asset</w:t>
      </w:r>
      <w:r w:rsidRPr="00396443">
        <w:rPr>
          <w:rFonts w:cs="Calibri"/>
          <w:spacing w:val="-4"/>
        </w:rPr>
        <w:t xml:space="preserve"> </w:t>
      </w:r>
      <w:r w:rsidRPr="00396443">
        <w:rPr>
          <w:rFonts w:cs="Calibri"/>
        </w:rPr>
        <w:t>to reflect the use of the vehicles.</w:t>
      </w:r>
    </w:p>
    <w:p w14:paraId="635BC780" w14:textId="77777777" w:rsidR="00FA4226" w:rsidRPr="00396443" w:rsidRDefault="00FA4226" w:rsidP="0043303B">
      <w:pPr>
        <w:pStyle w:val="BodyText"/>
        <w:spacing w:before="12"/>
        <w:rPr>
          <w:rFonts w:cs="Calibri"/>
          <w:sz w:val="14"/>
        </w:rPr>
      </w:pPr>
    </w:p>
    <w:p w14:paraId="530175F4" w14:textId="77777777" w:rsidR="00FA4226" w:rsidRPr="00396443" w:rsidRDefault="00000000" w:rsidP="0043303B">
      <w:pPr>
        <w:pStyle w:val="Heading7"/>
        <w:rPr>
          <w:rFonts w:cs="Calibri"/>
          <w:color w:val="000000" w:themeColor="text1"/>
        </w:rPr>
      </w:pPr>
      <w:r w:rsidRPr="00396443">
        <w:rPr>
          <w:rFonts w:cs="Calibri"/>
          <w:color w:val="000000" w:themeColor="text1"/>
        </w:rPr>
        <w:t xml:space="preserve">Assets under </w:t>
      </w:r>
      <w:r w:rsidRPr="00396443">
        <w:rPr>
          <w:rFonts w:cs="Calibri"/>
          <w:color w:val="000000" w:themeColor="text1"/>
          <w:spacing w:val="-2"/>
        </w:rPr>
        <w:t>construction</w:t>
      </w:r>
    </w:p>
    <w:p w14:paraId="1D9CF34E" w14:textId="09228D28" w:rsidR="00FA4226" w:rsidRPr="00396443" w:rsidRDefault="00000000" w:rsidP="0043303B">
      <w:pPr>
        <w:pStyle w:val="BodyText"/>
        <w:spacing w:before="105"/>
        <w:rPr>
          <w:rFonts w:cs="Calibri"/>
        </w:rPr>
      </w:pPr>
      <w:r w:rsidRPr="00396443">
        <w:rPr>
          <w:rFonts w:cs="Calibri"/>
        </w:rPr>
        <w:t>Assets</w:t>
      </w:r>
      <w:r w:rsidRPr="00396443">
        <w:rPr>
          <w:rFonts w:cs="Calibri"/>
          <w:spacing w:val="-2"/>
        </w:rPr>
        <w:t xml:space="preserve"> </w:t>
      </w:r>
      <w:r w:rsidRPr="00396443">
        <w:rPr>
          <w:rFonts w:cs="Calibri"/>
        </w:rPr>
        <w:t>under</w:t>
      </w:r>
      <w:r w:rsidRPr="00396443">
        <w:rPr>
          <w:rFonts w:cs="Calibri"/>
          <w:spacing w:val="-1"/>
        </w:rPr>
        <w:t xml:space="preserve"> </w:t>
      </w:r>
      <w:r w:rsidRPr="00396443">
        <w:rPr>
          <w:rFonts w:cs="Calibri"/>
        </w:rPr>
        <w:t>construction</w:t>
      </w:r>
      <w:r w:rsidRPr="00396443">
        <w:rPr>
          <w:rFonts w:cs="Calibri"/>
          <w:spacing w:val="-1"/>
        </w:rPr>
        <w:t xml:space="preserve"> </w:t>
      </w:r>
      <w:r w:rsidRPr="00396443">
        <w:rPr>
          <w:rFonts w:cs="Calibri"/>
        </w:rPr>
        <w:t>are</w:t>
      </w:r>
      <w:r w:rsidRPr="00396443">
        <w:rPr>
          <w:rFonts w:cs="Calibri"/>
          <w:spacing w:val="-2"/>
        </w:rPr>
        <w:t xml:space="preserve"> </w:t>
      </w:r>
      <w:r w:rsidRPr="00396443">
        <w:rPr>
          <w:rFonts w:cs="Calibri"/>
        </w:rPr>
        <w:t>measured</w:t>
      </w:r>
      <w:r w:rsidRPr="00396443">
        <w:rPr>
          <w:rFonts w:cs="Calibri"/>
          <w:spacing w:val="-1"/>
        </w:rPr>
        <w:t xml:space="preserve"> </w:t>
      </w:r>
      <w:r w:rsidRPr="00396443">
        <w:rPr>
          <w:rFonts w:cs="Calibri"/>
        </w:rPr>
        <w:t>at</w:t>
      </w:r>
      <w:r w:rsidRPr="00396443">
        <w:rPr>
          <w:rFonts w:cs="Calibri"/>
          <w:spacing w:val="-1"/>
        </w:rPr>
        <w:t xml:space="preserve"> </w:t>
      </w:r>
      <w:r w:rsidRPr="00396443">
        <w:rPr>
          <w:rFonts w:cs="Calibri"/>
          <w:spacing w:val="-2"/>
        </w:rPr>
        <w:t>cost.</w:t>
      </w:r>
      <w:r w:rsidR="000672FF" w:rsidRPr="00396443">
        <w:rPr>
          <w:rFonts w:cs="Calibri"/>
        </w:rPr>
        <w:t xml:space="preserve"> </w:t>
      </w:r>
    </w:p>
    <w:p w14:paraId="292EC664" w14:textId="77777777" w:rsidR="00FA4226" w:rsidRPr="00396443" w:rsidRDefault="00000000" w:rsidP="0043303B">
      <w:pPr>
        <w:pStyle w:val="Heading7"/>
        <w:spacing w:before="60"/>
        <w:rPr>
          <w:rFonts w:cs="Calibri"/>
          <w:color w:val="000000" w:themeColor="text1"/>
        </w:rPr>
      </w:pPr>
      <w:r w:rsidRPr="00396443">
        <w:rPr>
          <w:rFonts w:cs="Calibri"/>
          <w:color w:val="000000" w:themeColor="text1"/>
          <w:spacing w:val="-2"/>
        </w:rPr>
        <w:t>Impairment</w:t>
      </w:r>
    </w:p>
    <w:p w14:paraId="027DA6A6" w14:textId="77777777" w:rsidR="00FA4226" w:rsidRPr="00396443" w:rsidRDefault="00000000" w:rsidP="0043303B">
      <w:pPr>
        <w:pStyle w:val="BodyText"/>
        <w:spacing w:before="112"/>
        <w:rPr>
          <w:rFonts w:cs="Calibri"/>
        </w:rPr>
      </w:pPr>
      <w:r w:rsidRPr="00396443">
        <w:rPr>
          <w:rFonts w:cs="Calibri"/>
        </w:rPr>
        <w:t>Property,</w:t>
      </w:r>
      <w:r w:rsidRPr="00396443">
        <w:rPr>
          <w:rFonts w:cs="Calibri"/>
          <w:spacing w:val="-8"/>
        </w:rPr>
        <w:t xml:space="preserve"> </w:t>
      </w:r>
      <w:r w:rsidRPr="00396443">
        <w:rPr>
          <w:rFonts w:cs="Calibri"/>
        </w:rPr>
        <w:t>plant</w:t>
      </w:r>
      <w:r w:rsidRPr="00396443">
        <w:rPr>
          <w:rFonts w:cs="Calibri"/>
          <w:spacing w:val="-8"/>
        </w:rPr>
        <w:t xml:space="preserve"> </w:t>
      </w:r>
      <w:r w:rsidRPr="00396443">
        <w:rPr>
          <w:rFonts w:cs="Calibri"/>
        </w:rPr>
        <w:t>and</w:t>
      </w:r>
      <w:r w:rsidRPr="00396443">
        <w:rPr>
          <w:rFonts w:cs="Calibri"/>
          <w:spacing w:val="-8"/>
        </w:rPr>
        <w:t xml:space="preserve"> </w:t>
      </w:r>
      <w:r w:rsidRPr="00396443">
        <w:rPr>
          <w:rFonts w:cs="Calibri"/>
        </w:rPr>
        <w:t>equipment</w:t>
      </w:r>
      <w:r w:rsidRPr="00396443">
        <w:rPr>
          <w:rFonts w:cs="Calibri"/>
          <w:spacing w:val="-8"/>
        </w:rPr>
        <w:t xml:space="preserve"> </w:t>
      </w:r>
      <w:r w:rsidRPr="00396443">
        <w:rPr>
          <w:rFonts w:cs="Calibri"/>
        </w:rPr>
        <w:t>are</w:t>
      </w:r>
      <w:r w:rsidRPr="00396443">
        <w:rPr>
          <w:rFonts w:cs="Calibri"/>
          <w:spacing w:val="-8"/>
        </w:rPr>
        <w:t xml:space="preserve"> </w:t>
      </w:r>
      <w:r w:rsidRPr="00396443">
        <w:rPr>
          <w:rFonts w:cs="Calibri"/>
        </w:rPr>
        <w:t>tested</w:t>
      </w:r>
      <w:r w:rsidRPr="00396443">
        <w:rPr>
          <w:rFonts w:cs="Calibri"/>
          <w:spacing w:val="-8"/>
        </w:rPr>
        <w:t xml:space="preserve"> </w:t>
      </w:r>
      <w:r w:rsidRPr="00396443">
        <w:rPr>
          <w:rFonts w:cs="Calibri"/>
        </w:rPr>
        <w:t>for</w:t>
      </w:r>
      <w:r w:rsidRPr="00396443">
        <w:rPr>
          <w:rFonts w:cs="Calibri"/>
          <w:spacing w:val="-8"/>
        </w:rPr>
        <w:t xml:space="preserve"> </w:t>
      </w:r>
      <w:r w:rsidRPr="00396443">
        <w:rPr>
          <w:rFonts w:cs="Calibri"/>
        </w:rPr>
        <w:t xml:space="preserve">impairment whenever there is an indication that the asset may be </w:t>
      </w:r>
      <w:r w:rsidRPr="00396443">
        <w:rPr>
          <w:rFonts w:cs="Calibri"/>
          <w:spacing w:val="-2"/>
        </w:rPr>
        <w:t>impaired.</w:t>
      </w:r>
    </w:p>
    <w:p w14:paraId="1F1D58B8" w14:textId="18DD617F" w:rsidR="00FA4226" w:rsidRPr="00396443" w:rsidRDefault="00000000" w:rsidP="0043303B">
      <w:pPr>
        <w:pStyle w:val="BodyText"/>
        <w:spacing w:before="117"/>
        <w:rPr>
          <w:rFonts w:cs="Calibri"/>
        </w:rPr>
      </w:pPr>
      <w:r w:rsidRPr="00396443">
        <w:rPr>
          <w:rFonts w:cs="Calibri"/>
        </w:rPr>
        <w:t>The assets concerned are tested as to whether their carrying value exceeds their recoverable amount. Where an</w:t>
      </w:r>
      <w:r w:rsidRPr="00396443">
        <w:rPr>
          <w:rFonts w:cs="Calibri"/>
          <w:spacing w:val="-8"/>
        </w:rPr>
        <w:t xml:space="preserve"> </w:t>
      </w:r>
      <w:r w:rsidRPr="00396443">
        <w:rPr>
          <w:rFonts w:cs="Calibri"/>
        </w:rPr>
        <w:t>asset’s</w:t>
      </w:r>
      <w:r w:rsidRPr="00396443">
        <w:rPr>
          <w:rFonts w:cs="Calibri"/>
          <w:spacing w:val="-8"/>
        </w:rPr>
        <w:t xml:space="preserve"> </w:t>
      </w:r>
      <w:r w:rsidRPr="00396443">
        <w:rPr>
          <w:rFonts w:cs="Calibri"/>
        </w:rPr>
        <w:t>carrying</w:t>
      </w:r>
      <w:r w:rsidRPr="00396443">
        <w:rPr>
          <w:rFonts w:cs="Calibri"/>
          <w:spacing w:val="-8"/>
        </w:rPr>
        <w:t xml:space="preserve"> </w:t>
      </w:r>
      <w:r w:rsidRPr="00396443">
        <w:rPr>
          <w:rFonts w:cs="Calibri"/>
        </w:rPr>
        <w:t>value</w:t>
      </w:r>
      <w:r w:rsidRPr="00396443">
        <w:rPr>
          <w:rFonts w:cs="Calibri"/>
          <w:spacing w:val="-8"/>
        </w:rPr>
        <w:t xml:space="preserve"> </w:t>
      </w:r>
      <w:r w:rsidRPr="00396443">
        <w:rPr>
          <w:rFonts w:cs="Calibri"/>
        </w:rPr>
        <w:t>exceeds</w:t>
      </w:r>
      <w:r w:rsidRPr="00396443">
        <w:rPr>
          <w:rFonts w:cs="Calibri"/>
          <w:spacing w:val="-8"/>
        </w:rPr>
        <w:t xml:space="preserve"> </w:t>
      </w:r>
      <w:r w:rsidRPr="00396443">
        <w:rPr>
          <w:rFonts w:cs="Calibri"/>
        </w:rPr>
        <w:t>its</w:t>
      </w:r>
      <w:r w:rsidRPr="00396443">
        <w:rPr>
          <w:rFonts w:cs="Calibri"/>
          <w:spacing w:val="-8"/>
        </w:rPr>
        <w:t xml:space="preserve"> </w:t>
      </w:r>
      <w:r w:rsidRPr="00396443">
        <w:rPr>
          <w:rFonts w:cs="Calibri"/>
        </w:rPr>
        <w:t>recoverable</w:t>
      </w:r>
      <w:r w:rsidRPr="00396443">
        <w:rPr>
          <w:rFonts w:cs="Calibri"/>
          <w:spacing w:val="-8"/>
        </w:rPr>
        <w:t xml:space="preserve"> </w:t>
      </w:r>
      <w:r w:rsidRPr="00396443">
        <w:rPr>
          <w:rFonts w:cs="Calibri"/>
        </w:rPr>
        <w:t>amount, the difference is considered to be an impairment and is</w:t>
      </w:r>
      <w:r w:rsidR="008F002B" w:rsidRPr="00396443">
        <w:rPr>
          <w:rFonts w:cs="Calibri"/>
        </w:rPr>
        <w:t xml:space="preserve"> </w:t>
      </w:r>
      <w:r w:rsidRPr="00396443">
        <w:rPr>
          <w:rFonts w:cs="Calibri"/>
        </w:rPr>
        <w:t>written</w:t>
      </w:r>
      <w:r w:rsidRPr="00396443">
        <w:rPr>
          <w:rFonts w:cs="Calibri"/>
          <w:spacing w:val="-4"/>
        </w:rPr>
        <w:t xml:space="preserve"> </w:t>
      </w:r>
      <w:r w:rsidRPr="00396443">
        <w:rPr>
          <w:rFonts w:cs="Calibri"/>
        </w:rPr>
        <w:t>off</w:t>
      </w:r>
      <w:r w:rsidRPr="00396443">
        <w:rPr>
          <w:rFonts w:cs="Calibri"/>
          <w:spacing w:val="-4"/>
        </w:rPr>
        <w:t xml:space="preserve"> </w:t>
      </w:r>
      <w:r w:rsidRPr="00396443">
        <w:rPr>
          <w:rFonts w:cs="Calibri"/>
        </w:rPr>
        <w:t>as</w:t>
      </w:r>
      <w:r w:rsidRPr="00396443">
        <w:rPr>
          <w:rFonts w:cs="Calibri"/>
          <w:spacing w:val="-4"/>
        </w:rPr>
        <w:t xml:space="preserve"> </w:t>
      </w:r>
      <w:r w:rsidRPr="00396443">
        <w:rPr>
          <w:rFonts w:cs="Calibri"/>
        </w:rPr>
        <w:t>an</w:t>
      </w:r>
      <w:r w:rsidRPr="00396443">
        <w:rPr>
          <w:rFonts w:cs="Calibri"/>
          <w:spacing w:val="-4"/>
        </w:rPr>
        <w:t xml:space="preserve"> </w:t>
      </w:r>
      <w:r w:rsidRPr="00396443">
        <w:rPr>
          <w:rFonts w:cs="Calibri"/>
        </w:rPr>
        <w:t>‘other</w:t>
      </w:r>
      <w:r w:rsidRPr="00396443">
        <w:rPr>
          <w:rFonts w:cs="Calibri"/>
          <w:spacing w:val="-4"/>
        </w:rPr>
        <w:t xml:space="preserve"> </w:t>
      </w:r>
      <w:r w:rsidRPr="00396443">
        <w:rPr>
          <w:rFonts w:cs="Calibri"/>
        </w:rPr>
        <w:t>economic</w:t>
      </w:r>
      <w:r w:rsidRPr="00396443">
        <w:rPr>
          <w:rFonts w:cs="Calibri"/>
          <w:spacing w:val="-4"/>
        </w:rPr>
        <w:t xml:space="preserve"> </w:t>
      </w:r>
      <w:r w:rsidRPr="00396443">
        <w:rPr>
          <w:rFonts w:cs="Calibri"/>
        </w:rPr>
        <w:t>flow’,</w:t>
      </w:r>
      <w:r w:rsidRPr="00396443">
        <w:rPr>
          <w:rFonts w:cs="Calibri"/>
          <w:spacing w:val="-4"/>
        </w:rPr>
        <w:t xml:space="preserve"> </w:t>
      </w:r>
      <w:r w:rsidRPr="00396443">
        <w:rPr>
          <w:rFonts w:cs="Calibri"/>
        </w:rPr>
        <w:t>except</w:t>
      </w:r>
      <w:r w:rsidRPr="00396443">
        <w:rPr>
          <w:rFonts w:cs="Calibri"/>
          <w:spacing w:val="-4"/>
        </w:rPr>
        <w:t xml:space="preserve"> </w:t>
      </w:r>
      <w:r w:rsidRPr="00396443">
        <w:rPr>
          <w:rFonts w:cs="Calibri"/>
        </w:rPr>
        <w:t>to</w:t>
      </w:r>
      <w:r w:rsidRPr="00396443">
        <w:rPr>
          <w:rFonts w:cs="Calibri"/>
          <w:spacing w:val="-4"/>
        </w:rPr>
        <w:t xml:space="preserve"> </w:t>
      </w:r>
      <w:r w:rsidRPr="00396443">
        <w:rPr>
          <w:rFonts w:cs="Calibri"/>
        </w:rPr>
        <w:t>the</w:t>
      </w:r>
      <w:r w:rsidRPr="00396443">
        <w:rPr>
          <w:rFonts w:cs="Calibri"/>
          <w:spacing w:val="-4"/>
        </w:rPr>
        <w:t xml:space="preserve"> </w:t>
      </w:r>
      <w:r w:rsidRPr="00396443">
        <w:rPr>
          <w:rFonts w:cs="Calibri"/>
        </w:rPr>
        <w:t>extent that it can be offset to an asset revaluation surplus amount applicable to that class of asset.</w:t>
      </w:r>
    </w:p>
    <w:p w14:paraId="35B5C3B8" w14:textId="01206D9B" w:rsidR="00FA4226" w:rsidRPr="00396443" w:rsidRDefault="00000000" w:rsidP="0043303B">
      <w:pPr>
        <w:pStyle w:val="BodyText"/>
        <w:spacing w:before="112"/>
        <w:rPr>
          <w:rFonts w:cs="Calibri"/>
        </w:rPr>
      </w:pPr>
      <w:r w:rsidRPr="00396443">
        <w:rPr>
          <w:rFonts w:cs="Calibri"/>
        </w:rPr>
        <w:t>The recoverable amount for most assets is measured at the higher of current replacement cost and fair value less costs</w:t>
      </w:r>
      <w:r w:rsidRPr="00396443">
        <w:rPr>
          <w:rFonts w:cs="Calibri"/>
          <w:spacing w:val="-5"/>
        </w:rPr>
        <w:t xml:space="preserve"> </w:t>
      </w:r>
      <w:r w:rsidRPr="00396443">
        <w:rPr>
          <w:rFonts w:cs="Calibri"/>
        </w:rPr>
        <w:t>to</w:t>
      </w:r>
      <w:r w:rsidRPr="00396443">
        <w:rPr>
          <w:rFonts w:cs="Calibri"/>
          <w:spacing w:val="-5"/>
        </w:rPr>
        <w:t xml:space="preserve"> </w:t>
      </w:r>
      <w:r w:rsidRPr="00396443">
        <w:rPr>
          <w:rFonts w:cs="Calibri"/>
        </w:rPr>
        <w:t>sell.</w:t>
      </w:r>
      <w:r w:rsidRPr="00396443">
        <w:rPr>
          <w:rFonts w:cs="Calibri"/>
          <w:spacing w:val="-5"/>
        </w:rPr>
        <w:t xml:space="preserve"> </w:t>
      </w:r>
      <w:r w:rsidRPr="00396443">
        <w:rPr>
          <w:rFonts w:cs="Calibri"/>
        </w:rPr>
        <w:t>Recoverable</w:t>
      </w:r>
      <w:r w:rsidRPr="00396443">
        <w:rPr>
          <w:rFonts w:cs="Calibri"/>
          <w:spacing w:val="-5"/>
        </w:rPr>
        <w:t xml:space="preserve"> </w:t>
      </w:r>
      <w:r w:rsidRPr="00396443">
        <w:rPr>
          <w:rFonts w:cs="Calibri"/>
        </w:rPr>
        <w:t>amount</w:t>
      </w:r>
      <w:r w:rsidRPr="00396443">
        <w:rPr>
          <w:rFonts w:cs="Calibri"/>
          <w:spacing w:val="-5"/>
        </w:rPr>
        <w:t xml:space="preserve"> </w:t>
      </w:r>
      <w:r w:rsidRPr="00396443">
        <w:rPr>
          <w:rFonts w:cs="Calibri"/>
        </w:rPr>
        <w:t>for</w:t>
      </w:r>
      <w:r w:rsidRPr="00396443">
        <w:rPr>
          <w:rFonts w:cs="Calibri"/>
          <w:spacing w:val="-5"/>
        </w:rPr>
        <w:t xml:space="preserve"> </w:t>
      </w:r>
      <w:r w:rsidRPr="00396443">
        <w:rPr>
          <w:rFonts w:cs="Calibri"/>
        </w:rPr>
        <w:t>assets</w:t>
      </w:r>
      <w:r w:rsidRPr="00396443">
        <w:rPr>
          <w:rFonts w:cs="Calibri"/>
          <w:spacing w:val="-5"/>
        </w:rPr>
        <w:t xml:space="preserve"> </w:t>
      </w:r>
      <w:r w:rsidRPr="00396443">
        <w:rPr>
          <w:rFonts w:cs="Calibri"/>
        </w:rPr>
        <w:t>held</w:t>
      </w:r>
      <w:r w:rsidRPr="00396443">
        <w:rPr>
          <w:rFonts w:cs="Calibri"/>
          <w:spacing w:val="-5"/>
        </w:rPr>
        <w:t xml:space="preserve"> </w:t>
      </w:r>
      <w:r w:rsidRPr="00396443">
        <w:rPr>
          <w:rFonts w:cs="Calibri"/>
        </w:rPr>
        <w:t>primarily</w:t>
      </w:r>
      <w:r w:rsidR="008F002B" w:rsidRPr="00396443">
        <w:rPr>
          <w:rFonts w:cs="Calibri"/>
        </w:rPr>
        <w:t xml:space="preserve"> </w:t>
      </w:r>
      <w:r w:rsidRPr="00396443">
        <w:rPr>
          <w:rFonts w:cs="Calibri"/>
        </w:rPr>
        <w:t>to</w:t>
      </w:r>
      <w:r w:rsidRPr="00396443">
        <w:rPr>
          <w:rFonts w:cs="Calibri"/>
          <w:spacing w:val="-4"/>
        </w:rPr>
        <w:t xml:space="preserve"> </w:t>
      </w:r>
      <w:r w:rsidRPr="00396443">
        <w:rPr>
          <w:rFonts w:cs="Calibri"/>
        </w:rPr>
        <w:t>generate</w:t>
      </w:r>
      <w:r w:rsidRPr="00396443">
        <w:rPr>
          <w:rFonts w:cs="Calibri"/>
          <w:spacing w:val="-4"/>
        </w:rPr>
        <w:t xml:space="preserve"> </w:t>
      </w:r>
      <w:r w:rsidRPr="00396443">
        <w:rPr>
          <w:rFonts w:cs="Calibri"/>
        </w:rPr>
        <w:t>net</w:t>
      </w:r>
      <w:r w:rsidRPr="00396443">
        <w:rPr>
          <w:rFonts w:cs="Calibri"/>
          <w:spacing w:val="-4"/>
        </w:rPr>
        <w:t xml:space="preserve"> </w:t>
      </w:r>
      <w:r w:rsidRPr="00396443">
        <w:rPr>
          <w:rFonts w:cs="Calibri"/>
        </w:rPr>
        <w:t>cash</w:t>
      </w:r>
      <w:r w:rsidRPr="00396443">
        <w:rPr>
          <w:rFonts w:cs="Calibri"/>
          <w:spacing w:val="-4"/>
        </w:rPr>
        <w:t xml:space="preserve"> </w:t>
      </w:r>
      <w:r w:rsidRPr="00396443">
        <w:rPr>
          <w:rFonts w:cs="Calibri"/>
        </w:rPr>
        <w:t>inflows</w:t>
      </w:r>
      <w:r w:rsidRPr="00396443">
        <w:rPr>
          <w:rFonts w:cs="Calibri"/>
          <w:spacing w:val="-4"/>
        </w:rPr>
        <w:t xml:space="preserve"> </w:t>
      </w:r>
      <w:r w:rsidRPr="00396443">
        <w:rPr>
          <w:rFonts w:cs="Calibri"/>
        </w:rPr>
        <w:t>is</w:t>
      </w:r>
      <w:r w:rsidRPr="00396443">
        <w:rPr>
          <w:rFonts w:cs="Calibri"/>
          <w:spacing w:val="-4"/>
        </w:rPr>
        <w:t xml:space="preserve"> </w:t>
      </w:r>
      <w:r w:rsidRPr="00396443">
        <w:rPr>
          <w:rFonts w:cs="Calibri"/>
        </w:rPr>
        <w:t>measured</w:t>
      </w:r>
      <w:r w:rsidRPr="00396443">
        <w:rPr>
          <w:rFonts w:cs="Calibri"/>
          <w:spacing w:val="-4"/>
        </w:rPr>
        <w:t xml:space="preserve"> </w:t>
      </w:r>
      <w:r w:rsidRPr="00396443">
        <w:rPr>
          <w:rFonts w:cs="Calibri"/>
        </w:rPr>
        <w:t>at</w:t>
      </w:r>
      <w:r w:rsidRPr="00396443">
        <w:rPr>
          <w:rFonts w:cs="Calibri"/>
          <w:spacing w:val="-4"/>
        </w:rPr>
        <w:t xml:space="preserve"> </w:t>
      </w:r>
      <w:r w:rsidRPr="00396443">
        <w:rPr>
          <w:rFonts w:cs="Calibri"/>
        </w:rPr>
        <w:t>the</w:t>
      </w:r>
      <w:r w:rsidRPr="00396443">
        <w:rPr>
          <w:rFonts w:cs="Calibri"/>
          <w:spacing w:val="-4"/>
        </w:rPr>
        <w:t xml:space="preserve"> </w:t>
      </w:r>
      <w:r w:rsidRPr="00396443">
        <w:rPr>
          <w:rFonts w:cs="Calibri"/>
        </w:rPr>
        <w:t>higher</w:t>
      </w:r>
      <w:r w:rsidRPr="00396443">
        <w:rPr>
          <w:rFonts w:cs="Calibri"/>
          <w:spacing w:val="-4"/>
        </w:rPr>
        <w:t xml:space="preserve"> </w:t>
      </w:r>
      <w:r w:rsidRPr="00396443">
        <w:rPr>
          <w:rFonts w:cs="Calibri"/>
        </w:rPr>
        <w:t>of</w:t>
      </w:r>
      <w:r w:rsidRPr="00396443">
        <w:rPr>
          <w:rFonts w:cs="Calibri"/>
          <w:spacing w:val="-4"/>
        </w:rPr>
        <w:t xml:space="preserve"> </w:t>
      </w:r>
      <w:r w:rsidRPr="00396443">
        <w:rPr>
          <w:rFonts w:cs="Calibri"/>
        </w:rPr>
        <w:t>the present value of future cash flows expected to be obtained from the asset and fair value less costs to sell.</w:t>
      </w:r>
    </w:p>
    <w:p w14:paraId="06ED62F6" w14:textId="77777777" w:rsidR="00C04A80" w:rsidRPr="00396443" w:rsidRDefault="00C04A80">
      <w:pPr>
        <w:rPr>
          <w:rFonts w:eastAsia="HelveticaNeueLTPro-Md" w:cs="Calibri"/>
          <w:color w:val="000000" w:themeColor="text1"/>
          <w:szCs w:val="20"/>
        </w:rPr>
      </w:pPr>
      <w:r w:rsidRPr="00396443">
        <w:rPr>
          <w:rFonts w:cs="Calibri"/>
          <w:color w:val="000000" w:themeColor="text1"/>
        </w:rPr>
        <w:br w:type="page"/>
      </w:r>
    </w:p>
    <w:p w14:paraId="4E6991D6" w14:textId="5FA2E30D" w:rsidR="00FA4226" w:rsidRPr="00396443" w:rsidRDefault="00000000" w:rsidP="0043303B">
      <w:pPr>
        <w:pStyle w:val="Heading7"/>
        <w:rPr>
          <w:rFonts w:cs="Calibri"/>
          <w:color w:val="000000" w:themeColor="text1"/>
        </w:rPr>
      </w:pPr>
      <w:r w:rsidRPr="00396443">
        <w:rPr>
          <w:rFonts w:cs="Calibri"/>
          <w:color w:val="000000" w:themeColor="text1"/>
        </w:rPr>
        <w:t>4.1(a)</w:t>
      </w:r>
      <w:r w:rsidRPr="00396443">
        <w:rPr>
          <w:rFonts w:cs="Calibri"/>
          <w:color w:val="000000" w:themeColor="text1"/>
          <w:spacing w:val="-7"/>
        </w:rPr>
        <w:t xml:space="preserve"> </w:t>
      </w:r>
      <w:r w:rsidRPr="00396443">
        <w:rPr>
          <w:rFonts w:cs="Calibri"/>
          <w:color w:val="000000" w:themeColor="text1"/>
        </w:rPr>
        <w:t>Reconciliation</w:t>
      </w:r>
      <w:r w:rsidRPr="00396443">
        <w:rPr>
          <w:rFonts w:cs="Calibri"/>
          <w:color w:val="000000" w:themeColor="text1"/>
          <w:spacing w:val="-7"/>
        </w:rPr>
        <w:t xml:space="preserve"> </w:t>
      </w:r>
      <w:r w:rsidRPr="00396443">
        <w:rPr>
          <w:rFonts w:cs="Calibri"/>
          <w:color w:val="000000" w:themeColor="text1"/>
        </w:rPr>
        <w:t>of</w:t>
      </w:r>
      <w:r w:rsidRPr="00396443">
        <w:rPr>
          <w:rFonts w:cs="Calibri"/>
          <w:color w:val="000000" w:themeColor="text1"/>
          <w:spacing w:val="-7"/>
        </w:rPr>
        <w:t xml:space="preserve"> </w:t>
      </w:r>
      <w:r w:rsidRPr="00396443">
        <w:rPr>
          <w:rFonts w:cs="Calibri"/>
          <w:color w:val="000000" w:themeColor="text1"/>
        </w:rPr>
        <w:t>movements</w:t>
      </w:r>
      <w:r w:rsidRPr="00396443">
        <w:rPr>
          <w:rFonts w:cs="Calibri"/>
          <w:color w:val="000000" w:themeColor="text1"/>
          <w:spacing w:val="-7"/>
        </w:rPr>
        <w:t xml:space="preserve"> </w:t>
      </w:r>
      <w:r w:rsidRPr="00396443">
        <w:rPr>
          <w:rFonts w:cs="Calibri"/>
          <w:color w:val="000000" w:themeColor="text1"/>
        </w:rPr>
        <w:t>in</w:t>
      </w:r>
      <w:r w:rsidRPr="00396443">
        <w:rPr>
          <w:rFonts w:cs="Calibri"/>
          <w:color w:val="000000" w:themeColor="text1"/>
          <w:spacing w:val="-7"/>
        </w:rPr>
        <w:t xml:space="preserve"> </w:t>
      </w:r>
      <w:r w:rsidRPr="00396443">
        <w:rPr>
          <w:rFonts w:cs="Calibri"/>
          <w:color w:val="000000" w:themeColor="text1"/>
        </w:rPr>
        <w:t>carrying amounts of property, plant and equipment</w:t>
      </w:r>
    </w:p>
    <w:p w14:paraId="430CAC83" w14:textId="77777777" w:rsidR="00FA4226" w:rsidRPr="00CA2CC1" w:rsidRDefault="00FA4226" w:rsidP="0043303B">
      <w:pPr>
        <w:pStyle w:val="BodyText"/>
        <w:spacing w:before="2"/>
        <w:rPr>
          <w:rFonts w:cs="Calibri"/>
        </w:rPr>
      </w:pPr>
    </w:p>
    <w:tbl>
      <w:tblPr>
        <w:tblW w:w="9638" w:type="dxa"/>
        <w:tblBorders>
          <w:top w:val="single" w:sz="4" w:space="0" w:color="C48F1B"/>
          <w:left w:val="single" w:sz="4" w:space="0" w:color="C48F1B"/>
          <w:bottom w:val="single" w:sz="4" w:space="0" w:color="C48F1B"/>
          <w:right w:val="single" w:sz="4" w:space="0" w:color="C48F1B"/>
          <w:insideH w:val="single" w:sz="4" w:space="0" w:color="C48F1B"/>
          <w:insideV w:val="single" w:sz="4" w:space="0" w:color="C48F1B"/>
        </w:tblBorders>
        <w:tblLayout w:type="fixed"/>
        <w:tblCellMar>
          <w:left w:w="0" w:type="dxa"/>
          <w:right w:w="0" w:type="dxa"/>
        </w:tblCellMar>
        <w:tblLook w:val="01E0" w:firstRow="1" w:lastRow="1" w:firstColumn="1" w:lastColumn="1" w:noHBand="0" w:noVBand="0"/>
      </w:tblPr>
      <w:tblGrid>
        <w:gridCol w:w="3024"/>
        <w:gridCol w:w="1370"/>
        <w:gridCol w:w="1370"/>
        <w:gridCol w:w="1370"/>
        <w:gridCol w:w="1370"/>
        <w:gridCol w:w="1134"/>
      </w:tblGrid>
      <w:tr w:rsidR="00FA4226" w:rsidRPr="00CA2CC1" w14:paraId="4A9E4F2C" w14:textId="77777777" w:rsidTr="0066501D">
        <w:trPr>
          <w:trHeight w:val="744"/>
        </w:trPr>
        <w:tc>
          <w:tcPr>
            <w:tcW w:w="3024" w:type="dxa"/>
            <w:tcBorders>
              <w:top w:val="nil"/>
              <w:left w:val="nil"/>
              <w:right w:val="nil"/>
            </w:tcBorders>
          </w:tcPr>
          <w:p w14:paraId="5842FB66" w14:textId="77777777" w:rsidR="00FA4226" w:rsidRPr="00CA2CC1" w:rsidRDefault="00FA4226" w:rsidP="0043303B">
            <w:pPr>
              <w:pStyle w:val="TableParagraph"/>
              <w:jc w:val="left"/>
              <w:rPr>
                <w:rFonts w:cs="Calibri"/>
                <w:sz w:val="16"/>
              </w:rPr>
            </w:pPr>
          </w:p>
        </w:tc>
        <w:tc>
          <w:tcPr>
            <w:tcW w:w="1370" w:type="dxa"/>
            <w:tcBorders>
              <w:top w:val="nil"/>
              <w:left w:val="nil"/>
              <w:right w:val="single" w:sz="8" w:space="0" w:color="FFFFFF"/>
            </w:tcBorders>
            <w:shd w:val="clear" w:color="auto" w:fill="FFF0E7"/>
            <w:tcMar>
              <w:right w:w="57" w:type="dxa"/>
            </w:tcMar>
          </w:tcPr>
          <w:p w14:paraId="1CB361C8" w14:textId="77777777" w:rsidR="00FA4226" w:rsidRPr="00CA2CC1" w:rsidRDefault="00000000" w:rsidP="0043303B">
            <w:pPr>
              <w:pStyle w:val="TableParagraph"/>
              <w:spacing w:before="66"/>
              <w:rPr>
                <w:rFonts w:cs="Calibri"/>
                <w:sz w:val="17"/>
              </w:rPr>
            </w:pPr>
            <w:r w:rsidRPr="00CA2CC1">
              <w:rPr>
                <w:rFonts w:cs="Calibri"/>
                <w:color w:val="F68C59"/>
                <w:sz w:val="17"/>
              </w:rPr>
              <w:t>Right</w:t>
            </w:r>
            <w:r w:rsidRPr="00CA2CC1">
              <w:rPr>
                <w:rFonts w:cs="Calibri"/>
                <w:color w:val="F68C59"/>
                <w:spacing w:val="-11"/>
                <w:sz w:val="17"/>
              </w:rPr>
              <w:t xml:space="preserve"> </w:t>
            </w:r>
            <w:r w:rsidRPr="00CA2CC1">
              <w:rPr>
                <w:rFonts w:cs="Calibri"/>
                <w:color w:val="F68C59"/>
                <w:sz w:val="17"/>
              </w:rPr>
              <w:t>of</w:t>
            </w:r>
            <w:r w:rsidRPr="00CA2CC1">
              <w:rPr>
                <w:rFonts w:cs="Calibri"/>
                <w:color w:val="F68C59"/>
                <w:spacing w:val="-11"/>
                <w:sz w:val="17"/>
              </w:rPr>
              <w:t xml:space="preserve"> </w:t>
            </w:r>
            <w:r w:rsidRPr="00CA2CC1">
              <w:rPr>
                <w:rFonts w:cs="Calibri"/>
                <w:color w:val="F68C59"/>
                <w:sz w:val="17"/>
              </w:rPr>
              <w:t xml:space="preserve">use </w:t>
            </w:r>
            <w:r w:rsidRPr="00CA2CC1">
              <w:rPr>
                <w:rFonts w:cs="Calibri"/>
                <w:color w:val="F68C59"/>
                <w:spacing w:val="-2"/>
                <w:sz w:val="17"/>
              </w:rPr>
              <w:t>buildings</w:t>
            </w:r>
          </w:p>
          <w:p w14:paraId="28BAF473" w14:textId="77777777" w:rsidR="00FA4226" w:rsidRPr="00CA2CC1" w:rsidRDefault="00000000" w:rsidP="0043303B">
            <w:pPr>
              <w:pStyle w:val="TableParagraph"/>
              <w:spacing w:before="6"/>
              <w:rPr>
                <w:rFonts w:cs="Calibri"/>
                <w:sz w:val="17"/>
              </w:rPr>
            </w:pPr>
            <w:r w:rsidRPr="00CA2CC1">
              <w:rPr>
                <w:rFonts w:cs="Calibri"/>
                <w:color w:val="F68C59"/>
                <w:sz w:val="17"/>
              </w:rPr>
              <w:t>$</w:t>
            </w:r>
          </w:p>
        </w:tc>
        <w:tc>
          <w:tcPr>
            <w:tcW w:w="1370" w:type="dxa"/>
            <w:tcBorders>
              <w:top w:val="nil"/>
              <w:left w:val="single" w:sz="8" w:space="0" w:color="FFFFFF"/>
              <w:right w:val="single" w:sz="8" w:space="0" w:color="FFFFFF"/>
            </w:tcBorders>
            <w:shd w:val="clear" w:color="auto" w:fill="EDEFF0"/>
            <w:tcMar>
              <w:right w:w="57" w:type="dxa"/>
            </w:tcMar>
          </w:tcPr>
          <w:p w14:paraId="27409B7F" w14:textId="77777777" w:rsidR="00FA4226" w:rsidRPr="00CA2CC1" w:rsidRDefault="00000000" w:rsidP="0043303B">
            <w:pPr>
              <w:pStyle w:val="TableParagraph"/>
              <w:spacing w:before="66"/>
              <w:rPr>
                <w:rFonts w:cs="Calibri"/>
                <w:sz w:val="17"/>
              </w:rPr>
            </w:pPr>
            <w:r w:rsidRPr="00CA2CC1">
              <w:rPr>
                <w:rFonts w:cs="Calibri"/>
                <w:color w:val="F68C59"/>
                <w:spacing w:val="-2"/>
                <w:sz w:val="17"/>
              </w:rPr>
              <w:t>Leasehold improvements</w:t>
            </w:r>
          </w:p>
          <w:p w14:paraId="749A280E" w14:textId="77777777" w:rsidR="00FA4226" w:rsidRPr="00CA2CC1" w:rsidRDefault="00000000" w:rsidP="0043303B">
            <w:pPr>
              <w:pStyle w:val="TableParagraph"/>
              <w:spacing w:before="6"/>
              <w:rPr>
                <w:rFonts w:cs="Calibri"/>
                <w:sz w:val="17"/>
              </w:rPr>
            </w:pPr>
            <w:r w:rsidRPr="00CA2CC1">
              <w:rPr>
                <w:rFonts w:cs="Calibri"/>
                <w:color w:val="F68C59"/>
                <w:sz w:val="17"/>
              </w:rPr>
              <w:t>$</w:t>
            </w:r>
          </w:p>
        </w:tc>
        <w:tc>
          <w:tcPr>
            <w:tcW w:w="1370" w:type="dxa"/>
            <w:tcBorders>
              <w:top w:val="nil"/>
              <w:left w:val="single" w:sz="8" w:space="0" w:color="FFFFFF"/>
              <w:right w:val="single" w:sz="8" w:space="0" w:color="FFFFFF"/>
            </w:tcBorders>
            <w:shd w:val="clear" w:color="auto" w:fill="FFF0E7"/>
            <w:tcMar>
              <w:right w:w="57" w:type="dxa"/>
            </w:tcMar>
          </w:tcPr>
          <w:p w14:paraId="58FFA7E1" w14:textId="77777777" w:rsidR="00FA4226" w:rsidRPr="00CA2CC1" w:rsidRDefault="00000000" w:rsidP="0043303B">
            <w:pPr>
              <w:pStyle w:val="TableParagraph"/>
              <w:spacing w:before="39"/>
              <w:rPr>
                <w:rFonts w:cs="Calibri"/>
                <w:sz w:val="17"/>
              </w:rPr>
            </w:pPr>
            <w:r w:rsidRPr="00CA2CC1">
              <w:rPr>
                <w:rFonts w:cs="Calibri"/>
                <w:color w:val="F68C59"/>
                <w:sz w:val="17"/>
              </w:rPr>
              <w:t>Leased</w:t>
            </w:r>
            <w:r w:rsidRPr="00CA2CC1">
              <w:rPr>
                <w:rFonts w:cs="Calibri"/>
                <w:color w:val="F68C59"/>
                <w:spacing w:val="12"/>
                <w:sz w:val="17"/>
              </w:rPr>
              <w:t xml:space="preserve"> </w:t>
            </w:r>
            <w:r w:rsidRPr="00CA2CC1">
              <w:rPr>
                <w:rFonts w:cs="Calibri"/>
                <w:color w:val="F68C59"/>
                <w:spacing w:val="-2"/>
                <w:sz w:val="17"/>
              </w:rPr>
              <w:t>motor</w:t>
            </w:r>
          </w:p>
          <w:p w14:paraId="62D85A3F" w14:textId="77777777" w:rsidR="00FA4226" w:rsidRPr="00CA2CC1" w:rsidRDefault="00000000" w:rsidP="0043303B">
            <w:pPr>
              <w:pStyle w:val="TableParagraph"/>
              <w:rPr>
                <w:rFonts w:cs="Calibri"/>
                <w:sz w:val="17"/>
              </w:rPr>
            </w:pPr>
            <w:r w:rsidRPr="00CA2CC1">
              <w:rPr>
                <w:rFonts w:cs="Calibri"/>
                <w:color w:val="F68C59"/>
                <w:spacing w:val="-2"/>
                <w:sz w:val="17"/>
              </w:rPr>
              <w:t>vehicles</w:t>
            </w:r>
          </w:p>
          <w:p w14:paraId="210B183A" w14:textId="77777777" w:rsidR="00FA4226" w:rsidRPr="00CA2CC1" w:rsidRDefault="00000000" w:rsidP="0043303B">
            <w:pPr>
              <w:pStyle w:val="TableParagraph"/>
              <w:spacing w:before="1"/>
              <w:rPr>
                <w:rFonts w:cs="Calibri"/>
                <w:sz w:val="17"/>
              </w:rPr>
            </w:pPr>
            <w:r w:rsidRPr="00CA2CC1">
              <w:rPr>
                <w:rFonts w:cs="Calibri"/>
                <w:color w:val="F68C59"/>
                <w:sz w:val="17"/>
              </w:rPr>
              <w:t>$</w:t>
            </w:r>
          </w:p>
        </w:tc>
        <w:tc>
          <w:tcPr>
            <w:tcW w:w="1370" w:type="dxa"/>
            <w:tcBorders>
              <w:top w:val="nil"/>
              <w:left w:val="single" w:sz="8" w:space="0" w:color="FFFFFF"/>
              <w:right w:val="single" w:sz="8" w:space="0" w:color="FFFFFF"/>
            </w:tcBorders>
            <w:shd w:val="clear" w:color="auto" w:fill="EDEFF0"/>
            <w:tcMar>
              <w:right w:w="57" w:type="dxa"/>
            </w:tcMar>
          </w:tcPr>
          <w:p w14:paraId="41AD2DC8" w14:textId="77777777" w:rsidR="00FA4226" w:rsidRPr="00CA2CC1" w:rsidRDefault="00000000" w:rsidP="0043303B">
            <w:pPr>
              <w:pStyle w:val="TableParagraph"/>
              <w:spacing w:before="66"/>
              <w:rPr>
                <w:rFonts w:cs="Calibri"/>
                <w:sz w:val="17"/>
              </w:rPr>
            </w:pPr>
            <w:r w:rsidRPr="00CA2CC1">
              <w:rPr>
                <w:rFonts w:cs="Calibri"/>
                <w:color w:val="F68C59"/>
                <w:sz w:val="17"/>
              </w:rPr>
              <w:t>Assets</w:t>
            </w:r>
            <w:r w:rsidRPr="00CA2CC1">
              <w:rPr>
                <w:rFonts w:cs="Calibri"/>
                <w:color w:val="F68C59"/>
                <w:spacing w:val="-11"/>
                <w:sz w:val="17"/>
              </w:rPr>
              <w:t xml:space="preserve"> </w:t>
            </w:r>
            <w:r w:rsidRPr="00CA2CC1">
              <w:rPr>
                <w:rFonts w:cs="Calibri"/>
                <w:color w:val="F68C59"/>
                <w:sz w:val="17"/>
              </w:rPr>
              <w:t xml:space="preserve">under </w:t>
            </w:r>
            <w:r w:rsidRPr="00CA2CC1">
              <w:rPr>
                <w:rFonts w:cs="Calibri"/>
                <w:color w:val="F68C59"/>
                <w:spacing w:val="-2"/>
                <w:sz w:val="17"/>
              </w:rPr>
              <w:t>construction</w:t>
            </w:r>
          </w:p>
          <w:p w14:paraId="2BC21ACA" w14:textId="77777777" w:rsidR="00FA4226" w:rsidRPr="00CA2CC1" w:rsidRDefault="00000000" w:rsidP="0043303B">
            <w:pPr>
              <w:pStyle w:val="TableParagraph"/>
              <w:spacing w:before="6"/>
              <w:rPr>
                <w:rFonts w:cs="Calibri"/>
                <w:sz w:val="17"/>
              </w:rPr>
            </w:pPr>
            <w:r w:rsidRPr="00CA2CC1">
              <w:rPr>
                <w:rFonts w:cs="Calibri"/>
                <w:color w:val="F68C59"/>
                <w:sz w:val="17"/>
              </w:rPr>
              <w:t>$</w:t>
            </w:r>
          </w:p>
        </w:tc>
        <w:tc>
          <w:tcPr>
            <w:tcW w:w="1134" w:type="dxa"/>
            <w:tcBorders>
              <w:top w:val="nil"/>
              <w:left w:val="single" w:sz="8" w:space="0" w:color="FFFFFF"/>
              <w:right w:val="nil"/>
            </w:tcBorders>
            <w:shd w:val="clear" w:color="auto" w:fill="FFF0E7"/>
            <w:tcMar>
              <w:right w:w="57" w:type="dxa"/>
            </w:tcMar>
          </w:tcPr>
          <w:p w14:paraId="508A75A6" w14:textId="77777777" w:rsidR="00FA4226" w:rsidRPr="00CA2CC1" w:rsidRDefault="00FA4226" w:rsidP="0043303B">
            <w:pPr>
              <w:pStyle w:val="TableParagraph"/>
              <w:spacing w:before="5"/>
              <w:jc w:val="left"/>
              <w:rPr>
                <w:rFonts w:cs="Calibri"/>
                <w:sz w:val="17"/>
              </w:rPr>
            </w:pPr>
          </w:p>
          <w:p w14:paraId="6AD038F8" w14:textId="77777777" w:rsidR="00FA4226" w:rsidRPr="00CA2CC1" w:rsidRDefault="00000000" w:rsidP="0043303B">
            <w:pPr>
              <w:pStyle w:val="TableParagraph"/>
              <w:rPr>
                <w:rFonts w:cs="Calibri"/>
                <w:sz w:val="17"/>
              </w:rPr>
            </w:pPr>
            <w:r w:rsidRPr="00CA2CC1">
              <w:rPr>
                <w:rFonts w:cs="Calibri"/>
                <w:color w:val="F68C59"/>
                <w:spacing w:val="-2"/>
                <w:sz w:val="17"/>
              </w:rPr>
              <w:t>Total</w:t>
            </w:r>
          </w:p>
          <w:p w14:paraId="51266FDD" w14:textId="77777777" w:rsidR="00FA4226" w:rsidRPr="00CA2CC1" w:rsidRDefault="00000000" w:rsidP="0043303B">
            <w:pPr>
              <w:pStyle w:val="TableParagraph"/>
              <w:spacing w:before="2"/>
              <w:rPr>
                <w:rFonts w:cs="Calibri"/>
                <w:sz w:val="17"/>
              </w:rPr>
            </w:pPr>
            <w:r w:rsidRPr="00CA2CC1">
              <w:rPr>
                <w:rFonts w:cs="Calibri"/>
                <w:color w:val="F68C59"/>
                <w:sz w:val="17"/>
              </w:rPr>
              <w:t>$</w:t>
            </w:r>
          </w:p>
        </w:tc>
      </w:tr>
      <w:tr w:rsidR="00FA4226" w:rsidRPr="00CA2CC1" w14:paraId="0CB37CA3" w14:textId="77777777" w:rsidTr="0066501D">
        <w:trPr>
          <w:trHeight w:val="569"/>
        </w:trPr>
        <w:tc>
          <w:tcPr>
            <w:tcW w:w="3024" w:type="dxa"/>
            <w:tcBorders>
              <w:left w:val="nil"/>
              <w:bottom w:val="single" w:sz="2" w:space="0" w:color="73777A"/>
              <w:right w:val="nil"/>
            </w:tcBorders>
          </w:tcPr>
          <w:p w14:paraId="36501550" w14:textId="77777777" w:rsidR="00FA4226" w:rsidRPr="00CA2CC1" w:rsidRDefault="00FA4226" w:rsidP="0043303B">
            <w:pPr>
              <w:pStyle w:val="TableParagraph"/>
              <w:spacing w:before="10"/>
              <w:jc w:val="left"/>
              <w:rPr>
                <w:rFonts w:cs="Calibri"/>
                <w:sz w:val="20"/>
              </w:rPr>
            </w:pPr>
          </w:p>
          <w:p w14:paraId="394E7F18" w14:textId="77777777" w:rsidR="00FA4226" w:rsidRPr="00CA2CC1" w:rsidRDefault="00000000" w:rsidP="0043303B">
            <w:pPr>
              <w:pStyle w:val="TableParagraph"/>
              <w:jc w:val="left"/>
              <w:rPr>
                <w:rFonts w:cs="Calibri"/>
                <w:sz w:val="18"/>
              </w:rPr>
            </w:pPr>
            <w:r w:rsidRPr="00CA2CC1">
              <w:rPr>
                <w:rFonts w:cs="Calibri"/>
                <w:color w:val="F68C59"/>
                <w:spacing w:val="-4"/>
                <w:sz w:val="18"/>
              </w:rPr>
              <w:t>2023</w:t>
            </w:r>
          </w:p>
        </w:tc>
        <w:tc>
          <w:tcPr>
            <w:tcW w:w="1370" w:type="dxa"/>
            <w:tcBorders>
              <w:left w:val="nil"/>
              <w:bottom w:val="single" w:sz="2" w:space="0" w:color="73777A"/>
              <w:right w:val="single" w:sz="8" w:space="0" w:color="FFFFFF"/>
            </w:tcBorders>
            <w:shd w:val="clear" w:color="auto" w:fill="FFF0E7"/>
            <w:tcMar>
              <w:right w:w="57" w:type="dxa"/>
            </w:tcMar>
          </w:tcPr>
          <w:p w14:paraId="136E9E2D" w14:textId="77777777" w:rsidR="00FA4226" w:rsidRPr="00CA2CC1" w:rsidRDefault="00FA4226" w:rsidP="0043303B">
            <w:pPr>
              <w:pStyle w:val="TableParagraph"/>
              <w:jc w:val="left"/>
              <w:rPr>
                <w:rFonts w:cs="Calibri"/>
                <w:sz w:val="16"/>
              </w:rPr>
            </w:pPr>
          </w:p>
        </w:tc>
        <w:tc>
          <w:tcPr>
            <w:tcW w:w="1370" w:type="dxa"/>
            <w:tcBorders>
              <w:left w:val="single" w:sz="8" w:space="0" w:color="FFFFFF"/>
              <w:bottom w:val="single" w:sz="2" w:space="0" w:color="73777A"/>
              <w:right w:val="single" w:sz="8" w:space="0" w:color="FFFFFF"/>
            </w:tcBorders>
            <w:shd w:val="clear" w:color="auto" w:fill="EDEFF0"/>
            <w:tcMar>
              <w:right w:w="57" w:type="dxa"/>
            </w:tcMar>
          </w:tcPr>
          <w:p w14:paraId="15B6F1C0" w14:textId="77777777" w:rsidR="00FA4226" w:rsidRPr="00CA2CC1" w:rsidRDefault="00FA4226" w:rsidP="0043303B">
            <w:pPr>
              <w:pStyle w:val="TableParagraph"/>
              <w:jc w:val="left"/>
              <w:rPr>
                <w:rFonts w:cs="Calibri"/>
                <w:sz w:val="16"/>
              </w:rPr>
            </w:pPr>
          </w:p>
        </w:tc>
        <w:tc>
          <w:tcPr>
            <w:tcW w:w="1370" w:type="dxa"/>
            <w:tcBorders>
              <w:left w:val="single" w:sz="8" w:space="0" w:color="FFFFFF"/>
              <w:bottom w:val="single" w:sz="2" w:space="0" w:color="73777A"/>
              <w:right w:val="single" w:sz="8" w:space="0" w:color="FFFFFF"/>
            </w:tcBorders>
            <w:shd w:val="clear" w:color="auto" w:fill="FFF0E7"/>
            <w:tcMar>
              <w:right w:w="57" w:type="dxa"/>
            </w:tcMar>
          </w:tcPr>
          <w:p w14:paraId="26651E94" w14:textId="77777777" w:rsidR="00FA4226" w:rsidRPr="00CA2CC1" w:rsidRDefault="00FA4226" w:rsidP="0043303B">
            <w:pPr>
              <w:pStyle w:val="TableParagraph"/>
              <w:jc w:val="left"/>
              <w:rPr>
                <w:rFonts w:cs="Calibri"/>
                <w:sz w:val="16"/>
              </w:rPr>
            </w:pPr>
          </w:p>
        </w:tc>
        <w:tc>
          <w:tcPr>
            <w:tcW w:w="1370" w:type="dxa"/>
            <w:tcBorders>
              <w:left w:val="single" w:sz="8" w:space="0" w:color="FFFFFF"/>
              <w:bottom w:val="single" w:sz="2" w:space="0" w:color="73777A"/>
              <w:right w:val="single" w:sz="8" w:space="0" w:color="FFFFFF"/>
            </w:tcBorders>
            <w:shd w:val="clear" w:color="auto" w:fill="EDEFF0"/>
            <w:tcMar>
              <w:right w:w="57" w:type="dxa"/>
            </w:tcMar>
          </w:tcPr>
          <w:p w14:paraId="1052E6B7" w14:textId="77777777" w:rsidR="00FA4226" w:rsidRPr="00CA2CC1" w:rsidRDefault="00FA4226" w:rsidP="0043303B">
            <w:pPr>
              <w:pStyle w:val="TableParagraph"/>
              <w:jc w:val="left"/>
              <w:rPr>
                <w:rFonts w:cs="Calibri"/>
                <w:sz w:val="16"/>
              </w:rPr>
            </w:pPr>
          </w:p>
        </w:tc>
        <w:tc>
          <w:tcPr>
            <w:tcW w:w="1134" w:type="dxa"/>
            <w:tcBorders>
              <w:left w:val="single" w:sz="8" w:space="0" w:color="FFFFFF"/>
              <w:bottom w:val="single" w:sz="2" w:space="0" w:color="73777A"/>
              <w:right w:val="nil"/>
            </w:tcBorders>
            <w:shd w:val="clear" w:color="auto" w:fill="FFF0E7"/>
            <w:tcMar>
              <w:right w:w="57" w:type="dxa"/>
            </w:tcMar>
          </w:tcPr>
          <w:p w14:paraId="5769B0E1" w14:textId="77777777" w:rsidR="00FA4226" w:rsidRPr="00CA2CC1" w:rsidRDefault="00FA4226" w:rsidP="0043303B">
            <w:pPr>
              <w:pStyle w:val="TableParagraph"/>
              <w:jc w:val="left"/>
              <w:rPr>
                <w:rFonts w:cs="Calibri"/>
                <w:sz w:val="16"/>
              </w:rPr>
            </w:pPr>
          </w:p>
        </w:tc>
      </w:tr>
      <w:tr w:rsidR="00FA4226" w:rsidRPr="00CA2CC1" w14:paraId="6D9BE5B2" w14:textId="77777777" w:rsidTr="0066501D">
        <w:trPr>
          <w:trHeight w:val="283"/>
        </w:trPr>
        <w:tc>
          <w:tcPr>
            <w:tcW w:w="3024" w:type="dxa"/>
            <w:tcBorders>
              <w:top w:val="single" w:sz="2" w:space="0" w:color="73777A"/>
              <w:left w:val="nil"/>
              <w:bottom w:val="single" w:sz="2" w:space="0" w:color="73777A"/>
              <w:right w:val="nil"/>
            </w:tcBorders>
          </w:tcPr>
          <w:p w14:paraId="5CC124F9" w14:textId="77777777" w:rsidR="00FA4226" w:rsidRPr="00CA2CC1" w:rsidRDefault="00000000" w:rsidP="0043303B">
            <w:pPr>
              <w:pStyle w:val="TableParagraph"/>
              <w:jc w:val="left"/>
              <w:rPr>
                <w:rFonts w:cs="Calibri"/>
                <w:sz w:val="18"/>
              </w:rPr>
            </w:pPr>
            <w:r w:rsidRPr="00CA2CC1">
              <w:rPr>
                <w:rFonts w:cs="Calibri"/>
                <w:color w:val="414042"/>
                <w:sz w:val="18"/>
              </w:rPr>
              <w:t>Carrying</w:t>
            </w:r>
            <w:r w:rsidRPr="00CA2CC1">
              <w:rPr>
                <w:rFonts w:cs="Calibri"/>
                <w:color w:val="414042"/>
                <w:spacing w:val="4"/>
                <w:sz w:val="18"/>
              </w:rPr>
              <w:t xml:space="preserve"> </w:t>
            </w:r>
            <w:r w:rsidRPr="00CA2CC1">
              <w:rPr>
                <w:rFonts w:cs="Calibri"/>
                <w:color w:val="414042"/>
                <w:sz w:val="18"/>
              </w:rPr>
              <w:t>amount</w:t>
            </w:r>
            <w:r w:rsidRPr="00CA2CC1">
              <w:rPr>
                <w:rFonts w:cs="Calibri"/>
                <w:color w:val="414042"/>
                <w:spacing w:val="6"/>
                <w:sz w:val="18"/>
              </w:rPr>
              <w:t xml:space="preserve"> </w:t>
            </w:r>
            <w:r w:rsidRPr="00CA2CC1">
              <w:rPr>
                <w:rFonts w:cs="Calibri"/>
                <w:color w:val="414042"/>
                <w:sz w:val="18"/>
              </w:rPr>
              <w:t>at</w:t>
            </w:r>
            <w:r w:rsidRPr="00CA2CC1">
              <w:rPr>
                <w:rFonts w:cs="Calibri"/>
                <w:color w:val="414042"/>
                <w:spacing w:val="6"/>
                <w:sz w:val="18"/>
              </w:rPr>
              <w:t xml:space="preserve"> </w:t>
            </w:r>
            <w:r w:rsidRPr="00CA2CC1">
              <w:rPr>
                <w:rFonts w:cs="Calibri"/>
                <w:color w:val="414042"/>
                <w:sz w:val="18"/>
              </w:rPr>
              <w:t>start</w:t>
            </w:r>
            <w:r w:rsidRPr="00CA2CC1">
              <w:rPr>
                <w:rFonts w:cs="Calibri"/>
                <w:color w:val="414042"/>
                <w:spacing w:val="6"/>
                <w:sz w:val="18"/>
              </w:rPr>
              <w:t xml:space="preserve"> </w:t>
            </w:r>
            <w:r w:rsidRPr="00CA2CC1">
              <w:rPr>
                <w:rFonts w:cs="Calibri"/>
                <w:color w:val="414042"/>
                <w:sz w:val="18"/>
              </w:rPr>
              <w:t>of</w:t>
            </w:r>
            <w:r w:rsidRPr="00CA2CC1">
              <w:rPr>
                <w:rFonts w:cs="Calibri"/>
                <w:color w:val="414042"/>
                <w:spacing w:val="7"/>
                <w:sz w:val="18"/>
              </w:rPr>
              <w:t xml:space="preserve"> </w:t>
            </w:r>
            <w:r w:rsidRPr="00CA2CC1">
              <w:rPr>
                <w:rFonts w:cs="Calibri"/>
                <w:color w:val="414042"/>
                <w:spacing w:val="-4"/>
                <w:sz w:val="18"/>
              </w:rPr>
              <w:t>year</w:t>
            </w:r>
          </w:p>
        </w:tc>
        <w:tc>
          <w:tcPr>
            <w:tcW w:w="1370" w:type="dxa"/>
            <w:tcBorders>
              <w:top w:val="single" w:sz="2" w:space="0" w:color="73777A"/>
              <w:left w:val="nil"/>
              <w:bottom w:val="single" w:sz="2" w:space="0" w:color="73777A"/>
              <w:right w:val="single" w:sz="8" w:space="0" w:color="FFFFFF"/>
            </w:tcBorders>
            <w:shd w:val="clear" w:color="auto" w:fill="FFF0E7"/>
            <w:tcMar>
              <w:right w:w="57" w:type="dxa"/>
            </w:tcMar>
          </w:tcPr>
          <w:p w14:paraId="78B4414A" w14:textId="77777777" w:rsidR="00FA4226" w:rsidRPr="00CA2CC1" w:rsidRDefault="00000000" w:rsidP="0043303B">
            <w:pPr>
              <w:pStyle w:val="TableParagraph"/>
              <w:rPr>
                <w:rFonts w:cs="Calibri"/>
                <w:sz w:val="18"/>
              </w:rPr>
            </w:pPr>
            <w:r w:rsidRPr="00CA2CC1">
              <w:rPr>
                <w:rFonts w:cs="Calibri"/>
                <w:color w:val="414042"/>
                <w:spacing w:val="-2"/>
                <w:sz w:val="18"/>
              </w:rPr>
              <w:t>1,980,491</w:t>
            </w:r>
          </w:p>
        </w:tc>
        <w:tc>
          <w:tcPr>
            <w:tcW w:w="1370" w:type="dxa"/>
            <w:tcBorders>
              <w:top w:val="single" w:sz="2" w:space="0" w:color="73777A"/>
              <w:left w:val="single" w:sz="8" w:space="0" w:color="FFFFFF"/>
              <w:bottom w:val="single" w:sz="2" w:space="0" w:color="73777A"/>
              <w:right w:val="single" w:sz="8" w:space="0" w:color="FFFFFF"/>
            </w:tcBorders>
            <w:shd w:val="clear" w:color="auto" w:fill="EDEFF0"/>
            <w:tcMar>
              <w:right w:w="57" w:type="dxa"/>
            </w:tcMar>
          </w:tcPr>
          <w:p w14:paraId="3639B61C" w14:textId="77777777" w:rsidR="00FA4226" w:rsidRPr="00CA2CC1" w:rsidRDefault="00000000" w:rsidP="0043303B">
            <w:pPr>
              <w:pStyle w:val="TableParagraph"/>
              <w:rPr>
                <w:rFonts w:cs="Calibri"/>
                <w:sz w:val="18"/>
              </w:rPr>
            </w:pPr>
            <w:r w:rsidRPr="00CA2CC1">
              <w:rPr>
                <w:rFonts w:cs="Calibri"/>
                <w:color w:val="414042"/>
                <w:spacing w:val="-2"/>
                <w:sz w:val="18"/>
              </w:rPr>
              <w:t>47,256</w:t>
            </w:r>
          </w:p>
        </w:tc>
        <w:tc>
          <w:tcPr>
            <w:tcW w:w="1370" w:type="dxa"/>
            <w:tcBorders>
              <w:top w:val="single" w:sz="2" w:space="0" w:color="73777A"/>
              <w:left w:val="single" w:sz="8" w:space="0" w:color="FFFFFF"/>
              <w:bottom w:val="single" w:sz="2" w:space="0" w:color="73777A"/>
              <w:right w:val="single" w:sz="8" w:space="0" w:color="FFFFFF"/>
            </w:tcBorders>
            <w:shd w:val="clear" w:color="auto" w:fill="FFF0E7"/>
            <w:tcMar>
              <w:right w:w="57" w:type="dxa"/>
            </w:tcMar>
          </w:tcPr>
          <w:p w14:paraId="5F0C1E2C" w14:textId="77777777" w:rsidR="00FA4226" w:rsidRPr="00CA2CC1" w:rsidRDefault="00000000" w:rsidP="0043303B">
            <w:pPr>
              <w:pStyle w:val="TableParagraph"/>
              <w:rPr>
                <w:rFonts w:cs="Calibri"/>
                <w:sz w:val="18"/>
              </w:rPr>
            </w:pPr>
            <w:r w:rsidRPr="00CA2CC1">
              <w:rPr>
                <w:rFonts w:cs="Calibri"/>
                <w:color w:val="414042"/>
                <w:spacing w:val="-2"/>
                <w:sz w:val="18"/>
              </w:rPr>
              <w:t>70,165</w:t>
            </w:r>
          </w:p>
        </w:tc>
        <w:tc>
          <w:tcPr>
            <w:tcW w:w="1370" w:type="dxa"/>
            <w:tcBorders>
              <w:top w:val="single" w:sz="2" w:space="0" w:color="73777A"/>
              <w:left w:val="single" w:sz="8" w:space="0" w:color="FFFFFF"/>
              <w:bottom w:val="single" w:sz="2" w:space="0" w:color="73777A"/>
              <w:right w:val="single" w:sz="8" w:space="0" w:color="FFFFFF"/>
            </w:tcBorders>
            <w:shd w:val="clear" w:color="auto" w:fill="EDEFF0"/>
            <w:tcMar>
              <w:right w:w="57" w:type="dxa"/>
            </w:tcMar>
          </w:tcPr>
          <w:p w14:paraId="6EEE5B31" w14:textId="77777777" w:rsidR="00FA4226" w:rsidRPr="00CA2CC1" w:rsidRDefault="00000000" w:rsidP="0043303B">
            <w:pPr>
              <w:pStyle w:val="TableParagraph"/>
              <w:rPr>
                <w:rFonts w:cs="Calibri"/>
                <w:sz w:val="18"/>
              </w:rPr>
            </w:pPr>
            <w:r w:rsidRPr="00CA2CC1">
              <w:rPr>
                <w:rFonts w:cs="Calibri"/>
                <w:color w:val="414042"/>
                <w:sz w:val="18"/>
              </w:rPr>
              <w:t>-</w:t>
            </w:r>
          </w:p>
        </w:tc>
        <w:tc>
          <w:tcPr>
            <w:tcW w:w="1134" w:type="dxa"/>
            <w:tcBorders>
              <w:top w:val="single" w:sz="2" w:space="0" w:color="73777A"/>
              <w:left w:val="single" w:sz="8" w:space="0" w:color="FFFFFF"/>
              <w:bottom w:val="single" w:sz="2" w:space="0" w:color="73777A"/>
              <w:right w:val="nil"/>
            </w:tcBorders>
            <w:shd w:val="clear" w:color="auto" w:fill="FFF0E7"/>
            <w:tcMar>
              <w:right w:w="57" w:type="dxa"/>
            </w:tcMar>
          </w:tcPr>
          <w:p w14:paraId="492D6581" w14:textId="77777777" w:rsidR="00FA4226" w:rsidRPr="00CA2CC1" w:rsidRDefault="00000000" w:rsidP="0043303B">
            <w:pPr>
              <w:pStyle w:val="TableParagraph"/>
              <w:rPr>
                <w:rFonts w:cs="Calibri"/>
                <w:sz w:val="18"/>
              </w:rPr>
            </w:pPr>
            <w:r w:rsidRPr="00CA2CC1">
              <w:rPr>
                <w:rFonts w:cs="Calibri"/>
                <w:color w:val="414042"/>
                <w:spacing w:val="-2"/>
                <w:sz w:val="18"/>
              </w:rPr>
              <w:t>2,097,912</w:t>
            </w:r>
          </w:p>
        </w:tc>
      </w:tr>
      <w:tr w:rsidR="00FA4226" w:rsidRPr="00CA2CC1" w14:paraId="14A81D06" w14:textId="77777777" w:rsidTr="0066501D">
        <w:trPr>
          <w:trHeight w:val="283"/>
        </w:trPr>
        <w:tc>
          <w:tcPr>
            <w:tcW w:w="3024" w:type="dxa"/>
            <w:tcBorders>
              <w:top w:val="single" w:sz="2" w:space="0" w:color="73777A"/>
              <w:left w:val="nil"/>
              <w:bottom w:val="single" w:sz="2" w:space="0" w:color="73777A"/>
              <w:right w:val="nil"/>
            </w:tcBorders>
          </w:tcPr>
          <w:p w14:paraId="10C7C3B8" w14:textId="77777777" w:rsidR="00FA4226" w:rsidRPr="00CA2CC1" w:rsidRDefault="00000000" w:rsidP="0043303B">
            <w:pPr>
              <w:pStyle w:val="TableParagraph"/>
              <w:jc w:val="left"/>
              <w:rPr>
                <w:rFonts w:cs="Calibri"/>
                <w:sz w:val="18"/>
              </w:rPr>
            </w:pPr>
            <w:r w:rsidRPr="00CA2CC1">
              <w:rPr>
                <w:rFonts w:cs="Calibri"/>
                <w:color w:val="414042"/>
                <w:spacing w:val="-2"/>
                <w:sz w:val="18"/>
              </w:rPr>
              <w:t>Additions</w:t>
            </w:r>
          </w:p>
        </w:tc>
        <w:tc>
          <w:tcPr>
            <w:tcW w:w="1370" w:type="dxa"/>
            <w:tcBorders>
              <w:top w:val="single" w:sz="2" w:space="0" w:color="73777A"/>
              <w:left w:val="nil"/>
              <w:bottom w:val="single" w:sz="2" w:space="0" w:color="73777A"/>
              <w:right w:val="single" w:sz="8" w:space="0" w:color="FFFFFF"/>
            </w:tcBorders>
            <w:shd w:val="clear" w:color="auto" w:fill="FFF0E7"/>
            <w:tcMar>
              <w:right w:w="57" w:type="dxa"/>
            </w:tcMar>
          </w:tcPr>
          <w:p w14:paraId="5AAC2C74" w14:textId="77777777" w:rsidR="00FA4226" w:rsidRPr="00CA2CC1" w:rsidRDefault="00000000" w:rsidP="0043303B">
            <w:pPr>
              <w:pStyle w:val="TableParagraph"/>
              <w:rPr>
                <w:rFonts w:cs="Calibri"/>
                <w:sz w:val="18"/>
              </w:rPr>
            </w:pPr>
            <w:r w:rsidRPr="00CA2CC1">
              <w:rPr>
                <w:rFonts w:cs="Calibri"/>
                <w:color w:val="414042"/>
                <w:sz w:val="18"/>
              </w:rPr>
              <w:t>-</w:t>
            </w:r>
          </w:p>
        </w:tc>
        <w:tc>
          <w:tcPr>
            <w:tcW w:w="1370" w:type="dxa"/>
            <w:tcBorders>
              <w:top w:val="single" w:sz="2" w:space="0" w:color="73777A"/>
              <w:left w:val="single" w:sz="8" w:space="0" w:color="FFFFFF"/>
              <w:bottom w:val="single" w:sz="2" w:space="0" w:color="73777A"/>
              <w:right w:val="single" w:sz="8" w:space="0" w:color="FFFFFF"/>
            </w:tcBorders>
            <w:shd w:val="clear" w:color="auto" w:fill="EDEFF0"/>
            <w:tcMar>
              <w:right w:w="57" w:type="dxa"/>
            </w:tcMar>
          </w:tcPr>
          <w:p w14:paraId="1A324A57" w14:textId="77777777" w:rsidR="00FA4226" w:rsidRPr="00CA2CC1" w:rsidRDefault="00000000" w:rsidP="0043303B">
            <w:pPr>
              <w:pStyle w:val="TableParagraph"/>
              <w:rPr>
                <w:rFonts w:cs="Calibri"/>
                <w:sz w:val="18"/>
              </w:rPr>
            </w:pPr>
            <w:r w:rsidRPr="00CA2CC1">
              <w:rPr>
                <w:rFonts w:cs="Calibri"/>
                <w:color w:val="414042"/>
                <w:sz w:val="18"/>
              </w:rPr>
              <w:t>-</w:t>
            </w:r>
          </w:p>
        </w:tc>
        <w:tc>
          <w:tcPr>
            <w:tcW w:w="1370" w:type="dxa"/>
            <w:tcBorders>
              <w:top w:val="single" w:sz="2" w:space="0" w:color="73777A"/>
              <w:left w:val="single" w:sz="8" w:space="0" w:color="FFFFFF"/>
              <w:bottom w:val="single" w:sz="2" w:space="0" w:color="73777A"/>
              <w:right w:val="single" w:sz="8" w:space="0" w:color="FFFFFF"/>
            </w:tcBorders>
            <w:shd w:val="clear" w:color="auto" w:fill="FFF0E7"/>
            <w:tcMar>
              <w:right w:w="57" w:type="dxa"/>
            </w:tcMar>
          </w:tcPr>
          <w:p w14:paraId="165AAA2C" w14:textId="77777777" w:rsidR="00FA4226" w:rsidRPr="00CA2CC1" w:rsidRDefault="00000000" w:rsidP="0043303B">
            <w:pPr>
              <w:pStyle w:val="TableParagraph"/>
              <w:rPr>
                <w:rFonts w:cs="Calibri"/>
                <w:sz w:val="18"/>
              </w:rPr>
            </w:pPr>
            <w:r w:rsidRPr="00CA2CC1">
              <w:rPr>
                <w:rFonts w:cs="Calibri"/>
                <w:color w:val="414042"/>
                <w:sz w:val="18"/>
              </w:rPr>
              <w:t>-</w:t>
            </w:r>
          </w:p>
        </w:tc>
        <w:tc>
          <w:tcPr>
            <w:tcW w:w="1370" w:type="dxa"/>
            <w:tcBorders>
              <w:top w:val="single" w:sz="2" w:space="0" w:color="73777A"/>
              <w:left w:val="single" w:sz="8" w:space="0" w:color="FFFFFF"/>
              <w:bottom w:val="single" w:sz="2" w:space="0" w:color="73777A"/>
              <w:right w:val="single" w:sz="8" w:space="0" w:color="FFFFFF"/>
            </w:tcBorders>
            <w:shd w:val="clear" w:color="auto" w:fill="EDEFF0"/>
            <w:tcMar>
              <w:right w:w="57" w:type="dxa"/>
            </w:tcMar>
          </w:tcPr>
          <w:p w14:paraId="2F3F2729" w14:textId="77777777" w:rsidR="00FA4226" w:rsidRPr="00CA2CC1" w:rsidRDefault="00000000" w:rsidP="0043303B">
            <w:pPr>
              <w:pStyle w:val="TableParagraph"/>
              <w:rPr>
                <w:rFonts w:cs="Calibri"/>
                <w:sz w:val="18"/>
              </w:rPr>
            </w:pPr>
            <w:r w:rsidRPr="00CA2CC1">
              <w:rPr>
                <w:rFonts w:cs="Calibri"/>
                <w:color w:val="414042"/>
                <w:spacing w:val="-2"/>
                <w:sz w:val="18"/>
              </w:rPr>
              <w:t>53,815</w:t>
            </w:r>
          </w:p>
        </w:tc>
        <w:tc>
          <w:tcPr>
            <w:tcW w:w="1134" w:type="dxa"/>
            <w:tcBorders>
              <w:top w:val="single" w:sz="2" w:space="0" w:color="73777A"/>
              <w:left w:val="single" w:sz="8" w:space="0" w:color="FFFFFF"/>
              <w:bottom w:val="single" w:sz="2" w:space="0" w:color="73777A"/>
              <w:right w:val="nil"/>
            </w:tcBorders>
            <w:shd w:val="clear" w:color="auto" w:fill="FFF0E7"/>
            <w:tcMar>
              <w:right w:w="57" w:type="dxa"/>
            </w:tcMar>
          </w:tcPr>
          <w:p w14:paraId="24CE2D2F" w14:textId="77777777" w:rsidR="00FA4226" w:rsidRPr="00CA2CC1" w:rsidRDefault="00000000" w:rsidP="0043303B">
            <w:pPr>
              <w:pStyle w:val="TableParagraph"/>
              <w:rPr>
                <w:rFonts w:cs="Calibri"/>
                <w:sz w:val="18"/>
              </w:rPr>
            </w:pPr>
            <w:r w:rsidRPr="00CA2CC1">
              <w:rPr>
                <w:rFonts w:cs="Calibri"/>
                <w:color w:val="414042"/>
                <w:spacing w:val="-2"/>
                <w:sz w:val="18"/>
              </w:rPr>
              <w:t>53,815</w:t>
            </w:r>
          </w:p>
        </w:tc>
      </w:tr>
      <w:tr w:rsidR="00FA4226" w:rsidRPr="00CA2CC1" w14:paraId="31433E90" w14:textId="77777777" w:rsidTr="0066501D">
        <w:trPr>
          <w:trHeight w:val="283"/>
        </w:trPr>
        <w:tc>
          <w:tcPr>
            <w:tcW w:w="3024" w:type="dxa"/>
            <w:tcBorders>
              <w:top w:val="single" w:sz="2" w:space="0" w:color="73777A"/>
              <w:left w:val="nil"/>
              <w:bottom w:val="single" w:sz="2" w:space="0" w:color="73777A"/>
              <w:right w:val="nil"/>
            </w:tcBorders>
          </w:tcPr>
          <w:p w14:paraId="106E2475" w14:textId="77777777" w:rsidR="00FA4226" w:rsidRPr="00CA2CC1" w:rsidRDefault="00000000" w:rsidP="0043303B">
            <w:pPr>
              <w:pStyle w:val="TableParagraph"/>
              <w:jc w:val="left"/>
              <w:rPr>
                <w:rFonts w:cs="Calibri"/>
                <w:sz w:val="18"/>
              </w:rPr>
            </w:pPr>
            <w:r w:rsidRPr="00CA2CC1">
              <w:rPr>
                <w:rFonts w:cs="Calibri"/>
                <w:color w:val="414042"/>
                <w:spacing w:val="-2"/>
                <w:sz w:val="18"/>
              </w:rPr>
              <w:t>Depreciation</w:t>
            </w:r>
          </w:p>
        </w:tc>
        <w:tc>
          <w:tcPr>
            <w:tcW w:w="1370" w:type="dxa"/>
            <w:tcBorders>
              <w:top w:val="single" w:sz="2" w:space="0" w:color="73777A"/>
              <w:left w:val="nil"/>
              <w:bottom w:val="single" w:sz="2" w:space="0" w:color="73777A"/>
              <w:right w:val="single" w:sz="8" w:space="0" w:color="FFFFFF"/>
            </w:tcBorders>
            <w:shd w:val="clear" w:color="auto" w:fill="FFF0E7"/>
            <w:tcMar>
              <w:right w:w="57" w:type="dxa"/>
            </w:tcMar>
          </w:tcPr>
          <w:p w14:paraId="6C795599" w14:textId="77777777" w:rsidR="00FA4226" w:rsidRPr="00CA2CC1" w:rsidRDefault="00000000" w:rsidP="0043303B">
            <w:pPr>
              <w:pStyle w:val="TableParagraph"/>
              <w:rPr>
                <w:rFonts w:cs="Calibri"/>
                <w:sz w:val="18"/>
              </w:rPr>
            </w:pPr>
            <w:r w:rsidRPr="00CA2CC1">
              <w:rPr>
                <w:rFonts w:cs="Calibri"/>
                <w:color w:val="414042"/>
                <w:spacing w:val="-2"/>
                <w:sz w:val="18"/>
              </w:rPr>
              <w:t>(371,574)</w:t>
            </w:r>
          </w:p>
        </w:tc>
        <w:tc>
          <w:tcPr>
            <w:tcW w:w="1370" w:type="dxa"/>
            <w:tcBorders>
              <w:top w:val="single" w:sz="2" w:space="0" w:color="73777A"/>
              <w:left w:val="single" w:sz="8" w:space="0" w:color="FFFFFF"/>
              <w:bottom w:val="single" w:sz="2" w:space="0" w:color="73777A"/>
              <w:right w:val="single" w:sz="8" w:space="0" w:color="FFFFFF"/>
            </w:tcBorders>
            <w:shd w:val="clear" w:color="auto" w:fill="EDEFF0"/>
            <w:tcMar>
              <w:right w:w="57" w:type="dxa"/>
            </w:tcMar>
          </w:tcPr>
          <w:p w14:paraId="05D5B829" w14:textId="77777777" w:rsidR="00FA4226" w:rsidRPr="00CA2CC1" w:rsidRDefault="00000000" w:rsidP="0043303B">
            <w:pPr>
              <w:pStyle w:val="TableParagraph"/>
              <w:rPr>
                <w:rFonts w:cs="Calibri"/>
                <w:sz w:val="18"/>
              </w:rPr>
            </w:pPr>
            <w:r w:rsidRPr="00CA2CC1">
              <w:rPr>
                <w:rFonts w:cs="Calibri"/>
                <w:color w:val="414042"/>
                <w:spacing w:val="-2"/>
                <w:sz w:val="18"/>
              </w:rPr>
              <w:t>(25,721)</w:t>
            </w:r>
          </w:p>
        </w:tc>
        <w:tc>
          <w:tcPr>
            <w:tcW w:w="1370" w:type="dxa"/>
            <w:tcBorders>
              <w:top w:val="single" w:sz="2" w:space="0" w:color="73777A"/>
              <w:left w:val="single" w:sz="8" w:space="0" w:color="FFFFFF"/>
              <w:bottom w:val="single" w:sz="2" w:space="0" w:color="73777A"/>
              <w:right w:val="single" w:sz="8" w:space="0" w:color="FFFFFF"/>
            </w:tcBorders>
            <w:shd w:val="clear" w:color="auto" w:fill="FFF0E7"/>
            <w:tcMar>
              <w:right w:w="57" w:type="dxa"/>
            </w:tcMar>
          </w:tcPr>
          <w:p w14:paraId="7306ADD2" w14:textId="77777777" w:rsidR="00FA4226" w:rsidRPr="00CA2CC1" w:rsidRDefault="00000000" w:rsidP="0043303B">
            <w:pPr>
              <w:pStyle w:val="TableParagraph"/>
              <w:rPr>
                <w:rFonts w:cs="Calibri"/>
                <w:sz w:val="18"/>
              </w:rPr>
            </w:pPr>
            <w:r w:rsidRPr="00CA2CC1">
              <w:rPr>
                <w:rFonts w:cs="Calibri"/>
                <w:color w:val="414042"/>
                <w:spacing w:val="-2"/>
                <w:sz w:val="18"/>
              </w:rPr>
              <w:t>(10,597)</w:t>
            </w:r>
          </w:p>
        </w:tc>
        <w:tc>
          <w:tcPr>
            <w:tcW w:w="1370" w:type="dxa"/>
            <w:tcBorders>
              <w:top w:val="single" w:sz="2" w:space="0" w:color="73777A"/>
              <w:left w:val="single" w:sz="8" w:space="0" w:color="FFFFFF"/>
              <w:bottom w:val="single" w:sz="2" w:space="0" w:color="73777A"/>
              <w:right w:val="single" w:sz="8" w:space="0" w:color="FFFFFF"/>
            </w:tcBorders>
            <w:shd w:val="clear" w:color="auto" w:fill="EDEFF0"/>
            <w:tcMar>
              <w:right w:w="57" w:type="dxa"/>
            </w:tcMar>
          </w:tcPr>
          <w:p w14:paraId="62474294" w14:textId="77777777" w:rsidR="00FA4226" w:rsidRPr="00CA2CC1" w:rsidRDefault="00000000" w:rsidP="0043303B">
            <w:pPr>
              <w:pStyle w:val="TableParagraph"/>
              <w:rPr>
                <w:rFonts w:cs="Calibri"/>
                <w:sz w:val="18"/>
              </w:rPr>
            </w:pPr>
            <w:r w:rsidRPr="00CA2CC1">
              <w:rPr>
                <w:rFonts w:cs="Calibri"/>
                <w:color w:val="414042"/>
                <w:sz w:val="18"/>
              </w:rPr>
              <w:t>-</w:t>
            </w:r>
          </w:p>
        </w:tc>
        <w:tc>
          <w:tcPr>
            <w:tcW w:w="1134" w:type="dxa"/>
            <w:tcBorders>
              <w:top w:val="single" w:sz="2" w:space="0" w:color="73777A"/>
              <w:left w:val="single" w:sz="8" w:space="0" w:color="FFFFFF"/>
              <w:bottom w:val="single" w:sz="2" w:space="0" w:color="73777A"/>
              <w:right w:val="nil"/>
            </w:tcBorders>
            <w:shd w:val="clear" w:color="auto" w:fill="FFF0E7"/>
            <w:tcMar>
              <w:right w:w="57" w:type="dxa"/>
            </w:tcMar>
          </w:tcPr>
          <w:p w14:paraId="62D21A2E" w14:textId="77777777" w:rsidR="00FA4226" w:rsidRPr="00CA2CC1" w:rsidRDefault="00000000" w:rsidP="0043303B">
            <w:pPr>
              <w:pStyle w:val="TableParagraph"/>
              <w:rPr>
                <w:rFonts w:cs="Calibri"/>
                <w:sz w:val="18"/>
              </w:rPr>
            </w:pPr>
            <w:r w:rsidRPr="00CA2CC1">
              <w:rPr>
                <w:rFonts w:cs="Calibri"/>
                <w:color w:val="414042"/>
                <w:spacing w:val="-2"/>
                <w:sz w:val="18"/>
              </w:rPr>
              <w:t>(407,892)</w:t>
            </w:r>
          </w:p>
        </w:tc>
      </w:tr>
      <w:tr w:rsidR="00FA4226" w:rsidRPr="00CA2CC1" w14:paraId="5061FC98" w14:textId="77777777" w:rsidTr="0066501D">
        <w:trPr>
          <w:trHeight w:val="278"/>
        </w:trPr>
        <w:tc>
          <w:tcPr>
            <w:tcW w:w="3024" w:type="dxa"/>
            <w:tcBorders>
              <w:top w:val="single" w:sz="2" w:space="0" w:color="73777A"/>
              <w:left w:val="nil"/>
              <w:bottom w:val="single" w:sz="6" w:space="0" w:color="73777A"/>
              <w:right w:val="nil"/>
            </w:tcBorders>
          </w:tcPr>
          <w:p w14:paraId="7BC3EAB5" w14:textId="77777777" w:rsidR="00FA4226" w:rsidRPr="00CA2CC1" w:rsidRDefault="00000000" w:rsidP="0043303B">
            <w:pPr>
              <w:pStyle w:val="TableParagraph"/>
              <w:jc w:val="left"/>
              <w:rPr>
                <w:rFonts w:cs="Calibri"/>
                <w:sz w:val="18"/>
              </w:rPr>
            </w:pPr>
            <w:r w:rsidRPr="00CA2CC1">
              <w:rPr>
                <w:rFonts w:cs="Calibri"/>
                <w:color w:val="414042"/>
                <w:sz w:val="18"/>
              </w:rPr>
              <w:t>Transfers</w:t>
            </w:r>
            <w:r w:rsidRPr="00CA2CC1">
              <w:rPr>
                <w:rFonts w:cs="Calibri"/>
                <w:color w:val="414042"/>
                <w:spacing w:val="-1"/>
                <w:sz w:val="18"/>
              </w:rPr>
              <w:t xml:space="preserve"> </w:t>
            </w:r>
            <w:r w:rsidRPr="00CA2CC1">
              <w:rPr>
                <w:rFonts w:cs="Calibri"/>
                <w:color w:val="414042"/>
                <w:sz w:val="18"/>
              </w:rPr>
              <w:t>to</w:t>
            </w:r>
            <w:r w:rsidRPr="00CA2CC1">
              <w:rPr>
                <w:rFonts w:cs="Calibri"/>
                <w:color w:val="414042"/>
                <w:spacing w:val="-1"/>
                <w:sz w:val="18"/>
              </w:rPr>
              <w:t xml:space="preserve"> </w:t>
            </w:r>
            <w:r w:rsidRPr="00CA2CC1">
              <w:rPr>
                <w:rFonts w:cs="Calibri"/>
                <w:color w:val="414042"/>
                <w:sz w:val="18"/>
              </w:rPr>
              <w:t>held</w:t>
            </w:r>
            <w:r w:rsidRPr="00CA2CC1">
              <w:rPr>
                <w:rFonts w:cs="Calibri"/>
                <w:color w:val="414042"/>
                <w:spacing w:val="-1"/>
                <w:sz w:val="18"/>
              </w:rPr>
              <w:t xml:space="preserve"> </w:t>
            </w:r>
            <w:r w:rsidRPr="00CA2CC1">
              <w:rPr>
                <w:rFonts w:cs="Calibri"/>
                <w:color w:val="414042"/>
                <w:sz w:val="18"/>
              </w:rPr>
              <w:t>for</w:t>
            </w:r>
            <w:r w:rsidRPr="00CA2CC1">
              <w:rPr>
                <w:rFonts w:cs="Calibri"/>
                <w:color w:val="414042"/>
                <w:spacing w:val="-1"/>
                <w:sz w:val="18"/>
              </w:rPr>
              <w:t xml:space="preserve"> </w:t>
            </w:r>
            <w:r w:rsidRPr="00CA2CC1">
              <w:rPr>
                <w:rFonts w:cs="Calibri"/>
                <w:color w:val="414042"/>
                <w:spacing w:val="-4"/>
                <w:sz w:val="18"/>
              </w:rPr>
              <w:t>sale</w:t>
            </w:r>
          </w:p>
        </w:tc>
        <w:tc>
          <w:tcPr>
            <w:tcW w:w="1370" w:type="dxa"/>
            <w:tcBorders>
              <w:top w:val="single" w:sz="2" w:space="0" w:color="73777A"/>
              <w:left w:val="nil"/>
              <w:bottom w:val="single" w:sz="6" w:space="0" w:color="73777A"/>
              <w:right w:val="single" w:sz="8" w:space="0" w:color="FFFFFF"/>
            </w:tcBorders>
            <w:shd w:val="clear" w:color="auto" w:fill="FFF0E7"/>
            <w:tcMar>
              <w:right w:w="57" w:type="dxa"/>
            </w:tcMar>
          </w:tcPr>
          <w:p w14:paraId="26101E23" w14:textId="77777777" w:rsidR="00FA4226" w:rsidRPr="00CA2CC1" w:rsidRDefault="00000000" w:rsidP="0043303B">
            <w:pPr>
              <w:pStyle w:val="TableParagraph"/>
              <w:rPr>
                <w:rFonts w:cs="Calibri"/>
                <w:sz w:val="18"/>
              </w:rPr>
            </w:pPr>
            <w:r w:rsidRPr="00CA2CC1">
              <w:rPr>
                <w:rFonts w:cs="Calibri"/>
                <w:color w:val="414042"/>
                <w:sz w:val="18"/>
              </w:rPr>
              <w:t>-</w:t>
            </w:r>
          </w:p>
        </w:tc>
        <w:tc>
          <w:tcPr>
            <w:tcW w:w="1370" w:type="dxa"/>
            <w:tcBorders>
              <w:top w:val="single" w:sz="2" w:space="0" w:color="73777A"/>
              <w:left w:val="single" w:sz="8" w:space="0" w:color="FFFFFF"/>
              <w:bottom w:val="single" w:sz="6" w:space="0" w:color="73777A"/>
              <w:right w:val="single" w:sz="8" w:space="0" w:color="FFFFFF"/>
            </w:tcBorders>
            <w:shd w:val="clear" w:color="auto" w:fill="EDEFF0"/>
            <w:tcMar>
              <w:right w:w="57" w:type="dxa"/>
            </w:tcMar>
          </w:tcPr>
          <w:p w14:paraId="5360EC45" w14:textId="77777777" w:rsidR="00FA4226" w:rsidRPr="00CA2CC1" w:rsidRDefault="00000000" w:rsidP="0043303B">
            <w:pPr>
              <w:pStyle w:val="TableParagraph"/>
              <w:rPr>
                <w:rFonts w:cs="Calibri"/>
                <w:sz w:val="18"/>
              </w:rPr>
            </w:pPr>
            <w:r w:rsidRPr="00CA2CC1">
              <w:rPr>
                <w:rFonts w:cs="Calibri"/>
                <w:color w:val="414042"/>
                <w:sz w:val="18"/>
              </w:rPr>
              <w:t>-</w:t>
            </w:r>
          </w:p>
        </w:tc>
        <w:tc>
          <w:tcPr>
            <w:tcW w:w="1370" w:type="dxa"/>
            <w:tcBorders>
              <w:top w:val="single" w:sz="2" w:space="0" w:color="73777A"/>
              <w:left w:val="single" w:sz="8" w:space="0" w:color="FFFFFF"/>
              <w:bottom w:val="single" w:sz="6" w:space="0" w:color="73777A"/>
              <w:right w:val="single" w:sz="8" w:space="0" w:color="FFFFFF"/>
            </w:tcBorders>
            <w:shd w:val="clear" w:color="auto" w:fill="FFF0E7"/>
            <w:tcMar>
              <w:right w:w="57" w:type="dxa"/>
            </w:tcMar>
          </w:tcPr>
          <w:p w14:paraId="4854FED0" w14:textId="77777777" w:rsidR="00FA4226" w:rsidRPr="00CA2CC1" w:rsidRDefault="00000000" w:rsidP="0043303B">
            <w:pPr>
              <w:pStyle w:val="TableParagraph"/>
              <w:rPr>
                <w:rFonts w:cs="Calibri"/>
                <w:sz w:val="18"/>
              </w:rPr>
            </w:pPr>
            <w:r w:rsidRPr="00CA2CC1">
              <w:rPr>
                <w:rFonts w:cs="Calibri"/>
                <w:color w:val="414042"/>
                <w:spacing w:val="-2"/>
                <w:sz w:val="18"/>
              </w:rPr>
              <w:t>(18,735)</w:t>
            </w:r>
          </w:p>
        </w:tc>
        <w:tc>
          <w:tcPr>
            <w:tcW w:w="1370" w:type="dxa"/>
            <w:tcBorders>
              <w:top w:val="single" w:sz="2" w:space="0" w:color="73777A"/>
              <w:left w:val="single" w:sz="8" w:space="0" w:color="FFFFFF"/>
              <w:bottom w:val="single" w:sz="6" w:space="0" w:color="73777A"/>
              <w:right w:val="single" w:sz="8" w:space="0" w:color="FFFFFF"/>
            </w:tcBorders>
            <w:shd w:val="clear" w:color="auto" w:fill="EDEFF0"/>
            <w:tcMar>
              <w:right w:w="57" w:type="dxa"/>
            </w:tcMar>
          </w:tcPr>
          <w:p w14:paraId="7FC0530A" w14:textId="77777777" w:rsidR="00FA4226" w:rsidRPr="00CA2CC1" w:rsidRDefault="00000000" w:rsidP="0043303B">
            <w:pPr>
              <w:pStyle w:val="TableParagraph"/>
              <w:rPr>
                <w:rFonts w:cs="Calibri"/>
                <w:sz w:val="18"/>
              </w:rPr>
            </w:pPr>
            <w:r w:rsidRPr="00CA2CC1">
              <w:rPr>
                <w:rFonts w:cs="Calibri"/>
                <w:color w:val="414042"/>
                <w:sz w:val="18"/>
              </w:rPr>
              <w:t>-</w:t>
            </w:r>
          </w:p>
        </w:tc>
        <w:tc>
          <w:tcPr>
            <w:tcW w:w="1134" w:type="dxa"/>
            <w:tcBorders>
              <w:top w:val="single" w:sz="2" w:space="0" w:color="73777A"/>
              <w:left w:val="single" w:sz="8" w:space="0" w:color="FFFFFF"/>
              <w:bottom w:val="single" w:sz="6" w:space="0" w:color="73777A"/>
              <w:right w:val="nil"/>
            </w:tcBorders>
            <w:shd w:val="clear" w:color="auto" w:fill="FFF0E7"/>
            <w:tcMar>
              <w:right w:w="57" w:type="dxa"/>
            </w:tcMar>
          </w:tcPr>
          <w:p w14:paraId="103EB2E7" w14:textId="77777777" w:rsidR="00FA4226" w:rsidRPr="00CA2CC1" w:rsidRDefault="00000000" w:rsidP="0043303B">
            <w:pPr>
              <w:pStyle w:val="TableParagraph"/>
              <w:rPr>
                <w:rFonts w:cs="Calibri"/>
                <w:sz w:val="18"/>
              </w:rPr>
            </w:pPr>
            <w:r w:rsidRPr="00CA2CC1">
              <w:rPr>
                <w:rFonts w:cs="Calibri"/>
                <w:color w:val="414042"/>
                <w:spacing w:val="-2"/>
                <w:sz w:val="18"/>
              </w:rPr>
              <w:t>(18,735)</w:t>
            </w:r>
          </w:p>
        </w:tc>
      </w:tr>
      <w:tr w:rsidR="00FA4226" w:rsidRPr="00CA2CC1" w14:paraId="3F08C676" w14:textId="77777777" w:rsidTr="0066501D">
        <w:trPr>
          <w:trHeight w:val="258"/>
        </w:trPr>
        <w:tc>
          <w:tcPr>
            <w:tcW w:w="3024" w:type="dxa"/>
            <w:tcBorders>
              <w:top w:val="single" w:sz="6" w:space="0" w:color="73777A"/>
              <w:left w:val="nil"/>
              <w:bottom w:val="double" w:sz="6" w:space="0" w:color="73777A"/>
              <w:right w:val="nil"/>
            </w:tcBorders>
          </w:tcPr>
          <w:p w14:paraId="5A24214B" w14:textId="77777777" w:rsidR="00FA4226" w:rsidRPr="00CA2CC1" w:rsidRDefault="00000000" w:rsidP="0043303B">
            <w:pPr>
              <w:pStyle w:val="TableParagraph"/>
              <w:jc w:val="left"/>
              <w:rPr>
                <w:rFonts w:cs="Calibri"/>
                <w:sz w:val="18"/>
              </w:rPr>
            </w:pPr>
            <w:r w:rsidRPr="00CA2CC1">
              <w:rPr>
                <w:rFonts w:cs="Calibri"/>
                <w:color w:val="414042"/>
                <w:sz w:val="18"/>
              </w:rPr>
              <w:t>Carrying</w:t>
            </w:r>
            <w:r w:rsidRPr="00CA2CC1">
              <w:rPr>
                <w:rFonts w:cs="Calibri"/>
                <w:color w:val="414042"/>
                <w:spacing w:val="4"/>
                <w:sz w:val="18"/>
              </w:rPr>
              <w:t xml:space="preserve"> </w:t>
            </w:r>
            <w:r w:rsidRPr="00CA2CC1">
              <w:rPr>
                <w:rFonts w:cs="Calibri"/>
                <w:color w:val="414042"/>
                <w:sz w:val="18"/>
              </w:rPr>
              <w:t>amount</w:t>
            </w:r>
            <w:r w:rsidRPr="00CA2CC1">
              <w:rPr>
                <w:rFonts w:cs="Calibri"/>
                <w:color w:val="414042"/>
                <w:spacing w:val="6"/>
                <w:sz w:val="18"/>
              </w:rPr>
              <w:t xml:space="preserve"> </w:t>
            </w:r>
            <w:r w:rsidRPr="00CA2CC1">
              <w:rPr>
                <w:rFonts w:cs="Calibri"/>
                <w:color w:val="414042"/>
                <w:sz w:val="18"/>
              </w:rPr>
              <w:t>at</w:t>
            </w:r>
            <w:r w:rsidRPr="00CA2CC1">
              <w:rPr>
                <w:rFonts w:cs="Calibri"/>
                <w:color w:val="414042"/>
                <w:spacing w:val="7"/>
                <w:sz w:val="18"/>
              </w:rPr>
              <w:t xml:space="preserve"> </w:t>
            </w:r>
            <w:r w:rsidRPr="00CA2CC1">
              <w:rPr>
                <w:rFonts w:cs="Calibri"/>
                <w:color w:val="414042"/>
                <w:sz w:val="18"/>
              </w:rPr>
              <w:t>end</w:t>
            </w:r>
            <w:r w:rsidRPr="00CA2CC1">
              <w:rPr>
                <w:rFonts w:cs="Calibri"/>
                <w:color w:val="414042"/>
                <w:spacing w:val="6"/>
                <w:sz w:val="18"/>
              </w:rPr>
              <w:t xml:space="preserve"> </w:t>
            </w:r>
            <w:r w:rsidRPr="00CA2CC1">
              <w:rPr>
                <w:rFonts w:cs="Calibri"/>
                <w:color w:val="414042"/>
                <w:sz w:val="18"/>
              </w:rPr>
              <w:t>of</w:t>
            </w:r>
            <w:r w:rsidRPr="00CA2CC1">
              <w:rPr>
                <w:rFonts w:cs="Calibri"/>
                <w:color w:val="414042"/>
                <w:spacing w:val="7"/>
                <w:sz w:val="18"/>
              </w:rPr>
              <w:t xml:space="preserve"> </w:t>
            </w:r>
            <w:r w:rsidRPr="00CA2CC1">
              <w:rPr>
                <w:rFonts w:cs="Calibri"/>
                <w:color w:val="414042"/>
                <w:spacing w:val="-4"/>
                <w:sz w:val="18"/>
              </w:rPr>
              <w:t>year</w:t>
            </w:r>
          </w:p>
        </w:tc>
        <w:tc>
          <w:tcPr>
            <w:tcW w:w="1370" w:type="dxa"/>
            <w:tcBorders>
              <w:top w:val="single" w:sz="6" w:space="0" w:color="73777A"/>
              <w:left w:val="nil"/>
              <w:bottom w:val="double" w:sz="4" w:space="0" w:color="73777A"/>
              <w:right w:val="single" w:sz="8" w:space="0" w:color="FFFFFF"/>
            </w:tcBorders>
            <w:shd w:val="clear" w:color="auto" w:fill="FFF0E7"/>
            <w:tcMar>
              <w:right w:w="57" w:type="dxa"/>
            </w:tcMar>
          </w:tcPr>
          <w:p w14:paraId="371E1E6D" w14:textId="77777777" w:rsidR="00FA4226" w:rsidRPr="00CA2CC1" w:rsidRDefault="00000000" w:rsidP="0043303B">
            <w:pPr>
              <w:pStyle w:val="TableParagraph"/>
              <w:rPr>
                <w:rFonts w:cs="Calibri"/>
                <w:sz w:val="18"/>
              </w:rPr>
            </w:pPr>
            <w:r w:rsidRPr="00CA2CC1">
              <w:rPr>
                <w:rFonts w:cs="Calibri"/>
                <w:color w:val="414042"/>
                <w:spacing w:val="-2"/>
                <w:sz w:val="18"/>
              </w:rPr>
              <w:t>1,608,917</w:t>
            </w:r>
          </w:p>
        </w:tc>
        <w:tc>
          <w:tcPr>
            <w:tcW w:w="1370" w:type="dxa"/>
            <w:tcBorders>
              <w:top w:val="single" w:sz="6" w:space="0" w:color="73777A"/>
              <w:left w:val="single" w:sz="8" w:space="0" w:color="FFFFFF"/>
              <w:bottom w:val="double" w:sz="4" w:space="0" w:color="73777A"/>
              <w:right w:val="single" w:sz="8" w:space="0" w:color="FFFFFF"/>
            </w:tcBorders>
            <w:shd w:val="clear" w:color="auto" w:fill="EDEFF0"/>
            <w:tcMar>
              <w:right w:w="57" w:type="dxa"/>
            </w:tcMar>
          </w:tcPr>
          <w:p w14:paraId="19820FD2" w14:textId="77777777" w:rsidR="00FA4226" w:rsidRPr="00CA2CC1" w:rsidRDefault="00000000" w:rsidP="0043303B">
            <w:pPr>
              <w:pStyle w:val="TableParagraph"/>
              <w:rPr>
                <w:rFonts w:cs="Calibri"/>
                <w:sz w:val="18"/>
              </w:rPr>
            </w:pPr>
            <w:r w:rsidRPr="00CA2CC1">
              <w:rPr>
                <w:rFonts w:cs="Calibri"/>
                <w:color w:val="414042"/>
                <w:spacing w:val="-2"/>
                <w:sz w:val="18"/>
              </w:rPr>
              <w:t>21,535</w:t>
            </w:r>
          </w:p>
        </w:tc>
        <w:tc>
          <w:tcPr>
            <w:tcW w:w="1370" w:type="dxa"/>
            <w:tcBorders>
              <w:top w:val="single" w:sz="6" w:space="0" w:color="73777A"/>
              <w:left w:val="single" w:sz="8" w:space="0" w:color="FFFFFF"/>
              <w:bottom w:val="double" w:sz="4" w:space="0" w:color="73777A"/>
              <w:right w:val="single" w:sz="8" w:space="0" w:color="FFFFFF"/>
            </w:tcBorders>
            <w:shd w:val="clear" w:color="auto" w:fill="FFF0E7"/>
            <w:tcMar>
              <w:right w:w="57" w:type="dxa"/>
            </w:tcMar>
          </w:tcPr>
          <w:p w14:paraId="2DA5A50F" w14:textId="77777777" w:rsidR="00FA4226" w:rsidRPr="00CA2CC1" w:rsidRDefault="00000000" w:rsidP="0043303B">
            <w:pPr>
              <w:pStyle w:val="TableParagraph"/>
              <w:rPr>
                <w:rFonts w:cs="Calibri"/>
                <w:sz w:val="18"/>
              </w:rPr>
            </w:pPr>
            <w:r w:rsidRPr="00CA2CC1">
              <w:rPr>
                <w:rFonts w:cs="Calibri"/>
                <w:color w:val="414042"/>
                <w:spacing w:val="-2"/>
                <w:sz w:val="18"/>
              </w:rPr>
              <w:t>40,833</w:t>
            </w:r>
          </w:p>
        </w:tc>
        <w:tc>
          <w:tcPr>
            <w:tcW w:w="1370" w:type="dxa"/>
            <w:tcBorders>
              <w:top w:val="single" w:sz="6" w:space="0" w:color="73777A"/>
              <w:left w:val="single" w:sz="8" w:space="0" w:color="FFFFFF"/>
              <w:bottom w:val="double" w:sz="4" w:space="0" w:color="73777A"/>
              <w:right w:val="single" w:sz="8" w:space="0" w:color="FFFFFF"/>
            </w:tcBorders>
            <w:shd w:val="clear" w:color="auto" w:fill="EDEFF0"/>
            <w:tcMar>
              <w:right w:w="57" w:type="dxa"/>
            </w:tcMar>
          </w:tcPr>
          <w:p w14:paraId="46BA0C03" w14:textId="77777777" w:rsidR="00FA4226" w:rsidRPr="00CA2CC1" w:rsidRDefault="00000000" w:rsidP="0043303B">
            <w:pPr>
              <w:pStyle w:val="TableParagraph"/>
              <w:rPr>
                <w:rFonts w:cs="Calibri"/>
                <w:sz w:val="18"/>
              </w:rPr>
            </w:pPr>
            <w:r w:rsidRPr="00CA2CC1">
              <w:rPr>
                <w:rFonts w:cs="Calibri"/>
                <w:color w:val="414042"/>
                <w:spacing w:val="-2"/>
                <w:sz w:val="18"/>
              </w:rPr>
              <w:t>53,815</w:t>
            </w:r>
          </w:p>
        </w:tc>
        <w:tc>
          <w:tcPr>
            <w:tcW w:w="1134" w:type="dxa"/>
            <w:tcBorders>
              <w:top w:val="single" w:sz="6" w:space="0" w:color="73777A"/>
              <w:left w:val="single" w:sz="8" w:space="0" w:color="FFFFFF"/>
              <w:bottom w:val="double" w:sz="4" w:space="0" w:color="73777A"/>
              <w:right w:val="nil"/>
            </w:tcBorders>
            <w:shd w:val="clear" w:color="auto" w:fill="FFF0E7"/>
            <w:tcMar>
              <w:right w:w="57" w:type="dxa"/>
            </w:tcMar>
          </w:tcPr>
          <w:p w14:paraId="6A6BA794" w14:textId="77777777" w:rsidR="00FA4226" w:rsidRPr="00CA2CC1" w:rsidRDefault="00000000" w:rsidP="0043303B">
            <w:pPr>
              <w:pStyle w:val="TableParagraph"/>
              <w:rPr>
                <w:rFonts w:cs="Calibri"/>
                <w:sz w:val="18"/>
              </w:rPr>
            </w:pPr>
            <w:r w:rsidRPr="00CA2CC1">
              <w:rPr>
                <w:rFonts w:cs="Calibri"/>
                <w:color w:val="414042"/>
                <w:spacing w:val="-2"/>
                <w:sz w:val="18"/>
              </w:rPr>
              <w:t>1,725,100</w:t>
            </w:r>
          </w:p>
        </w:tc>
      </w:tr>
      <w:tr w:rsidR="00FA4226" w:rsidRPr="00CA2CC1" w14:paraId="7E42C053" w14:textId="77777777" w:rsidTr="0066501D">
        <w:trPr>
          <w:trHeight w:val="547"/>
        </w:trPr>
        <w:tc>
          <w:tcPr>
            <w:tcW w:w="3024" w:type="dxa"/>
            <w:tcBorders>
              <w:top w:val="double" w:sz="6" w:space="0" w:color="73777A"/>
              <w:left w:val="nil"/>
              <w:bottom w:val="single" w:sz="6" w:space="0" w:color="73777A"/>
              <w:right w:val="nil"/>
            </w:tcBorders>
          </w:tcPr>
          <w:p w14:paraId="4EB273B5" w14:textId="77777777" w:rsidR="00FA4226" w:rsidRPr="00CA2CC1" w:rsidRDefault="00FA4226" w:rsidP="0043303B">
            <w:pPr>
              <w:pStyle w:val="TableParagraph"/>
              <w:spacing w:before="6"/>
              <w:jc w:val="left"/>
              <w:rPr>
                <w:rFonts w:cs="Calibri"/>
                <w:sz w:val="19"/>
              </w:rPr>
            </w:pPr>
          </w:p>
          <w:p w14:paraId="2F0DD49A" w14:textId="77777777" w:rsidR="00FA4226" w:rsidRPr="00CA2CC1" w:rsidRDefault="00000000" w:rsidP="0043303B">
            <w:pPr>
              <w:pStyle w:val="TableParagraph"/>
              <w:jc w:val="left"/>
              <w:rPr>
                <w:rFonts w:cs="Calibri"/>
                <w:sz w:val="18"/>
              </w:rPr>
            </w:pPr>
            <w:r w:rsidRPr="00CA2CC1">
              <w:rPr>
                <w:rFonts w:cs="Calibri"/>
                <w:color w:val="F68C59"/>
                <w:spacing w:val="-4"/>
                <w:sz w:val="18"/>
              </w:rPr>
              <w:t>2022</w:t>
            </w:r>
          </w:p>
        </w:tc>
        <w:tc>
          <w:tcPr>
            <w:tcW w:w="1370" w:type="dxa"/>
            <w:tcBorders>
              <w:top w:val="double" w:sz="4" w:space="0" w:color="73777A"/>
              <w:left w:val="nil"/>
              <w:bottom w:val="single" w:sz="6" w:space="0" w:color="73777A"/>
              <w:right w:val="single" w:sz="8" w:space="0" w:color="FFFFFF"/>
            </w:tcBorders>
            <w:shd w:val="clear" w:color="auto" w:fill="FFF0E7"/>
            <w:tcMar>
              <w:right w:w="57" w:type="dxa"/>
            </w:tcMar>
          </w:tcPr>
          <w:p w14:paraId="40A1D65C" w14:textId="77777777" w:rsidR="00FA4226" w:rsidRPr="00CA2CC1" w:rsidRDefault="00FA4226" w:rsidP="0043303B">
            <w:pPr>
              <w:pStyle w:val="TableParagraph"/>
              <w:jc w:val="left"/>
              <w:rPr>
                <w:rFonts w:cs="Calibri"/>
                <w:sz w:val="16"/>
              </w:rPr>
            </w:pPr>
          </w:p>
        </w:tc>
        <w:tc>
          <w:tcPr>
            <w:tcW w:w="1370" w:type="dxa"/>
            <w:tcBorders>
              <w:top w:val="double" w:sz="4" w:space="0" w:color="73777A"/>
              <w:left w:val="single" w:sz="8" w:space="0" w:color="FFFFFF"/>
              <w:bottom w:val="single" w:sz="6" w:space="0" w:color="73777A"/>
              <w:right w:val="single" w:sz="8" w:space="0" w:color="FFFFFF"/>
            </w:tcBorders>
            <w:shd w:val="clear" w:color="auto" w:fill="EDEFF0"/>
            <w:tcMar>
              <w:right w:w="57" w:type="dxa"/>
            </w:tcMar>
          </w:tcPr>
          <w:p w14:paraId="1BA96D07" w14:textId="77777777" w:rsidR="00FA4226" w:rsidRPr="00CA2CC1" w:rsidRDefault="00FA4226" w:rsidP="0043303B">
            <w:pPr>
              <w:pStyle w:val="TableParagraph"/>
              <w:jc w:val="left"/>
              <w:rPr>
                <w:rFonts w:cs="Calibri"/>
                <w:sz w:val="16"/>
              </w:rPr>
            </w:pPr>
          </w:p>
        </w:tc>
        <w:tc>
          <w:tcPr>
            <w:tcW w:w="1370" w:type="dxa"/>
            <w:tcBorders>
              <w:top w:val="double" w:sz="4" w:space="0" w:color="73777A"/>
              <w:left w:val="single" w:sz="8" w:space="0" w:color="FFFFFF"/>
              <w:bottom w:val="single" w:sz="6" w:space="0" w:color="73777A"/>
              <w:right w:val="single" w:sz="8" w:space="0" w:color="FFFFFF"/>
            </w:tcBorders>
            <w:shd w:val="clear" w:color="auto" w:fill="FFF0E7"/>
            <w:tcMar>
              <w:right w:w="57" w:type="dxa"/>
            </w:tcMar>
          </w:tcPr>
          <w:p w14:paraId="4DC864B5" w14:textId="77777777" w:rsidR="00FA4226" w:rsidRPr="00CA2CC1" w:rsidRDefault="00FA4226" w:rsidP="0043303B">
            <w:pPr>
              <w:pStyle w:val="TableParagraph"/>
              <w:jc w:val="left"/>
              <w:rPr>
                <w:rFonts w:cs="Calibri"/>
                <w:sz w:val="16"/>
              </w:rPr>
            </w:pPr>
          </w:p>
        </w:tc>
        <w:tc>
          <w:tcPr>
            <w:tcW w:w="1370" w:type="dxa"/>
            <w:tcBorders>
              <w:top w:val="double" w:sz="4" w:space="0" w:color="73777A"/>
              <w:left w:val="single" w:sz="8" w:space="0" w:color="FFFFFF"/>
              <w:bottom w:val="single" w:sz="6" w:space="0" w:color="73777A"/>
              <w:right w:val="single" w:sz="8" w:space="0" w:color="FFFFFF"/>
            </w:tcBorders>
            <w:shd w:val="clear" w:color="auto" w:fill="EDEFF0"/>
            <w:tcMar>
              <w:right w:w="57" w:type="dxa"/>
            </w:tcMar>
          </w:tcPr>
          <w:p w14:paraId="1BCC5251" w14:textId="77777777" w:rsidR="00FA4226" w:rsidRPr="00CA2CC1" w:rsidRDefault="00FA4226" w:rsidP="0043303B">
            <w:pPr>
              <w:pStyle w:val="TableParagraph"/>
              <w:jc w:val="left"/>
              <w:rPr>
                <w:rFonts w:cs="Calibri"/>
                <w:sz w:val="16"/>
              </w:rPr>
            </w:pPr>
          </w:p>
        </w:tc>
        <w:tc>
          <w:tcPr>
            <w:tcW w:w="1134" w:type="dxa"/>
            <w:tcBorders>
              <w:top w:val="double" w:sz="4" w:space="0" w:color="73777A"/>
              <w:left w:val="single" w:sz="8" w:space="0" w:color="FFFFFF"/>
              <w:bottom w:val="single" w:sz="6" w:space="0" w:color="73777A"/>
              <w:right w:val="nil"/>
            </w:tcBorders>
            <w:shd w:val="clear" w:color="auto" w:fill="FFF0E7"/>
            <w:tcMar>
              <w:right w:w="57" w:type="dxa"/>
            </w:tcMar>
          </w:tcPr>
          <w:p w14:paraId="087EA9BF" w14:textId="77777777" w:rsidR="00FA4226" w:rsidRPr="00CA2CC1" w:rsidRDefault="00FA4226" w:rsidP="0043303B">
            <w:pPr>
              <w:pStyle w:val="TableParagraph"/>
              <w:jc w:val="left"/>
              <w:rPr>
                <w:rFonts w:cs="Calibri"/>
                <w:sz w:val="16"/>
              </w:rPr>
            </w:pPr>
          </w:p>
        </w:tc>
      </w:tr>
      <w:tr w:rsidR="00FA4226" w:rsidRPr="00CA2CC1" w14:paraId="09F80CC1" w14:textId="77777777" w:rsidTr="0066501D">
        <w:trPr>
          <w:trHeight w:val="258"/>
        </w:trPr>
        <w:tc>
          <w:tcPr>
            <w:tcW w:w="3024" w:type="dxa"/>
            <w:tcBorders>
              <w:top w:val="single" w:sz="6" w:space="0" w:color="73777A"/>
              <w:left w:val="nil"/>
              <w:bottom w:val="double" w:sz="6" w:space="0" w:color="73777A"/>
              <w:right w:val="nil"/>
            </w:tcBorders>
          </w:tcPr>
          <w:p w14:paraId="61D93C57" w14:textId="77777777" w:rsidR="00FA4226" w:rsidRPr="00CA2CC1" w:rsidRDefault="00000000" w:rsidP="0043303B">
            <w:pPr>
              <w:pStyle w:val="TableParagraph"/>
              <w:jc w:val="left"/>
              <w:rPr>
                <w:rFonts w:cs="Calibri"/>
                <w:sz w:val="18"/>
              </w:rPr>
            </w:pPr>
            <w:r w:rsidRPr="00CA2CC1">
              <w:rPr>
                <w:rFonts w:cs="Calibri"/>
                <w:color w:val="414042"/>
                <w:sz w:val="18"/>
              </w:rPr>
              <w:t>Carrying</w:t>
            </w:r>
            <w:r w:rsidRPr="00CA2CC1">
              <w:rPr>
                <w:rFonts w:cs="Calibri"/>
                <w:color w:val="414042"/>
                <w:spacing w:val="6"/>
                <w:sz w:val="18"/>
              </w:rPr>
              <w:t xml:space="preserve"> </w:t>
            </w:r>
            <w:r w:rsidRPr="00CA2CC1">
              <w:rPr>
                <w:rFonts w:cs="Calibri"/>
                <w:color w:val="414042"/>
                <w:sz w:val="18"/>
              </w:rPr>
              <w:t>amount</w:t>
            </w:r>
            <w:r w:rsidRPr="00CA2CC1">
              <w:rPr>
                <w:rFonts w:cs="Calibri"/>
                <w:color w:val="414042"/>
                <w:spacing w:val="9"/>
                <w:sz w:val="18"/>
              </w:rPr>
              <w:t xml:space="preserve"> </w:t>
            </w:r>
            <w:r w:rsidRPr="00CA2CC1">
              <w:rPr>
                <w:rFonts w:cs="Calibri"/>
                <w:color w:val="414042"/>
                <w:sz w:val="18"/>
              </w:rPr>
              <w:t>at</w:t>
            </w:r>
            <w:r w:rsidRPr="00CA2CC1">
              <w:rPr>
                <w:rFonts w:cs="Calibri"/>
                <w:color w:val="414042"/>
                <w:spacing w:val="9"/>
                <w:sz w:val="18"/>
              </w:rPr>
              <w:t xml:space="preserve"> </w:t>
            </w:r>
            <w:r w:rsidRPr="00CA2CC1">
              <w:rPr>
                <w:rFonts w:cs="Calibri"/>
                <w:color w:val="414042"/>
                <w:sz w:val="18"/>
              </w:rPr>
              <w:t>start</w:t>
            </w:r>
            <w:r w:rsidRPr="00CA2CC1">
              <w:rPr>
                <w:rFonts w:cs="Calibri"/>
                <w:color w:val="414042"/>
                <w:spacing w:val="9"/>
                <w:sz w:val="18"/>
              </w:rPr>
              <w:t xml:space="preserve"> </w:t>
            </w:r>
            <w:r w:rsidRPr="00CA2CC1">
              <w:rPr>
                <w:rFonts w:cs="Calibri"/>
                <w:color w:val="414042"/>
                <w:sz w:val="18"/>
              </w:rPr>
              <w:t>of</w:t>
            </w:r>
            <w:r w:rsidRPr="00CA2CC1">
              <w:rPr>
                <w:rFonts w:cs="Calibri"/>
                <w:color w:val="414042"/>
                <w:spacing w:val="9"/>
                <w:sz w:val="18"/>
              </w:rPr>
              <w:t xml:space="preserve"> </w:t>
            </w:r>
            <w:r w:rsidRPr="00CA2CC1">
              <w:rPr>
                <w:rFonts w:cs="Calibri"/>
                <w:color w:val="414042"/>
                <w:spacing w:val="-4"/>
                <w:sz w:val="18"/>
              </w:rPr>
              <w:t>year</w:t>
            </w:r>
          </w:p>
        </w:tc>
        <w:tc>
          <w:tcPr>
            <w:tcW w:w="1370" w:type="dxa"/>
            <w:tcBorders>
              <w:top w:val="single" w:sz="6" w:space="0" w:color="73777A"/>
              <w:left w:val="nil"/>
              <w:bottom w:val="double" w:sz="4" w:space="0" w:color="73777A"/>
              <w:right w:val="single" w:sz="8" w:space="0" w:color="FFFFFF"/>
            </w:tcBorders>
            <w:shd w:val="clear" w:color="auto" w:fill="FFF0E7"/>
            <w:tcMar>
              <w:right w:w="57" w:type="dxa"/>
            </w:tcMar>
          </w:tcPr>
          <w:p w14:paraId="65ECD01C" w14:textId="77777777" w:rsidR="00FA4226" w:rsidRPr="00CA2CC1" w:rsidRDefault="00000000" w:rsidP="0043303B">
            <w:pPr>
              <w:pStyle w:val="TableParagraph"/>
              <w:rPr>
                <w:rFonts w:cs="Calibri"/>
                <w:sz w:val="18"/>
              </w:rPr>
            </w:pPr>
            <w:r w:rsidRPr="00CA2CC1">
              <w:rPr>
                <w:rFonts w:cs="Calibri"/>
                <w:color w:val="414042"/>
                <w:spacing w:val="-2"/>
                <w:sz w:val="18"/>
              </w:rPr>
              <w:t>2,352,065</w:t>
            </w:r>
          </w:p>
        </w:tc>
        <w:tc>
          <w:tcPr>
            <w:tcW w:w="1370" w:type="dxa"/>
            <w:tcBorders>
              <w:top w:val="single" w:sz="6" w:space="0" w:color="73777A"/>
              <w:left w:val="single" w:sz="8" w:space="0" w:color="FFFFFF"/>
              <w:bottom w:val="double" w:sz="4" w:space="0" w:color="73777A"/>
              <w:right w:val="single" w:sz="8" w:space="0" w:color="FFFFFF"/>
            </w:tcBorders>
            <w:shd w:val="clear" w:color="auto" w:fill="EDEFF0"/>
            <w:tcMar>
              <w:right w:w="57" w:type="dxa"/>
            </w:tcMar>
          </w:tcPr>
          <w:p w14:paraId="48F8C1B3" w14:textId="77777777" w:rsidR="00FA4226" w:rsidRPr="00CA2CC1" w:rsidRDefault="00000000" w:rsidP="0043303B">
            <w:pPr>
              <w:pStyle w:val="TableParagraph"/>
              <w:rPr>
                <w:rFonts w:cs="Calibri"/>
                <w:sz w:val="18"/>
              </w:rPr>
            </w:pPr>
            <w:r w:rsidRPr="00CA2CC1">
              <w:rPr>
                <w:rFonts w:cs="Calibri"/>
                <w:color w:val="414042"/>
                <w:spacing w:val="-2"/>
                <w:sz w:val="18"/>
              </w:rPr>
              <w:t>72,977</w:t>
            </w:r>
          </w:p>
        </w:tc>
        <w:tc>
          <w:tcPr>
            <w:tcW w:w="1370" w:type="dxa"/>
            <w:tcBorders>
              <w:top w:val="single" w:sz="6" w:space="0" w:color="73777A"/>
              <w:left w:val="single" w:sz="8" w:space="0" w:color="FFFFFF"/>
              <w:bottom w:val="double" w:sz="4" w:space="0" w:color="73777A"/>
              <w:right w:val="single" w:sz="8" w:space="0" w:color="FFFFFF"/>
            </w:tcBorders>
            <w:shd w:val="clear" w:color="auto" w:fill="FFF0E7"/>
            <w:tcMar>
              <w:right w:w="57" w:type="dxa"/>
            </w:tcMar>
          </w:tcPr>
          <w:p w14:paraId="0A2BCFB7" w14:textId="77777777" w:rsidR="00FA4226" w:rsidRPr="00CA2CC1" w:rsidRDefault="00000000" w:rsidP="0043303B">
            <w:pPr>
              <w:pStyle w:val="TableParagraph"/>
              <w:rPr>
                <w:rFonts w:cs="Calibri"/>
                <w:sz w:val="18"/>
              </w:rPr>
            </w:pPr>
            <w:r w:rsidRPr="00CA2CC1">
              <w:rPr>
                <w:rFonts w:cs="Calibri"/>
                <w:color w:val="414042"/>
                <w:spacing w:val="-2"/>
                <w:sz w:val="18"/>
              </w:rPr>
              <w:t>29,068</w:t>
            </w:r>
          </w:p>
        </w:tc>
        <w:tc>
          <w:tcPr>
            <w:tcW w:w="1370" w:type="dxa"/>
            <w:tcBorders>
              <w:top w:val="single" w:sz="6" w:space="0" w:color="73777A"/>
              <w:left w:val="single" w:sz="8" w:space="0" w:color="FFFFFF"/>
              <w:bottom w:val="double" w:sz="4" w:space="0" w:color="73777A"/>
              <w:right w:val="single" w:sz="8" w:space="0" w:color="FFFFFF"/>
            </w:tcBorders>
            <w:shd w:val="clear" w:color="auto" w:fill="EDEFF0"/>
            <w:tcMar>
              <w:right w:w="57" w:type="dxa"/>
            </w:tcMar>
          </w:tcPr>
          <w:p w14:paraId="4DCC513B" w14:textId="77777777" w:rsidR="00FA4226" w:rsidRPr="00CA2CC1" w:rsidRDefault="00000000" w:rsidP="0043303B">
            <w:pPr>
              <w:pStyle w:val="TableParagraph"/>
              <w:rPr>
                <w:rFonts w:cs="Calibri"/>
                <w:sz w:val="18"/>
              </w:rPr>
            </w:pPr>
            <w:r w:rsidRPr="00CA2CC1">
              <w:rPr>
                <w:rFonts w:cs="Calibri"/>
                <w:color w:val="414042"/>
                <w:sz w:val="18"/>
              </w:rPr>
              <w:t>-</w:t>
            </w:r>
          </w:p>
        </w:tc>
        <w:tc>
          <w:tcPr>
            <w:tcW w:w="1134" w:type="dxa"/>
            <w:tcBorders>
              <w:top w:val="single" w:sz="6" w:space="0" w:color="73777A"/>
              <w:left w:val="single" w:sz="8" w:space="0" w:color="FFFFFF"/>
              <w:bottom w:val="double" w:sz="4" w:space="0" w:color="73777A"/>
              <w:right w:val="nil"/>
            </w:tcBorders>
            <w:shd w:val="clear" w:color="auto" w:fill="FFF0E7"/>
            <w:tcMar>
              <w:right w:w="57" w:type="dxa"/>
            </w:tcMar>
          </w:tcPr>
          <w:p w14:paraId="325535A7" w14:textId="77777777" w:rsidR="00FA4226" w:rsidRPr="00CA2CC1" w:rsidRDefault="00000000" w:rsidP="0043303B">
            <w:pPr>
              <w:pStyle w:val="TableParagraph"/>
              <w:rPr>
                <w:rFonts w:cs="Calibri"/>
                <w:sz w:val="18"/>
              </w:rPr>
            </w:pPr>
            <w:r w:rsidRPr="00CA2CC1">
              <w:rPr>
                <w:rFonts w:cs="Calibri"/>
                <w:color w:val="414042"/>
                <w:spacing w:val="-2"/>
                <w:sz w:val="18"/>
              </w:rPr>
              <w:t>2,454,110</w:t>
            </w:r>
          </w:p>
        </w:tc>
      </w:tr>
      <w:tr w:rsidR="00FA4226" w:rsidRPr="00CA2CC1" w14:paraId="18ABEF5F" w14:textId="77777777" w:rsidTr="0066501D">
        <w:trPr>
          <w:trHeight w:val="263"/>
        </w:trPr>
        <w:tc>
          <w:tcPr>
            <w:tcW w:w="3024" w:type="dxa"/>
            <w:tcBorders>
              <w:top w:val="double" w:sz="6" w:space="0" w:color="73777A"/>
              <w:left w:val="nil"/>
              <w:bottom w:val="single" w:sz="2" w:space="0" w:color="73777A"/>
              <w:right w:val="nil"/>
            </w:tcBorders>
          </w:tcPr>
          <w:p w14:paraId="0C0E0DBA" w14:textId="77777777" w:rsidR="00FA4226" w:rsidRPr="00CA2CC1" w:rsidRDefault="00FA4226" w:rsidP="0043303B">
            <w:pPr>
              <w:pStyle w:val="TableParagraph"/>
              <w:jc w:val="left"/>
              <w:rPr>
                <w:rFonts w:cs="Calibri"/>
                <w:sz w:val="16"/>
              </w:rPr>
            </w:pPr>
          </w:p>
        </w:tc>
        <w:tc>
          <w:tcPr>
            <w:tcW w:w="1370" w:type="dxa"/>
            <w:tcBorders>
              <w:top w:val="double" w:sz="4" w:space="0" w:color="73777A"/>
              <w:left w:val="nil"/>
              <w:bottom w:val="single" w:sz="2" w:space="0" w:color="73777A"/>
              <w:right w:val="single" w:sz="8" w:space="0" w:color="FFFFFF"/>
            </w:tcBorders>
            <w:shd w:val="clear" w:color="auto" w:fill="FFF0E7"/>
            <w:tcMar>
              <w:right w:w="57" w:type="dxa"/>
            </w:tcMar>
          </w:tcPr>
          <w:p w14:paraId="1231423C" w14:textId="77777777" w:rsidR="00FA4226" w:rsidRPr="00CA2CC1" w:rsidRDefault="00FA4226" w:rsidP="0043303B">
            <w:pPr>
              <w:pStyle w:val="TableParagraph"/>
              <w:jc w:val="left"/>
              <w:rPr>
                <w:rFonts w:cs="Calibri"/>
                <w:sz w:val="16"/>
              </w:rPr>
            </w:pPr>
          </w:p>
        </w:tc>
        <w:tc>
          <w:tcPr>
            <w:tcW w:w="1370" w:type="dxa"/>
            <w:tcBorders>
              <w:top w:val="double" w:sz="4" w:space="0" w:color="73777A"/>
              <w:left w:val="single" w:sz="8" w:space="0" w:color="FFFFFF"/>
              <w:bottom w:val="single" w:sz="2" w:space="0" w:color="73777A"/>
              <w:right w:val="single" w:sz="8" w:space="0" w:color="FFFFFF"/>
            </w:tcBorders>
            <w:shd w:val="clear" w:color="auto" w:fill="EDEFF0"/>
            <w:tcMar>
              <w:right w:w="57" w:type="dxa"/>
            </w:tcMar>
          </w:tcPr>
          <w:p w14:paraId="06C6AAFA" w14:textId="77777777" w:rsidR="00FA4226" w:rsidRPr="00CA2CC1" w:rsidRDefault="00FA4226" w:rsidP="0043303B">
            <w:pPr>
              <w:pStyle w:val="TableParagraph"/>
              <w:jc w:val="left"/>
              <w:rPr>
                <w:rFonts w:cs="Calibri"/>
                <w:sz w:val="16"/>
              </w:rPr>
            </w:pPr>
          </w:p>
        </w:tc>
        <w:tc>
          <w:tcPr>
            <w:tcW w:w="1370" w:type="dxa"/>
            <w:tcBorders>
              <w:top w:val="double" w:sz="4" w:space="0" w:color="73777A"/>
              <w:left w:val="single" w:sz="8" w:space="0" w:color="FFFFFF"/>
              <w:bottom w:val="single" w:sz="2" w:space="0" w:color="73777A"/>
              <w:right w:val="single" w:sz="8" w:space="0" w:color="FFFFFF"/>
            </w:tcBorders>
            <w:shd w:val="clear" w:color="auto" w:fill="FFF0E7"/>
            <w:tcMar>
              <w:right w:w="57" w:type="dxa"/>
            </w:tcMar>
          </w:tcPr>
          <w:p w14:paraId="0E99EE9F" w14:textId="77777777" w:rsidR="00FA4226" w:rsidRPr="00CA2CC1" w:rsidRDefault="00FA4226" w:rsidP="0043303B">
            <w:pPr>
              <w:pStyle w:val="TableParagraph"/>
              <w:jc w:val="left"/>
              <w:rPr>
                <w:rFonts w:cs="Calibri"/>
                <w:sz w:val="16"/>
              </w:rPr>
            </w:pPr>
          </w:p>
        </w:tc>
        <w:tc>
          <w:tcPr>
            <w:tcW w:w="1370" w:type="dxa"/>
            <w:tcBorders>
              <w:top w:val="double" w:sz="4" w:space="0" w:color="73777A"/>
              <w:left w:val="single" w:sz="8" w:space="0" w:color="FFFFFF"/>
              <w:bottom w:val="single" w:sz="2" w:space="0" w:color="73777A"/>
              <w:right w:val="single" w:sz="8" w:space="0" w:color="FFFFFF"/>
            </w:tcBorders>
            <w:shd w:val="clear" w:color="auto" w:fill="EDEFF0"/>
            <w:tcMar>
              <w:right w:w="57" w:type="dxa"/>
            </w:tcMar>
          </w:tcPr>
          <w:p w14:paraId="42640D46" w14:textId="77777777" w:rsidR="00FA4226" w:rsidRPr="00CA2CC1" w:rsidRDefault="00FA4226" w:rsidP="0043303B">
            <w:pPr>
              <w:pStyle w:val="TableParagraph"/>
              <w:jc w:val="left"/>
              <w:rPr>
                <w:rFonts w:cs="Calibri"/>
                <w:sz w:val="16"/>
              </w:rPr>
            </w:pPr>
          </w:p>
        </w:tc>
        <w:tc>
          <w:tcPr>
            <w:tcW w:w="1134" w:type="dxa"/>
            <w:tcBorders>
              <w:top w:val="double" w:sz="4" w:space="0" w:color="73777A"/>
              <w:left w:val="single" w:sz="8" w:space="0" w:color="FFFFFF"/>
              <w:bottom w:val="single" w:sz="2" w:space="0" w:color="73777A"/>
              <w:right w:val="nil"/>
            </w:tcBorders>
            <w:shd w:val="clear" w:color="auto" w:fill="FFF0E7"/>
            <w:tcMar>
              <w:right w:w="57" w:type="dxa"/>
            </w:tcMar>
          </w:tcPr>
          <w:p w14:paraId="135E0329" w14:textId="77777777" w:rsidR="00FA4226" w:rsidRPr="00CA2CC1" w:rsidRDefault="00FA4226" w:rsidP="0043303B">
            <w:pPr>
              <w:pStyle w:val="TableParagraph"/>
              <w:jc w:val="left"/>
              <w:rPr>
                <w:rFonts w:cs="Calibri"/>
                <w:sz w:val="16"/>
              </w:rPr>
            </w:pPr>
          </w:p>
        </w:tc>
      </w:tr>
      <w:tr w:rsidR="00FA4226" w:rsidRPr="00CA2CC1" w14:paraId="55692133" w14:textId="77777777" w:rsidTr="0066501D">
        <w:trPr>
          <w:trHeight w:val="283"/>
        </w:trPr>
        <w:tc>
          <w:tcPr>
            <w:tcW w:w="3024" w:type="dxa"/>
            <w:tcBorders>
              <w:top w:val="single" w:sz="2" w:space="0" w:color="73777A"/>
              <w:left w:val="nil"/>
              <w:bottom w:val="single" w:sz="2" w:space="0" w:color="73777A"/>
              <w:right w:val="nil"/>
            </w:tcBorders>
          </w:tcPr>
          <w:p w14:paraId="170AE130" w14:textId="77777777" w:rsidR="00FA4226" w:rsidRPr="00CA2CC1" w:rsidRDefault="00000000" w:rsidP="0043303B">
            <w:pPr>
              <w:pStyle w:val="TableParagraph"/>
              <w:jc w:val="left"/>
              <w:rPr>
                <w:rFonts w:cs="Calibri"/>
                <w:sz w:val="10"/>
              </w:rPr>
            </w:pPr>
            <w:r w:rsidRPr="00CA2CC1">
              <w:rPr>
                <w:rFonts w:cs="Calibri"/>
                <w:color w:val="414042"/>
                <w:sz w:val="18"/>
              </w:rPr>
              <w:t>Additions</w:t>
            </w:r>
            <w:r w:rsidRPr="00CA2CC1">
              <w:rPr>
                <w:rFonts w:cs="Calibri"/>
                <w:color w:val="414042"/>
                <w:spacing w:val="3"/>
                <w:sz w:val="18"/>
              </w:rPr>
              <w:t xml:space="preserve"> </w:t>
            </w:r>
            <w:r w:rsidRPr="00CA2CC1">
              <w:rPr>
                <w:rFonts w:cs="Calibri"/>
                <w:color w:val="414042"/>
                <w:spacing w:val="-5"/>
                <w:position w:val="6"/>
                <w:sz w:val="10"/>
              </w:rPr>
              <w:t>(i)</w:t>
            </w:r>
          </w:p>
        </w:tc>
        <w:tc>
          <w:tcPr>
            <w:tcW w:w="1370" w:type="dxa"/>
            <w:tcBorders>
              <w:top w:val="single" w:sz="2" w:space="0" w:color="73777A"/>
              <w:left w:val="nil"/>
              <w:bottom w:val="single" w:sz="2" w:space="0" w:color="73777A"/>
              <w:right w:val="single" w:sz="8" w:space="0" w:color="FFFFFF"/>
            </w:tcBorders>
            <w:shd w:val="clear" w:color="auto" w:fill="FFF0E7"/>
            <w:tcMar>
              <w:right w:w="57" w:type="dxa"/>
            </w:tcMar>
          </w:tcPr>
          <w:p w14:paraId="176DA177" w14:textId="77777777" w:rsidR="00FA4226" w:rsidRPr="00CA2CC1" w:rsidRDefault="00000000" w:rsidP="0043303B">
            <w:pPr>
              <w:pStyle w:val="TableParagraph"/>
              <w:rPr>
                <w:rFonts w:cs="Calibri"/>
                <w:sz w:val="18"/>
              </w:rPr>
            </w:pPr>
            <w:r w:rsidRPr="00CA2CC1">
              <w:rPr>
                <w:rFonts w:cs="Calibri"/>
                <w:color w:val="414042"/>
                <w:sz w:val="18"/>
              </w:rPr>
              <w:t>-</w:t>
            </w:r>
          </w:p>
        </w:tc>
        <w:tc>
          <w:tcPr>
            <w:tcW w:w="1370" w:type="dxa"/>
            <w:tcBorders>
              <w:top w:val="single" w:sz="2" w:space="0" w:color="73777A"/>
              <w:left w:val="single" w:sz="8" w:space="0" w:color="FFFFFF"/>
              <w:bottom w:val="single" w:sz="2" w:space="0" w:color="73777A"/>
              <w:right w:val="single" w:sz="8" w:space="0" w:color="FFFFFF"/>
            </w:tcBorders>
            <w:shd w:val="clear" w:color="auto" w:fill="EDEFF0"/>
            <w:tcMar>
              <w:right w:w="57" w:type="dxa"/>
            </w:tcMar>
          </w:tcPr>
          <w:p w14:paraId="63D82074" w14:textId="77777777" w:rsidR="00FA4226" w:rsidRPr="00CA2CC1" w:rsidRDefault="00000000" w:rsidP="0043303B">
            <w:pPr>
              <w:pStyle w:val="TableParagraph"/>
              <w:rPr>
                <w:rFonts w:cs="Calibri"/>
                <w:sz w:val="18"/>
              </w:rPr>
            </w:pPr>
            <w:r w:rsidRPr="00CA2CC1">
              <w:rPr>
                <w:rFonts w:cs="Calibri"/>
                <w:color w:val="414042"/>
                <w:sz w:val="18"/>
              </w:rPr>
              <w:t>-</w:t>
            </w:r>
          </w:p>
        </w:tc>
        <w:tc>
          <w:tcPr>
            <w:tcW w:w="1370" w:type="dxa"/>
            <w:tcBorders>
              <w:top w:val="single" w:sz="2" w:space="0" w:color="73777A"/>
              <w:left w:val="single" w:sz="8" w:space="0" w:color="FFFFFF"/>
              <w:bottom w:val="single" w:sz="2" w:space="0" w:color="73777A"/>
              <w:right w:val="single" w:sz="8" w:space="0" w:color="FFFFFF"/>
            </w:tcBorders>
            <w:shd w:val="clear" w:color="auto" w:fill="FFF0E7"/>
            <w:tcMar>
              <w:right w:w="57" w:type="dxa"/>
            </w:tcMar>
          </w:tcPr>
          <w:p w14:paraId="7561F441" w14:textId="77777777" w:rsidR="00FA4226" w:rsidRPr="00CA2CC1" w:rsidRDefault="00000000" w:rsidP="0043303B">
            <w:pPr>
              <w:pStyle w:val="TableParagraph"/>
              <w:rPr>
                <w:rFonts w:cs="Calibri"/>
                <w:sz w:val="18"/>
              </w:rPr>
            </w:pPr>
            <w:r w:rsidRPr="00CA2CC1">
              <w:rPr>
                <w:rFonts w:cs="Calibri"/>
                <w:color w:val="414042"/>
                <w:spacing w:val="-2"/>
                <w:sz w:val="18"/>
              </w:rPr>
              <w:t>48,198</w:t>
            </w:r>
          </w:p>
        </w:tc>
        <w:tc>
          <w:tcPr>
            <w:tcW w:w="1370" w:type="dxa"/>
            <w:tcBorders>
              <w:top w:val="single" w:sz="2" w:space="0" w:color="73777A"/>
              <w:left w:val="single" w:sz="8" w:space="0" w:color="FFFFFF"/>
              <w:bottom w:val="single" w:sz="2" w:space="0" w:color="73777A"/>
              <w:right w:val="single" w:sz="8" w:space="0" w:color="FFFFFF"/>
            </w:tcBorders>
            <w:shd w:val="clear" w:color="auto" w:fill="EDEFF0"/>
            <w:tcMar>
              <w:right w:w="57" w:type="dxa"/>
            </w:tcMar>
          </w:tcPr>
          <w:p w14:paraId="49E453F4" w14:textId="77777777" w:rsidR="00FA4226" w:rsidRPr="00CA2CC1" w:rsidRDefault="00000000" w:rsidP="0043303B">
            <w:pPr>
              <w:pStyle w:val="TableParagraph"/>
              <w:rPr>
                <w:rFonts w:cs="Calibri"/>
                <w:sz w:val="18"/>
              </w:rPr>
            </w:pPr>
            <w:r w:rsidRPr="00CA2CC1">
              <w:rPr>
                <w:rFonts w:cs="Calibri"/>
                <w:color w:val="414042"/>
                <w:sz w:val="18"/>
              </w:rPr>
              <w:t>-</w:t>
            </w:r>
          </w:p>
        </w:tc>
        <w:tc>
          <w:tcPr>
            <w:tcW w:w="1134" w:type="dxa"/>
            <w:tcBorders>
              <w:top w:val="single" w:sz="2" w:space="0" w:color="73777A"/>
              <w:left w:val="single" w:sz="8" w:space="0" w:color="FFFFFF"/>
              <w:bottom w:val="single" w:sz="2" w:space="0" w:color="73777A"/>
              <w:right w:val="nil"/>
            </w:tcBorders>
            <w:shd w:val="clear" w:color="auto" w:fill="FFF0E7"/>
            <w:tcMar>
              <w:right w:w="57" w:type="dxa"/>
            </w:tcMar>
          </w:tcPr>
          <w:p w14:paraId="57759886" w14:textId="77777777" w:rsidR="00FA4226" w:rsidRPr="00CA2CC1" w:rsidRDefault="00000000" w:rsidP="0043303B">
            <w:pPr>
              <w:pStyle w:val="TableParagraph"/>
              <w:rPr>
                <w:rFonts w:cs="Calibri"/>
                <w:sz w:val="18"/>
              </w:rPr>
            </w:pPr>
            <w:r w:rsidRPr="00CA2CC1">
              <w:rPr>
                <w:rFonts w:cs="Calibri"/>
                <w:color w:val="414042"/>
                <w:spacing w:val="-2"/>
                <w:sz w:val="18"/>
              </w:rPr>
              <w:t>48,198</w:t>
            </w:r>
          </w:p>
        </w:tc>
      </w:tr>
      <w:tr w:rsidR="00FA4226" w:rsidRPr="00CA2CC1" w14:paraId="0C9A6BC7" w14:textId="77777777" w:rsidTr="0066501D">
        <w:trPr>
          <w:trHeight w:val="278"/>
        </w:trPr>
        <w:tc>
          <w:tcPr>
            <w:tcW w:w="3024" w:type="dxa"/>
            <w:tcBorders>
              <w:top w:val="single" w:sz="2" w:space="0" w:color="73777A"/>
              <w:left w:val="nil"/>
              <w:bottom w:val="single" w:sz="6" w:space="0" w:color="73777A"/>
              <w:right w:val="nil"/>
            </w:tcBorders>
          </w:tcPr>
          <w:p w14:paraId="3D2B772C" w14:textId="77777777" w:rsidR="00FA4226" w:rsidRPr="00CA2CC1" w:rsidRDefault="00000000" w:rsidP="0043303B">
            <w:pPr>
              <w:pStyle w:val="TableParagraph"/>
              <w:jc w:val="left"/>
              <w:rPr>
                <w:rFonts w:cs="Calibri"/>
                <w:sz w:val="10"/>
              </w:rPr>
            </w:pPr>
            <w:r w:rsidRPr="00CA2CC1">
              <w:rPr>
                <w:rFonts w:cs="Calibri"/>
                <w:color w:val="414042"/>
                <w:sz w:val="18"/>
              </w:rPr>
              <w:t>Depreciation</w:t>
            </w:r>
            <w:r w:rsidRPr="00CA2CC1">
              <w:rPr>
                <w:rFonts w:cs="Calibri"/>
                <w:color w:val="414042"/>
                <w:spacing w:val="10"/>
                <w:sz w:val="18"/>
              </w:rPr>
              <w:t xml:space="preserve"> </w:t>
            </w:r>
            <w:r w:rsidRPr="00CA2CC1">
              <w:rPr>
                <w:rFonts w:cs="Calibri"/>
                <w:color w:val="414042"/>
                <w:spacing w:val="-5"/>
                <w:position w:val="6"/>
                <w:sz w:val="10"/>
              </w:rPr>
              <w:t>(i)</w:t>
            </w:r>
          </w:p>
        </w:tc>
        <w:tc>
          <w:tcPr>
            <w:tcW w:w="1370" w:type="dxa"/>
            <w:tcBorders>
              <w:top w:val="single" w:sz="2" w:space="0" w:color="73777A"/>
              <w:left w:val="nil"/>
              <w:bottom w:val="single" w:sz="6" w:space="0" w:color="73777A"/>
              <w:right w:val="single" w:sz="8" w:space="0" w:color="FFFFFF"/>
            </w:tcBorders>
            <w:shd w:val="clear" w:color="auto" w:fill="FFF0E7"/>
            <w:tcMar>
              <w:right w:w="57" w:type="dxa"/>
            </w:tcMar>
          </w:tcPr>
          <w:p w14:paraId="47879E10" w14:textId="77777777" w:rsidR="00FA4226" w:rsidRPr="00CA2CC1" w:rsidRDefault="00000000" w:rsidP="0043303B">
            <w:pPr>
              <w:pStyle w:val="TableParagraph"/>
              <w:rPr>
                <w:rFonts w:cs="Calibri"/>
                <w:sz w:val="18"/>
              </w:rPr>
            </w:pPr>
            <w:r w:rsidRPr="00CA2CC1">
              <w:rPr>
                <w:rFonts w:cs="Calibri"/>
                <w:color w:val="414042"/>
                <w:spacing w:val="-2"/>
                <w:sz w:val="18"/>
              </w:rPr>
              <w:t>(371,574)</w:t>
            </w:r>
          </w:p>
        </w:tc>
        <w:tc>
          <w:tcPr>
            <w:tcW w:w="1370" w:type="dxa"/>
            <w:tcBorders>
              <w:top w:val="single" w:sz="2" w:space="0" w:color="73777A"/>
              <w:left w:val="single" w:sz="8" w:space="0" w:color="FFFFFF"/>
              <w:bottom w:val="single" w:sz="6" w:space="0" w:color="73777A"/>
              <w:right w:val="single" w:sz="8" w:space="0" w:color="FFFFFF"/>
            </w:tcBorders>
            <w:shd w:val="clear" w:color="auto" w:fill="EDEFF0"/>
            <w:tcMar>
              <w:right w:w="57" w:type="dxa"/>
            </w:tcMar>
          </w:tcPr>
          <w:p w14:paraId="38C7A5CD" w14:textId="77777777" w:rsidR="00FA4226" w:rsidRPr="00CA2CC1" w:rsidRDefault="00000000" w:rsidP="0043303B">
            <w:pPr>
              <w:pStyle w:val="TableParagraph"/>
              <w:rPr>
                <w:rFonts w:cs="Calibri"/>
                <w:sz w:val="18"/>
              </w:rPr>
            </w:pPr>
            <w:r w:rsidRPr="00CA2CC1">
              <w:rPr>
                <w:rFonts w:cs="Calibri"/>
                <w:color w:val="414042"/>
                <w:spacing w:val="-2"/>
                <w:sz w:val="18"/>
              </w:rPr>
              <w:t>(25,721)</w:t>
            </w:r>
          </w:p>
        </w:tc>
        <w:tc>
          <w:tcPr>
            <w:tcW w:w="1370" w:type="dxa"/>
            <w:tcBorders>
              <w:top w:val="single" w:sz="2" w:space="0" w:color="73777A"/>
              <w:left w:val="single" w:sz="8" w:space="0" w:color="FFFFFF"/>
              <w:bottom w:val="single" w:sz="6" w:space="0" w:color="73777A"/>
              <w:right w:val="single" w:sz="8" w:space="0" w:color="FFFFFF"/>
            </w:tcBorders>
            <w:shd w:val="clear" w:color="auto" w:fill="FFF0E7"/>
            <w:tcMar>
              <w:right w:w="57" w:type="dxa"/>
            </w:tcMar>
          </w:tcPr>
          <w:p w14:paraId="5E308914" w14:textId="77777777" w:rsidR="00FA4226" w:rsidRPr="00CA2CC1" w:rsidRDefault="00000000" w:rsidP="0043303B">
            <w:pPr>
              <w:pStyle w:val="TableParagraph"/>
              <w:rPr>
                <w:rFonts w:cs="Calibri"/>
                <w:sz w:val="18"/>
              </w:rPr>
            </w:pPr>
            <w:r w:rsidRPr="00CA2CC1">
              <w:rPr>
                <w:rFonts w:cs="Calibri"/>
                <w:color w:val="414042"/>
                <w:spacing w:val="-2"/>
                <w:sz w:val="18"/>
              </w:rPr>
              <w:t>(7,101)</w:t>
            </w:r>
          </w:p>
        </w:tc>
        <w:tc>
          <w:tcPr>
            <w:tcW w:w="1370" w:type="dxa"/>
            <w:tcBorders>
              <w:top w:val="single" w:sz="2" w:space="0" w:color="73777A"/>
              <w:left w:val="single" w:sz="8" w:space="0" w:color="FFFFFF"/>
              <w:bottom w:val="single" w:sz="6" w:space="0" w:color="73777A"/>
              <w:right w:val="single" w:sz="8" w:space="0" w:color="FFFFFF"/>
            </w:tcBorders>
            <w:shd w:val="clear" w:color="auto" w:fill="EDEFF0"/>
            <w:tcMar>
              <w:right w:w="57" w:type="dxa"/>
            </w:tcMar>
          </w:tcPr>
          <w:p w14:paraId="0707BBC8" w14:textId="77777777" w:rsidR="00FA4226" w:rsidRPr="00CA2CC1" w:rsidRDefault="00000000" w:rsidP="0043303B">
            <w:pPr>
              <w:pStyle w:val="TableParagraph"/>
              <w:rPr>
                <w:rFonts w:cs="Calibri"/>
                <w:sz w:val="18"/>
              </w:rPr>
            </w:pPr>
            <w:r w:rsidRPr="00CA2CC1">
              <w:rPr>
                <w:rFonts w:cs="Calibri"/>
                <w:color w:val="414042"/>
                <w:sz w:val="18"/>
              </w:rPr>
              <w:t>-</w:t>
            </w:r>
          </w:p>
        </w:tc>
        <w:tc>
          <w:tcPr>
            <w:tcW w:w="1134" w:type="dxa"/>
            <w:tcBorders>
              <w:top w:val="single" w:sz="2" w:space="0" w:color="73777A"/>
              <w:left w:val="single" w:sz="8" w:space="0" w:color="FFFFFF"/>
              <w:bottom w:val="single" w:sz="6" w:space="0" w:color="73777A"/>
              <w:right w:val="nil"/>
            </w:tcBorders>
            <w:shd w:val="clear" w:color="auto" w:fill="FFF0E7"/>
            <w:tcMar>
              <w:right w:w="57" w:type="dxa"/>
            </w:tcMar>
          </w:tcPr>
          <w:p w14:paraId="4EBB9044" w14:textId="77777777" w:rsidR="00FA4226" w:rsidRPr="00CA2CC1" w:rsidRDefault="00000000" w:rsidP="0043303B">
            <w:pPr>
              <w:pStyle w:val="TableParagraph"/>
              <w:rPr>
                <w:rFonts w:cs="Calibri"/>
                <w:sz w:val="18"/>
              </w:rPr>
            </w:pPr>
            <w:r w:rsidRPr="00CA2CC1">
              <w:rPr>
                <w:rFonts w:cs="Calibri"/>
                <w:color w:val="414042"/>
                <w:spacing w:val="-2"/>
                <w:sz w:val="18"/>
              </w:rPr>
              <w:t>(404,396)</w:t>
            </w:r>
          </w:p>
        </w:tc>
      </w:tr>
      <w:tr w:rsidR="00FA4226" w:rsidRPr="00CA2CC1" w14:paraId="7D1FDC1E" w14:textId="77777777" w:rsidTr="0066501D">
        <w:trPr>
          <w:trHeight w:val="258"/>
        </w:trPr>
        <w:tc>
          <w:tcPr>
            <w:tcW w:w="3024" w:type="dxa"/>
            <w:tcBorders>
              <w:top w:val="single" w:sz="6" w:space="0" w:color="73777A"/>
              <w:left w:val="nil"/>
              <w:bottom w:val="double" w:sz="6" w:space="0" w:color="73777A"/>
              <w:right w:val="nil"/>
            </w:tcBorders>
          </w:tcPr>
          <w:p w14:paraId="1B257A6D" w14:textId="77777777" w:rsidR="00FA4226" w:rsidRPr="00CA2CC1" w:rsidRDefault="00000000" w:rsidP="0043303B">
            <w:pPr>
              <w:pStyle w:val="TableParagraph"/>
              <w:jc w:val="left"/>
              <w:rPr>
                <w:rFonts w:cs="Calibri"/>
                <w:sz w:val="10"/>
              </w:rPr>
            </w:pPr>
            <w:r w:rsidRPr="00CA2CC1">
              <w:rPr>
                <w:rFonts w:cs="Calibri"/>
                <w:color w:val="414042"/>
                <w:sz w:val="18"/>
              </w:rPr>
              <w:t>Carrying</w:t>
            </w:r>
            <w:r w:rsidRPr="00CA2CC1">
              <w:rPr>
                <w:rFonts w:cs="Calibri"/>
                <w:color w:val="414042"/>
                <w:spacing w:val="4"/>
                <w:sz w:val="18"/>
              </w:rPr>
              <w:t xml:space="preserve"> </w:t>
            </w:r>
            <w:r w:rsidRPr="00CA2CC1">
              <w:rPr>
                <w:rFonts w:cs="Calibri"/>
                <w:color w:val="414042"/>
                <w:sz w:val="18"/>
              </w:rPr>
              <w:t>amount</w:t>
            </w:r>
            <w:r w:rsidRPr="00CA2CC1">
              <w:rPr>
                <w:rFonts w:cs="Calibri"/>
                <w:color w:val="414042"/>
                <w:spacing w:val="6"/>
                <w:sz w:val="18"/>
              </w:rPr>
              <w:t xml:space="preserve"> </w:t>
            </w:r>
            <w:r w:rsidRPr="00CA2CC1">
              <w:rPr>
                <w:rFonts w:cs="Calibri"/>
                <w:color w:val="414042"/>
                <w:sz w:val="18"/>
              </w:rPr>
              <w:t>at</w:t>
            </w:r>
            <w:r w:rsidRPr="00CA2CC1">
              <w:rPr>
                <w:rFonts w:cs="Calibri"/>
                <w:color w:val="414042"/>
                <w:spacing w:val="6"/>
                <w:sz w:val="18"/>
              </w:rPr>
              <w:t xml:space="preserve"> </w:t>
            </w:r>
            <w:r w:rsidRPr="00CA2CC1">
              <w:rPr>
                <w:rFonts w:cs="Calibri"/>
                <w:color w:val="414042"/>
                <w:sz w:val="18"/>
              </w:rPr>
              <w:t>end</w:t>
            </w:r>
            <w:r w:rsidRPr="00CA2CC1">
              <w:rPr>
                <w:rFonts w:cs="Calibri"/>
                <w:color w:val="414042"/>
                <w:spacing w:val="6"/>
                <w:sz w:val="18"/>
              </w:rPr>
              <w:t xml:space="preserve"> </w:t>
            </w:r>
            <w:r w:rsidRPr="00CA2CC1">
              <w:rPr>
                <w:rFonts w:cs="Calibri"/>
                <w:color w:val="414042"/>
                <w:sz w:val="18"/>
              </w:rPr>
              <w:t>of</w:t>
            </w:r>
            <w:r w:rsidRPr="00CA2CC1">
              <w:rPr>
                <w:rFonts w:cs="Calibri"/>
                <w:color w:val="414042"/>
                <w:spacing w:val="6"/>
                <w:sz w:val="18"/>
              </w:rPr>
              <w:t xml:space="preserve"> </w:t>
            </w:r>
            <w:r w:rsidRPr="00CA2CC1">
              <w:rPr>
                <w:rFonts w:cs="Calibri"/>
                <w:color w:val="414042"/>
                <w:sz w:val="18"/>
              </w:rPr>
              <w:t>year</w:t>
            </w:r>
            <w:r w:rsidRPr="00CA2CC1">
              <w:rPr>
                <w:rFonts w:cs="Calibri"/>
                <w:color w:val="414042"/>
                <w:spacing w:val="6"/>
                <w:sz w:val="18"/>
              </w:rPr>
              <w:t xml:space="preserve"> </w:t>
            </w:r>
            <w:r w:rsidRPr="00CA2CC1">
              <w:rPr>
                <w:rFonts w:cs="Calibri"/>
                <w:color w:val="414042"/>
                <w:spacing w:val="-5"/>
                <w:position w:val="6"/>
                <w:sz w:val="10"/>
              </w:rPr>
              <w:t>(i)</w:t>
            </w:r>
          </w:p>
        </w:tc>
        <w:tc>
          <w:tcPr>
            <w:tcW w:w="1370" w:type="dxa"/>
            <w:tcBorders>
              <w:top w:val="single" w:sz="6" w:space="0" w:color="73777A"/>
              <w:left w:val="nil"/>
              <w:bottom w:val="double" w:sz="4" w:space="0" w:color="73777A"/>
              <w:right w:val="single" w:sz="8" w:space="0" w:color="FFFFFF"/>
            </w:tcBorders>
            <w:shd w:val="clear" w:color="auto" w:fill="FFF0E7"/>
            <w:tcMar>
              <w:right w:w="57" w:type="dxa"/>
            </w:tcMar>
          </w:tcPr>
          <w:p w14:paraId="07D665DE" w14:textId="77777777" w:rsidR="00FA4226" w:rsidRPr="00CA2CC1" w:rsidRDefault="00000000" w:rsidP="0043303B">
            <w:pPr>
              <w:pStyle w:val="TableParagraph"/>
              <w:rPr>
                <w:rFonts w:cs="Calibri"/>
                <w:sz w:val="18"/>
              </w:rPr>
            </w:pPr>
            <w:r w:rsidRPr="00CA2CC1">
              <w:rPr>
                <w:rFonts w:cs="Calibri"/>
                <w:color w:val="414042"/>
                <w:spacing w:val="-2"/>
                <w:sz w:val="18"/>
              </w:rPr>
              <w:t>1,980,491</w:t>
            </w:r>
          </w:p>
        </w:tc>
        <w:tc>
          <w:tcPr>
            <w:tcW w:w="1370" w:type="dxa"/>
            <w:tcBorders>
              <w:top w:val="single" w:sz="6" w:space="0" w:color="73777A"/>
              <w:left w:val="single" w:sz="8" w:space="0" w:color="FFFFFF"/>
              <w:bottom w:val="double" w:sz="4" w:space="0" w:color="73777A"/>
              <w:right w:val="single" w:sz="8" w:space="0" w:color="FFFFFF"/>
            </w:tcBorders>
            <w:shd w:val="clear" w:color="auto" w:fill="EDEFF0"/>
            <w:tcMar>
              <w:right w:w="57" w:type="dxa"/>
            </w:tcMar>
          </w:tcPr>
          <w:p w14:paraId="470EA6F3" w14:textId="77777777" w:rsidR="00FA4226" w:rsidRPr="00CA2CC1" w:rsidRDefault="00000000" w:rsidP="0043303B">
            <w:pPr>
              <w:pStyle w:val="TableParagraph"/>
              <w:rPr>
                <w:rFonts w:cs="Calibri"/>
                <w:sz w:val="18"/>
              </w:rPr>
            </w:pPr>
            <w:r w:rsidRPr="00CA2CC1">
              <w:rPr>
                <w:rFonts w:cs="Calibri"/>
                <w:color w:val="414042"/>
                <w:spacing w:val="-2"/>
                <w:sz w:val="18"/>
              </w:rPr>
              <w:t>47,256</w:t>
            </w:r>
          </w:p>
        </w:tc>
        <w:tc>
          <w:tcPr>
            <w:tcW w:w="1370" w:type="dxa"/>
            <w:tcBorders>
              <w:top w:val="single" w:sz="6" w:space="0" w:color="73777A"/>
              <w:left w:val="single" w:sz="8" w:space="0" w:color="FFFFFF"/>
              <w:bottom w:val="double" w:sz="4" w:space="0" w:color="73777A"/>
              <w:right w:val="single" w:sz="8" w:space="0" w:color="FFFFFF"/>
            </w:tcBorders>
            <w:shd w:val="clear" w:color="auto" w:fill="FFF0E7"/>
            <w:tcMar>
              <w:right w:w="57" w:type="dxa"/>
            </w:tcMar>
          </w:tcPr>
          <w:p w14:paraId="1827A60D" w14:textId="77777777" w:rsidR="00FA4226" w:rsidRPr="00CA2CC1" w:rsidRDefault="00000000" w:rsidP="0043303B">
            <w:pPr>
              <w:pStyle w:val="TableParagraph"/>
              <w:rPr>
                <w:rFonts w:cs="Calibri"/>
                <w:sz w:val="18"/>
              </w:rPr>
            </w:pPr>
            <w:r w:rsidRPr="00CA2CC1">
              <w:rPr>
                <w:rFonts w:cs="Calibri"/>
                <w:color w:val="414042"/>
                <w:spacing w:val="-2"/>
                <w:sz w:val="18"/>
              </w:rPr>
              <w:t>70,165</w:t>
            </w:r>
          </w:p>
        </w:tc>
        <w:tc>
          <w:tcPr>
            <w:tcW w:w="1370" w:type="dxa"/>
            <w:tcBorders>
              <w:top w:val="single" w:sz="6" w:space="0" w:color="73777A"/>
              <w:left w:val="single" w:sz="8" w:space="0" w:color="FFFFFF"/>
              <w:bottom w:val="double" w:sz="4" w:space="0" w:color="73777A"/>
              <w:right w:val="single" w:sz="8" w:space="0" w:color="FFFFFF"/>
            </w:tcBorders>
            <w:shd w:val="clear" w:color="auto" w:fill="EDEFF0"/>
            <w:tcMar>
              <w:right w:w="57" w:type="dxa"/>
            </w:tcMar>
          </w:tcPr>
          <w:p w14:paraId="4419F82B" w14:textId="77777777" w:rsidR="00FA4226" w:rsidRPr="00CA2CC1" w:rsidRDefault="00000000" w:rsidP="0043303B">
            <w:pPr>
              <w:pStyle w:val="TableParagraph"/>
              <w:rPr>
                <w:rFonts w:cs="Calibri"/>
                <w:sz w:val="18"/>
              </w:rPr>
            </w:pPr>
            <w:r w:rsidRPr="00CA2CC1">
              <w:rPr>
                <w:rFonts w:cs="Calibri"/>
                <w:color w:val="414042"/>
                <w:sz w:val="18"/>
              </w:rPr>
              <w:t>-</w:t>
            </w:r>
          </w:p>
        </w:tc>
        <w:tc>
          <w:tcPr>
            <w:tcW w:w="1134" w:type="dxa"/>
            <w:tcBorders>
              <w:top w:val="single" w:sz="6" w:space="0" w:color="73777A"/>
              <w:left w:val="single" w:sz="8" w:space="0" w:color="FFFFFF"/>
              <w:bottom w:val="double" w:sz="4" w:space="0" w:color="73777A"/>
              <w:right w:val="nil"/>
            </w:tcBorders>
            <w:shd w:val="clear" w:color="auto" w:fill="FFF0E7"/>
            <w:tcMar>
              <w:right w:w="57" w:type="dxa"/>
            </w:tcMar>
          </w:tcPr>
          <w:p w14:paraId="33527359" w14:textId="77777777" w:rsidR="00FA4226" w:rsidRPr="00CA2CC1" w:rsidRDefault="00000000" w:rsidP="0043303B">
            <w:pPr>
              <w:pStyle w:val="TableParagraph"/>
              <w:rPr>
                <w:rFonts w:cs="Calibri"/>
                <w:sz w:val="18"/>
              </w:rPr>
            </w:pPr>
            <w:r w:rsidRPr="00CA2CC1">
              <w:rPr>
                <w:rFonts w:cs="Calibri"/>
                <w:color w:val="414042"/>
                <w:spacing w:val="-2"/>
                <w:sz w:val="18"/>
              </w:rPr>
              <w:t>2,097,912</w:t>
            </w:r>
          </w:p>
        </w:tc>
      </w:tr>
    </w:tbl>
    <w:p w14:paraId="4A4C7358" w14:textId="77777777" w:rsidR="00FA4226" w:rsidRPr="00CA2CC1" w:rsidRDefault="00FA4226" w:rsidP="0043303B">
      <w:pPr>
        <w:pStyle w:val="BodyText"/>
        <w:spacing w:before="10"/>
        <w:rPr>
          <w:rFonts w:cs="Calibri"/>
          <w:sz w:val="17"/>
        </w:rPr>
      </w:pPr>
    </w:p>
    <w:p w14:paraId="71F1C7F7" w14:textId="77777777" w:rsidR="00FA4226" w:rsidRPr="00CA2CC1" w:rsidRDefault="00000000" w:rsidP="0043303B">
      <w:pPr>
        <w:rPr>
          <w:rFonts w:cs="Calibri"/>
          <w:i/>
          <w:sz w:val="16"/>
        </w:rPr>
      </w:pPr>
      <w:r w:rsidRPr="00CA2CC1">
        <w:rPr>
          <w:rFonts w:cs="Calibri"/>
          <w:i/>
          <w:color w:val="414042"/>
          <w:sz w:val="16"/>
        </w:rPr>
        <w:t>(i)</w:t>
      </w:r>
      <w:r w:rsidRPr="00CA2CC1">
        <w:rPr>
          <w:rFonts w:cs="Calibri"/>
          <w:i/>
          <w:color w:val="414042"/>
          <w:spacing w:val="-4"/>
          <w:sz w:val="16"/>
        </w:rPr>
        <w:t xml:space="preserve"> </w:t>
      </w:r>
      <w:r w:rsidRPr="00CA2CC1">
        <w:rPr>
          <w:rFonts w:cs="Calibri"/>
          <w:i/>
          <w:color w:val="414042"/>
          <w:sz w:val="16"/>
        </w:rPr>
        <w:t>The</w:t>
      </w:r>
      <w:r w:rsidRPr="00CA2CC1">
        <w:rPr>
          <w:rFonts w:cs="Calibri"/>
          <w:i/>
          <w:color w:val="414042"/>
          <w:spacing w:val="-4"/>
          <w:sz w:val="16"/>
        </w:rPr>
        <w:t xml:space="preserve"> </w:t>
      </w:r>
      <w:r w:rsidRPr="00CA2CC1">
        <w:rPr>
          <w:rFonts w:cs="Calibri"/>
          <w:i/>
          <w:color w:val="414042"/>
          <w:sz w:val="16"/>
        </w:rPr>
        <w:t>2021-22</w:t>
      </w:r>
      <w:r w:rsidRPr="00CA2CC1">
        <w:rPr>
          <w:rFonts w:cs="Calibri"/>
          <w:i/>
          <w:color w:val="414042"/>
          <w:spacing w:val="-4"/>
          <w:sz w:val="16"/>
        </w:rPr>
        <w:t xml:space="preserve"> </w:t>
      </w:r>
      <w:r w:rsidRPr="00CA2CC1">
        <w:rPr>
          <w:rFonts w:cs="Calibri"/>
          <w:i/>
          <w:color w:val="414042"/>
          <w:sz w:val="16"/>
        </w:rPr>
        <w:t>comparative</w:t>
      </w:r>
      <w:r w:rsidRPr="00CA2CC1">
        <w:rPr>
          <w:rFonts w:cs="Calibri"/>
          <w:i/>
          <w:color w:val="414042"/>
          <w:spacing w:val="-4"/>
          <w:sz w:val="16"/>
        </w:rPr>
        <w:t xml:space="preserve"> </w:t>
      </w:r>
      <w:r w:rsidRPr="00CA2CC1">
        <w:rPr>
          <w:rFonts w:cs="Calibri"/>
          <w:i/>
          <w:color w:val="414042"/>
          <w:sz w:val="16"/>
        </w:rPr>
        <w:t>figures</w:t>
      </w:r>
      <w:r w:rsidRPr="00CA2CC1">
        <w:rPr>
          <w:rFonts w:cs="Calibri"/>
          <w:i/>
          <w:color w:val="414042"/>
          <w:spacing w:val="-4"/>
          <w:sz w:val="16"/>
        </w:rPr>
        <w:t xml:space="preserve"> </w:t>
      </w:r>
      <w:r w:rsidRPr="00CA2CC1">
        <w:rPr>
          <w:rFonts w:cs="Calibri"/>
          <w:i/>
          <w:color w:val="414042"/>
          <w:sz w:val="16"/>
        </w:rPr>
        <w:t>have</w:t>
      </w:r>
      <w:r w:rsidRPr="00CA2CC1">
        <w:rPr>
          <w:rFonts w:cs="Calibri"/>
          <w:i/>
          <w:color w:val="414042"/>
          <w:spacing w:val="-4"/>
          <w:sz w:val="16"/>
        </w:rPr>
        <w:t xml:space="preserve"> </w:t>
      </w:r>
      <w:r w:rsidRPr="00CA2CC1">
        <w:rPr>
          <w:rFonts w:cs="Calibri"/>
          <w:i/>
          <w:color w:val="414042"/>
          <w:sz w:val="16"/>
        </w:rPr>
        <w:t>been</w:t>
      </w:r>
      <w:r w:rsidRPr="00CA2CC1">
        <w:rPr>
          <w:rFonts w:cs="Calibri"/>
          <w:i/>
          <w:color w:val="414042"/>
          <w:spacing w:val="-4"/>
          <w:sz w:val="16"/>
        </w:rPr>
        <w:t xml:space="preserve"> </w:t>
      </w:r>
      <w:r w:rsidRPr="00CA2CC1">
        <w:rPr>
          <w:rFonts w:cs="Calibri"/>
          <w:i/>
          <w:color w:val="414042"/>
          <w:sz w:val="16"/>
        </w:rPr>
        <w:t>adjusted</w:t>
      </w:r>
      <w:r w:rsidRPr="00CA2CC1">
        <w:rPr>
          <w:rFonts w:cs="Calibri"/>
          <w:i/>
          <w:color w:val="414042"/>
          <w:spacing w:val="-4"/>
          <w:sz w:val="16"/>
        </w:rPr>
        <w:t xml:space="preserve"> </w:t>
      </w:r>
      <w:r w:rsidRPr="00CA2CC1">
        <w:rPr>
          <w:rFonts w:cs="Calibri"/>
          <w:i/>
          <w:color w:val="414042"/>
          <w:sz w:val="16"/>
        </w:rPr>
        <w:t>to</w:t>
      </w:r>
      <w:r w:rsidRPr="00CA2CC1">
        <w:rPr>
          <w:rFonts w:cs="Calibri"/>
          <w:i/>
          <w:color w:val="414042"/>
          <w:spacing w:val="-4"/>
          <w:sz w:val="16"/>
        </w:rPr>
        <w:t xml:space="preserve"> </w:t>
      </w:r>
      <w:r w:rsidRPr="00CA2CC1">
        <w:rPr>
          <w:rFonts w:cs="Calibri"/>
          <w:i/>
          <w:color w:val="414042"/>
          <w:sz w:val="16"/>
        </w:rPr>
        <w:t>correct a prior period error. Refer to note 8.5 for more information.</w:t>
      </w:r>
    </w:p>
    <w:p w14:paraId="29629ADD" w14:textId="77777777" w:rsidR="00FA4226" w:rsidRPr="00CA2CC1" w:rsidRDefault="00FA4226" w:rsidP="0043303B">
      <w:pPr>
        <w:pStyle w:val="BodyText"/>
        <w:spacing w:before="8"/>
        <w:rPr>
          <w:rFonts w:cs="Calibri"/>
        </w:rPr>
      </w:pPr>
    </w:p>
    <w:p w14:paraId="46DBE2EE" w14:textId="77777777" w:rsidR="00FA4226" w:rsidRPr="00396443" w:rsidRDefault="00000000" w:rsidP="0043303B">
      <w:pPr>
        <w:pStyle w:val="Heading7"/>
        <w:numPr>
          <w:ilvl w:val="1"/>
          <w:numId w:val="13"/>
        </w:numPr>
        <w:spacing w:before="60"/>
        <w:ind w:left="0" w:firstLine="0"/>
        <w:rPr>
          <w:rFonts w:cs="Calibri"/>
          <w:color w:val="000000" w:themeColor="text1"/>
        </w:rPr>
      </w:pPr>
      <w:r w:rsidRPr="00396443">
        <w:rPr>
          <w:rFonts w:cs="Calibri"/>
          <w:color w:val="000000" w:themeColor="text1"/>
        </w:rPr>
        <w:t>Asset</w:t>
      </w:r>
      <w:r w:rsidRPr="00396443">
        <w:rPr>
          <w:rFonts w:cs="Calibri"/>
          <w:color w:val="000000" w:themeColor="text1"/>
          <w:spacing w:val="-2"/>
        </w:rPr>
        <w:t xml:space="preserve"> depreciation</w:t>
      </w:r>
    </w:p>
    <w:p w14:paraId="7C9DABB5" w14:textId="77777777" w:rsidR="00FA4226" w:rsidRPr="00CA2CC1" w:rsidRDefault="00FA4226" w:rsidP="0043303B">
      <w:pPr>
        <w:pStyle w:val="BodyText"/>
        <w:spacing w:before="6"/>
        <w:rPr>
          <w:rFonts w:cs="Calibri"/>
          <w:sz w:val="9"/>
        </w:rPr>
      </w:pPr>
    </w:p>
    <w:tbl>
      <w:tblPr>
        <w:tblW w:w="9637" w:type="dxa"/>
        <w:tblBorders>
          <w:top w:val="single" w:sz="4" w:space="0" w:color="C48F1B"/>
          <w:left w:val="single" w:sz="4" w:space="0" w:color="C48F1B"/>
          <w:bottom w:val="single" w:sz="4" w:space="0" w:color="C48F1B"/>
          <w:right w:val="single" w:sz="4" w:space="0" w:color="C48F1B"/>
          <w:insideH w:val="single" w:sz="4" w:space="0" w:color="C48F1B"/>
          <w:insideV w:val="single" w:sz="4" w:space="0" w:color="C48F1B"/>
        </w:tblBorders>
        <w:tblLayout w:type="fixed"/>
        <w:tblCellMar>
          <w:left w:w="0" w:type="dxa"/>
          <w:right w:w="0" w:type="dxa"/>
        </w:tblCellMar>
        <w:tblLook w:val="01E0" w:firstRow="1" w:lastRow="1" w:firstColumn="1" w:lastColumn="1" w:noHBand="0" w:noVBand="0"/>
      </w:tblPr>
      <w:tblGrid>
        <w:gridCol w:w="6633"/>
        <w:gridCol w:w="1502"/>
        <w:gridCol w:w="1502"/>
      </w:tblGrid>
      <w:tr w:rsidR="00FA4226" w:rsidRPr="00CA2CC1" w14:paraId="17FA40C9" w14:textId="77777777" w:rsidTr="0066501D">
        <w:trPr>
          <w:trHeight w:val="576"/>
        </w:trPr>
        <w:tc>
          <w:tcPr>
            <w:tcW w:w="6633" w:type="dxa"/>
            <w:tcBorders>
              <w:top w:val="nil"/>
              <w:left w:val="nil"/>
              <w:right w:val="nil"/>
            </w:tcBorders>
          </w:tcPr>
          <w:p w14:paraId="47D14A7F" w14:textId="77777777" w:rsidR="00FA4226" w:rsidRPr="00CA2CC1" w:rsidRDefault="00FA4226" w:rsidP="0043303B">
            <w:pPr>
              <w:pStyle w:val="TableParagraph"/>
              <w:jc w:val="left"/>
              <w:rPr>
                <w:rFonts w:cs="Calibri"/>
                <w:sz w:val="16"/>
              </w:rPr>
            </w:pPr>
          </w:p>
        </w:tc>
        <w:tc>
          <w:tcPr>
            <w:tcW w:w="1502" w:type="dxa"/>
            <w:tcBorders>
              <w:top w:val="nil"/>
              <w:left w:val="nil"/>
              <w:right w:val="single" w:sz="8" w:space="0" w:color="FFFFFF"/>
            </w:tcBorders>
            <w:shd w:val="clear" w:color="auto" w:fill="FFF0E7"/>
            <w:tcMar>
              <w:right w:w="57" w:type="dxa"/>
            </w:tcMar>
          </w:tcPr>
          <w:p w14:paraId="4323BAD6" w14:textId="77777777" w:rsidR="00FA4226" w:rsidRPr="00CA2CC1" w:rsidRDefault="00000000" w:rsidP="0043303B">
            <w:pPr>
              <w:pStyle w:val="TableParagraph"/>
              <w:spacing w:before="71"/>
              <w:rPr>
                <w:rFonts w:cs="Calibri"/>
                <w:sz w:val="17"/>
              </w:rPr>
            </w:pPr>
            <w:r w:rsidRPr="00CA2CC1">
              <w:rPr>
                <w:rFonts w:cs="Calibri"/>
                <w:color w:val="F68C59"/>
                <w:spacing w:val="-4"/>
                <w:sz w:val="17"/>
              </w:rPr>
              <w:t>2023</w:t>
            </w:r>
          </w:p>
          <w:p w14:paraId="4CC36F45" w14:textId="77777777" w:rsidR="00FA4226" w:rsidRPr="00CA2CC1" w:rsidRDefault="00000000" w:rsidP="0043303B">
            <w:pPr>
              <w:pStyle w:val="TableParagraph"/>
              <w:spacing w:before="1"/>
              <w:rPr>
                <w:rFonts w:cs="Calibri"/>
                <w:sz w:val="17"/>
              </w:rPr>
            </w:pPr>
            <w:r w:rsidRPr="00CA2CC1">
              <w:rPr>
                <w:rFonts w:cs="Calibri"/>
                <w:color w:val="F68C59"/>
                <w:sz w:val="17"/>
              </w:rPr>
              <w:t>$</w:t>
            </w:r>
          </w:p>
        </w:tc>
        <w:tc>
          <w:tcPr>
            <w:tcW w:w="1502" w:type="dxa"/>
            <w:tcBorders>
              <w:top w:val="nil"/>
              <w:left w:val="single" w:sz="8" w:space="0" w:color="FFFFFF"/>
              <w:right w:val="nil"/>
            </w:tcBorders>
            <w:shd w:val="clear" w:color="auto" w:fill="EDEFF0"/>
            <w:tcMar>
              <w:right w:w="57" w:type="dxa"/>
            </w:tcMar>
          </w:tcPr>
          <w:p w14:paraId="00908782" w14:textId="77777777" w:rsidR="00FA4226" w:rsidRPr="00CA2CC1" w:rsidRDefault="00000000" w:rsidP="0043303B">
            <w:pPr>
              <w:pStyle w:val="TableParagraph"/>
              <w:spacing w:before="71"/>
              <w:rPr>
                <w:rFonts w:cs="Calibri"/>
                <w:sz w:val="17"/>
              </w:rPr>
            </w:pPr>
            <w:r w:rsidRPr="00CA2CC1">
              <w:rPr>
                <w:rFonts w:cs="Calibri"/>
                <w:color w:val="F68C59"/>
                <w:spacing w:val="-4"/>
                <w:sz w:val="17"/>
              </w:rPr>
              <w:t>2022</w:t>
            </w:r>
          </w:p>
          <w:p w14:paraId="43AB26BF" w14:textId="77777777" w:rsidR="00FA4226" w:rsidRPr="00CA2CC1" w:rsidRDefault="00000000" w:rsidP="0043303B">
            <w:pPr>
              <w:pStyle w:val="TableParagraph"/>
              <w:spacing w:before="1"/>
              <w:rPr>
                <w:rFonts w:cs="Calibri"/>
                <w:sz w:val="17"/>
              </w:rPr>
            </w:pPr>
            <w:r w:rsidRPr="00CA2CC1">
              <w:rPr>
                <w:rFonts w:cs="Calibri"/>
                <w:color w:val="F68C59"/>
                <w:sz w:val="17"/>
              </w:rPr>
              <w:t>$</w:t>
            </w:r>
          </w:p>
        </w:tc>
      </w:tr>
      <w:tr w:rsidR="00FA4226" w:rsidRPr="00CA2CC1" w14:paraId="19246057" w14:textId="77777777" w:rsidTr="0066501D">
        <w:trPr>
          <w:trHeight w:val="281"/>
        </w:trPr>
        <w:tc>
          <w:tcPr>
            <w:tcW w:w="6633" w:type="dxa"/>
            <w:tcBorders>
              <w:left w:val="nil"/>
              <w:bottom w:val="single" w:sz="2" w:space="0" w:color="73777A"/>
              <w:right w:val="nil"/>
            </w:tcBorders>
          </w:tcPr>
          <w:p w14:paraId="76942453" w14:textId="77777777" w:rsidR="00FA4226" w:rsidRPr="00CA2CC1" w:rsidRDefault="00000000" w:rsidP="0043303B">
            <w:pPr>
              <w:pStyle w:val="TableParagraph"/>
              <w:jc w:val="left"/>
              <w:rPr>
                <w:rFonts w:cs="Calibri"/>
                <w:sz w:val="18"/>
              </w:rPr>
            </w:pPr>
            <w:r w:rsidRPr="00CA2CC1">
              <w:rPr>
                <w:rFonts w:cs="Calibri"/>
                <w:color w:val="414042"/>
                <w:sz w:val="18"/>
              </w:rPr>
              <w:t>Right-of-use</w:t>
            </w:r>
            <w:r w:rsidRPr="00CA2CC1">
              <w:rPr>
                <w:rFonts w:cs="Calibri"/>
                <w:color w:val="414042"/>
                <w:spacing w:val="-3"/>
                <w:sz w:val="18"/>
              </w:rPr>
              <w:t xml:space="preserve"> </w:t>
            </w:r>
            <w:r w:rsidRPr="00CA2CC1">
              <w:rPr>
                <w:rFonts w:cs="Calibri"/>
                <w:color w:val="414042"/>
                <w:spacing w:val="-2"/>
                <w:sz w:val="18"/>
              </w:rPr>
              <w:t>buildings</w:t>
            </w:r>
          </w:p>
        </w:tc>
        <w:tc>
          <w:tcPr>
            <w:tcW w:w="1502" w:type="dxa"/>
            <w:tcBorders>
              <w:left w:val="nil"/>
              <w:bottom w:val="single" w:sz="2" w:space="0" w:color="73777A"/>
              <w:right w:val="single" w:sz="8" w:space="0" w:color="FFFFFF"/>
            </w:tcBorders>
            <w:shd w:val="clear" w:color="auto" w:fill="FFF0E7"/>
            <w:tcMar>
              <w:right w:w="57" w:type="dxa"/>
            </w:tcMar>
          </w:tcPr>
          <w:p w14:paraId="2C428508" w14:textId="77777777" w:rsidR="00FA4226" w:rsidRPr="00CA2CC1" w:rsidRDefault="00000000" w:rsidP="0043303B">
            <w:pPr>
              <w:pStyle w:val="TableParagraph"/>
              <w:rPr>
                <w:rFonts w:cs="Calibri"/>
                <w:sz w:val="18"/>
              </w:rPr>
            </w:pPr>
            <w:r w:rsidRPr="00CA2CC1">
              <w:rPr>
                <w:rFonts w:cs="Calibri"/>
                <w:color w:val="414042"/>
                <w:spacing w:val="-2"/>
                <w:sz w:val="18"/>
              </w:rPr>
              <w:t>371,574</w:t>
            </w:r>
          </w:p>
        </w:tc>
        <w:tc>
          <w:tcPr>
            <w:tcW w:w="1502" w:type="dxa"/>
            <w:tcBorders>
              <w:left w:val="single" w:sz="8" w:space="0" w:color="FFFFFF"/>
              <w:bottom w:val="single" w:sz="2" w:space="0" w:color="73777A"/>
              <w:right w:val="nil"/>
            </w:tcBorders>
            <w:shd w:val="clear" w:color="auto" w:fill="EDEFF0"/>
            <w:tcMar>
              <w:right w:w="57" w:type="dxa"/>
            </w:tcMar>
          </w:tcPr>
          <w:p w14:paraId="0EF64792" w14:textId="77777777" w:rsidR="00FA4226" w:rsidRPr="00CA2CC1" w:rsidRDefault="00000000" w:rsidP="0043303B">
            <w:pPr>
              <w:pStyle w:val="TableParagraph"/>
              <w:rPr>
                <w:rFonts w:cs="Calibri"/>
                <w:sz w:val="18"/>
              </w:rPr>
            </w:pPr>
            <w:r w:rsidRPr="00CA2CC1">
              <w:rPr>
                <w:rFonts w:cs="Calibri"/>
                <w:color w:val="414042"/>
                <w:spacing w:val="-2"/>
                <w:sz w:val="18"/>
              </w:rPr>
              <w:t>371,574</w:t>
            </w:r>
          </w:p>
        </w:tc>
      </w:tr>
      <w:tr w:rsidR="00FA4226" w:rsidRPr="00CA2CC1" w14:paraId="24DDA687" w14:textId="77777777" w:rsidTr="0066501D">
        <w:trPr>
          <w:trHeight w:val="283"/>
        </w:trPr>
        <w:tc>
          <w:tcPr>
            <w:tcW w:w="6633" w:type="dxa"/>
            <w:tcBorders>
              <w:top w:val="single" w:sz="2" w:space="0" w:color="73777A"/>
              <w:left w:val="nil"/>
              <w:bottom w:val="single" w:sz="2" w:space="0" w:color="73777A"/>
              <w:right w:val="nil"/>
            </w:tcBorders>
          </w:tcPr>
          <w:p w14:paraId="2390BB34" w14:textId="77777777" w:rsidR="00FA4226" w:rsidRPr="00CA2CC1" w:rsidRDefault="00000000" w:rsidP="0043303B">
            <w:pPr>
              <w:pStyle w:val="TableParagraph"/>
              <w:jc w:val="left"/>
              <w:rPr>
                <w:rFonts w:cs="Calibri"/>
                <w:sz w:val="18"/>
              </w:rPr>
            </w:pPr>
            <w:r w:rsidRPr="00CA2CC1">
              <w:rPr>
                <w:rFonts w:cs="Calibri"/>
                <w:color w:val="414042"/>
                <w:sz w:val="18"/>
              </w:rPr>
              <w:t>Leasehold</w:t>
            </w:r>
            <w:r w:rsidRPr="00CA2CC1">
              <w:rPr>
                <w:rFonts w:cs="Calibri"/>
                <w:color w:val="414042"/>
                <w:spacing w:val="9"/>
                <w:sz w:val="18"/>
              </w:rPr>
              <w:t xml:space="preserve"> </w:t>
            </w:r>
            <w:r w:rsidRPr="00CA2CC1">
              <w:rPr>
                <w:rFonts w:cs="Calibri"/>
                <w:color w:val="414042"/>
                <w:spacing w:val="-2"/>
                <w:sz w:val="18"/>
              </w:rPr>
              <w:t>improvements</w:t>
            </w:r>
          </w:p>
        </w:tc>
        <w:tc>
          <w:tcPr>
            <w:tcW w:w="1502" w:type="dxa"/>
            <w:tcBorders>
              <w:top w:val="single" w:sz="2" w:space="0" w:color="73777A"/>
              <w:left w:val="nil"/>
              <w:bottom w:val="single" w:sz="2" w:space="0" w:color="73777A"/>
              <w:right w:val="single" w:sz="8" w:space="0" w:color="FFFFFF"/>
            </w:tcBorders>
            <w:shd w:val="clear" w:color="auto" w:fill="FFF0E7"/>
            <w:tcMar>
              <w:right w:w="57" w:type="dxa"/>
            </w:tcMar>
          </w:tcPr>
          <w:p w14:paraId="026A8C51" w14:textId="77777777" w:rsidR="00FA4226" w:rsidRPr="00CA2CC1" w:rsidRDefault="00000000" w:rsidP="0043303B">
            <w:pPr>
              <w:pStyle w:val="TableParagraph"/>
              <w:rPr>
                <w:rFonts w:cs="Calibri"/>
                <w:sz w:val="18"/>
              </w:rPr>
            </w:pPr>
            <w:r w:rsidRPr="00CA2CC1">
              <w:rPr>
                <w:rFonts w:cs="Calibri"/>
                <w:color w:val="414042"/>
                <w:spacing w:val="-2"/>
                <w:sz w:val="18"/>
              </w:rPr>
              <w:t>25,721</w:t>
            </w:r>
          </w:p>
        </w:tc>
        <w:tc>
          <w:tcPr>
            <w:tcW w:w="1502" w:type="dxa"/>
            <w:tcBorders>
              <w:top w:val="single" w:sz="2" w:space="0" w:color="73777A"/>
              <w:left w:val="single" w:sz="8" w:space="0" w:color="FFFFFF"/>
              <w:bottom w:val="single" w:sz="2" w:space="0" w:color="73777A"/>
              <w:right w:val="nil"/>
            </w:tcBorders>
            <w:shd w:val="clear" w:color="auto" w:fill="EDEFF0"/>
            <w:tcMar>
              <w:right w:w="57" w:type="dxa"/>
            </w:tcMar>
          </w:tcPr>
          <w:p w14:paraId="4C95AB69" w14:textId="77777777" w:rsidR="00FA4226" w:rsidRPr="00CA2CC1" w:rsidRDefault="00000000" w:rsidP="0043303B">
            <w:pPr>
              <w:pStyle w:val="TableParagraph"/>
              <w:rPr>
                <w:rFonts w:cs="Calibri"/>
                <w:sz w:val="18"/>
              </w:rPr>
            </w:pPr>
            <w:r w:rsidRPr="00CA2CC1">
              <w:rPr>
                <w:rFonts w:cs="Calibri"/>
                <w:color w:val="414042"/>
                <w:spacing w:val="-2"/>
                <w:sz w:val="18"/>
              </w:rPr>
              <w:t>25,721</w:t>
            </w:r>
          </w:p>
        </w:tc>
      </w:tr>
      <w:tr w:rsidR="00FA4226" w:rsidRPr="00CA2CC1" w14:paraId="1FE84478" w14:textId="77777777" w:rsidTr="0066501D">
        <w:trPr>
          <w:trHeight w:val="278"/>
        </w:trPr>
        <w:tc>
          <w:tcPr>
            <w:tcW w:w="6633" w:type="dxa"/>
            <w:tcBorders>
              <w:top w:val="single" w:sz="2" w:space="0" w:color="73777A"/>
              <w:left w:val="nil"/>
              <w:bottom w:val="single" w:sz="6" w:space="0" w:color="73777A"/>
              <w:right w:val="nil"/>
            </w:tcBorders>
          </w:tcPr>
          <w:p w14:paraId="664A492E" w14:textId="77777777" w:rsidR="00FA4226" w:rsidRPr="00CA2CC1" w:rsidRDefault="00000000" w:rsidP="0043303B">
            <w:pPr>
              <w:pStyle w:val="TableParagraph"/>
              <w:jc w:val="left"/>
              <w:rPr>
                <w:rFonts w:cs="Calibri"/>
                <w:sz w:val="10"/>
              </w:rPr>
            </w:pPr>
            <w:r w:rsidRPr="00CA2CC1">
              <w:rPr>
                <w:rFonts w:cs="Calibri"/>
                <w:color w:val="414042"/>
                <w:sz w:val="18"/>
              </w:rPr>
              <w:t>Leased</w:t>
            </w:r>
            <w:r w:rsidRPr="00CA2CC1">
              <w:rPr>
                <w:rFonts w:cs="Calibri"/>
                <w:color w:val="414042"/>
                <w:spacing w:val="2"/>
                <w:sz w:val="18"/>
              </w:rPr>
              <w:t xml:space="preserve"> </w:t>
            </w:r>
            <w:r w:rsidRPr="00CA2CC1">
              <w:rPr>
                <w:rFonts w:cs="Calibri"/>
                <w:color w:val="414042"/>
                <w:sz w:val="18"/>
              </w:rPr>
              <w:t>motor</w:t>
            </w:r>
            <w:r w:rsidRPr="00CA2CC1">
              <w:rPr>
                <w:rFonts w:cs="Calibri"/>
                <w:color w:val="414042"/>
                <w:spacing w:val="4"/>
                <w:sz w:val="18"/>
              </w:rPr>
              <w:t xml:space="preserve"> </w:t>
            </w:r>
            <w:r w:rsidRPr="00CA2CC1">
              <w:rPr>
                <w:rFonts w:cs="Calibri"/>
                <w:color w:val="414042"/>
                <w:sz w:val="18"/>
              </w:rPr>
              <w:t>vehicles</w:t>
            </w:r>
            <w:r w:rsidRPr="00CA2CC1">
              <w:rPr>
                <w:rFonts w:cs="Calibri"/>
                <w:color w:val="414042"/>
                <w:spacing w:val="4"/>
                <w:sz w:val="18"/>
              </w:rPr>
              <w:t xml:space="preserve"> </w:t>
            </w:r>
            <w:r w:rsidRPr="00CA2CC1">
              <w:rPr>
                <w:rFonts w:cs="Calibri"/>
                <w:color w:val="414042"/>
                <w:spacing w:val="-5"/>
                <w:position w:val="6"/>
                <w:sz w:val="10"/>
              </w:rPr>
              <w:t>(i)</w:t>
            </w:r>
          </w:p>
        </w:tc>
        <w:tc>
          <w:tcPr>
            <w:tcW w:w="1502" w:type="dxa"/>
            <w:tcBorders>
              <w:top w:val="single" w:sz="2" w:space="0" w:color="73777A"/>
              <w:left w:val="nil"/>
              <w:bottom w:val="single" w:sz="6" w:space="0" w:color="73777A"/>
              <w:right w:val="single" w:sz="8" w:space="0" w:color="FFFFFF"/>
            </w:tcBorders>
            <w:shd w:val="clear" w:color="auto" w:fill="FFF0E7"/>
            <w:tcMar>
              <w:right w:w="57" w:type="dxa"/>
            </w:tcMar>
          </w:tcPr>
          <w:p w14:paraId="4AE65622" w14:textId="77777777" w:rsidR="00FA4226" w:rsidRPr="00CA2CC1" w:rsidRDefault="00000000" w:rsidP="0043303B">
            <w:pPr>
              <w:pStyle w:val="TableParagraph"/>
              <w:rPr>
                <w:rFonts w:cs="Calibri"/>
                <w:sz w:val="18"/>
              </w:rPr>
            </w:pPr>
            <w:r w:rsidRPr="00CA2CC1">
              <w:rPr>
                <w:rFonts w:cs="Calibri"/>
                <w:color w:val="414042"/>
                <w:spacing w:val="-2"/>
                <w:sz w:val="18"/>
              </w:rPr>
              <w:t>10,597</w:t>
            </w:r>
          </w:p>
        </w:tc>
        <w:tc>
          <w:tcPr>
            <w:tcW w:w="1502" w:type="dxa"/>
            <w:tcBorders>
              <w:top w:val="single" w:sz="2" w:space="0" w:color="73777A"/>
              <w:left w:val="single" w:sz="8" w:space="0" w:color="FFFFFF"/>
              <w:bottom w:val="single" w:sz="6" w:space="0" w:color="73777A"/>
              <w:right w:val="nil"/>
            </w:tcBorders>
            <w:shd w:val="clear" w:color="auto" w:fill="EDEFF0"/>
            <w:tcMar>
              <w:right w:w="57" w:type="dxa"/>
            </w:tcMar>
          </w:tcPr>
          <w:p w14:paraId="018329D3" w14:textId="77777777" w:rsidR="00FA4226" w:rsidRPr="00CA2CC1" w:rsidRDefault="00000000" w:rsidP="0043303B">
            <w:pPr>
              <w:pStyle w:val="TableParagraph"/>
              <w:rPr>
                <w:rFonts w:cs="Calibri"/>
                <w:sz w:val="18"/>
              </w:rPr>
            </w:pPr>
            <w:r w:rsidRPr="00CA2CC1">
              <w:rPr>
                <w:rFonts w:cs="Calibri"/>
                <w:color w:val="414042"/>
                <w:spacing w:val="-2"/>
                <w:sz w:val="18"/>
              </w:rPr>
              <w:t>7,101</w:t>
            </w:r>
          </w:p>
        </w:tc>
      </w:tr>
      <w:tr w:rsidR="00FA4226" w:rsidRPr="00CA2CC1" w14:paraId="62C5D593" w14:textId="77777777" w:rsidTr="0066501D">
        <w:trPr>
          <w:trHeight w:val="258"/>
        </w:trPr>
        <w:tc>
          <w:tcPr>
            <w:tcW w:w="6633" w:type="dxa"/>
            <w:tcBorders>
              <w:top w:val="single" w:sz="6" w:space="0" w:color="73777A"/>
              <w:left w:val="nil"/>
              <w:bottom w:val="double" w:sz="6" w:space="0" w:color="73777A"/>
              <w:right w:val="nil"/>
            </w:tcBorders>
          </w:tcPr>
          <w:p w14:paraId="2C9767A5" w14:textId="77777777" w:rsidR="00FA4226" w:rsidRPr="00CA2CC1" w:rsidRDefault="00000000" w:rsidP="0043303B">
            <w:pPr>
              <w:pStyle w:val="TableParagraph"/>
              <w:jc w:val="left"/>
              <w:rPr>
                <w:rFonts w:cs="Calibri"/>
                <w:sz w:val="10"/>
              </w:rPr>
            </w:pPr>
            <w:r w:rsidRPr="00CA2CC1">
              <w:rPr>
                <w:rFonts w:cs="Calibri"/>
                <w:color w:val="414042"/>
                <w:sz w:val="18"/>
              </w:rPr>
              <w:t>Total</w:t>
            </w:r>
            <w:r w:rsidRPr="00CA2CC1">
              <w:rPr>
                <w:rFonts w:cs="Calibri"/>
                <w:color w:val="414042"/>
                <w:spacing w:val="5"/>
                <w:sz w:val="18"/>
              </w:rPr>
              <w:t xml:space="preserve"> </w:t>
            </w:r>
            <w:r w:rsidRPr="00CA2CC1">
              <w:rPr>
                <w:rFonts w:cs="Calibri"/>
                <w:color w:val="414042"/>
                <w:sz w:val="18"/>
              </w:rPr>
              <w:t>depreciation</w:t>
            </w:r>
            <w:r w:rsidRPr="00CA2CC1">
              <w:rPr>
                <w:rFonts w:cs="Calibri"/>
                <w:color w:val="414042"/>
                <w:spacing w:val="6"/>
                <w:sz w:val="18"/>
              </w:rPr>
              <w:t xml:space="preserve"> </w:t>
            </w:r>
            <w:r w:rsidRPr="00CA2CC1">
              <w:rPr>
                <w:rFonts w:cs="Calibri"/>
                <w:color w:val="414042"/>
                <w:spacing w:val="-5"/>
                <w:position w:val="6"/>
                <w:sz w:val="10"/>
              </w:rPr>
              <w:t>(i)</w:t>
            </w:r>
          </w:p>
        </w:tc>
        <w:tc>
          <w:tcPr>
            <w:tcW w:w="1502" w:type="dxa"/>
            <w:tcBorders>
              <w:top w:val="single" w:sz="6" w:space="0" w:color="73777A"/>
              <w:left w:val="nil"/>
              <w:bottom w:val="single" w:sz="6" w:space="0" w:color="73777A"/>
              <w:right w:val="single" w:sz="8" w:space="0" w:color="FFFFFF"/>
            </w:tcBorders>
            <w:shd w:val="clear" w:color="auto" w:fill="FFF0E7"/>
            <w:tcMar>
              <w:right w:w="57" w:type="dxa"/>
            </w:tcMar>
          </w:tcPr>
          <w:p w14:paraId="476FDED3" w14:textId="77777777" w:rsidR="00FA4226" w:rsidRPr="00CA2CC1" w:rsidRDefault="00000000" w:rsidP="0043303B">
            <w:pPr>
              <w:pStyle w:val="TableParagraph"/>
              <w:rPr>
                <w:rFonts w:cs="Calibri"/>
                <w:sz w:val="18"/>
              </w:rPr>
            </w:pPr>
            <w:r w:rsidRPr="00CA2CC1">
              <w:rPr>
                <w:rFonts w:cs="Calibri"/>
                <w:color w:val="414042"/>
                <w:spacing w:val="-2"/>
                <w:sz w:val="18"/>
              </w:rPr>
              <w:t>407,892</w:t>
            </w:r>
          </w:p>
        </w:tc>
        <w:tc>
          <w:tcPr>
            <w:tcW w:w="1502" w:type="dxa"/>
            <w:tcBorders>
              <w:top w:val="single" w:sz="6" w:space="0" w:color="73777A"/>
              <w:left w:val="single" w:sz="8" w:space="0" w:color="FFFFFF"/>
              <w:bottom w:val="single" w:sz="6" w:space="0" w:color="73777A"/>
              <w:right w:val="nil"/>
            </w:tcBorders>
            <w:shd w:val="clear" w:color="auto" w:fill="EDEFF0"/>
            <w:tcMar>
              <w:right w:w="57" w:type="dxa"/>
            </w:tcMar>
          </w:tcPr>
          <w:p w14:paraId="29C4177D" w14:textId="77777777" w:rsidR="00FA4226" w:rsidRPr="00CA2CC1" w:rsidRDefault="00000000" w:rsidP="0043303B">
            <w:pPr>
              <w:pStyle w:val="TableParagraph"/>
              <w:rPr>
                <w:rFonts w:cs="Calibri"/>
                <w:sz w:val="18"/>
              </w:rPr>
            </w:pPr>
            <w:r w:rsidRPr="00CA2CC1">
              <w:rPr>
                <w:rFonts w:cs="Calibri"/>
                <w:color w:val="414042"/>
                <w:spacing w:val="-2"/>
                <w:sz w:val="18"/>
              </w:rPr>
              <w:t>404,396</w:t>
            </w:r>
          </w:p>
        </w:tc>
      </w:tr>
    </w:tbl>
    <w:p w14:paraId="5A9F46F6" w14:textId="77777777" w:rsidR="00FA4226" w:rsidRPr="00CA2CC1" w:rsidRDefault="00FA4226" w:rsidP="0043303B">
      <w:pPr>
        <w:pStyle w:val="BodyText"/>
        <w:spacing w:before="11"/>
        <w:rPr>
          <w:rFonts w:cs="Calibri"/>
          <w:sz w:val="20"/>
        </w:rPr>
      </w:pPr>
    </w:p>
    <w:p w14:paraId="2B722E0D" w14:textId="77777777" w:rsidR="00FA4226" w:rsidRPr="00CA2CC1" w:rsidRDefault="00000000" w:rsidP="0043303B">
      <w:pPr>
        <w:spacing w:before="1"/>
        <w:rPr>
          <w:rFonts w:cs="Calibri"/>
          <w:i/>
          <w:sz w:val="16"/>
        </w:rPr>
      </w:pPr>
      <w:r w:rsidRPr="00CA2CC1">
        <w:rPr>
          <w:rFonts w:cs="Calibri"/>
          <w:i/>
          <w:color w:val="414042"/>
          <w:sz w:val="16"/>
        </w:rPr>
        <w:t>(i)</w:t>
      </w:r>
      <w:r w:rsidRPr="00CA2CC1">
        <w:rPr>
          <w:rFonts w:cs="Calibri"/>
          <w:i/>
          <w:color w:val="414042"/>
          <w:spacing w:val="-4"/>
          <w:sz w:val="16"/>
        </w:rPr>
        <w:t xml:space="preserve"> </w:t>
      </w:r>
      <w:r w:rsidRPr="00CA2CC1">
        <w:rPr>
          <w:rFonts w:cs="Calibri"/>
          <w:i/>
          <w:color w:val="414042"/>
          <w:sz w:val="16"/>
        </w:rPr>
        <w:t>The</w:t>
      </w:r>
      <w:r w:rsidRPr="00CA2CC1">
        <w:rPr>
          <w:rFonts w:cs="Calibri"/>
          <w:i/>
          <w:color w:val="414042"/>
          <w:spacing w:val="-4"/>
          <w:sz w:val="16"/>
        </w:rPr>
        <w:t xml:space="preserve"> </w:t>
      </w:r>
      <w:r w:rsidRPr="00CA2CC1">
        <w:rPr>
          <w:rFonts w:cs="Calibri"/>
          <w:i/>
          <w:color w:val="414042"/>
          <w:sz w:val="16"/>
        </w:rPr>
        <w:t>2021-22</w:t>
      </w:r>
      <w:r w:rsidRPr="00CA2CC1">
        <w:rPr>
          <w:rFonts w:cs="Calibri"/>
          <w:i/>
          <w:color w:val="414042"/>
          <w:spacing w:val="-4"/>
          <w:sz w:val="16"/>
        </w:rPr>
        <w:t xml:space="preserve"> </w:t>
      </w:r>
      <w:r w:rsidRPr="00CA2CC1">
        <w:rPr>
          <w:rFonts w:cs="Calibri"/>
          <w:i/>
          <w:color w:val="414042"/>
          <w:sz w:val="16"/>
        </w:rPr>
        <w:t>comparative</w:t>
      </w:r>
      <w:r w:rsidRPr="00CA2CC1">
        <w:rPr>
          <w:rFonts w:cs="Calibri"/>
          <w:i/>
          <w:color w:val="414042"/>
          <w:spacing w:val="-4"/>
          <w:sz w:val="16"/>
        </w:rPr>
        <w:t xml:space="preserve"> </w:t>
      </w:r>
      <w:r w:rsidRPr="00CA2CC1">
        <w:rPr>
          <w:rFonts w:cs="Calibri"/>
          <w:i/>
          <w:color w:val="414042"/>
          <w:sz w:val="16"/>
        </w:rPr>
        <w:t>figures</w:t>
      </w:r>
      <w:r w:rsidRPr="00CA2CC1">
        <w:rPr>
          <w:rFonts w:cs="Calibri"/>
          <w:i/>
          <w:color w:val="414042"/>
          <w:spacing w:val="-4"/>
          <w:sz w:val="16"/>
        </w:rPr>
        <w:t xml:space="preserve"> </w:t>
      </w:r>
      <w:r w:rsidRPr="00CA2CC1">
        <w:rPr>
          <w:rFonts w:cs="Calibri"/>
          <w:i/>
          <w:color w:val="414042"/>
          <w:sz w:val="16"/>
        </w:rPr>
        <w:t>have</w:t>
      </w:r>
      <w:r w:rsidRPr="00CA2CC1">
        <w:rPr>
          <w:rFonts w:cs="Calibri"/>
          <w:i/>
          <w:color w:val="414042"/>
          <w:spacing w:val="-4"/>
          <w:sz w:val="16"/>
        </w:rPr>
        <w:t xml:space="preserve"> </w:t>
      </w:r>
      <w:r w:rsidRPr="00CA2CC1">
        <w:rPr>
          <w:rFonts w:cs="Calibri"/>
          <w:i/>
          <w:color w:val="414042"/>
          <w:sz w:val="16"/>
        </w:rPr>
        <w:t>been</w:t>
      </w:r>
      <w:r w:rsidRPr="00CA2CC1">
        <w:rPr>
          <w:rFonts w:cs="Calibri"/>
          <w:i/>
          <w:color w:val="414042"/>
          <w:spacing w:val="-4"/>
          <w:sz w:val="16"/>
        </w:rPr>
        <w:t xml:space="preserve"> </w:t>
      </w:r>
      <w:r w:rsidRPr="00CA2CC1">
        <w:rPr>
          <w:rFonts w:cs="Calibri"/>
          <w:i/>
          <w:color w:val="414042"/>
          <w:sz w:val="16"/>
        </w:rPr>
        <w:t>adjusted</w:t>
      </w:r>
      <w:r w:rsidRPr="00CA2CC1">
        <w:rPr>
          <w:rFonts w:cs="Calibri"/>
          <w:i/>
          <w:color w:val="414042"/>
          <w:spacing w:val="-4"/>
          <w:sz w:val="16"/>
        </w:rPr>
        <w:t xml:space="preserve"> </w:t>
      </w:r>
      <w:r w:rsidRPr="00CA2CC1">
        <w:rPr>
          <w:rFonts w:cs="Calibri"/>
          <w:i/>
          <w:color w:val="414042"/>
          <w:sz w:val="16"/>
        </w:rPr>
        <w:t>to</w:t>
      </w:r>
      <w:r w:rsidRPr="00CA2CC1">
        <w:rPr>
          <w:rFonts w:cs="Calibri"/>
          <w:i/>
          <w:color w:val="414042"/>
          <w:spacing w:val="-4"/>
          <w:sz w:val="16"/>
        </w:rPr>
        <w:t xml:space="preserve"> </w:t>
      </w:r>
      <w:r w:rsidRPr="00CA2CC1">
        <w:rPr>
          <w:rFonts w:cs="Calibri"/>
          <w:i/>
          <w:color w:val="414042"/>
          <w:sz w:val="16"/>
        </w:rPr>
        <w:t>correct a prior period error. Refer to note 8.5 for more information.</w:t>
      </w:r>
    </w:p>
    <w:p w14:paraId="565D64AA" w14:textId="77777777" w:rsidR="00FA4226" w:rsidRPr="00CA2CC1" w:rsidRDefault="00000000" w:rsidP="0043303B">
      <w:pPr>
        <w:pStyle w:val="BodyText"/>
        <w:spacing w:before="99"/>
        <w:rPr>
          <w:rFonts w:cs="Calibri"/>
        </w:rPr>
      </w:pPr>
      <w:r w:rsidRPr="00CA2CC1">
        <w:rPr>
          <w:rFonts w:cs="Calibri"/>
          <w:color w:val="414042"/>
        </w:rPr>
        <w:t>Depreciation is calculated on a straight-line basis, at rates that allocate the asset’s value, less any estimated residual value,</w:t>
      </w:r>
      <w:r w:rsidRPr="00CA2CC1">
        <w:rPr>
          <w:rFonts w:cs="Calibri"/>
          <w:color w:val="414042"/>
          <w:spacing w:val="-4"/>
        </w:rPr>
        <w:t xml:space="preserve"> </w:t>
      </w:r>
      <w:r w:rsidRPr="00CA2CC1">
        <w:rPr>
          <w:rFonts w:cs="Calibri"/>
          <w:color w:val="414042"/>
        </w:rPr>
        <w:t>to</w:t>
      </w:r>
      <w:r w:rsidRPr="00CA2CC1">
        <w:rPr>
          <w:rFonts w:cs="Calibri"/>
          <w:color w:val="414042"/>
          <w:spacing w:val="-4"/>
        </w:rPr>
        <w:t xml:space="preserve"> </w:t>
      </w:r>
      <w:r w:rsidRPr="00CA2CC1">
        <w:rPr>
          <w:rFonts w:cs="Calibri"/>
          <w:color w:val="414042"/>
        </w:rPr>
        <w:t>its</w:t>
      </w:r>
      <w:r w:rsidRPr="00CA2CC1">
        <w:rPr>
          <w:rFonts w:cs="Calibri"/>
          <w:color w:val="414042"/>
          <w:spacing w:val="-4"/>
        </w:rPr>
        <w:t xml:space="preserve"> </w:t>
      </w:r>
      <w:r w:rsidRPr="00CA2CC1">
        <w:rPr>
          <w:rFonts w:cs="Calibri"/>
          <w:color w:val="414042"/>
        </w:rPr>
        <w:t>useful</w:t>
      </w:r>
      <w:r w:rsidRPr="00CA2CC1">
        <w:rPr>
          <w:rFonts w:cs="Calibri"/>
          <w:color w:val="414042"/>
          <w:spacing w:val="-4"/>
        </w:rPr>
        <w:t xml:space="preserve"> </w:t>
      </w:r>
      <w:r w:rsidRPr="00CA2CC1">
        <w:rPr>
          <w:rFonts w:cs="Calibri"/>
          <w:color w:val="414042"/>
        </w:rPr>
        <w:t>life.</w:t>
      </w:r>
      <w:r w:rsidRPr="00CA2CC1">
        <w:rPr>
          <w:rFonts w:cs="Calibri"/>
          <w:color w:val="414042"/>
          <w:spacing w:val="-4"/>
        </w:rPr>
        <w:t xml:space="preserve"> </w:t>
      </w:r>
      <w:r w:rsidRPr="00CA2CC1">
        <w:rPr>
          <w:rFonts w:cs="Calibri"/>
          <w:color w:val="414042"/>
        </w:rPr>
        <w:t>Depreciation</w:t>
      </w:r>
      <w:r w:rsidRPr="00CA2CC1">
        <w:rPr>
          <w:rFonts w:cs="Calibri"/>
          <w:color w:val="414042"/>
          <w:spacing w:val="-4"/>
        </w:rPr>
        <w:t xml:space="preserve"> </w:t>
      </w:r>
      <w:r w:rsidRPr="00CA2CC1">
        <w:rPr>
          <w:rFonts w:cs="Calibri"/>
          <w:color w:val="414042"/>
        </w:rPr>
        <w:t>begins</w:t>
      </w:r>
      <w:r w:rsidRPr="00CA2CC1">
        <w:rPr>
          <w:rFonts w:cs="Calibri"/>
          <w:color w:val="414042"/>
          <w:spacing w:val="-4"/>
        </w:rPr>
        <w:t xml:space="preserve"> </w:t>
      </w:r>
      <w:r w:rsidRPr="00CA2CC1">
        <w:rPr>
          <w:rFonts w:cs="Calibri"/>
          <w:color w:val="414042"/>
        </w:rPr>
        <w:t>when</w:t>
      </w:r>
      <w:r w:rsidRPr="00CA2CC1">
        <w:rPr>
          <w:rFonts w:cs="Calibri"/>
          <w:color w:val="414042"/>
          <w:spacing w:val="-4"/>
        </w:rPr>
        <w:t xml:space="preserve"> </w:t>
      </w:r>
      <w:r w:rsidRPr="00CA2CC1">
        <w:rPr>
          <w:rFonts w:cs="Calibri"/>
          <w:color w:val="414042"/>
        </w:rPr>
        <w:t>the</w:t>
      </w:r>
      <w:r w:rsidRPr="00CA2CC1">
        <w:rPr>
          <w:rFonts w:cs="Calibri"/>
          <w:color w:val="414042"/>
          <w:spacing w:val="-4"/>
        </w:rPr>
        <w:t xml:space="preserve"> </w:t>
      </w:r>
      <w:r w:rsidRPr="00CA2CC1">
        <w:rPr>
          <w:rFonts w:cs="Calibri"/>
          <w:color w:val="414042"/>
        </w:rPr>
        <w:t>asset</w:t>
      </w:r>
      <w:r w:rsidRPr="00CA2CC1">
        <w:rPr>
          <w:rFonts w:cs="Calibri"/>
          <w:color w:val="414042"/>
          <w:spacing w:val="-4"/>
        </w:rPr>
        <w:t xml:space="preserve"> </w:t>
      </w:r>
      <w:r w:rsidRPr="00CA2CC1">
        <w:rPr>
          <w:rFonts w:cs="Calibri"/>
          <w:color w:val="414042"/>
        </w:rPr>
        <w:t>is first available for use in the location and condition necessary for it to be capable of operating in the manner intended by the entity.</w:t>
      </w:r>
    </w:p>
    <w:p w14:paraId="57EBB396" w14:textId="77777777" w:rsidR="00FA4226" w:rsidRPr="00CA2CC1" w:rsidRDefault="00000000" w:rsidP="0043303B">
      <w:pPr>
        <w:pStyle w:val="BodyText"/>
        <w:spacing w:before="114"/>
        <w:rPr>
          <w:rFonts w:cs="Calibri"/>
        </w:rPr>
      </w:pPr>
      <w:r w:rsidRPr="00CA2CC1">
        <w:rPr>
          <w:rFonts w:cs="Calibri"/>
          <w:color w:val="414042"/>
        </w:rPr>
        <w:t>Leasehold</w:t>
      </w:r>
      <w:r w:rsidRPr="00CA2CC1">
        <w:rPr>
          <w:rFonts w:cs="Calibri"/>
          <w:color w:val="414042"/>
          <w:spacing w:val="-8"/>
        </w:rPr>
        <w:t xml:space="preserve"> </w:t>
      </w:r>
      <w:r w:rsidRPr="00CA2CC1">
        <w:rPr>
          <w:rFonts w:cs="Calibri"/>
          <w:color w:val="414042"/>
        </w:rPr>
        <w:t>improvements</w:t>
      </w:r>
      <w:r w:rsidRPr="00CA2CC1">
        <w:rPr>
          <w:rFonts w:cs="Calibri"/>
          <w:color w:val="414042"/>
          <w:spacing w:val="-8"/>
        </w:rPr>
        <w:t xml:space="preserve"> </w:t>
      </w:r>
      <w:r w:rsidRPr="00CA2CC1">
        <w:rPr>
          <w:rFonts w:cs="Calibri"/>
          <w:color w:val="414042"/>
        </w:rPr>
        <w:t>are</w:t>
      </w:r>
      <w:r w:rsidRPr="00CA2CC1">
        <w:rPr>
          <w:rFonts w:cs="Calibri"/>
          <w:color w:val="414042"/>
          <w:spacing w:val="-8"/>
        </w:rPr>
        <w:t xml:space="preserve"> </w:t>
      </w:r>
      <w:r w:rsidRPr="00CA2CC1">
        <w:rPr>
          <w:rFonts w:cs="Calibri"/>
          <w:color w:val="414042"/>
        </w:rPr>
        <w:t>depreciated</w:t>
      </w:r>
      <w:r w:rsidRPr="00CA2CC1">
        <w:rPr>
          <w:rFonts w:cs="Calibri"/>
          <w:color w:val="414042"/>
          <w:spacing w:val="-8"/>
        </w:rPr>
        <w:t xml:space="preserve"> </w:t>
      </w:r>
      <w:r w:rsidRPr="00CA2CC1">
        <w:rPr>
          <w:rFonts w:cs="Calibri"/>
          <w:color w:val="414042"/>
        </w:rPr>
        <w:t>over</w:t>
      </w:r>
      <w:r w:rsidRPr="00CA2CC1">
        <w:rPr>
          <w:rFonts w:cs="Calibri"/>
          <w:color w:val="414042"/>
          <w:spacing w:val="-8"/>
        </w:rPr>
        <w:t xml:space="preserve"> </w:t>
      </w:r>
      <w:r w:rsidRPr="00CA2CC1">
        <w:rPr>
          <w:rFonts w:cs="Calibri"/>
          <w:color w:val="414042"/>
        </w:rPr>
        <w:t>the</w:t>
      </w:r>
      <w:r w:rsidRPr="00CA2CC1">
        <w:rPr>
          <w:rFonts w:cs="Calibri"/>
          <w:color w:val="414042"/>
          <w:spacing w:val="-8"/>
        </w:rPr>
        <w:t xml:space="preserve"> </w:t>
      </w:r>
      <w:r w:rsidRPr="00CA2CC1">
        <w:rPr>
          <w:rFonts w:cs="Calibri"/>
          <w:color w:val="414042"/>
        </w:rPr>
        <w:t>shorter of the lease term and their useful lives.</w:t>
      </w:r>
    </w:p>
    <w:p w14:paraId="08555591" w14:textId="77777777" w:rsidR="00FA4226" w:rsidRPr="00CA2CC1" w:rsidRDefault="00000000" w:rsidP="0043303B">
      <w:pPr>
        <w:pStyle w:val="BodyText"/>
        <w:spacing w:before="118"/>
        <w:rPr>
          <w:rFonts w:cs="Calibri"/>
        </w:rPr>
      </w:pPr>
      <w:r w:rsidRPr="00CA2CC1">
        <w:rPr>
          <w:rFonts w:cs="Calibri"/>
          <w:color w:val="414042"/>
        </w:rPr>
        <w:t>Right-of-use</w:t>
      </w:r>
      <w:r w:rsidRPr="00CA2CC1">
        <w:rPr>
          <w:rFonts w:cs="Calibri"/>
          <w:color w:val="414042"/>
          <w:spacing w:val="-7"/>
        </w:rPr>
        <w:t xml:space="preserve"> </w:t>
      </w:r>
      <w:r w:rsidRPr="00CA2CC1">
        <w:rPr>
          <w:rFonts w:cs="Calibri"/>
          <w:color w:val="414042"/>
        </w:rPr>
        <w:t>assets</w:t>
      </w:r>
      <w:r w:rsidRPr="00CA2CC1">
        <w:rPr>
          <w:rFonts w:cs="Calibri"/>
          <w:color w:val="414042"/>
          <w:spacing w:val="-7"/>
        </w:rPr>
        <w:t xml:space="preserve"> </w:t>
      </w:r>
      <w:r w:rsidRPr="00CA2CC1">
        <w:rPr>
          <w:rFonts w:cs="Calibri"/>
          <w:color w:val="414042"/>
        </w:rPr>
        <w:t>are</w:t>
      </w:r>
      <w:r w:rsidRPr="00CA2CC1">
        <w:rPr>
          <w:rFonts w:cs="Calibri"/>
          <w:color w:val="414042"/>
          <w:spacing w:val="-7"/>
        </w:rPr>
        <w:t xml:space="preserve"> </w:t>
      </w:r>
      <w:r w:rsidRPr="00CA2CC1">
        <w:rPr>
          <w:rFonts w:cs="Calibri"/>
          <w:color w:val="414042"/>
        </w:rPr>
        <w:t>generally</w:t>
      </w:r>
      <w:r w:rsidRPr="00CA2CC1">
        <w:rPr>
          <w:rFonts w:cs="Calibri"/>
          <w:color w:val="414042"/>
          <w:spacing w:val="-7"/>
        </w:rPr>
        <w:t xml:space="preserve"> </w:t>
      </w:r>
      <w:r w:rsidRPr="00CA2CC1">
        <w:rPr>
          <w:rFonts w:cs="Calibri"/>
          <w:color w:val="414042"/>
        </w:rPr>
        <w:t>depreciated</w:t>
      </w:r>
      <w:r w:rsidRPr="00CA2CC1">
        <w:rPr>
          <w:rFonts w:cs="Calibri"/>
          <w:color w:val="414042"/>
          <w:spacing w:val="-7"/>
        </w:rPr>
        <w:t xml:space="preserve"> </w:t>
      </w:r>
      <w:r w:rsidRPr="00CA2CC1">
        <w:rPr>
          <w:rFonts w:cs="Calibri"/>
          <w:color w:val="414042"/>
        </w:rPr>
        <w:t>over</w:t>
      </w:r>
      <w:r w:rsidRPr="00CA2CC1">
        <w:rPr>
          <w:rFonts w:cs="Calibri"/>
          <w:color w:val="414042"/>
          <w:spacing w:val="-7"/>
        </w:rPr>
        <w:t xml:space="preserve"> </w:t>
      </w:r>
      <w:r w:rsidRPr="00CA2CC1">
        <w:rPr>
          <w:rFonts w:cs="Calibri"/>
          <w:color w:val="414042"/>
        </w:rPr>
        <w:t>the shorter of the asset’s useful life and the lease term.</w:t>
      </w:r>
    </w:p>
    <w:p w14:paraId="4CC04782" w14:textId="77777777" w:rsidR="00FA4226" w:rsidRPr="00CA2CC1" w:rsidRDefault="00000000" w:rsidP="0043303B">
      <w:pPr>
        <w:pStyle w:val="BodyText"/>
        <w:spacing w:before="117"/>
        <w:rPr>
          <w:rFonts w:cs="Calibri"/>
        </w:rPr>
      </w:pPr>
      <w:r w:rsidRPr="00CA2CC1">
        <w:rPr>
          <w:rFonts w:cs="Calibri"/>
          <w:color w:val="414042"/>
        </w:rPr>
        <w:t>The</w:t>
      </w:r>
      <w:r w:rsidRPr="00CA2CC1">
        <w:rPr>
          <w:rFonts w:cs="Calibri"/>
          <w:color w:val="414042"/>
          <w:spacing w:val="-6"/>
        </w:rPr>
        <w:t xml:space="preserve"> </w:t>
      </w:r>
      <w:r w:rsidRPr="00CA2CC1">
        <w:rPr>
          <w:rFonts w:cs="Calibri"/>
          <w:color w:val="414042"/>
        </w:rPr>
        <w:t>estimated</w:t>
      </w:r>
      <w:r w:rsidRPr="00CA2CC1">
        <w:rPr>
          <w:rFonts w:cs="Calibri"/>
          <w:color w:val="414042"/>
          <w:spacing w:val="-6"/>
        </w:rPr>
        <w:t xml:space="preserve"> </w:t>
      </w:r>
      <w:r w:rsidRPr="00CA2CC1">
        <w:rPr>
          <w:rFonts w:cs="Calibri"/>
          <w:color w:val="414042"/>
        </w:rPr>
        <w:t>useful</w:t>
      </w:r>
      <w:r w:rsidRPr="00CA2CC1">
        <w:rPr>
          <w:rFonts w:cs="Calibri"/>
          <w:color w:val="414042"/>
          <w:spacing w:val="-6"/>
        </w:rPr>
        <w:t xml:space="preserve"> </w:t>
      </w:r>
      <w:r w:rsidRPr="00CA2CC1">
        <w:rPr>
          <w:rFonts w:cs="Calibri"/>
          <w:color w:val="414042"/>
        </w:rPr>
        <w:t>lives,</w:t>
      </w:r>
      <w:r w:rsidRPr="00CA2CC1">
        <w:rPr>
          <w:rFonts w:cs="Calibri"/>
          <w:color w:val="414042"/>
          <w:spacing w:val="-6"/>
        </w:rPr>
        <w:t xml:space="preserve"> </w:t>
      </w:r>
      <w:r w:rsidRPr="00CA2CC1">
        <w:rPr>
          <w:rFonts w:cs="Calibri"/>
          <w:color w:val="414042"/>
        </w:rPr>
        <w:t>residual</w:t>
      </w:r>
      <w:r w:rsidRPr="00CA2CC1">
        <w:rPr>
          <w:rFonts w:cs="Calibri"/>
          <w:color w:val="414042"/>
          <w:spacing w:val="-6"/>
        </w:rPr>
        <w:t xml:space="preserve"> </w:t>
      </w:r>
      <w:r w:rsidRPr="00CA2CC1">
        <w:rPr>
          <w:rFonts w:cs="Calibri"/>
          <w:color w:val="414042"/>
        </w:rPr>
        <w:t>values</w:t>
      </w:r>
      <w:r w:rsidRPr="00CA2CC1">
        <w:rPr>
          <w:rFonts w:cs="Calibri"/>
          <w:color w:val="414042"/>
          <w:spacing w:val="-6"/>
        </w:rPr>
        <w:t xml:space="preserve"> </w:t>
      </w:r>
      <w:r w:rsidRPr="00CA2CC1">
        <w:rPr>
          <w:rFonts w:cs="Calibri"/>
          <w:color w:val="414042"/>
        </w:rPr>
        <w:t>and</w:t>
      </w:r>
      <w:r w:rsidRPr="00CA2CC1">
        <w:rPr>
          <w:rFonts w:cs="Calibri"/>
          <w:color w:val="414042"/>
          <w:spacing w:val="-6"/>
        </w:rPr>
        <w:t xml:space="preserve"> </w:t>
      </w:r>
      <w:r w:rsidRPr="00CA2CC1">
        <w:rPr>
          <w:rFonts w:cs="Calibri"/>
          <w:color w:val="414042"/>
        </w:rPr>
        <w:t>depreciation method are reviewed at least annually. Typical estimated useful lives applicable for the different classes are included in the table below:</w:t>
      </w:r>
    </w:p>
    <w:p w14:paraId="07842A09" w14:textId="77777777" w:rsidR="00FA4226" w:rsidRPr="00CA2CC1" w:rsidRDefault="00FA4226" w:rsidP="0043303B">
      <w:pPr>
        <w:pStyle w:val="BodyText"/>
        <w:spacing w:before="2"/>
        <w:rPr>
          <w:rFonts w:cs="Calibri"/>
          <w:sz w:val="15"/>
        </w:rPr>
      </w:pPr>
    </w:p>
    <w:p w14:paraId="744D4CA5" w14:textId="77777777" w:rsidR="00FA4226" w:rsidRPr="00396443" w:rsidRDefault="00000000" w:rsidP="0043303B">
      <w:pPr>
        <w:pStyle w:val="Heading7"/>
        <w:rPr>
          <w:rFonts w:cs="Calibri"/>
          <w:color w:val="000000" w:themeColor="text1"/>
        </w:rPr>
      </w:pPr>
      <w:r w:rsidRPr="00396443">
        <w:rPr>
          <w:rFonts w:cs="Calibri"/>
          <w:color w:val="000000" w:themeColor="text1"/>
        </w:rPr>
        <w:t xml:space="preserve">Useful life of </w:t>
      </w:r>
      <w:r w:rsidRPr="00396443">
        <w:rPr>
          <w:rFonts w:cs="Calibri"/>
          <w:color w:val="000000" w:themeColor="text1"/>
          <w:spacing w:val="-2"/>
        </w:rPr>
        <w:t>assets</w:t>
      </w:r>
    </w:p>
    <w:p w14:paraId="54824AAE" w14:textId="77777777" w:rsidR="00FA4226" w:rsidRPr="00CA2CC1" w:rsidRDefault="00FA4226" w:rsidP="0043303B">
      <w:pPr>
        <w:pStyle w:val="BodyText"/>
        <w:spacing w:before="9"/>
        <w:rPr>
          <w:rFonts w:cs="Calibri"/>
          <w:sz w:val="10"/>
        </w:rPr>
      </w:pPr>
    </w:p>
    <w:tbl>
      <w:tblPr>
        <w:tblW w:w="0" w:type="auto"/>
        <w:tblLayout w:type="fixed"/>
        <w:tblCellMar>
          <w:left w:w="0" w:type="dxa"/>
          <w:right w:w="0" w:type="dxa"/>
        </w:tblCellMar>
        <w:tblLook w:val="01E0" w:firstRow="1" w:lastRow="1" w:firstColumn="1" w:lastColumn="1" w:noHBand="0" w:noVBand="0"/>
      </w:tblPr>
      <w:tblGrid>
        <w:gridCol w:w="2683"/>
        <w:gridCol w:w="1974"/>
      </w:tblGrid>
      <w:tr w:rsidR="00FA4226" w:rsidRPr="00CA2CC1" w14:paraId="13E8E34D" w14:textId="77777777" w:rsidTr="0066501D">
        <w:trPr>
          <w:trHeight w:val="309"/>
        </w:trPr>
        <w:tc>
          <w:tcPr>
            <w:tcW w:w="2683" w:type="dxa"/>
            <w:tcBorders>
              <w:bottom w:val="single" w:sz="4" w:space="0" w:color="C48F1B"/>
            </w:tcBorders>
          </w:tcPr>
          <w:p w14:paraId="2577CEE7" w14:textId="77777777" w:rsidR="00FA4226" w:rsidRPr="00CA2CC1" w:rsidRDefault="00000000" w:rsidP="0043303B">
            <w:pPr>
              <w:pStyle w:val="TableParagraph"/>
              <w:spacing w:before="39"/>
              <w:jc w:val="left"/>
              <w:rPr>
                <w:rFonts w:cs="Calibri"/>
                <w:sz w:val="17"/>
              </w:rPr>
            </w:pPr>
            <w:r w:rsidRPr="00CA2CC1">
              <w:rPr>
                <w:rFonts w:cs="Calibri"/>
                <w:color w:val="F68C59"/>
                <w:sz w:val="17"/>
              </w:rPr>
              <w:t>Asset</w:t>
            </w:r>
            <w:r w:rsidRPr="00CA2CC1">
              <w:rPr>
                <w:rFonts w:cs="Calibri"/>
                <w:color w:val="F68C59"/>
                <w:spacing w:val="9"/>
                <w:sz w:val="17"/>
              </w:rPr>
              <w:t xml:space="preserve"> </w:t>
            </w:r>
            <w:r w:rsidRPr="00CA2CC1">
              <w:rPr>
                <w:rFonts w:cs="Calibri"/>
                <w:color w:val="F68C59"/>
                <w:spacing w:val="-2"/>
                <w:sz w:val="17"/>
              </w:rPr>
              <w:t>class</w:t>
            </w:r>
          </w:p>
        </w:tc>
        <w:tc>
          <w:tcPr>
            <w:tcW w:w="1974" w:type="dxa"/>
            <w:tcBorders>
              <w:bottom w:val="single" w:sz="4" w:space="0" w:color="C48F1B"/>
            </w:tcBorders>
            <w:shd w:val="clear" w:color="auto" w:fill="FFF0E7"/>
            <w:tcMar>
              <w:right w:w="57" w:type="dxa"/>
            </w:tcMar>
          </w:tcPr>
          <w:p w14:paraId="004937A8" w14:textId="77777777" w:rsidR="00FA4226" w:rsidRPr="00CA2CC1" w:rsidRDefault="00000000" w:rsidP="0043303B">
            <w:pPr>
              <w:pStyle w:val="TableParagraph"/>
              <w:spacing w:before="39"/>
              <w:rPr>
                <w:rFonts w:cs="Calibri"/>
                <w:sz w:val="17"/>
              </w:rPr>
            </w:pPr>
            <w:r w:rsidRPr="00CA2CC1">
              <w:rPr>
                <w:rFonts w:cs="Calibri"/>
                <w:color w:val="F68C59"/>
                <w:sz w:val="17"/>
              </w:rPr>
              <w:t>Useful</w:t>
            </w:r>
            <w:r w:rsidRPr="00CA2CC1">
              <w:rPr>
                <w:rFonts w:cs="Calibri"/>
                <w:color w:val="F68C59"/>
                <w:spacing w:val="6"/>
                <w:sz w:val="17"/>
              </w:rPr>
              <w:t xml:space="preserve"> </w:t>
            </w:r>
            <w:r w:rsidRPr="00CA2CC1">
              <w:rPr>
                <w:rFonts w:cs="Calibri"/>
                <w:color w:val="F68C59"/>
                <w:sz w:val="17"/>
              </w:rPr>
              <w:t>life</w:t>
            </w:r>
            <w:r w:rsidRPr="00CA2CC1">
              <w:rPr>
                <w:rFonts w:cs="Calibri"/>
                <w:color w:val="F68C59"/>
                <w:spacing w:val="6"/>
                <w:sz w:val="17"/>
              </w:rPr>
              <w:t xml:space="preserve"> </w:t>
            </w:r>
            <w:r w:rsidRPr="00CA2CC1">
              <w:rPr>
                <w:rFonts w:cs="Calibri"/>
                <w:color w:val="F68C59"/>
                <w:spacing w:val="-2"/>
                <w:sz w:val="17"/>
              </w:rPr>
              <w:t>(years)</w:t>
            </w:r>
          </w:p>
        </w:tc>
      </w:tr>
      <w:tr w:rsidR="00FA4226" w:rsidRPr="00CA2CC1" w14:paraId="0284D974" w14:textId="77777777" w:rsidTr="0066501D">
        <w:trPr>
          <w:trHeight w:val="281"/>
        </w:trPr>
        <w:tc>
          <w:tcPr>
            <w:tcW w:w="2683" w:type="dxa"/>
            <w:tcBorders>
              <w:top w:val="single" w:sz="4" w:space="0" w:color="C48F1B"/>
              <w:bottom w:val="single" w:sz="2" w:space="0" w:color="73777A"/>
            </w:tcBorders>
          </w:tcPr>
          <w:p w14:paraId="6864CE73" w14:textId="77777777" w:rsidR="00FA4226" w:rsidRPr="00CA2CC1" w:rsidRDefault="00000000" w:rsidP="0043303B">
            <w:pPr>
              <w:pStyle w:val="TableParagraph"/>
              <w:jc w:val="left"/>
              <w:rPr>
                <w:rFonts w:cs="Calibri"/>
                <w:sz w:val="18"/>
              </w:rPr>
            </w:pPr>
            <w:r w:rsidRPr="00CA2CC1">
              <w:rPr>
                <w:rFonts w:cs="Calibri"/>
                <w:color w:val="414042"/>
                <w:sz w:val="18"/>
              </w:rPr>
              <w:t>Right-of-use</w:t>
            </w:r>
            <w:r w:rsidRPr="00CA2CC1">
              <w:rPr>
                <w:rFonts w:cs="Calibri"/>
                <w:color w:val="414042"/>
                <w:spacing w:val="-3"/>
                <w:sz w:val="18"/>
              </w:rPr>
              <w:t xml:space="preserve"> </w:t>
            </w:r>
            <w:r w:rsidRPr="00CA2CC1">
              <w:rPr>
                <w:rFonts w:cs="Calibri"/>
                <w:color w:val="414042"/>
                <w:spacing w:val="-2"/>
                <w:sz w:val="18"/>
              </w:rPr>
              <w:t>buildings</w:t>
            </w:r>
          </w:p>
        </w:tc>
        <w:tc>
          <w:tcPr>
            <w:tcW w:w="1974" w:type="dxa"/>
            <w:tcBorders>
              <w:top w:val="single" w:sz="4" w:space="0" w:color="C48F1B"/>
              <w:bottom w:val="single" w:sz="2" w:space="0" w:color="73777A"/>
            </w:tcBorders>
            <w:shd w:val="clear" w:color="auto" w:fill="FFF0E7"/>
            <w:tcMar>
              <w:right w:w="57" w:type="dxa"/>
            </w:tcMar>
          </w:tcPr>
          <w:p w14:paraId="7E50F2F0" w14:textId="77777777" w:rsidR="00FA4226" w:rsidRPr="00CA2CC1" w:rsidRDefault="00000000" w:rsidP="0043303B">
            <w:pPr>
              <w:pStyle w:val="TableParagraph"/>
              <w:rPr>
                <w:rFonts w:cs="Calibri"/>
                <w:sz w:val="18"/>
              </w:rPr>
            </w:pPr>
            <w:r w:rsidRPr="00CA2CC1">
              <w:rPr>
                <w:rFonts w:cs="Calibri"/>
                <w:color w:val="414042"/>
                <w:sz w:val="18"/>
              </w:rPr>
              <w:t>9</w:t>
            </w:r>
          </w:p>
        </w:tc>
      </w:tr>
      <w:tr w:rsidR="00FA4226" w:rsidRPr="00CA2CC1" w14:paraId="38F50DF4" w14:textId="77777777" w:rsidTr="0066501D">
        <w:trPr>
          <w:trHeight w:val="283"/>
        </w:trPr>
        <w:tc>
          <w:tcPr>
            <w:tcW w:w="2683" w:type="dxa"/>
            <w:tcBorders>
              <w:top w:val="single" w:sz="2" w:space="0" w:color="73777A"/>
              <w:bottom w:val="single" w:sz="2" w:space="0" w:color="73777A"/>
            </w:tcBorders>
          </w:tcPr>
          <w:p w14:paraId="3D96D8C9" w14:textId="77777777" w:rsidR="00FA4226" w:rsidRPr="00CA2CC1" w:rsidRDefault="00000000" w:rsidP="0043303B">
            <w:pPr>
              <w:pStyle w:val="TableParagraph"/>
              <w:jc w:val="left"/>
              <w:rPr>
                <w:rFonts w:cs="Calibri"/>
                <w:sz w:val="18"/>
              </w:rPr>
            </w:pPr>
            <w:r w:rsidRPr="00CA2CC1">
              <w:rPr>
                <w:rFonts w:cs="Calibri"/>
                <w:color w:val="414042"/>
                <w:sz w:val="18"/>
              </w:rPr>
              <w:t>Leasehold</w:t>
            </w:r>
            <w:r w:rsidRPr="00CA2CC1">
              <w:rPr>
                <w:rFonts w:cs="Calibri"/>
                <w:color w:val="414042"/>
                <w:spacing w:val="9"/>
                <w:sz w:val="18"/>
              </w:rPr>
              <w:t xml:space="preserve"> </w:t>
            </w:r>
            <w:r w:rsidRPr="00CA2CC1">
              <w:rPr>
                <w:rFonts w:cs="Calibri"/>
                <w:color w:val="414042"/>
                <w:spacing w:val="-2"/>
                <w:sz w:val="18"/>
              </w:rPr>
              <w:t>improvements</w:t>
            </w:r>
          </w:p>
        </w:tc>
        <w:tc>
          <w:tcPr>
            <w:tcW w:w="1974" w:type="dxa"/>
            <w:tcBorders>
              <w:top w:val="single" w:sz="2" w:space="0" w:color="73777A"/>
              <w:bottom w:val="single" w:sz="2" w:space="0" w:color="73777A"/>
            </w:tcBorders>
            <w:shd w:val="clear" w:color="auto" w:fill="FFF0E7"/>
            <w:tcMar>
              <w:right w:w="57" w:type="dxa"/>
            </w:tcMar>
          </w:tcPr>
          <w:p w14:paraId="5F075FDA" w14:textId="77777777" w:rsidR="00FA4226" w:rsidRPr="00CA2CC1" w:rsidRDefault="00000000" w:rsidP="0043303B">
            <w:pPr>
              <w:pStyle w:val="TableParagraph"/>
              <w:rPr>
                <w:rFonts w:cs="Calibri"/>
                <w:sz w:val="18"/>
              </w:rPr>
            </w:pPr>
            <w:r w:rsidRPr="00CA2CC1">
              <w:rPr>
                <w:rFonts w:cs="Calibri"/>
                <w:color w:val="414042"/>
                <w:spacing w:val="-4"/>
                <w:sz w:val="18"/>
              </w:rPr>
              <w:t>2-</w:t>
            </w:r>
            <w:r w:rsidRPr="00CA2CC1">
              <w:rPr>
                <w:rFonts w:cs="Calibri"/>
                <w:color w:val="414042"/>
                <w:spacing w:val="-10"/>
                <w:sz w:val="18"/>
              </w:rPr>
              <w:t>5</w:t>
            </w:r>
          </w:p>
        </w:tc>
      </w:tr>
      <w:tr w:rsidR="00FA4226" w:rsidRPr="00CA2CC1" w14:paraId="71352BCB" w14:textId="77777777" w:rsidTr="0066501D">
        <w:trPr>
          <w:trHeight w:val="283"/>
        </w:trPr>
        <w:tc>
          <w:tcPr>
            <w:tcW w:w="2683" w:type="dxa"/>
            <w:tcBorders>
              <w:top w:val="single" w:sz="2" w:space="0" w:color="73777A"/>
              <w:bottom w:val="single" w:sz="2" w:space="0" w:color="73777A"/>
            </w:tcBorders>
          </w:tcPr>
          <w:p w14:paraId="2C2528BA" w14:textId="77777777" w:rsidR="00FA4226" w:rsidRPr="00CA2CC1" w:rsidRDefault="00000000" w:rsidP="0043303B">
            <w:pPr>
              <w:pStyle w:val="TableParagraph"/>
              <w:jc w:val="left"/>
              <w:rPr>
                <w:rFonts w:cs="Calibri"/>
                <w:sz w:val="18"/>
              </w:rPr>
            </w:pPr>
            <w:r w:rsidRPr="00CA2CC1">
              <w:rPr>
                <w:rFonts w:cs="Calibri"/>
                <w:color w:val="414042"/>
                <w:sz w:val="18"/>
              </w:rPr>
              <w:t>Leased</w:t>
            </w:r>
            <w:r w:rsidRPr="00CA2CC1">
              <w:rPr>
                <w:rFonts w:cs="Calibri"/>
                <w:color w:val="414042"/>
                <w:spacing w:val="2"/>
                <w:sz w:val="18"/>
              </w:rPr>
              <w:t xml:space="preserve"> </w:t>
            </w:r>
            <w:r w:rsidRPr="00CA2CC1">
              <w:rPr>
                <w:rFonts w:cs="Calibri"/>
                <w:color w:val="414042"/>
                <w:sz w:val="18"/>
              </w:rPr>
              <w:t>motor</w:t>
            </w:r>
            <w:r w:rsidRPr="00CA2CC1">
              <w:rPr>
                <w:rFonts w:cs="Calibri"/>
                <w:color w:val="414042"/>
                <w:spacing w:val="3"/>
                <w:sz w:val="18"/>
              </w:rPr>
              <w:t xml:space="preserve"> </w:t>
            </w:r>
            <w:r w:rsidRPr="00CA2CC1">
              <w:rPr>
                <w:rFonts w:cs="Calibri"/>
                <w:color w:val="414042"/>
                <w:spacing w:val="-2"/>
                <w:sz w:val="18"/>
              </w:rPr>
              <w:t>vehicles</w:t>
            </w:r>
          </w:p>
        </w:tc>
        <w:tc>
          <w:tcPr>
            <w:tcW w:w="1974" w:type="dxa"/>
            <w:tcBorders>
              <w:top w:val="single" w:sz="2" w:space="0" w:color="73777A"/>
              <w:bottom w:val="single" w:sz="2" w:space="0" w:color="73777A"/>
            </w:tcBorders>
            <w:shd w:val="clear" w:color="auto" w:fill="FFF0E7"/>
            <w:tcMar>
              <w:right w:w="57" w:type="dxa"/>
            </w:tcMar>
          </w:tcPr>
          <w:p w14:paraId="28982E4E" w14:textId="77777777" w:rsidR="00FA4226" w:rsidRPr="00CA2CC1" w:rsidRDefault="00000000" w:rsidP="0043303B">
            <w:pPr>
              <w:pStyle w:val="TableParagraph"/>
              <w:rPr>
                <w:rFonts w:cs="Calibri"/>
                <w:sz w:val="18"/>
              </w:rPr>
            </w:pPr>
            <w:r w:rsidRPr="00CA2CC1">
              <w:rPr>
                <w:rFonts w:cs="Calibri"/>
                <w:color w:val="414042"/>
                <w:spacing w:val="-3"/>
                <w:sz w:val="18"/>
              </w:rPr>
              <w:t>2-</w:t>
            </w:r>
            <w:r w:rsidRPr="00CA2CC1">
              <w:rPr>
                <w:rFonts w:cs="Calibri"/>
                <w:color w:val="414042"/>
                <w:spacing w:val="-10"/>
                <w:sz w:val="18"/>
              </w:rPr>
              <w:t>3</w:t>
            </w:r>
          </w:p>
        </w:tc>
      </w:tr>
    </w:tbl>
    <w:p w14:paraId="1FDDF333" w14:textId="77777777" w:rsidR="00FA4226" w:rsidRPr="00CA2CC1" w:rsidRDefault="00FA4226" w:rsidP="0043303B">
      <w:pPr>
        <w:pStyle w:val="BodyText"/>
        <w:rPr>
          <w:rFonts w:cs="Calibri"/>
        </w:rPr>
      </w:pPr>
    </w:p>
    <w:p w14:paraId="20C7A6F3" w14:textId="77777777" w:rsidR="00FA4226" w:rsidRPr="00CA2CC1" w:rsidRDefault="00FA4226" w:rsidP="0043303B">
      <w:pPr>
        <w:pStyle w:val="BodyText"/>
        <w:rPr>
          <w:rFonts w:cs="Calibri"/>
        </w:rPr>
      </w:pPr>
    </w:p>
    <w:p w14:paraId="22D1DBF3" w14:textId="77777777" w:rsidR="00FA4226" w:rsidRPr="00CA2CC1" w:rsidRDefault="00FA4226" w:rsidP="0043303B">
      <w:pPr>
        <w:pStyle w:val="BodyText"/>
        <w:spacing w:before="9"/>
        <w:rPr>
          <w:rFonts w:cs="Calibri"/>
        </w:rPr>
      </w:pPr>
    </w:p>
    <w:p w14:paraId="67EFBDE9" w14:textId="77777777" w:rsidR="00FA4226" w:rsidRPr="00396443" w:rsidRDefault="00000000" w:rsidP="0043303B">
      <w:pPr>
        <w:pStyle w:val="Heading3"/>
        <w:numPr>
          <w:ilvl w:val="0"/>
          <w:numId w:val="15"/>
        </w:numPr>
        <w:spacing w:before="36"/>
        <w:ind w:left="0" w:firstLine="0"/>
        <w:rPr>
          <w:rFonts w:cs="Calibri"/>
          <w:color w:val="000000" w:themeColor="text1"/>
        </w:rPr>
      </w:pPr>
      <w:r w:rsidRPr="00396443">
        <w:rPr>
          <w:rFonts w:cs="Calibri"/>
          <w:color w:val="000000" w:themeColor="text1"/>
        </w:rPr>
        <w:t xml:space="preserve">Other assets and </w:t>
      </w:r>
      <w:r w:rsidRPr="00396443">
        <w:rPr>
          <w:rFonts w:cs="Calibri"/>
          <w:color w:val="000000" w:themeColor="text1"/>
          <w:spacing w:val="-2"/>
        </w:rPr>
        <w:t>liabilities</w:t>
      </w:r>
    </w:p>
    <w:p w14:paraId="7F2921CD" w14:textId="77777777" w:rsidR="00FA4226" w:rsidRPr="00396443" w:rsidRDefault="00FA4226" w:rsidP="0043303B">
      <w:pPr>
        <w:rPr>
          <w:rFonts w:cs="Calibri"/>
          <w:color w:val="000000" w:themeColor="text1"/>
          <w:sz w:val="9"/>
        </w:rPr>
        <w:sectPr w:rsidR="00FA4226" w:rsidRPr="00396443" w:rsidSect="00E941A5">
          <w:pgSz w:w="11910" w:h="16840"/>
          <w:pgMar w:top="1134" w:right="1278" w:bottom="1134" w:left="1134" w:header="720" w:footer="720" w:gutter="0"/>
          <w:cols w:space="720"/>
        </w:sectPr>
      </w:pPr>
    </w:p>
    <w:p w14:paraId="743395D5" w14:textId="77777777" w:rsidR="00B34FBF" w:rsidRPr="00396443" w:rsidRDefault="00B34FBF" w:rsidP="0043303B">
      <w:pPr>
        <w:pStyle w:val="BodyText"/>
        <w:spacing w:before="87"/>
        <w:rPr>
          <w:rFonts w:cs="Calibri"/>
        </w:rPr>
      </w:pPr>
      <w:r w:rsidRPr="00396443">
        <w:rPr>
          <w:rFonts w:cs="Calibri"/>
        </w:rPr>
        <w:t>Introduction</w:t>
      </w:r>
    </w:p>
    <w:p w14:paraId="6802A6C3" w14:textId="77777777" w:rsidR="00FA4226" w:rsidRPr="00396443" w:rsidRDefault="00000000" w:rsidP="0043303B">
      <w:pPr>
        <w:pStyle w:val="BodyText"/>
        <w:spacing w:before="87"/>
        <w:rPr>
          <w:rFonts w:cs="Calibri"/>
        </w:rPr>
      </w:pPr>
      <w:r w:rsidRPr="00396443">
        <w:rPr>
          <w:rFonts w:cs="Calibri"/>
        </w:rPr>
        <w:t>This section sets out those assets and liabilities that arose from Infrastructure Victoria’s operations.</w:t>
      </w:r>
    </w:p>
    <w:p w14:paraId="50C12ACE" w14:textId="77777777" w:rsidR="00B34FBF" w:rsidRPr="00396443" w:rsidRDefault="00B34FBF" w:rsidP="0043303B">
      <w:pPr>
        <w:pStyle w:val="BodyText"/>
        <w:spacing w:before="87"/>
        <w:rPr>
          <w:rFonts w:cs="Calibri"/>
          <w:spacing w:val="-2"/>
          <w:szCs w:val="22"/>
        </w:rPr>
      </w:pPr>
      <w:r w:rsidRPr="00396443">
        <w:rPr>
          <w:rFonts w:cs="Calibri"/>
          <w:spacing w:val="-2"/>
          <w:szCs w:val="22"/>
        </w:rPr>
        <w:t>Structure</w:t>
      </w:r>
    </w:p>
    <w:p w14:paraId="0FB21282" w14:textId="77777777" w:rsidR="00B34FBF" w:rsidRPr="00396443" w:rsidRDefault="00B34FBF" w:rsidP="0043303B">
      <w:pPr>
        <w:pStyle w:val="ListParagraph"/>
        <w:numPr>
          <w:ilvl w:val="1"/>
          <w:numId w:val="15"/>
        </w:numPr>
        <w:tabs>
          <w:tab w:val="left" w:pos="1147"/>
        </w:tabs>
        <w:spacing w:before="64"/>
        <w:ind w:left="0" w:firstLine="0"/>
        <w:rPr>
          <w:rFonts w:cs="Calibri"/>
          <w:szCs w:val="22"/>
        </w:rPr>
      </w:pPr>
      <w:r w:rsidRPr="00396443">
        <w:rPr>
          <w:rFonts w:cs="Calibri"/>
          <w:spacing w:val="-2"/>
          <w:szCs w:val="22"/>
        </w:rPr>
        <w:t>Receivables</w:t>
      </w:r>
    </w:p>
    <w:p w14:paraId="3D7CB21C" w14:textId="77777777" w:rsidR="00B34FBF" w:rsidRPr="00396443" w:rsidRDefault="00B34FBF" w:rsidP="0043303B">
      <w:pPr>
        <w:pStyle w:val="ListParagraph"/>
        <w:numPr>
          <w:ilvl w:val="1"/>
          <w:numId w:val="15"/>
        </w:numPr>
        <w:tabs>
          <w:tab w:val="left" w:pos="1167"/>
        </w:tabs>
        <w:spacing w:before="85"/>
        <w:ind w:left="0" w:firstLine="0"/>
        <w:rPr>
          <w:rFonts w:cs="Calibri"/>
          <w:szCs w:val="22"/>
        </w:rPr>
      </w:pPr>
      <w:r w:rsidRPr="00396443">
        <w:rPr>
          <w:rFonts w:cs="Calibri"/>
          <w:spacing w:val="-2"/>
          <w:szCs w:val="22"/>
        </w:rPr>
        <w:t>Payables</w:t>
      </w:r>
    </w:p>
    <w:p w14:paraId="73C9AE71" w14:textId="77777777" w:rsidR="00B34FBF" w:rsidRPr="00396443" w:rsidRDefault="00B34FBF" w:rsidP="0043303B">
      <w:pPr>
        <w:pStyle w:val="ListParagraph"/>
        <w:numPr>
          <w:ilvl w:val="1"/>
          <w:numId w:val="15"/>
        </w:numPr>
        <w:tabs>
          <w:tab w:val="left" w:pos="1165"/>
        </w:tabs>
        <w:spacing w:before="85"/>
        <w:ind w:left="0" w:firstLine="0"/>
        <w:rPr>
          <w:rFonts w:cs="Calibri"/>
          <w:szCs w:val="22"/>
        </w:rPr>
      </w:pPr>
      <w:r w:rsidRPr="00396443">
        <w:rPr>
          <w:rFonts w:cs="Calibri"/>
          <w:szCs w:val="22"/>
        </w:rPr>
        <w:t>Deferred</w:t>
      </w:r>
      <w:r w:rsidRPr="00396443">
        <w:rPr>
          <w:rFonts w:cs="Calibri"/>
          <w:spacing w:val="5"/>
          <w:szCs w:val="22"/>
        </w:rPr>
        <w:t xml:space="preserve"> </w:t>
      </w:r>
      <w:r w:rsidRPr="00396443">
        <w:rPr>
          <w:rFonts w:cs="Calibri"/>
          <w:szCs w:val="22"/>
        </w:rPr>
        <w:t>lease</w:t>
      </w:r>
      <w:r w:rsidRPr="00396443">
        <w:rPr>
          <w:rFonts w:cs="Calibri"/>
          <w:spacing w:val="7"/>
          <w:szCs w:val="22"/>
        </w:rPr>
        <w:t xml:space="preserve"> </w:t>
      </w:r>
      <w:r w:rsidRPr="00396443">
        <w:rPr>
          <w:rFonts w:cs="Calibri"/>
          <w:spacing w:val="-2"/>
          <w:szCs w:val="22"/>
        </w:rPr>
        <w:t>incentive</w:t>
      </w:r>
    </w:p>
    <w:p w14:paraId="1B360FD4" w14:textId="77777777" w:rsidR="00B34FBF" w:rsidRPr="00396443" w:rsidRDefault="00B34FBF" w:rsidP="0043303B">
      <w:pPr>
        <w:pStyle w:val="ListParagraph"/>
        <w:numPr>
          <w:ilvl w:val="1"/>
          <w:numId w:val="15"/>
        </w:numPr>
        <w:tabs>
          <w:tab w:val="left" w:pos="1162"/>
        </w:tabs>
        <w:spacing w:before="85"/>
        <w:ind w:left="0" w:firstLine="0"/>
        <w:rPr>
          <w:rFonts w:cs="Calibri"/>
          <w:szCs w:val="22"/>
        </w:rPr>
      </w:pPr>
      <w:r w:rsidRPr="00396443">
        <w:rPr>
          <w:rFonts w:cs="Calibri"/>
          <w:spacing w:val="-2"/>
          <w:szCs w:val="22"/>
        </w:rPr>
        <w:t>Prepayments</w:t>
      </w:r>
    </w:p>
    <w:p w14:paraId="6A8A0BE6" w14:textId="40BA7B2C" w:rsidR="00FA4226" w:rsidRPr="00396443" w:rsidRDefault="00B34FBF" w:rsidP="0043303B">
      <w:pPr>
        <w:pStyle w:val="ListParagraph"/>
        <w:numPr>
          <w:ilvl w:val="1"/>
          <w:numId w:val="15"/>
        </w:numPr>
        <w:tabs>
          <w:tab w:val="left" w:pos="1165"/>
        </w:tabs>
        <w:spacing w:before="85"/>
        <w:ind w:left="0" w:firstLine="0"/>
        <w:rPr>
          <w:rFonts w:cs="Calibri"/>
          <w:szCs w:val="22"/>
        </w:rPr>
      </w:pPr>
      <w:r w:rsidRPr="00396443">
        <w:rPr>
          <w:rFonts w:cs="Calibri"/>
          <w:szCs w:val="22"/>
        </w:rPr>
        <w:t>Other</w:t>
      </w:r>
      <w:r w:rsidRPr="00396443">
        <w:rPr>
          <w:rFonts w:cs="Calibri"/>
          <w:spacing w:val="5"/>
          <w:szCs w:val="22"/>
        </w:rPr>
        <w:t xml:space="preserve"> </w:t>
      </w:r>
      <w:r w:rsidRPr="00396443">
        <w:rPr>
          <w:rFonts w:cs="Calibri"/>
          <w:spacing w:val="-2"/>
          <w:szCs w:val="22"/>
        </w:rPr>
        <w:t>provisions</w:t>
      </w:r>
    </w:p>
    <w:p w14:paraId="4CF75C75" w14:textId="34B5B493" w:rsidR="00FA4226" w:rsidRPr="00396443" w:rsidRDefault="00FA4226" w:rsidP="0043303B">
      <w:pPr>
        <w:pStyle w:val="BodyText"/>
        <w:rPr>
          <w:rFonts w:cs="Calibri"/>
          <w:sz w:val="2"/>
        </w:rPr>
      </w:pPr>
    </w:p>
    <w:p w14:paraId="48A2CF8B" w14:textId="77777777" w:rsidR="00FA4226" w:rsidRPr="00396443" w:rsidRDefault="00FA4226" w:rsidP="0043303B">
      <w:pPr>
        <w:pStyle w:val="BodyText"/>
        <w:spacing w:before="13"/>
        <w:rPr>
          <w:rFonts w:cs="Calibri"/>
          <w:sz w:val="8"/>
        </w:rPr>
      </w:pPr>
    </w:p>
    <w:p w14:paraId="2900D593" w14:textId="77777777" w:rsidR="00FA4226" w:rsidRPr="00396443" w:rsidRDefault="00000000" w:rsidP="0043303B">
      <w:pPr>
        <w:pStyle w:val="Heading7"/>
        <w:numPr>
          <w:ilvl w:val="1"/>
          <w:numId w:val="12"/>
        </w:numPr>
        <w:tabs>
          <w:tab w:val="left" w:pos="1466"/>
        </w:tabs>
        <w:spacing w:before="60"/>
        <w:ind w:left="0" w:firstLine="0"/>
        <w:rPr>
          <w:rFonts w:cs="Calibri"/>
          <w:color w:val="000000" w:themeColor="text1"/>
        </w:rPr>
      </w:pPr>
      <w:r w:rsidRPr="00396443">
        <w:rPr>
          <w:rFonts w:cs="Calibri"/>
          <w:color w:val="000000" w:themeColor="text1"/>
          <w:spacing w:val="-2"/>
        </w:rPr>
        <w:t>Receivables</w:t>
      </w:r>
    </w:p>
    <w:p w14:paraId="200E2638" w14:textId="77777777" w:rsidR="00FA4226" w:rsidRPr="00396443" w:rsidRDefault="00FA4226" w:rsidP="0043303B">
      <w:pPr>
        <w:pStyle w:val="BodyText"/>
        <w:spacing w:before="9" w:after="1"/>
        <w:rPr>
          <w:rFonts w:cs="Calibri"/>
          <w:sz w:val="10"/>
        </w:rPr>
      </w:pPr>
    </w:p>
    <w:tbl>
      <w:tblPr>
        <w:tblW w:w="9637" w:type="dxa"/>
        <w:tblBorders>
          <w:top w:val="single" w:sz="4" w:space="0" w:color="C48F1B"/>
          <w:left w:val="single" w:sz="4" w:space="0" w:color="C48F1B"/>
          <w:bottom w:val="single" w:sz="4" w:space="0" w:color="C48F1B"/>
          <w:right w:val="single" w:sz="4" w:space="0" w:color="C48F1B"/>
          <w:insideH w:val="single" w:sz="4" w:space="0" w:color="C48F1B"/>
          <w:insideV w:val="single" w:sz="4" w:space="0" w:color="C48F1B"/>
        </w:tblBorders>
        <w:tblLayout w:type="fixed"/>
        <w:tblCellMar>
          <w:left w:w="0" w:type="dxa"/>
          <w:right w:w="0" w:type="dxa"/>
        </w:tblCellMar>
        <w:tblLook w:val="01E0" w:firstRow="1" w:lastRow="1" w:firstColumn="1" w:lastColumn="1" w:noHBand="0" w:noVBand="0"/>
      </w:tblPr>
      <w:tblGrid>
        <w:gridCol w:w="6633"/>
        <w:gridCol w:w="1502"/>
        <w:gridCol w:w="1502"/>
      </w:tblGrid>
      <w:tr w:rsidR="00FA4226" w:rsidRPr="00CA2CC1" w14:paraId="64EF2688" w14:textId="77777777" w:rsidTr="0066501D">
        <w:trPr>
          <w:trHeight w:val="555"/>
        </w:trPr>
        <w:tc>
          <w:tcPr>
            <w:tcW w:w="6633" w:type="dxa"/>
            <w:tcBorders>
              <w:top w:val="nil"/>
              <w:left w:val="nil"/>
              <w:right w:val="nil"/>
            </w:tcBorders>
          </w:tcPr>
          <w:p w14:paraId="59DD0690" w14:textId="77777777" w:rsidR="00FA4226" w:rsidRPr="00CA2CC1" w:rsidRDefault="00FA4226" w:rsidP="0043303B">
            <w:pPr>
              <w:pStyle w:val="TableParagraph"/>
              <w:jc w:val="left"/>
              <w:rPr>
                <w:rFonts w:cs="Calibri"/>
                <w:sz w:val="16"/>
              </w:rPr>
            </w:pPr>
          </w:p>
        </w:tc>
        <w:tc>
          <w:tcPr>
            <w:tcW w:w="1502" w:type="dxa"/>
            <w:tcBorders>
              <w:top w:val="nil"/>
              <w:left w:val="nil"/>
              <w:right w:val="single" w:sz="8" w:space="0" w:color="FFFFFF"/>
            </w:tcBorders>
            <w:shd w:val="clear" w:color="auto" w:fill="FFF0E7"/>
            <w:tcMar>
              <w:right w:w="57" w:type="dxa"/>
            </w:tcMar>
          </w:tcPr>
          <w:p w14:paraId="0F51A273" w14:textId="77777777" w:rsidR="00FA4226" w:rsidRPr="00CA2CC1" w:rsidRDefault="00000000" w:rsidP="0043303B">
            <w:pPr>
              <w:pStyle w:val="TableParagraph"/>
              <w:spacing w:before="50"/>
              <w:rPr>
                <w:rFonts w:cs="Calibri"/>
                <w:sz w:val="17"/>
              </w:rPr>
            </w:pPr>
            <w:r w:rsidRPr="00CA2CC1">
              <w:rPr>
                <w:rFonts w:cs="Calibri"/>
                <w:color w:val="F68C59"/>
                <w:spacing w:val="-4"/>
                <w:sz w:val="17"/>
              </w:rPr>
              <w:t>2023</w:t>
            </w:r>
          </w:p>
          <w:p w14:paraId="49D1CAFA" w14:textId="77777777" w:rsidR="00FA4226" w:rsidRPr="00CA2CC1" w:rsidRDefault="00000000" w:rsidP="0043303B">
            <w:pPr>
              <w:pStyle w:val="TableParagraph"/>
              <w:spacing w:before="1"/>
              <w:rPr>
                <w:rFonts w:cs="Calibri"/>
                <w:sz w:val="17"/>
              </w:rPr>
            </w:pPr>
            <w:r w:rsidRPr="00CA2CC1">
              <w:rPr>
                <w:rFonts w:cs="Calibri"/>
                <w:color w:val="F68C59"/>
                <w:sz w:val="17"/>
              </w:rPr>
              <w:t>$</w:t>
            </w:r>
          </w:p>
        </w:tc>
        <w:tc>
          <w:tcPr>
            <w:tcW w:w="1502" w:type="dxa"/>
            <w:tcBorders>
              <w:top w:val="nil"/>
              <w:left w:val="single" w:sz="8" w:space="0" w:color="FFFFFF"/>
              <w:right w:val="nil"/>
            </w:tcBorders>
            <w:shd w:val="clear" w:color="auto" w:fill="EDEFF0"/>
            <w:tcMar>
              <w:right w:w="57" w:type="dxa"/>
            </w:tcMar>
          </w:tcPr>
          <w:p w14:paraId="1064B150" w14:textId="77777777" w:rsidR="00FA4226" w:rsidRPr="00CA2CC1" w:rsidRDefault="00000000" w:rsidP="0043303B">
            <w:pPr>
              <w:pStyle w:val="TableParagraph"/>
              <w:spacing w:before="50"/>
              <w:rPr>
                <w:rFonts w:cs="Calibri"/>
                <w:sz w:val="17"/>
              </w:rPr>
            </w:pPr>
            <w:r w:rsidRPr="00CA2CC1">
              <w:rPr>
                <w:rFonts w:cs="Calibri"/>
                <w:color w:val="F68C59"/>
                <w:spacing w:val="-4"/>
                <w:sz w:val="17"/>
              </w:rPr>
              <w:t>2022</w:t>
            </w:r>
          </w:p>
          <w:p w14:paraId="01F31166" w14:textId="77777777" w:rsidR="00FA4226" w:rsidRPr="00CA2CC1" w:rsidRDefault="00000000" w:rsidP="0043303B">
            <w:pPr>
              <w:pStyle w:val="TableParagraph"/>
              <w:spacing w:before="1"/>
              <w:rPr>
                <w:rFonts w:cs="Calibri"/>
                <w:sz w:val="17"/>
              </w:rPr>
            </w:pPr>
            <w:r w:rsidRPr="00CA2CC1">
              <w:rPr>
                <w:rFonts w:cs="Calibri"/>
                <w:color w:val="F68C59"/>
                <w:sz w:val="17"/>
              </w:rPr>
              <w:t>$</w:t>
            </w:r>
          </w:p>
        </w:tc>
      </w:tr>
      <w:tr w:rsidR="00FA4226" w:rsidRPr="00CA2CC1" w14:paraId="2B9A4468" w14:textId="77777777" w:rsidTr="0066501D">
        <w:trPr>
          <w:trHeight w:val="281"/>
        </w:trPr>
        <w:tc>
          <w:tcPr>
            <w:tcW w:w="6633" w:type="dxa"/>
            <w:tcBorders>
              <w:left w:val="nil"/>
              <w:bottom w:val="single" w:sz="2" w:space="0" w:color="73777A"/>
              <w:right w:val="nil"/>
            </w:tcBorders>
          </w:tcPr>
          <w:p w14:paraId="45A61D41" w14:textId="77777777" w:rsidR="00FA4226" w:rsidRPr="00CA2CC1" w:rsidRDefault="00000000" w:rsidP="0043303B">
            <w:pPr>
              <w:pStyle w:val="TableParagraph"/>
              <w:jc w:val="left"/>
              <w:rPr>
                <w:rFonts w:cs="Calibri"/>
                <w:sz w:val="18"/>
              </w:rPr>
            </w:pPr>
            <w:r w:rsidRPr="00CA2CC1">
              <w:rPr>
                <w:rFonts w:cs="Calibri"/>
                <w:color w:val="F68C59"/>
                <w:spacing w:val="-2"/>
                <w:sz w:val="18"/>
              </w:rPr>
              <w:t>Statutory</w:t>
            </w:r>
          </w:p>
        </w:tc>
        <w:tc>
          <w:tcPr>
            <w:tcW w:w="1502" w:type="dxa"/>
            <w:tcBorders>
              <w:left w:val="nil"/>
              <w:bottom w:val="single" w:sz="2" w:space="0" w:color="73777A"/>
              <w:right w:val="single" w:sz="8" w:space="0" w:color="FFFFFF"/>
            </w:tcBorders>
            <w:shd w:val="clear" w:color="auto" w:fill="FFF0E7"/>
            <w:tcMar>
              <w:right w:w="57" w:type="dxa"/>
            </w:tcMar>
          </w:tcPr>
          <w:p w14:paraId="10BD1C09" w14:textId="77777777" w:rsidR="00FA4226" w:rsidRPr="00CA2CC1" w:rsidRDefault="00FA4226" w:rsidP="0043303B">
            <w:pPr>
              <w:pStyle w:val="TableParagraph"/>
              <w:jc w:val="left"/>
              <w:rPr>
                <w:rFonts w:cs="Calibri"/>
                <w:sz w:val="16"/>
              </w:rPr>
            </w:pPr>
          </w:p>
        </w:tc>
        <w:tc>
          <w:tcPr>
            <w:tcW w:w="1502" w:type="dxa"/>
            <w:tcBorders>
              <w:left w:val="single" w:sz="8" w:space="0" w:color="FFFFFF"/>
              <w:bottom w:val="single" w:sz="2" w:space="0" w:color="73777A"/>
              <w:right w:val="nil"/>
            </w:tcBorders>
            <w:shd w:val="clear" w:color="auto" w:fill="EDEFF0"/>
            <w:tcMar>
              <w:right w:w="57" w:type="dxa"/>
            </w:tcMar>
          </w:tcPr>
          <w:p w14:paraId="41E93B71" w14:textId="77777777" w:rsidR="00FA4226" w:rsidRPr="00CA2CC1" w:rsidRDefault="00FA4226" w:rsidP="0043303B">
            <w:pPr>
              <w:pStyle w:val="TableParagraph"/>
              <w:jc w:val="left"/>
              <w:rPr>
                <w:rFonts w:cs="Calibri"/>
                <w:sz w:val="16"/>
              </w:rPr>
            </w:pPr>
          </w:p>
        </w:tc>
      </w:tr>
      <w:tr w:rsidR="00FA4226" w:rsidRPr="00CA2CC1" w14:paraId="67252A75" w14:textId="77777777" w:rsidTr="0066501D">
        <w:trPr>
          <w:trHeight w:val="283"/>
        </w:trPr>
        <w:tc>
          <w:tcPr>
            <w:tcW w:w="6633" w:type="dxa"/>
            <w:tcBorders>
              <w:top w:val="single" w:sz="2" w:space="0" w:color="73777A"/>
              <w:left w:val="nil"/>
              <w:bottom w:val="single" w:sz="2" w:space="0" w:color="73777A"/>
              <w:right w:val="nil"/>
            </w:tcBorders>
          </w:tcPr>
          <w:p w14:paraId="583F01E7" w14:textId="77777777" w:rsidR="00FA4226" w:rsidRPr="00CA2CC1" w:rsidRDefault="00000000" w:rsidP="0043303B">
            <w:pPr>
              <w:pStyle w:val="TableParagraph"/>
              <w:jc w:val="left"/>
              <w:rPr>
                <w:rFonts w:cs="Calibri"/>
                <w:sz w:val="10"/>
              </w:rPr>
            </w:pPr>
            <w:r w:rsidRPr="00CA2CC1">
              <w:rPr>
                <w:rFonts w:cs="Calibri"/>
                <w:color w:val="414042"/>
                <w:sz w:val="18"/>
              </w:rPr>
              <w:t>Amounts</w:t>
            </w:r>
            <w:r w:rsidRPr="00CA2CC1">
              <w:rPr>
                <w:rFonts w:cs="Calibri"/>
                <w:color w:val="414042"/>
                <w:spacing w:val="3"/>
                <w:sz w:val="18"/>
              </w:rPr>
              <w:t xml:space="preserve"> </w:t>
            </w:r>
            <w:r w:rsidRPr="00CA2CC1">
              <w:rPr>
                <w:rFonts w:cs="Calibri"/>
                <w:color w:val="414042"/>
                <w:sz w:val="18"/>
              </w:rPr>
              <w:t>owing</w:t>
            </w:r>
            <w:r w:rsidRPr="00CA2CC1">
              <w:rPr>
                <w:rFonts w:cs="Calibri"/>
                <w:color w:val="414042"/>
                <w:spacing w:val="5"/>
                <w:sz w:val="18"/>
              </w:rPr>
              <w:t xml:space="preserve"> </w:t>
            </w:r>
            <w:r w:rsidRPr="00CA2CC1">
              <w:rPr>
                <w:rFonts w:cs="Calibri"/>
                <w:color w:val="414042"/>
                <w:sz w:val="18"/>
              </w:rPr>
              <w:t>from</w:t>
            </w:r>
            <w:r w:rsidRPr="00CA2CC1">
              <w:rPr>
                <w:rFonts w:cs="Calibri"/>
                <w:color w:val="414042"/>
                <w:spacing w:val="5"/>
                <w:sz w:val="18"/>
              </w:rPr>
              <w:t xml:space="preserve"> </w:t>
            </w:r>
            <w:r w:rsidRPr="00CA2CC1">
              <w:rPr>
                <w:rFonts w:cs="Calibri"/>
                <w:color w:val="414042"/>
                <w:sz w:val="18"/>
              </w:rPr>
              <w:t>government</w:t>
            </w:r>
            <w:r w:rsidRPr="00CA2CC1">
              <w:rPr>
                <w:rFonts w:cs="Calibri"/>
                <w:color w:val="414042"/>
                <w:spacing w:val="4"/>
                <w:sz w:val="18"/>
              </w:rPr>
              <w:t xml:space="preserve"> </w:t>
            </w:r>
            <w:r w:rsidRPr="00CA2CC1">
              <w:rPr>
                <w:rFonts w:cs="Calibri"/>
                <w:color w:val="414042"/>
                <w:spacing w:val="-5"/>
                <w:position w:val="6"/>
                <w:sz w:val="10"/>
              </w:rPr>
              <w:t>(i)</w:t>
            </w:r>
          </w:p>
        </w:tc>
        <w:tc>
          <w:tcPr>
            <w:tcW w:w="1502" w:type="dxa"/>
            <w:tcBorders>
              <w:top w:val="single" w:sz="2" w:space="0" w:color="73777A"/>
              <w:left w:val="nil"/>
              <w:bottom w:val="single" w:sz="2" w:space="0" w:color="73777A"/>
              <w:right w:val="single" w:sz="8" w:space="0" w:color="FFFFFF"/>
            </w:tcBorders>
            <w:shd w:val="clear" w:color="auto" w:fill="FFF0E7"/>
            <w:tcMar>
              <w:right w:w="57" w:type="dxa"/>
            </w:tcMar>
          </w:tcPr>
          <w:p w14:paraId="0438D6A2" w14:textId="77777777" w:rsidR="00FA4226" w:rsidRPr="00CA2CC1" w:rsidRDefault="00000000" w:rsidP="0043303B">
            <w:pPr>
              <w:pStyle w:val="TableParagraph"/>
              <w:rPr>
                <w:rFonts w:cs="Calibri"/>
                <w:sz w:val="18"/>
              </w:rPr>
            </w:pPr>
            <w:r w:rsidRPr="00CA2CC1">
              <w:rPr>
                <w:rFonts w:cs="Calibri"/>
                <w:color w:val="414042"/>
                <w:spacing w:val="-2"/>
                <w:sz w:val="18"/>
              </w:rPr>
              <w:t>3,273,374</w:t>
            </w:r>
          </w:p>
        </w:tc>
        <w:tc>
          <w:tcPr>
            <w:tcW w:w="1502" w:type="dxa"/>
            <w:tcBorders>
              <w:top w:val="single" w:sz="2" w:space="0" w:color="73777A"/>
              <w:left w:val="single" w:sz="8" w:space="0" w:color="FFFFFF"/>
              <w:bottom w:val="single" w:sz="2" w:space="0" w:color="73777A"/>
              <w:right w:val="nil"/>
            </w:tcBorders>
            <w:shd w:val="clear" w:color="auto" w:fill="EDEFF0"/>
            <w:tcMar>
              <w:right w:w="57" w:type="dxa"/>
            </w:tcMar>
          </w:tcPr>
          <w:p w14:paraId="138EC4EB" w14:textId="77777777" w:rsidR="00FA4226" w:rsidRPr="00CA2CC1" w:rsidRDefault="00000000" w:rsidP="0043303B">
            <w:pPr>
              <w:pStyle w:val="TableParagraph"/>
              <w:rPr>
                <w:rFonts w:cs="Calibri"/>
                <w:sz w:val="18"/>
              </w:rPr>
            </w:pPr>
            <w:r w:rsidRPr="00CA2CC1">
              <w:rPr>
                <w:rFonts w:cs="Calibri"/>
                <w:color w:val="414042"/>
                <w:spacing w:val="-2"/>
                <w:sz w:val="18"/>
              </w:rPr>
              <w:t>3,351,433</w:t>
            </w:r>
          </w:p>
        </w:tc>
      </w:tr>
      <w:tr w:rsidR="00FA4226" w:rsidRPr="00CA2CC1" w14:paraId="680E330D" w14:textId="77777777" w:rsidTr="0066501D">
        <w:trPr>
          <w:trHeight w:val="283"/>
        </w:trPr>
        <w:tc>
          <w:tcPr>
            <w:tcW w:w="6633" w:type="dxa"/>
            <w:tcBorders>
              <w:top w:val="single" w:sz="2" w:space="0" w:color="73777A"/>
              <w:left w:val="nil"/>
              <w:bottom w:val="single" w:sz="2" w:space="0" w:color="73777A"/>
              <w:right w:val="nil"/>
            </w:tcBorders>
          </w:tcPr>
          <w:p w14:paraId="17DAC876" w14:textId="77777777" w:rsidR="00FA4226" w:rsidRPr="00CA2CC1" w:rsidRDefault="00000000" w:rsidP="0043303B">
            <w:pPr>
              <w:pStyle w:val="TableParagraph"/>
              <w:jc w:val="left"/>
              <w:rPr>
                <w:rFonts w:cs="Calibri"/>
                <w:sz w:val="10"/>
              </w:rPr>
            </w:pPr>
            <w:r w:rsidRPr="00CA2CC1">
              <w:rPr>
                <w:rFonts w:cs="Calibri"/>
                <w:color w:val="414042"/>
                <w:sz w:val="18"/>
              </w:rPr>
              <w:t>GST</w:t>
            </w:r>
            <w:r w:rsidRPr="00CA2CC1">
              <w:rPr>
                <w:rFonts w:cs="Calibri"/>
                <w:color w:val="414042"/>
                <w:spacing w:val="2"/>
                <w:sz w:val="18"/>
              </w:rPr>
              <w:t xml:space="preserve"> </w:t>
            </w:r>
            <w:r w:rsidRPr="00CA2CC1">
              <w:rPr>
                <w:rFonts w:cs="Calibri"/>
                <w:color w:val="414042"/>
                <w:sz w:val="18"/>
              </w:rPr>
              <w:t>recoverable</w:t>
            </w:r>
            <w:r w:rsidRPr="00CA2CC1">
              <w:rPr>
                <w:rFonts w:cs="Calibri"/>
                <w:color w:val="414042"/>
                <w:spacing w:val="4"/>
                <w:sz w:val="18"/>
              </w:rPr>
              <w:t xml:space="preserve"> </w:t>
            </w:r>
            <w:r w:rsidRPr="00CA2CC1">
              <w:rPr>
                <w:rFonts w:cs="Calibri"/>
                <w:color w:val="414042"/>
                <w:spacing w:val="-5"/>
                <w:position w:val="6"/>
                <w:sz w:val="10"/>
              </w:rPr>
              <w:t>(i)</w:t>
            </w:r>
          </w:p>
        </w:tc>
        <w:tc>
          <w:tcPr>
            <w:tcW w:w="1502" w:type="dxa"/>
            <w:tcBorders>
              <w:top w:val="single" w:sz="2" w:space="0" w:color="73777A"/>
              <w:left w:val="nil"/>
              <w:bottom w:val="single" w:sz="2" w:space="0" w:color="73777A"/>
              <w:right w:val="single" w:sz="8" w:space="0" w:color="FFFFFF"/>
            </w:tcBorders>
            <w:shd w:val="clear" w:color="auto" w:fill="FFF0E7"/>
            <w:tcMar>
              <w:right w:w="57" w:type="dxa"/>
            </w:tcMar>
          </w:tcPr>
          <w:p w14:paraId="3F49174E" w14:textId="77777777" w:rsidR="00FA4226" w:rsidRPr="00CA2CC1" w:rsidRDefault="00000000" w:rsidP="0043303B">
            <w:pPr>
              <w:pStyle w:val="TableParagraph"/>
              <w:rPr>
                <w:rFonts w:cs="Calibri"/>
                <w:sz w:val="18"/>
              </w:rPr>
            </w:pPr>
            <w:r w:rsidRPr="00CA2CC1">
              <w:rPr>
                <w:rFonts w:cs="Calibri"/>
                <w:color w:val="414042"/>
                <w:spacing w:val="-2"/>
                <w:sz w:val="18"/>
              </w:rPr>
              <w:t>90,256</w:t>
            </w:r>
          </w:p>
        </w:tc>
        <w:tc>
          <w:tcPr>
            <w:tcW w:w="1502" w:type="dxa"/>
            <w:tcBorders>
              <w:top w:val="single" w:sz="2" w:space="0" w:color="73777A"/>
              <w:left w:val="single" w:sz="8" w:space="0" w:color="FFFFFF"/>
              <w:bottom w:val="single" w:sz="2" w:space="0" w:color="73777A"/>
              <w:right w:val="nil"/>
            </w:tcBorders>
            <w:shd w:val="clear" w:color="auto" w:fill="EDEFF0"/>
            <w:tcMar>
              <w:right w:w="57" w:type="dxa"/>
            </w:tcMar>
          </w:tcPr>
          <w:p w14:paraId="720FED44" w14:textId="77777777" w:rsidR="00FA4226" w:rsidRPr="00CA2CC1" w:rsidRDefault="00000000" w:rsidP="0043303B">
            <w:pPr>
              <w:pStyle w:val="TableParagraph"/>
              <w:rPr>
                <w:rFonts w:cs="Calibri"/>
                <w:sz w:val="18"/>
              </w:rPr>
            </w:pPr>
            <w:r w:rsidRPr="00CA2CC1">
              <w:rPr>
                <w:rFonts w:cs="Calibri"/>
                <w:color w:val="414042"/>
                <w:spacing w:val="-2"/>
                <w:sz w:val="18"/>
              </w:rPr>
              <w:t>121,417</w:t>
            </w:r>
          </w:p>
        </w:tc>
      </w:tr>
      <w:tr w:rsidR="00FA4226" w:rsidRPr="00CA2CC1" w14:paraId="5F1A658F" w14:textId="77777777" w:rsidTr="0066501D">
        <w:trPr>
          <w:trHeight w:val="278"/>
        </w:trPr>
        <w:tc>
          <w:tcPr>
            <w:tcW w:w="6633" w:type="dxa"/>
            <w:tcBorders>
              <w:top w:val="single" w:sz="2" w:space="0" w:color="73777A"/>
              <w:left w:val="nil"/>
              <w:bottom w:val="single" w:sz="6" w:space="0" w:color="73777A"/>
              <w:right w:val="nil"/>
            </w:tcBorders>
          </w:tcPr>
          <w:p w14:paraId="03C96267" w14:textId="77777777" w:rsidR="00FA4226" w:rsidRPr="00CA2CC1" w:rsidRDefault="00000000" w:rsidP="0043303B">
            <w:pPr>
              <w:pStyle w:val="TableParagraph"/>
              <w:jc w:val="left"/>
              <w:rPr>
                <w:rFonts w:cs="Calibri"/>
                <w:sz w:val="18"/>
              </w:rPr>
            </w:pPr>
            <w:r w:rsidRPr="00CA2CC1">
              <w:rPr>
                <w:rFonts w:cs="Calibri"/>
                <w:color w:val="414042"/>
                <w:sz w:val="18"/>
              </w:rPr>
              <w:t>Total</w:t>
            </w:r>
            <w:r w:rsidRPr="00CA2CC1">
              <w:rPr>
                <w:rFonts w:cs="Calibri"/>
                <w:color w:val="414042"/>
                <w:spacing w:val="-7"/>
                <w:sz w:val="18"/>
              </w:rPr>
              <w:t xml:space="preserve"> </w:t>
            </w:r>
            <w:r w:rsidRPr="00CA2CC1">
              <w:rPr>
                <w:rFonts w:cs="Calibri"/>
                <w:color w:val="414042"/>
                <w:spacing w:val="-2"/>
                <w:sz w:val="18"/>
              </w:rPr>
              <w:t>receivables</w:t>
            </w:r>
          </w:p>
        </w:tc>
        <w:tc>
          <w:tcPr>
            <w:tcW w:w="1502" w:type="dxa"/>
            <w:tcBorders>
              <w:top w:val="single" w:sz="2" w:space="0" w:color="73777A"/>
              <w:left w:val="nil"/>
              <w:bottom w:val="single" w:sz="6" w:space="0" w:color="73777A"/>
              <w:right w:val="single" w:sz="8" w:space="0" w:color="FFFFFF"/>
            </w:tcBorders>
            <w:shd w:val="clear" w:color="auto" w:fill="FFF0E7"/>
            <w:tcMar>
              <w:right w:w="57" w:type="dxa"/>
            </w:tcMar>
          </w:tcPr>
          <w:p w14:paraId="5FD0B360" w14:textId="77777777" w:rsidR="00FA4226" w:rsidRPr="00CA2CC1" w:rsidRDefault="00000000" w:rsidP="0043303B">
            <w:pPr>
              <w:pStyle w:val="TableParagraph"/>
              <w:rPr>
                <w:rFonts w:cs="Calibri"/>
                <w:sz w:val="18"/>
              </w:rPr>
            </w:pPr>
            <w:r w:rsidRPr="00CA2CC1">
              <w:rPr>
                <w:rFonts w:cs="Calibri"/>
                <w:color w:val="414042"/>
                <w:spacing w:val="-2"/>
                <w:sz w:val="18"/>
              </w:rPr>
              <w:t>3,363,630</w:t>
            </w:r>
          </w:p>
        </w:tc>
        <w:tc>
          <w:tcPr>
            <w:tcW w:w="1502" w:type="dxa"/>
            <w:tcBorders>
              <w:top w:val="single" w:sz="2" w:space="0" w:color="73777A"/>
              <w:left w:val="single" w:sz="8" w:space="0" w:color="FFFFFF"/>
              <w:bottom w:val="single" w:sz="6" w:space="0" w:color="73777A"/>
              <w:right w:val="nil"/>
            </w:tcBorders>
            <w:shd w:val="clear" w:color="auto" w:fill="EDEFF0"/>
            <w:tcMar>
              <w:right w:w="57" w:type="dxa"/>
            </w:tcMar>
          </w:tcPr>
          <w:p w14:paraId="647E5F49" w14:textId="77777777" w:rsidR="00FA4226" w:rsidRPr="00CA2CC1" w:rsidRDefault="00000000" w:rsidP="0043303B">
            <w:pPr>
              <w:pStyle w:val="TableParagraph"/>
              <w:rPr>
                <w:rFonts w:cs="Calibri"/>
                <w:sz w:val="18"/>
              </w:rPr>
            </w:pPr>
            <w:r w:rsidRPr="00CA2CC1">
              <w:rPr>
                <w:rFonts w:cs="Calibri"/>
                <w:color w:val="414042"/>
                <w:spacing w:val="-2"/>
                <w:sz w:val="18"/>
              </w:rPr>
              <w:t>3,472,850</w:t>
            </w:r>
          </w:p>
        </w:tc>
      </w:tr>
      <w:tr w:rsidR="00FA4226" w:rsidRPr="00CA2CC1" w14:paraId="305D36FE" w14:textId="77777777" w:rsidTr="0066501D">
        <w:trPr>
          <w:trHeight w:val="278"/>
        </w:trPr>
        <w:tc>
          <w:tcPr>
            <w:tcW w:w="6633" w:type="dxa"/>
            <w:tcBorders>
              <w:top w:val="single" w:sz="6" w:space="0" w:color="73777A"/>
              <w:left w:val="nil"/>
              <w:bottom w:val="single" w:sz="2" w:space="0" w:color="73777A"/>
              <w:right w:val="nil"/>
            </w:tcBorders>
          </w:tcPr>
          <w:p w14:paraId="12B70A53" w14:textId="77777777" w:rsidR="00FA4226" w:rsidRPr="00CA2CC1" w:rsidRDefault="00000000" w:rsidP="0043303B">
            <w:pPr>
              <w:pStyle w:val="TableParagraph"/>
              <w:jc w:val="left"/>
              <w:rPr>
                <w:rFonts w:cs="Calibri"/>
                <w:sz w:val="18"/>
              </w:rPr>
            </w:pPr>
            <w:r w:rsidRPr="00CA2CC1">
              <w:rPr>
                <w:rFonts w:cs="Calibri"/>
                <w:color w:val="414042"/>
                <w:sz w:val="18"/>
              </w:rPr>
              <w:t>Represented</w:t>
            </w:r>
            <w:r w:rsidRPr="00CA2CC1">
              <w:rPr>
                <w:rFonts w:cs="Calibri"/>
                <w:color w:val="414042"/>
                <w:spacing w:val="9"/>
                <w:sz w:val="18"/>
              </w:rPr>
              <w:t xml:space="preserve"> </w:t>
            </w:r>
            <w:r w:rsidRPr="00CA2CC1">
              <w:rPr>
                <w:rFonts w:cs="Calibri"/>
                <w:color w:val="414042"/>
                <w:spacing w:val="-5"/>
                <w:sz w:val="18"/>
              </w:rPr>
              <w:t>by:</w:t>
            </w:r>
          </w:p>
        </w:tc>
        <w:tc>
          <w:tcPr>
            <w:tcW w:w="1502" w:type="dxa"/>
            <w:tcBorders>
              <w:top w:val="single" w:sz="6" w:space="0" w:color="73777A"/>
              <w:left w:val="nil"/>
              <w:bottom w:val="single" w:sz="2" w:space="0" w:color="73777A"/>
              <w:right w:val="single" w:sz="8" w:space="0" w:color="FFFFFF"/>
            </w:tcBorders>
            <w:shd w:val="clear" w:color="auto" w:fill="FFF0E7"/>
            <w:tcMar>
              <w:right w:w="57" w:type="dxa"/>
            </w:tcMar>
          </w:tcPr>
          <w:p w14:paraId="1313D0CC" w14:textId="77777777" w:rsidR="00FA4226" w:rsidRPr="00CA2CC1" w:rsidRDefault="00FA4226" w:rsidP="0043303B">
            <w:pPr>
              <w:pStyle w:val="TableParagraph"/>
              <w:jc w:val="left"/>
              <w:rPr>
                <w:rFonts w:cs="Calibri"/>
                <w:sz w:val="16"/>
              </w:rPr>
            </w:pPr>
          </w:p>
        </w:tc>
        <w:tc>
          <w:tcPr>
            <w:tcW w:w="1502" w:type="dxa"/>
            <w:tcBorders>
              <w:top w:val="single" w:sz="6" w:space="0" w:color="73777A"/>
              <w:left w:val="single" w:sz="8" w:space="0" w:color="FFFFFF"/>
              <w:bottom w:val="single" w:sz="2" w:space="0" w:color="73777A"/>
              <w:right w:val="nil"/>
            </w:tcBorders>
            <w:shd w:val="clear" w:color="auto" w:fill="EDEFF0"/>
            <w:tcMar>
              <w:right w:w="57" w:type="dxa"/>
            </w:tcMar>
          </w:tcPr>
          <w:p w14:paraId="7A3DCFE3" w14:textId="77777777" w:rsidR="00FA4226" w:rsidRPr="00CA2CC1" w:rsidRDefault="00FA4226" w:rsidP="0043303B">
            <w:pPr>
              <w:pStyle w:val="TableParagraph"/>
              <w:jc w:val="left"/>
              <w:rPr>
                <w:rFonts w:cs="Calibri"/>
                <w:sz w:val="16"/>
              </w:rPr>
            </w:pPr>
          </w:p>
        </w:tc>
      </w:tr>
      <w:tr w:rsidR="00FA4226" w:rsidRPr="00CA2CC1" w14:paraId="350D12FC" w14:textId="77777777" w:rsidTr="0066501D">
        <w:trPr>
          <w:trHeight w:val="283"/>
        </w:trPr>
        <w:tc>
          <w:tcPr>
            <w:tcW w:w="6633" w:type="dxa"/>
            <w:tcBorders>
              <w:top w:val="single" w:sz="2" w:space="0" w:color="73777A"/>
              <w:left w:val="nil"/>
              <w:bottom w:val="single" w:sz="2" w:space="0" w:color="73777A"/>
              <w:right w:val="nil"/>
            </w:tcBorders>
          </w:tcPr>
          <w:p w14:paraId="03138DF6" w14:textId="77777777" w:rsidR="00FA4226" w:rsidRPr="00CA2CC1" w:rsidRDefault="00000000" w:rsidP="0043303B">
            <w:pPr>
              <w:pStyle w:val="TableParagraph"/>
              <w:jc w:val="left"/>
              <w:rPr>
                <w:rFonts w:cs="Calibri"/>
                <w:sz w:val="18"/>
              </w:rPr>
            </w:pPr>
            <w:r w:rsidRPr="00CA2CC1">
              <w:rPr>
                <w:rFonts w:cs="Calibri"/>
                <w:color w:val="414042"/>
                <w:sz w:val="18"/>
              </w:rPr>
              <w:t>Current</w:t>
            </w:r>
            <w:r w:rsidRPr="00CA2CC1">
              <w:rPr>
                <w:rFonts w:cs="Calibri"/>
                <w:color w:val="414042"/>
                <w:spacing w:val="6"/>
                <w:sz w:val="18"/>
              </w:rPr>
              <w:t xml:space="preserve"> </w:t>
            </w:r>
            <w:r w:rsidRPr="00CA2CC1">
              <w:rPr>
                <w:rFonts w:cs="Calibri"/>
                <w:color w:val="414042"/>
                <w:spacing w:val="-2"/>
                <w:sz w:val="18"/>
              </w:rPr>
              <w:t>receivables</w:t>
            </w:r>
          </w:p>
        </w:tc>
        <w:tc>
          <w:tcPr>
            <w:tcW w:w="1502" w:type="dxa"/>
            <w:tcBorders>
              <w:top w:val="single" w:sz="2" w:space="0" w:color="73777A"/>
              <w:left w:val="nil"/>
              <w:bottom w:val="single" w:sz="2" w:space="0" w:color="73777A"/>
              <w:right w:val="single" w:sz="8" w:space="0" w:color="FFFFFF"/>
            </w:tcBorders>
            <w:shd w:val="clear" w:color="auto" w:fill="FFF0E7"/>
            <w:tcMar>
              <w:right w:w="57" w:type="dxa"/>
            </w:tcMar>
          </w:tcPr>
          <w:p w14:paraId="2039C81F" w14:textId="77777777" w:rsidR="00FA4226" w:rsidRPr="00CA2CC1" w:rsidRDefault="00000000" w:rsidP="0043303B">
            <w:pPr>
              <w:pStyle w:val="TableParagraph"/>
              <w:rPr>
                <w:rFonts w:cs="Calibri"/>
                <w:sz w:val="18"/>
              </w:rPr>
            </w:pPr>
            <w:r w:rsidRPr="00CA2CC1">
              <w:rPr>
                <w:rFonts w:cs="Calibri"/>
                <w:color w:val="414042"/>
                <w:spacing w:val="-2"/>
                <w:sz w:val="18"/>
              </w:rPr>
              <w:t>3,047,230</w:t>
            </w:r>
          </w:p>
        </w:tc>
        <w:tc>
          <w:tcPr>
            <w:tcW w:w="1502" w:type="dxa"/>
            <w:tcBorders>
              <w:top w:val="single" w:sz="2" w:space="0" w:color="73777A"/>
              <w:left w:val="single" w:sz="8" w:space="0" w:color="FFFFFF"/>
              <w:bottom w:val="single" w:sz="2" w:space="0" w:color="73777A"/>
              <w:right w:val="nil"/>
            </w:tcBorders>
            <w:shd w:val="clear" w:color="auto" w:fill="EDEFF0"/>
            <w:tcMar>
              <w:right w:w="57" w:type="dxa"/>
            </w:tcMar>
          </w:tcPr>
          <w:p w14:paraId="63BF181E" w14:textId="77777777" w:rsidR="00FA4226" w:rsidRPr="00CA2CC1" w:rsidRDefault="00000000" w:rsidP="0043303B">
            <w:pPr>
              <w:pStyle w:val="TableParagraph"/>
              <w:rPr>
                <w:rFonts w:cs="Calibri"/>
                <w:sz w:val="18"/>
              </w:rPr>
            </w:pPr>
            <w:r w:rsidRPr="00CA2CC1">
              <w:rPr>
                <w:rFonts w:cs="Calibri"/>
                <w:color w:val="414042"/>
                <w:spacing w:val="-2"/>
                <w:sz w:val="18"/>
              </w:rPr>
              <w:t>3,219,514</w:t>
            </w:r>
          </w:p>
        </w:tc>
      </w:tr>
      <w:tr w:rsidR="00FA4226" w:rsidRPr="00CA2CC1" w14:paraId="26B44112" w14:textId="77777777" w:rsidTr="0066501D">
        <w:trPr>
          <w:trHeight w:val="283"/>
        </w:trPr>
        <w:tc>
          <w:tcPr>
            <w:tcW w:w="6633" w:type="dxa"/>
            <w:tcBorders>
              <w:top w:val="single" w:sz="2" w:space="0" w:color="73777A"/>
              <w:left w:val="nil"/>
              <w:bottom w:val="single" w:sz="2" w:space="0" w:color="73777A"/>
              <w:right w:val="nil"/>
            </w:tcBorders>
          </w:tcPr>
          <w:p w14:paraId="519E3074" w14:textId="77777777" w:rsidR="00FA4226" w:rsidRPr="00CA2CC1" w:rsidRDefault="00000000" w:rsidP="0043303B">
            <w:pPr>
              <w:pStyle w:val="TableParagraph"/>
              <w:jc w:val="left"/>
              <w:rPr>
                <w:rFonts w:cs="Calibri"/>
                <w:sz w:val="18"/>
              </w:rPr>
            </w:pPr>
            <w:r w:rsidRPr="00CA2CC1">
              <w:rPr>
                <w:rFonts w:cs="Calibri"/>
                <w:color w:val="414042"/>
                <w:sz w:val="18"/>
              </w:rPr>
              <w:t>Non-current</w:t>
            </w:r>
            <w:r w:rsidRPr="00CA2CC1">
              <w:rPr>
                <w:rFonts w:cs="Calibri"/>
                <w:color w:val="414042"/>
                <w:spacing w:val="10"/>
                <w:sz w:val="18"/>
              </w:rPr>
              <w:t xml:space="preserve"> </w:t>
            </w:r>
            <w:r w:rsidRPr="00CA2CC1">
              <w:rPr>
                <w:rFonts w:cs="Calibri"/>
                <w:color w:val="414042"/>
                <w:spacing w:val="-2"/>
                <w:sz w:val="18"/>
              </w:rPr>
              <w:t>receivables</w:t>
            </w:r>
          </w:p>
        </w:tc>
        <w:tc>
          <w:tcPr>
            <w:tcW w:w="1502" w:type="dxa"/>
            <w:tcBorders>
              <w:top w:val="single" w:sz="2" w:space="0" w:color="73777A"/>
              <w:left w:val="nil"/>
              <w:bottom w:val="single" w:sz="2" w:space="0" w:color="73777A"/>
              <w:right w:val="single" w:sz="8" w:space="0" w:color="FFFFFF"/>
            </w:tcBorders>
            <w:shd w:val="clear" w:color="auto" w:fill="FFF0E7"/>
            <w:tcMar>
              <w:right w:w="57" w:type="dxa"/>
            </w:tcMar>
          </w:tcPr>
          <w:p w14:paraId="3CB5A2FD" w14:textId="77777777" w:rsidR="00FA4226" w:rsidRPr="00CA2CC1" w:rsidRDefault="00000000" w:rsidP="0043303B">
            <w:pPr>
              <w:pStyle w:val="TableParagraph"/>
              <w:rPr>
                <w:rFonts w:cs="Calibri"/>
                <w:sz w:val="18"/>
              </w:rPr>
            </w:pPr>
            <w:r w:rsidRPr="00CA2CC1">
              <w:rPr>
                <w:rFonts w:cs="Calibri"/>
                <w:color w:val="414042"/>
                <w:spacing w:val="-2"/>
                <w:sz w:val="18"/>
              </w:rPr>
              <w:t>316,400</w:t>
            </w:r>
          </w:p>
        </w:tc>
        <w:tc>
          <w:tcPr>
            <w:tcW w:w="1502" w:type="dxa"/>
            <w:tcBorders>
              <w:top w:val="single" w:sz="2" w:space="0" w:color="73777A"/>
              <w:left w:val="single" w:sz="8" w:space="0" w:color="FFFFFF"/>
              <w:bottom w:val="single" w:sz="2" w:space="0" w:color="73777A"/>
              <w:right w:val="nil"/>
            </w:tcBorders>
            <w:shd w:val="clear" w:color="auto" w:fill="EDEFF0"/>
            <w:tcMar>
              <w:right w:w="57" w:type="dxa"/>
            </w:tcMar>
          </w:tcPr>
          <w:p w14:paraId="1F3A9D60" w14:textId="77777777" w:rsidR="00FA4226" w:rsidRPr="00CA2CC1" w:rsidRDefault="00000000" w:rsidP="0043303B">
            <w:pPr>
              <w:pStyle w:val="TableParagraph"/>
              <w:rPr>
                <w:rFonts w:cs="Calibri"/>
                <w:sz w:val="18"/>
              </w:rPr>
            </w:pPr>
            <w:r w:rsidRPr="00CA2CC1">
              <w:rPr>
                <w:rFonts w:cs="Calibri"/>
                <w:color w:val="414042"/>
                <w:spacing w:val="-2"/>
                <w:sz w:val="18"/>
              </w:rPr>
              <w:t>253,336</w:t>
            </w:r>
          </w:p>
        </w:tc>
      </w:tr>
    </w:tbl>
    <w:p w14:paraId="6C31172B" w14:textId="77777777" w:rsidR="00FA4226" w:rsidRPr="00CA2CC1" w:rsidRDefault="00FA4226" w:rsidP="0043303B">
      <w:pPr>
        <w:pStyle w:val="BodyText"/>
        <w:spacing w:before="3"/>
        <w:rPr>
          <w:rFonts w:cs="Calibri"/>
          <w:sz w:val="14"/>
        </w:rPr>
      </w:pPr>
    </w:p>
    <w:p w14:paraId="3252BF56" w14:textId="77777777" w:rsidR="00FA4226" w:rsidRPr="00CA2CC1" w:rsidRDefault="00FA4226" w:rsidP="0043303B">
      <w:pPr>
        <w:rPr>
          <w:rFonts w:cs="Calibri"/>
          <w:sz w:val="14"/>
        </w:rPr>
        <w:sectPr w:rsidR="00FA4226" w:rsidRPr="00CA2CC1" w:rsidSect="00E941A5">
          <w:type w:val="continuous"/>
          <w:pgSz w:w="11910" w:h="16840"/>
          <w:pgMar w:top="1134" w:right="1278" w:bottom="1134" w:left="1134" w:header="720" w:footer="720" w:gutter="0"/>
          <w:cols w:space="720"/>
        </w:sectPr>
      </w:pPr>
    </w:p>
    <w:p w14:paraId="2B8323AE" w14:textId="77777777" w:rsidR="00FA4226" w:rsidRPr="00CA2CC1" w:rsidRDefault="00000000" w:rsidP="0043303B">
      <w:pPr>
        <w:spacing w:before="90"/>
        <w:jc w:val="both"/>
        <w:rPr>
          <w:rFonts w:cs="Calibri"/>
          <w:i/>
          <w:sz w:val="16"/>
        </w:rPr>
      </w:pPr>
      <w:r w:rsidRPr="00CA2CC1">
        <w:rPr>
          <w:rFonts w:cs="Calibri"/>
          <w:i/>
          <w:color w:val="414042"/>
          <w:sz w:val="16"/>
        </w:rPr>
        <w:t>(i) The 2021-22 comparative figures have been adjusted to move a</w:t>
      </w:r>
      <w:r w:rsidRPr="00CA2CC1">
        <w:rPr>
          <w:rFonts w:cs="Calibri"/>
          <w:i/>
          <w:color w:val="414042"/>
          <w:spacing w:val="-5"/>
          <w:sz w:val="16"/>
        </w:rPr>
        <w:t xml:space="preserve"> </w:t>
      </w:r>
      <w:r w:rsidRPr="00CA2CC1">
        <w:rPr>
          <w:rFonts w:cs="Calibri"/>
          <w:i/>
          <w:color w:val="414042"/>
          <w:sz w:val="16"/>
        </w:rPr>
        <w:t>small</w:t>
      </w:r>
      <w:r w:rsidRPr="00CA2CC1">
        <w:rPr>
          <w:rFonts w:cs="Calibri"/>
          <w:i/>
          <w:color w:val="414042"/>
          <w:spacing w:val="-5"/>
          <w:sz w:val="16"/>
        </w:rPr>
        <w:t xml:space="preserve"> </w:t>
      </w:r>
      <w:r w:rsidRPr="00CA2CC1">
        <w:rPr>
          <w:rFonts w:cs="Calibri"/>
          <w:i/>
          <w:color w:val="414042"/>
          <w:sz w:val="16"/>
        </w:rPr>
        <w:t>negative</w:t>
      </w:r>
      <w:r w:rsidRPr="00CA2CC1">
        <w:rPr>
          <w:rFonts w:cs="Calibri"/>
          <w:i/>
          <w:color w:val="414042"/>
          <w:spacing w:val="-5"/>
          <w:sz w:val="16"/>
        </w:rPr>
        <w:t xml:space="preserve"> </w:t>
      </w:r>
      <w:r w:rsidRPr="00CA2CC1">
        <w:rPr>
          <w:rFonts w:cs="Calibri"/>
          <w:i/>
          <w:color w:val="414042"/>
          <w:sz w:val="16"/>
        </w:rPr>
        <w:t>balance</w:t>
      </w:r>
      <w:r w:rsidRPr="00CA2CC1">
        <w:rPr>
          <w:rFonts w:cs="Calibri"/>
          <w:i/>
          <w:color w:val="414042"/>
          <w:spacing w:val="-5"/>
          <w:sz w:val="16"/>
        </w:rPr>
        <w:t xml:space="preserve"> </w:t>
      </w:r>
      <w:r w:rsidRPr="00CA2CC1">
        <w:rPr>
          <w:rFonts w:cs="Calibri"/>
          <w:i/>
          <w:color w:val="414042"/>
          <w:sz w:val="16"/>
        </w:rPr>
        <w:t>from</w:t>
      </w:r>
      <w:r w:rsidRPr="00CA2CC1">
        <w:rPr>
          <w:rFonts w:cs="Calibri"/>
          <w:i/>
          <w:color w:val="414042"/>
          <w:spacing w:val="-5"/>
          <w:sz w:val="16"/>
        </w:rPr>
        <w:t xml:space="preserve"> </w:t>
      </w:r>
      <w:r w:rsidRPr="00CA2CC1">
        <w:rPr>
          <w:rFonts w:cs="Calibri"/>
          <w:i/>
          <w:color w:val="414042"/>
          <w:sz w:val="16"/>
        </w:rPr>
        <w:t>GST</w:t>
      </w:r>
      <w:r w:rsidRPr="00CA2CC1">
        <w:rPr>
          <w:rFonts w:cs="Calibri"/>
          <w:i/>
          <w:color w:val="414042"/>
          <w:spacing w:val="-5"/>
          <w:sz w:val="16"/>
        </w:rPr>
        <w:t xml:space="preserve"> </w:t>
      </w:r>
      <w:r w:rsidRPr="00CA2CC1">
        <w:rPr>
          <w:rFonts w:cs="Calibri"/>
          <w:i/>
          <w:color w:val="414042"/>
          <w:sz w:val="16"/>
        </w:rPr>
        <w:t>receivables</w:t>
      </w:r>
      <w:r w:rsidRPr="00CA2CC1">
        <w:rPr>
          <w:rFonts w:cs="Calibri"/>
          <w:i/>
          <w:color w:val="414042"/>
          <w:spacing w:val="-5"/>
          <w:sz w:val="16"/>
        </w:rPr>
        <w:t xml:space="preserve"> </w:t>
      </w:r>
      <w:r w:rsidRPr="00CA2CC1">
        <w:rPr>
          <w:rFonts w:cs="Calibri"/>
          <w:i/>
          <w:color w:val="414042"/>
          <w:sz w:val="16"/>
        </w:rPr>
        <w:t>to</w:t>
      </w:r>
      <w:r w:rsidRPr="00CA2CC1">
        <w:rPr>
          <w:rFonts w:cs="Calibri"/>
          <w:i/>
          <w:color w:val="414042"/>
          <w:spacing w:val="-5"/>
          <w:sz w:val="16"/>
        </w:rPr>
        <w:t xml:space="preserve"> </w:t>
      </w:r>
      <w:r w:rsidRPr="00CA2CC1">
        <w:rPr>
          <w:rFonts w:cs="Calibri"/>
          <w:i/>
          <w:color w:val="414042"/>
          <w:sz w:val="16"/>
        </w:rPr>
        <w:t>amounts</w:t>
      </w:r>
      <w:r w:rsidRPr="00CA2CC1">
        <w:rPr>
          <w:rFonts w:cs="Calibri"/>
          <w:i/>
          <w:color w:val="414042"/>
          <w:spacing w:val="-5"/>
          <w:sz w:val="16"/>
        </w:rPr>
        <w:t xml:space="preserve"> </w:t>
      </w:r>
      <w:r w:rsidRPr="00CA2CC1">
        <w:rPr>
          <w:rFonts w:cs="Calibri"/>
          <w:i/>
          <w:color w:val="414042"/>
          <w:sz w:val="16"/>
        </w:rPr>
        <w:t>owing from government.</w:t>
      </w:r>
    </w:p>
    <w:p w14:paraId="566E9FE1" w14:textId="77777777" w:rsidR="00004776" w:rsidRPr="00CA2CC1" w:rsidRDefault="00004776" w:rsidP="0043303B">
      <w:pPr>
        <w:pStyle w:val="BodyText"/>
        <w:spacing w:before="73"/>
        <w:rPr>
          <w:rFonts w:cs="Calibri"/>
        </w:rPr>
      </w:pPr>
    </w:p>
    <w:p w14:paraId="60FC9117" w14:textId="5A7F084F" w:rsidR="00FA4226" w:rsidRPr="00CA2CC1" w:rsidRDefault="00000000" w:rsidP="0043303B">
      <w:pPr>
        <w:pStyle w:val="BodyText"/>
        <w:spacing w:before="73"/>
        <w:rPr>
          <w:rFonts w:cs="Calibri"/>
        </w:rPr>
      </w:pPr>
      <w:r w:rsidRPr="00CA2CC1">
        <w:rPr>
          <w:rFonts w:cs="Calibri"/>
          <w:color w:val="414042"/>
        </w:rPr>
        <w:t>Statutory receivables do not arise from contracts and</w:t>
      </w:r>
      <w:r w:rsidRPr="00CA2CC1">
        <w:rPr>
          <w:rFonts w:cs="Calibri"/>
          <w:color w:val="414042"/>
          <w:spacing w:val="40"/>
        </w:rPr>
        <w:t xml:space="preserve"> </w:t>
      </w:r>
      <w:r w:rsidRPr="00CA2CC1">
        <w:rPr>
          <w:rFonts w:cs="Calibri"/>
          <w:color w:val="414042"/>
        </w:rPr>
        <w:t>are not classified as financial instruments. They are initially recognised at fair value plus any directly attributable transaction</w:t>
      </w:r>
      <w:r w:rsidRPr="00CA2CC1">
        <w:rPr>
          <w:rFonts w:cs="Calibri"/>
          <w:color w:val="414042"/>
          <w:spacing w:val="-1"/>
        </w:rPr>
        <w:t xml:space="preserve"> </w:t>
      </w:r>
      <w:r w:rsidRPr="00CA2CC1">
        <w:rPr>
          <w:rFonts w:cs="Calibri"/>
          <w:color w:val="414042"/>
        </w:rPr>
        <w:t>costs.</w:t>
      </w:r>
      <w:r w:rsidRPr="00CA2CC1">
        <w:rPr>
          <w:rFonts w:cs="Calibri"/>
          <w:color w:val="414042"/>
          <w:spacing w:val="-1"/>
        </w:rPr>
        <w:t xml:space="preserve"> </w:t>
      </w:r>
      <w:r w:rsidRPr="00CA2CC1">
        <w:rPr>
          <w:rFonts w:cs="Calibri"/>
          <w:color w:val="414042"/>
        </w:rPr>
        <w:t>Subsequent</w:t>
      </w:r>
      <w:r w:rsidRPr="00CA2CC1">
        <w:rPr>
          <w:rFonts w:cs="Calibri"/>
          <w:color w:val="414042"/>
          <w:spacing w:val="-1"/>
        </w:rPr>
        <w:t xml:space="preserve"> </w:t>
      </w:r>
      <w:r w:rsidRPr="00CA2CC1">
        <w:rPr>
          <w:rFonts w:cs="Calibri"/>
          <w:color w:val="414042"/>
        </w:rPr>
        <w:t>to</w:t>
      </w:r>
      <w:r w:rsidRPr="00CA2CC1">
        <w:rPr>
          <w:rFonts w:cs="Calibri"/>
          <w:color w:val="414042"/>
          <w:spacing w:val="-1"/>
        </w:rPr>
        <w:t xml:space="preserve"> </w:t>
      </w:r>
      <w:r w:rsidRPr="00CA2CC1">
        <w:rPr>
          <w:rFonts w:cs="Calibri"/>
          <w:color w:val="414042"/>
        </w:rPr>
        <w:t>initial</w:t>
      </w:r>
      <w:r w:rsidRPr="00CA2CC1">
        <w:rPr>
          <w:rFonts w:cs="Calibri"/>
          <w:color w:val="414042"/>
          <w:spacing w:val="-1"/>
        </w:rPr>
        <w:t xml:space="preserve"> </w:t>
      </w:r>
      <w:r w:rsidRPr="00CA2CC1">
        <w:rPr>
          <w:rFonts w:cs="Calibri"/>
          <w:color w:val="414042"/>
        </w:rPr>
        <w:t>measurement</w:t>
      </w:r>
      <w:r w:rsidRPr="00CA2CC1">
        <w:rPr>
          <w:rFonts w:cs="Calibri"/>
          <w:color w:val="414042"/>
          <w:spacing w:val="-1"/>
        </w:rPr>
        <w:t xml:space="preserve"> </w:t>
      </w:r>
      <w:r w:rsidRPr="00CA2CC1">
        <w:rPr>
          <w:rFonts w:cs="Calibri"/>
          <w:color w:val="414042"/>
        </w:rPr>
        <w:t>they are</w:t>
      </w:r>
      <w:r w:rsidRPr="00CA2CC1">
        <w:rPr>
          <w:rFonts w:cs="Calibri"/>
          <w:color w:val="414042"/>
          <w:spacing w:val="-6"/>
        </w:rPr>
        <w:t xml:space="preserve"> </w:t>
      </w:r>
      <w:r w:rsidRPr="00CA2CC1">
        <w:rPr>
          <w:rFonts w:cs="Calibri"/>
          <w:color w:val="414042"/>
        </w:rPr>
        <w:t>measured</w:t>
      </w:r>
      <w:r w:rsidRPr="00CA2CC1">
        <w:rPr>
          <w:rFonts w:cs="Calibri"/>
          <w:color w:val="414042"/>
          <w:spacing w:val="-6"/>
        </w:rPr>
        <w:t xml:space="preserve"> </w:t>
      </w:r>
      <w:r w:rsidRPr="00CA2CC1">
        <w:rPr>
          <w:rFonts w:cs="Calibri"/>
          <w:color w:val="414042"/>
        </w:rPr>
        <w:t>at</w:t>
      </w:r>
      <w:r w:rsidRPr="00CA2CC1">
        <w:rPr>
          <w:rFonts w:cs="Calibri"/>
          <w:color w:val="414042"/>
          <w:spacing w:val="-6"/>
        </w:rPr>
        <w:t xml:space="preserve"> </w:t>
      </w:r>
      <w:r w:rsidRPr="00CA2CC1">
        <w:rPr>
          <w:rFonts w:cs="Calibri"/>
          <w:color w:val="414042"/>
        </w:rPr>
        <w:t>amortised</w:t>
      </w:r>
      <w:r w:rsidRPr="00CA2CC1">
        <w:rPr>
          <w:rFonts w:cs="Calibri"/>
          <w:color w:val="414042"/>
          <w:spacing w:val="-6"/>
        </w:rPr>
        <w:t xml:space="preserve"> </w:t>
      </w:r>
      <w:r w:rsidRPr="00CA2CC1">
        <w:rPr>
          <w:rFonts w:cs="Calibri"/>
          <w:color w:val="414042"/>
        </w:rPr>
        <w:t>cost</w:t>
      </w:r>
      <w:r w:rsidRPr="00CA2CC1">
        <w:rPr>
          <w:rFonts w:cs="Calibri"/>
          <w:color w:val="414042"/>
          <w:spacing w:val="-6"/>
        </w:rPr>
        <w:t xml:space="preserve"> </w:t>
      </w:r>
      <w:r w:rsidRPr="00CA2CC1">
        <w:rPr>
          <w:rFonts w:cs="Calibri"/>
          <w:color w:val="414042"/>
        </w:rPr>
        <w:t>using</w:t>
      </w:r>
      <w:r w:rsidRPr="00CA2CC1">
        <w:rPr>
          <w:rFonts w:cs="Calibri"/>
          <w:color w:val="414042"/>
          <w:spacing w:val="-6"/>
        </w:rPr>
        <w:t xml:space="preserve"> </w:t>
      </w:r>
      <w:r w:rsidRPr="00CA2CC1">
        <w:rPr>
          <w:rFonts w:cs="Calibri"/>
          <w:color w:val="414042"/>
        </w:rPr>
        <w:t>the</w:t>
      </w:r>
      <w:r w:rsidRPr="00CA2CC1">
        <w:rPr>
          <w:rFonts w:cs="Calibri"/>
          <w:color w:val="414042"/>
          <w:spacing w:val="-6"/>
        </w:rPr>
        <w:t xml:space="preserve"> </w:t>
      </w:r>
      <w:r w:rsidRPr="00CA2CC1">
        <w:rPr>
          <w:rFonts w:cs="Calibri"/>
          <w:color w:val="414042"/>
        </w:rPr>
        <w:t>effective</w:t>
      </w:r>
      <w:r w:rsidRPr="00CA2CC1">
        <w:rPr>
          <w:rFonts w:cs="Calibri"/>
          <w:color w:val="414042"/>
          <w:spacing w:val="-6"/>
        </w:rPr>
        <w:t xml:space="preserve"> </w:t>
      </w:r>
      <w:r w:rsidRPr="00CA2CC1">
        <w:rPr>
          <w:rFonts w:cs="Calibri"/>
          <w:color w:val="414042"/>
        </w:rPr>
        <w:t>interest method, less any impairment and are not classified as financial instruments.</w:t>
      </w:r>
    </w:p>
    <w:p w14:paraId="5457191D" w14:textId="77777777" w:rsidR="00FA4226" w:rsidRPr="00CA2CC1" w:rsidRDefault="00FA4226" w:rsidP="0043303B">
      <w:pPr>
        <w:rPr>
          <w:rFonts w:cs="Calibri"/>
        </w:rPr>
        <w:sectPr w:rsidR="00FA4226" w:rsidRPr="00CA2CC1" w:rsidSect="00E941A5">
          <w:type w:val="continuous"/>
          <w:pgSz w:w="11910" w:h="16840"/>
          <w:pgMar w:top="1134" w:right="1278" w:bottom="1134" w:left="1134" w:header="720" w:footer="720" w:gutter="0"/>
          <w:cols w:space="720"/>
        </w:sectPr>
      </w:pPr>
    </w:p>
    <w:p w14:paraId="2C6B4DBF" w14:textId="77777777" w:rsidR="00FA4226" w:rsidRPr="00CA2CC1" w:rsidRDefault="00FA4226" w:rsidP="0043303B">
      <w:pPr>
        <w:pStyle w:val="BodyText"/>
        <w:spacing w:before="7"/>
        <w:rPr>
          <w:rFonts w:cs="Calibri"/>
          <w:sz w:val="11"/>
        </w:rPr>
      </w:pPr>
    </w:p>
    <w:p w14:paraId="2B92548E" w14:textId="77777777" w:rsidR="00FA4226" w:rsidRPr="00396443" w:rsidRDefault="00000000" w:rsidP="0043303B">
      <w:pPr>
        <w:pStyle w:val="Heading7"/>
        <w:numPr>
          <w:ilvl w:val="1"/>
          <w:numId w:val="12"/>
        </w:numPr>
        <w:tabs>
          <w:tab w:val="left" w:pos="1466"/>
        </w:tabs>
        <w:spacing w:before="61"/>
        <w:ind w:left="0" w:firstLine="0"/>
        <w:rPr>
          <w:rFonts w:cs="Calibri"/>
          <w:color w:val="000000" w:themeColor="text1"/>
        </w:rPr>
      </w:pPr>
      <w:r w:rsidRPr="00396443">
        <w:rPr>
          <w:rFonts w:cs="Calibri"/>
          <w:color w:val="000000" w:themeColor="text1"/>
          <w:spacing w:val="-2"/>
        </w:rPr>
        <w:t>Payables</w:t>
      </w:r>
    </w:p>
    <w:p w14:paraId="27C29FF5" w14:textId="77777777" w:rsidR="00FA4226" w:rsidRPr="00CA2CC1" w:rsidRDefault="00FA4226" w:rsidP="0043303B">
      <w:pPr>
        <w:pStyle w:val="BodyText"/>
        <w:spacing w:before="9"/>
        <w:rPr>
          <w:rFonts w:cs="Calibri"/>
          <w:sz w:val="10"/>
        </w:rPr>
      </w:pPr>
    </w:p>
    <w:tbl>
      <w:tblPr>
        <w:tblW w:w="9633" w:type="dxa"/>
        <w:tblBorders>
          <w:top w:val="single" w:sz="4" w:space="0" w:color="C48F1B"/>
          <w:left w:val="single" w:sz="4" w:space="0" w:color="C48F1B"/>
          <w:bottom w:val="single" w:sz="4" w:space="0" w:color="C48F1B"/>
          <w:right w:val="single" w:sz="4" w:space="0" w:color="C48F1B"/>
          <w:insideH w:val="single" w:sz="4" w:space="0" w:color="C48F1B"/>
          <w:insideV w:val="single" w:sz="4" w:space="0" w:color="C48F1B"/>
        </w:tblBorders>
        <w:tblLayout w:type="fixed"/>
        <w:tblCellMar>
          <w:left w:w="0" w:type="dxa"/>
          <w:right w:w="0" w:type="dxa"/>
        </w:tblCellMar>
        <w:tblLook w:val="01E0" w:firstRow="1" w:lastRow="1" w:firstColumn="1" w:lastColumn="1" w:noHBand="0" w:noVBand="0"/>
      </w:tblPr>
      <w:tblGrid>
        <w:gridCol w:w="6633"/>
        <w:gridCol w:w="1500"/>
        <w:gridCol w:w="1500"/>
      </w:tblGrid>
      <w:tr w:rsidR="00FA4226" w:rsidRPr="00CA2CC1" w14:paraId="68F3F49D" w14:textId="77777777" w:rsidTr="0066501D">
        <w:trPr>
          <w:trHeight w:val="604"/>
        </w:trPr>
        <w:tc>
          <w:tcPr>
            <w:tcW w:w="6633" w:type="dxa"/>
            <w:tcBorders>
              <w:top w:val="nil"/>
              <w:left w:val="nil"/>
              <w:right w:val="nil"/>
            </w:tcBorders>
          </w:tcPr>
          <w:p w14:paraId="707F41B5" w14:textId="77777777" w:rsidR="00FA4226" w:rsidRPr="00CA2CC1" w:rsidRDefault="00FA4226" w:rsidP="0043303B">
            <w:pPr>
              <w:pStyle w:val="TableParagraph"/>
              <w:jc w:val="left"/>
              <w:rPr>
                <w:rFonts w:cs="Calibri"/>
                <w:sz w:val="16"/>
              </w:rPr>
            </w:pPr>
          </w:p>
        </w:tc>
        <w:tc>
          <w:tcPr>
            <w:tcW w:w="1500" w:type="dxa"/>
            <w:tcBorders>
              <w:top w:val="nil"/>
              <w:left w:val="nil"/>
              <w:right w:val="single" w:sz="8" w:space="0" w:color="FFFFFF"/>
            </w:tcBorders>
            <w:shd w:val="clear" w:color="auto" w:fill="FFF0E7"/>
            <w:tcMar>
              <w:right w:w="57" w:type="dxa"/>
            </w:tcMar>
          </w:tcPr>
          <w:p w14:paraId="5D08B670" w14:textId="77777777" w:rsidR="00FA4226" w:rsidRPr="00CA2CC1" w:rsidRDefault="00000000" w:rsidP="0043303B">
            <w:pPr>
              <w:pStyle w:val="TableParagraph"/>
              <w:spacing w:before="99"/>
              <w:rPr>
                <w:rFonts w:cs="Calibri"/>
                <w:sz w:val="17"/>
              </w:rPr>
            </w:pPr>
            <w:r w:rsidRPr="00CA2CC1">
              <w:rPr>
                <w:rFonts w:cs="Calibri"/>
                <w:color w:val="F68C59"/>
                <w:spacing w:val="-4"/>
                <w:sz w:val="17"/>
              </w:rPr>
              <w:t>2023</w:t>
            </w:r>
          </w:p>
          <w:p w14:paraId="324BBFEE" w14:textId="77777777" w:rsidR="00FA4226" w:rsidRPr="00CA2CC1" w:rsidRDefault="00000000" w:rsidP="0043303B">
            <w:pPr>
              <w:pStyle w:val="TableParagraph"/>
              <w:spacing w:before="1"/>
              <w:rPr>
                <w:rFonts w:cs="Calibri"/>
                <w:sz w:val="17"/>
              </w:rPr>
            </w:pPr>
            <w:r w:rsidRPr="00CA2CC1">
              <w:rPr>
                <w:rFonts w:cs="Calibri"/>
                <w:color w:val="F68C59"/>
                <w:sz w:val="17"/>
              </w:rPr>
              <w:t>$</w:t>
            </w:r>
          </w:p>
        </w:tc>
        <w:tc>
          <w:tcPr>
            <w:tcW w:w="1500" w:type="dxa"/>
            <w:tcBorders>
              <w:top w:val="nil"/>
              <w:left w:val="single" w:sz="8" w:space="0" w:color="FFFFFF"/>
              <w:right w:val="nil"/>
            </w:tcBorders>
            <w:shd w:val="clear" w:color="auto" w:fill="EDEFF0"/>
            <w:tcMar>
              <w:right w:w="57" w:type="dxa"/>
            </w:tcMar>
          </w:tcPr>
          <w:p w14:paraId="1F0ECDC0" w14:textId="77777777" w:rsidR="00FA4226" w:rsidRPr="00CA2CC1" w:rsidRDefault="00000000" w:rsidP="0043303B">
            <w:pPr>
              <w:pStyle w:val="TableParagraph"/>
              <w:spacing w:before="99"/>
              <w:rPr>
                <w:rFonts w:cs="Calibri"/>
                <w:sz w:val="17"/>
              </w:rPr>
            </w:pPr>
            <w:r w:rsidRPr="00CA2CC1">
              <w:rPr>
                <w:rFonts w:cs="Calibri"/>
                <w:color w:val="F68C59"/>
                <w:spacing w:val="-4"/>
                <w:sz w:val="17"/>
              </w:rPr>
              <w:t>2022</w:t>
            </w:r>
          </w:p>
          <w:p w14:paraId="15F812BF" w14:textId="77777777" w:rsidR="00FA4226" w:rsidRPr="00CA2CC1" w:rsidRDefault="00000000" w:rsidP="0043303B">
            <w:pPr>
              <w:pStyle w:val="TableParagraph"/>
              <w:spacing w:before="1"/>
              <w:rPr>
                <w:rFonts w:cs="Calibri"/>
                <w:sz w:val="17"/>
              </w:rPr>
            </w:pPr>
            <w:r w:rsidRPr="00CA2CC1">
              <w:rPr>
                <w:rFonts w:cs="Calibri"/>
                <w:color w:val="F68C59"/>
                <w:sz w:val="17"/>
              </w:rPr>
              <w:t>$</w:t>
            </w:r>
          </w:p>
        </w:tc>
      </w:tr>
      <w:tr w:rsidR="00FA4226" w:rsidRPr="00CA2CC1" w14:paraId="64933A2B" w14:textId="77777777" w:rsidTr="0066501D">
        <w:trPr>
          <w:trHeight w:val="281"/>
        </w:trPr>
        <w:tc>
          <w:tcPr>
            <w:tcW w:w="6633" w:type="dxa"/>
            <w:tcBorders>
              <w:left w:val="nil"/>
              <w:bottom w:val="single" w:sz="2" w:space="0" w:color="73777A"/>
              <w:right w:val="nil"/>
            </w:tcBorders>
          </w:tcPr>
          <w:p w14:paraId="71FC12F5" w14:textId="77777777" w:rsidR="00FA4226" w:rsidRPr="00CA2CC1" w:rsidRDefault="00000000" w:rsidP="0043303B">
            <w:pPr>
              <w:pStyle w:val="TableParagraph"/>
              <w:jc w:val="left"/>
              <w:rPr>
                <w:rFonts w:cs="Calibri"/>
                <w:sz w:val="18"/>
              </w:rPr>
            </w:pPr>
            <w:r w:rsidRPr="00CA2CC1">
              <w:rPr>
                <w:rFonts w:cs="Calibri"/>
                <w:color w:val="F68C59"/>
                <w:spacing w:val="-2"/>
                <w:sz w:val="18"/>
              </w:rPr>
              <w:t>Contractual</w:t>
            </w:r>
          </w:p>
        </w:tc>
        <w:tc>
          <w:tcPr>
            <w:tcW w:w="1500" w:type="dxa"/>
            <w:tcBorders>
              <w:left w:val="nil"/>
              <w:bottom w:val="single" w:sz="2" w:space="0" w:color="73777A"/>
              <w:right w:val="single" w:sz="8" w:space="0" w:color="FFFFFF"/>
            </w:tcBorders>
            <w:shd w:val="clear" w:color="auto" w:fill="FFF0E7"/>
            <w:tcMar>
              <w:right w:w="57" w:type="dxa"/>
            </w:tcMar>
          </w:tcPr>
          <w:p w14:paraId="6E703EBB" w14:textId="77777777" w:rsidR="00FA4226" w:rsidRPr="00CA2CC1" w:rsidRDefault="00FA4226" w:rsidP="0043303B">
            <w:pPr>
              <w:pStyle w:val="TableParagraph"/>
              <w:jc w:val="left"/>
              <w:rPr>
                <w:rFonts w:cs="Calibri"/>
                <w:sz w:val="16"/>
              </w:rPr>
            </w:pPr>
          </w:p>
        </w:tc>
        <w:tc>
          <w:tcPr>
            <w:tcW w:w="1500" w:type="dxa"/>
            <w:tcBorders>
              <w:left w:val="single" w:sz="8" w:space="0" w:color="FFFFFF"/>
              <w:bottom w:val="single" w:sz="2" w:space="0" w:color="73777A"/>
              <w:right w:val="nil"/>
            </w:tcBorders>
            <w:shd w:val="clear" w:color="auto" w:fill="EDEFF0"/>
            <w:tcMar>
              <w:right w:w="57" w:type="dxa"/>
            </w:tcMar>
          </w:tcPr>
          <w:p w14:paraId="63238431" w14:textId="77777777" w:rsidR="00FA4226" w:rsidRPr="00CA2CC1" w:rsidRDefault="00FA4226" w:rsidP="0043303B">
            <w:pPr>
              <w:pStyle w:val="TableParagraph"/>
              <w:jc w:val="left"/>
              <w:rPr>
                <w:rFonts w:cs="Calibri"/>
                <w:sz w:val="16"/>
              </w:rPr>
            </w:pPr>
          </w:p>
        </w:tc>
      </w:tr>
      <w:tr w:rsidR="00FA4226" w:rsidRPr="00CA2CC1" w14:paraId="2E6C4417" w14:textId="77777777" w:rsidTr="0066501D">
        <w:trPr>
          <w:trHeight w:val="583"/>
        </w:trPr>
        <w:tc>
          <w:tcPr>
            <w:tcW w:w="6633" w:type="dxa"/>
            <w:tcBorders>
              <w:top w:val="single" w:sz="2" w:space="0" w:color="73777A"/>
              <w:left w:val="nil"/>
              <w:bottom w:val="single" w:sz="2" w:space="0" w:color="73777A"/>
              <w:right w:val="nil"/>
            </w:tcBorders>
          </w:tcPr>
          <w:p w14:paraId="7F2B72D0" w14:textId="77777777" w:rsidR="00FA4226" w:rsidRPr="00CA2CC1" w:rsidRDefault="00000000" w:rsidP="0043303B">
            <w:pPr>
              <w:pStyle w:val="TableParagraph"/>
              <w:spacing w:before="2"/>
              <w:jc w:val="left"/>
              <w:rPr>
                <w:rFonts w:cs="Calibri"/>
                <w:sz w:val="10"/>
              </w:rPr>
            </w:pPr>
            <w:r w:rsidRPr="00CA2CC1">
              <w:rPr>
                <w:rFonts w:cs="Calibri"/>
                <w:color w:val="414042"/>
                <w:sz w:val="18"/>
              </w:rPr>
              <w:t>Creditors</w:t>
            </w:r>
            <w:r w:rsidRPr="00CA2CC1">
              <w:rPr>
                <w:rFonts w:cs="Calibri"/>
                <w:color w:val="414042"/>
                <w:spacing w:val="6"/>
                <w:sz w:val="18"/>
              </w:rPr>
              <w:t xml:space="preserve"> </w:t>
            </w:r>
            <w:r w:rsidRPr="00CA2CC1">
              <w:rPr>
                <w:rFonts w:cs="Calibri"/>
                <w:color w:val="414042"/>
                <w:sz w:val="18"/>
              </w:rPr>
              <w:t>and</w:t>
            </w:r>
            <w:r w:rsidRPr="00CA2CC1">
              <w:rPr>
                <w:rFonts w:cs="Calibri"/>
                <w:color w:val="414042"/>
                <w:spacing w:val="7"/>
                <w:sz w:val="18"/>
              </w:rPr>
              <w:t xml:space="preserve"> </w:t>
            </w:r>
            <w:r w:rsidRPr="00CA2CC1">
              <w:rPr>
                <w:rFonts w:cs="Calibri"/>
                <w:color w:val="414042"/>
                <w:sz w:val="18"/>
              </w:rPr>
              <w:t>accruals</w:t>
            </w:r>
            <w:r w:rsidRPr="00CA2CC1">
              <w:rPr>
                <w:rFonts w:cs="Calibri"/>
                <w:color w:val="414042"/>
                <w:spacing w:val="7"/>
                <w:sz w:val="18"/>
              </w:rPr>
              <w:t xml:space="preserve"> </w:t>
            </w:r>
            <w:r w:rsidRPr="00CA2CC1">
              <w:rPr>
                <w:rFonts w:cs="Calibri"/>
                <w:color w:val="414042"/>
                <w:spacing w:val="-5"/>
                <w:position w:val="6"/>
                <w:sz w:val="10"/>
              </w:rPr>
              <w:t>(i)</w:t>
            </w:r>
          </w:p>
          <w:p w14:paraId="40E084AE" w14:textId="77777777" w:rsidR="00FA4226" w:rsidRPr="00CA2CC1" w:rsidRDefault="00000000" w:rsidP="0043303B">
            <w:pPr>
              <w:pStyle w:val="TableParagraph"/>
              <w:spacing w:before="48"/>
              <w:jc w:val="left"/>
              <w:rPr>
                <w:rFonts w:cs="Calibri"/>
                <w:sz w:val="18"/>
              </w:rPr>
            </w:pPr>
            <w:r w:rsidRPr="00CA2CC1">
              <w:rPr>
                <w:rFonts w:cs="Calibri"/>
                <w:color w:val="F68C59"/>
                <w:spacing w:val="-2"/>
                <w:sz w:val="18"/>
              </w:rPr>
              <w:t>Statutory</w:t>
            </w:r>
          </w:p>
        </w:tc>
        <w:tc>
          <w:tcPr>
            <w:tcW w:w="1500" w:type="dxa"/>
            <w:tcBorders>
              <w:top w:val="single" w:sz="2" w:space="0" w:color="73777A"/>
              <w:left w:val="nil"/>
              <w:bottom w:val="single" w:sz="2" w:space="0" w:color="73777A"/>
              <w:right w:val="single" w:sz="8" w:space="0" w:color="FFFFFF"/>
            </w:tcBorders>
            <w:shd w:val="clear" w:color="auto" w:fill="FFF0E7"/>
            <w:tcMar>
              <w:right w:w="57" w:type="dxa"/>
            </w:tcMar>
          </w:tcPr>
          <w:p w14:paraId="004EEF71" w14:textId="77777777" w:rsidR="00FA4226" w:rsidRPr="00CA2CC1" w:rsidRDefault="00000000" w:rsidP="0043303B">
            <w:pPr>
              <w:pStyle w:val="TableParagraph"/>
              <w:spacing w:before="2"/>
              <w:rPr>
                <w:rFonts w:cs="Calibri"/>
                <w:sz w:val="18"/>
              </w:rPr>
            </w:pPr>
            <w:r w:rsidRPr="00CA2CC1">
              <w:rPr>
                <w:rFonts w:cs="Calibri"/>
                <w:color w:val="414042"/>
                <w:spacing w:val="-2"/>
                <w:sz w:val="18"/>
              </w:rPr>
              <w:t>1,049,037</w:t>
            </w:r>
          </w:p>
        </w:tc>
        <w:tc>
          <w:tcPr>
            <w:tcW w:w="1500" w:type="dxa"/>
            <w:tcBorders>
              <w:top w:val="single" w:sz="2" w:space="0" w:color="73777A"/>
              <w:left w:val="single" w:sz="8" w:space="0" w:color="FFFFFF"/>
              <w:bottom w:val="single" w:sz="2" w:space="0" w:color="73777A"/>
              <w:right w:val="nil"/>
            </w:tcBorders>
            <w:shd w:val="clear" w:color="auto" w:fill="EDEFF0"/>
            <w:tcMar>
              <w:right w:w="57" w:type="dxa"/>
            </w:tcMar>
          </w:tcPr>
          <w:p w14:paraId="6F446890" w14:textId="77777777" w:rsidR="00FA4226" w:rsidRPr="00CA2CC1" w:rsidRDefault="00000000" w:rsidP="0043303B">
            <w:pPr>
              <w:pStyle w:val="TableParagraph"/>
              <w:spacing w:before="2"/>
              <w:rPr>
                <w:rFonts w:cs="Calibri"/>
                <w:sz w:val="18"/>
              </w:rPr>
            </w:pPr>
            <w:r w:rsidRPr="00CA2CC1">
              <w:rPr>
                <w:rFonts w:cs="Calibri"/>
                <w:color w:val="414042"/>
                <w:spacing w:val="-2"/>
                <w:sz w:val="18"/>
              </w:rPr>
              <w:t>1,216,203</w:t>
            </w:r>
          </w:p>
        </w:tc>
      </w:tr>
      <w:tr w:rsidR="00FA4226" w:rsidRPr="00CA2CC1" w14:paraId="57A286F9" w14:textId="77777777" w:rsidTr="0066501D">
        <w:trPr>
          <w:trHeight w:val="300"/>
        </w:trPr>
        <w:tc>
          <w:tcPr>
            <w:tcW w:w="6633" w:type="dxa"/>
            <w:tcBorders>
              <w:top w:val="single" w:sz="2" w:space="0" w:color="73777A"/>
              <w:left w:val="nil"/>
              <w:bottom w:val="single" w:sz="6" w:space="0" w:color="73777A"/>
              <w:right w:val="nil"/>
            </w:tcBorders>
          </w:tcPr>
          <w:p w14:paraId="0A7CFE1A" w14:textId="77777777" w:rsidR="00FA4226" w:rsidRPr="00CA2CC1" w:rsidRDefault="00000000" w:rsidP="0043303B">
            <w:pPr>
              <w:pStyle w:val="TableParagraph"/>
              <w:spacing w:before="17"/>
              <w:jc w:val="left"/>
              <w:rPr>
                <w:rFonts w:cs="Calibri"/>
                <w:sz w:val="18"/>
              </w:rPr>
            </w:pPr>
            <w:r w:rsidRPr="00CA2CC1">
              <w:rPr>
                <w:rFonts w:cs="Calibri"/>
                <w:color w:val="414042"/>
                <w:sz w:val="18"/>
              </w:rPr>
              <w:t>Amounts</w:t>
            </w:r>
            <w:r w:rsidRPr="00CA2CC1">
              <w:rPr>
                <w:rFonts w:cs="Calibri"/>
                <w:color w:val="414042"/>
                <w:spacing w:val="3"/>
                <w:sz w:val="18"/>
              </w:rPr>
              <w:t xml:space="preserve"> </w:t>
            </w:r>
            <w:r w:rsidRPr="00CA2CC1">
              <w:rPr>
                <w:rFonts w:cs="Calibri"/>
                <w:color w:val="414042"/>
                <w:sz w:val="18"/>
              </w:rPr>
              <w:t>payable</w:t>
            </w:r>
            <w:r w:rsidRPr="00CA2CC1">
              <w:rPr>
                <w:rFonts w:cs="Calibri"/>
                <w:color w:val="414042"/>
                <w:spacing w:val="3"/>
                <w:sz w:val="18"/>
              </w:rPr>
              <w:t xml:space="preserve"> </w:t>
            </w:r>
            <w:r w:rsidRPr="00CA2CC1">
              <w:rPr>
                <w:rFonts w:cs="Calibri"/>
                <w:color w:val="414042"/>
                <w:sz w:val="18"/>
              </w:rPr>
              <w:t>to</w:t>
            </w:r>
            <w:r w:rsidRPr="00CA2CC1">
              <w:rPr>
                <w:rFonts w:cs="Calibri"/>
                <w:color w:val="414042"/>
                <w:spacing w:val="4"/>
                <w:sz w:val="18"/>
              </w:rPr>
              <w:t xml:space="preserve"> </w:t>
            </w:r>
            <w:r w:rsidRPr="00CA2CC1">
              <w:rPr>
                <w:rFonts w:cs="Calibri"/>
                <w:color w:val="414042"/>
                <w:sz w:val="18"/>
              </w:rPr>
              <w:t>other</w:t>
            </w:r>
            <w:r w:rsidRPr="00CA2CC1">
              <w:rPr>
                <w:rFonts w:cs="Calibri"/>
                <w:color w:val="414042"/>
                <w:spacing w:val="3"/>
                <w:sz w:val="18"/>
              </w:rPr>
              <w:t xml:space="preserve"> </w:t>
            </w:r>
            <w:r w:rsidRPr="00CA2CC1">
              <w:rPr>
                <w:rFonts w:cs="Calibri"/>
                <w:color w:val="414042"/>
                <w:sz w:val="18"/>
              </w:rPr>
              <w:t>government</w:t>
            </w:r>
            <w:r w:rsidRPr="00CA2CC1">
              <w:rPr>
                <w:rFonts w:cs="Calibri"/>
                <w:color w:val="414042"/>
                <w:spacing w:val="4"/>
                <w:sz w:val="18"/>
              </w:rPr>
              <w:t xml:space="preserve"> </w:t>
            </w:r>
            <w:r w:rsidRPr="00CA2CC1">
              <w:rPr>
                <w:rFonts w:cs="Calibri"/>
                <w:color w:val="414042"/>
                <w:spacing w:val="-2"/>
                <w:sz w:val="18"/>
              </w:rPr>
              <w:t>agencies</w:t>
            </w:r>
          </w:p>
        </w:tc>
        <w:tc>
          <w:tcPr>
            <w:tcW w:w="1500" w:type="dxa"/>
            <w:tcBorders>
              <w:top w:val="single" w:sz="2" w:space="0" w:color="73777A"/>
              <w:left w:val="nil"/>
              <w:bottom w:val="single" w:sz="6" w:space="0" w:color="73777A"/>
              <w:right w:val="single" w:sz="8" w:space="0" w:color="FFFFFF"/>
            </w:tcBorders>
            <w:shd w:val="clear" w:color="auto" w:fill="FFF0E7"/>
            <w:tcMar>
              <w:right w:w="57" w:type="dxa"/>
            </w:tcMar>
          </w:tcPr>
          <w:p w14:paraId="782CD374" w14:textId="77777777" w:rsidR="00FA4226" w:rsidRPr="00CA2CC1" w:rsidRDefault="00000000" w:rsidP="0043303B">
            <w:pPr>
              <w:pStyle w:val="TableParagraph"/>
              <w:spacing w:before="17"/>
              <w:rPr>
                <w:rFonts w:cs="Calibri"/>
                <w:sz w:val="18"/>
              </w:rPr>
            </w:pPr>
            <w:r w:rsidRPr="00CA2CC1">
              <w:rPr>
                <w:rFonts w:cs="Calibri"/>
                <w:color w:val="414042"/>
                <w:spacing w:val="-2"/>
                <w:sz w:val="18"/>
              </w:rPr>
              <w:t>27,336</w:t>
            </w:r>
          </w:p>
        </w:tc>
        <w:tc>
          <w:tcPr>
            <w:tcW w:w="1500" w:type="dxa"/>
            <w:tcBorders>
              <w:top w:val="single" w:sz="2" w:space="0" w:color="73777A"/>
              <w:left w:val="single" w:sz="8" w:space="0" w:color="FFFFFF"/>
              <w:bottom w:val="single" w:sz="6" w:space="0" w:color="73777A"/>
              <w:right w:val="nil"/>
            </w:tcBorders>
            <w:shd w:val="clear" w:color="auto" w:fill="EDEFF0"/>
            <w:tcMar>
              <w:right w:w="57" w:type="dxa"/>
            </w:tcMar>
          </w:tcPr>
          <w:p w14:paraId="6AB90931" w14:textId="77777777" w:rsidR="00FA4226" w:rsidRPr="00CA2CC1" w:rsidRDefault="00000000" w:rsidP="0043303B">
            <w:pPr>
              <w:pStyle w:val="TableParagraph"/>
              <w:spacing w:before="17"/>
              <w:rPr>
                <w:rFonts w:cs="Calibri"/>
                <w:sz w:val="18"/>
              </w:rPr>
            </w:pPr>
            <w:r w:rsidRPr="00CA2CC1">
              <w:rPr>
                <w:rFonts w:cs="Calibri"/>
                <w:color w:val="414042"/>
                <w:spacing w:val="-2"/>
                <w:sz w:val="18"/>
              </w:rPr>
              <w:t>27,018</w:t>
            </w:r>
          </w:p>
        </w:tc>
      </w:tr>
      <w:tr w:rsidR="00FA4226" w:rsidRPr="00CA2CC1" w14:paraId="352A8D08" w14:textId="77777777" w:rsidTr="0066501D">
        <w:trPr>
          <w:trHeight w:val="295"/>
        </w:trPr>
        <w:tc>
          <w:tcPr>
            <w:tcW w:w="6633" w:type="dxa"/>
            <w:tcBorders>
              <w:top w:val="single" w:sz="6" w:space="0" w:color="73777A"/>
              <w:left w:val="nil"/>
              <w:bottom w:val="single" w:sz="6" w:space="0" w:color="73777A"/>
              <w:right w:val="nil"/>
            </w:tcBorders>
          </w:tcPr>
          <w:p w14:paraId="1120E70F" w14:textId="77777777" w:rsidR="00FA4226" w:rsidRPr="00CA2CC1" w:rsidRDefault="00000000" w:rsidP="0043303B">
            <w:pPr>
              <w:pStyle w:val="TableParagraph"/>
              <w:spacing w:before="15"/>
              <w:jc w:val="left"/>
              <w:rPr>
                <w:rFonts w:cs="Calibri"/>
                <w:sz w:val="10"/>
              </w:rPr>
            </w:pPr>
            <w:r w:rsidRPr="00CA2CC1">
              <w:rPr>
                <w:rFonts w:cs="Calibri"/>
                <w:color w:val="414042"/>
                <w:sz w:val="18"/>
              </w:rPr>
              <w:t xml:space="preserve">Total payables </w:t>
            </w:r>
            <w:r w:rsidRPr="00CA2CC1">
              <w:rPr>
                <w:rFonts w:cs="Calibri"/>
                <w:color w:val="414042"/>
                <w:spacing w:val="-5"/>
                <w:position w:val="6"/>
                <w:sz w:val="10"/>
              </w:rPr>
              <w:t>(i)</w:t>
            </w:r>
          </w:p>
        </w:tc>
        <w:tc>
          <w:tcPr>
            <w:tcW w:w="1500" w:type="dxa"/>
            <w:tcBorders>
              <w:top w:val="single" w:sz="6" w:space="0" w:color="73777A"/>
              <w:left w:val="nil"/>
              <w:bottom w:val="single" w:sz="6" w:space="0" w:color="73777A"/>
              <w:right w:val="single" w:sz="8" w:space="0" w:color="FFFFFF"/>
            </w:tcBorders>
            <w:shd w:val="clear" w:color="auto" w:fill="FFF0E7"/>
            <w:tcMar>
              <w:right w:w="57" w:type="dxa"/>
            </w:tcMar>
          </w:tcPr>
          <w:p w14:paraId="364CF3CE" w14:textId="77777777" w:rsidR="00FA4226" w:rsidRPr="00CA2CC1" w:rsidRDefault="00000000" w:rsidP="0043303B">
            <w:pPr>
              <w:pStyle w:val="TableParagraph"/>
              <w:spacing w:before="15"/>
              <w:rPr>
                <w:rFonts w:cs="Calibri"/>
                <w:sz w:val="18"/>
              </w:rPr>
            </w:pPr>
            <w:r w:rsidRPr="00CA2CC1">
              <w:rPr>
                <w:rFonts w:cs="Calibri"/>
                <w:color w:val="414042"/>
                <w:spacing w:val="-2"/>
                <w:sz w:val="18"/>
              </w:rPr>
              <w:t>1,076,373</w:t>
            </w:r>
          </w:p>
        </w:tc>
        <w:tc>
          <w:tcPr>
            <w:tcW w:w="1500" w:type="dxa"/>
            <w:tcBorders>
              <w:top w:val="single" w:sz="6" w:space="0" w:color="73777A"/>
              <w:left w:val="single" w:sz="8" w:space="0" w:color="FFFFFF"/>
              <w:bottom w:val="single" w:sz="6" w:space="0" w:color="73777A"/>
              <w:right w:val="nil"/>
            </w:tcBorders>
            <w:shd w:val="clear" w:color="auto" w:fill="EDEFF0"/>
            <w:tcMar>
              <w:right w:w="57" w:type="dxa"/>
            </w:tcMar>
          </w:tcPr>
          <w:p w14:paraId="4131F902" w14:textId="77777777" w:rsidR="00FA4226" w:rsidRPr="00CA2CC1" w:rsidRDefault="00000000" w:rsidP="0043303B">
            <w:pPr>
              <w:pStyle w:val="TableParagraph"/>
              <w:spacing w:before="15"/>
              <w:rPr>
                <w:rFonts w:cs="Calibri"/>
                <w:sz w:val="18"/>
              </w:rPr>
            </w:pPr>
            <w:r w:rsidRPr="00CA2CC1">
              <w:rPr>
                <w:rFonts w:cs="Calibri"/>
                <w:color w:val="414042"/>
                <w:spacing w:val="-2"/>
                <w:sz w:val="18"/>
              </w:rPr>
              <w:t>1,243,221</w:t>
            </w:r>
          </w:p>
        </w:tc>
      </w:tr>
      <w:tr w:rsidR="00FA4226" w:rsidRPr="00CA2CC1" w14:paraId="7971717D" w14:textId="77777777" w:rsidTr="0066501D">
        <w:trPr>
          <w:trHeight w:val="331"/>
        </w:trPr>
        <w:tc>
          <w:tcPr>
            <w:tcW w:w="6633" w:type="dxa"/>
            <w:tcBorders>
              <w:top w:val="single" w:sz="6" w:space="0" w:color="73777A"/>
              <w:left w:val="nil"/>
              <w:bottom w:val="single" w:sz="2" w:space="0" w:color="73777A"/>
              <w:right w:val="nil"/>
            </w:tcBorders>
          </w:tcPr>
          <w:p w14:paraId="3C713470" w14:textId="77777777" w:rsidR="00FA4226" w:rsidRPr="00CA2CC1" w:rsidRDefault="00000000" w:rsidP="0043303B">
            <w:pPr>
              <w:pStyle w:val="TableParagraph"/>
              <w:spacing w:before="44"/>
              <w:jc w:val="left"/>
              <w:rPr>
                <w:rFonts w:cs="Calibri"/>
                <w:sz w:val="18"/>
              </w:rPr>
            </w:pPr>
            <w:r w:rsidRPr="00CA2CC1">
              <w:rPr>
                <w:rFonts w:cs="Calibri"/>
                <w:color w:val="414042"/>
                <w:sz w:val="18"/>
              </w:rPr>
              <w:t>Represented</w:t>
            </w:r>
            <w:r w:rsidRPr="00CA2CC1">
              <w:rPr>
                <w:rFonts w:cs="Calibri"/>
                <w:color w:val="414042"/>
                <w:spacing w:val="9"/>
                <w:sz w:val="18"/>
              </w:rPr>
              <w:t xml:space="preserve"> </w:t>
            </w:r>
            <w:r w:rsidRPr="00CA2CC1">
              <w:rPr>
                <w:rFonts w:cs="Calibri"/>
                <w:color w:val="414042"/>
                <w:spacing w:val="-5"/>
                <w:sz w:val="18"/>
              </w:rPr>
              <w:t>by:</w:t>
            </w:r>
          </w:p>
        </w:tc>
        <w:tc>
          <w:tcPr>
            <w:tcW w:w="1500" w:type="dxa"/>
            <w:tcBorders>
              <w:top w:val="single" w:sz="6" w:space="0" w:color="73777A"/>
              <w:left w:val="nil"/>
              <w:bottom w:val="single" w:sz="2" w:space="0" w:color="73777A"/>
              <w:right w:val="single" w:sz="8" w:space="0" w:color="FFFFFF"/>
            </w:tcBorders>
            <w:shd w:val="clear" w:color="auto" w:fill="FFF0E7"/>
            <w:tcMar>
              <w:right w:w="57" w:type="dxa"/>
            </w:tcMar>
          </w:tcPr>
          <w:p w14:paraId="5DF57FEE" w14:textId="77777777" w:rsidR="00FA4226" w:rsidRPr="00CA2CC1" w:rsidRDefault="00FA4226" w:rsidP="0043303B">
            <w:pPr>
              <w:pStyle w:val="TableParagraph"/>
              <w:jc w:val="left"/>
              <w:rPr>
                <w:rFonts w:cs="Calibri"/>
                <w:sz w:val="16"/>
              </w:rPr>
            </w:pPr>
          </w:p>
        </w:tc>
        <w:tc>
          <w:tcPr>
            <w:tcW w:w="1500" w:type="dxa"/>
            <w:tcBorders>
              <w:top w:val="single" w:sz="6" w:space="0" w:color="73777A"/>
              <w:left w:val="single" w:sz="8" w:space="0" w:color="FFFFFF"/>
              <w:bottom w:val="single" w:sz="2" w:space="0" w:color="73777A"/>
              <w:right w:val="nil"/>
            </w:tcBorders>
            <w:shd w:val="clear" w:color="auto" w:fill="EDEFF0"/>
            <w:tcMar>
              <w:right w:w="57" w:type="dxa"/>
            </w:tcMar>
          </w:tcPr>
          <w:p w14:paraId="2E39C619" w14:textId="77777777" w:rsidR="00FA4226" w:rsidRPr="00CA2CC1" w:rsidRDefault="00FA4226" w:rsidP="0043303B">
            <w:pPr>
              <w:pStyle w:val="TableParagraph"/>
              <w:jc w:val="left"/>
              <w:rPr>
                <w:rFonts w:cs="Calibri"/>
                <w:sz w:val="16"/>
              </w:rPr>
            </w:pPr>
          </w:p>
        </w:tc>
      </w:tr>
      <w:tr w:rsidR="00FA4226" w:rsidRPr="00CA2CC1" w14:paraId="7F1BCDD5" w14:textId="77777777" w:rsidTr="0066501D">
        <w:trPr>
          <w:trHeight w:val="283"/>
        </w:trPr>
        <w:tc>
          <w:tcPr>
            <w:tcW w:w="6633" w:type="dxa"/>
            <w:tcBorders>
              <w:top w:val="single" w:sz="2" w:space="0" w:color="73777A"/>
              <w:left w:val="nil"/>
              <w:bottom w:val="single" w:sz="2" w:space="0" w:color="73777A"/>
              <w:right w:val="nil"/>
            </w:tcBorders>
          </w:tcPr>
          <w:p w14:paraId="101BC266" w14:textId="77777777" w:rsidR="00FA4226" w:rsidRPr="00CA2CC1" w:rsidRDefault="00000000" w:rsidP="0043303B">
            <w:pPr>
              <w:pStyle w:val="TableParagraph"/>
              <w:jc w:val="left"/>
              <w:rPr>
                <w:rFonts w:cs="Calibri"/>
                <w:sz w:val="10"/>
              </w:rPr>
            </w:pPr>
            <w:r w:rsidRPr="00CA2CC1">
              <w:rPr>
                <w:rFonts w:cs="Calibri"/>
                <w:color w:val="414042"/>
                <w:sz w:val="18"/>
              </w:rPr>
              <w:t>Current</w:t>
            </w:r>
            <w:r w:rsidRPr="00CA2CC1">
              <w:rPr>
                <w:rFonts w:cs="Calibri"/>
                <w:color w:val="414042"/>
                <w:spacing w:val="4"/>
                <w:sz w:val="18"/>
              </w:rPr>
              <w:t xml:space="preserve"> </w:t>
            </w:r>
            <w:r w:rsidRPr="00CA2CC1">
              <w:rPr>
                <w:rFonts w:cs="Calibri"/>
                <w:color w:val="414042"/>
                <w:sz w:val="18"/>
              </w:rPr>
              <w:t>payables</w:t>
            </w:r>
            <w:r w:rsidRPr="00CA2CC1">
              <w:rPr>
                <w:rFonts w:cs="Calibri"/>
                <w:color w:val="414042"/>
                <w:spacing w:val="6"/>
                <w:sz w:val="18"/>
              </w:rPr>
              <w:t xml:space="preserve"> </w:t>
            </w:r>
            <w:r w:rsidRPr="00CA2CC1">
              <w:rPr>
                <w:rFonts w:cs="Calibri"/>
                <w:color w:val="414042"/>
                <w:spacing w:val="-5"/>
                <w:position w:val="6"/>
                <w:sz w:val="10"/>
              </w:rPr>
              <w:t>(i)</w:t>
            </w:r>
          </w:p>
        </w:tc>
        <w:tc>
          <w:tcPr>
            <w:tcW w:w="1500" w:type="dxa"/>
            <w:tcBorders>
              <w:top w:val="single" w:sz="2" w:space="0" w:color="73777A"/>
              <w:left w:val="nil"/>
              <w:bottom w:val="single" w:sz="2" w:space="0" w:color="73777A"/>
              <w:right w:val="single" w:sz="8" w:space="0" w:color="FFFFFF"/>
            </w:tcBorders>
            <w:shd w:val="clear" w:color="auto" w:fill="FFF0E7"/>
            <w:tcMar>
              <w:right w:w="57" w:type="dxa"/>
            </w:tcMar>
          </w:tcPr>
          <w:p w14:paraId="13FD6B72" w14:textId="77777777" w:rsidR="00FA4226" w:rsidRPr="00CA2CC1" w:rsidRDefault="00000000" w:rsidP="0043303B">
            <w:pPr>
              <w:pStyle w:val="TableParagraph"/>
              <w:rPr>
                <w:rFonts w:cs="Calibri"/>
                <w:sz w:val="18"/>
              </w:rPr>
            </w:pPr>
            <w:r w:rsidRPr="00CA2CC1">
              <w:rPr>
                <w:rFonts w:cs="Calibri"/>
                <w:color w:val="414042"/>
                <w:spacing w:val="-2"/>
                <w:sz w:val="18"/>
              </w:rPr>
              <w:t>1,076,373</w:t>
            </w:r>
          </w:p>
        </w:tc>
        <w:tc>
          <w:tcPr>
            <w:tcW w:w="1500" w:type="dxa"/>
            <w:tcBorders>
              <w:top w:val="single" w:sz="2" w:space="0" w:color="73777A"/>
              <w:left w:val="single" w:sz="8" w:space="0" w:color="FFFFFF"/>
              <w:bottom w:val="single" w:sz="2" w:space="0" w:color="73777A"/>
              <w:right w:val="nil"/>
            </w:tcBorders>
            <w:shd w:val="clear" w:color="auto" w:fill="EDEFF0"/>
            <w:tcMar>
              <w:right w:w="57" w:type="dxa"/>
            </w:tcMar>
          </w:tcPr>
          <w:p w14:paraId="7C0FA437" w14:textId="77777777" w:rsidR="00FA4226" w:rsidRPr="00CA2CC1" w:rsidRDefault="00000000" w:rsidP="0043303B">
            <w:pPr>
              <w:pStyle w:val="TableParagraph"/>
              <w:rPr>
                <w:rFonts w:cs="Calibri"/>
                <w:sz w:val="18"/>
              </w:rPr>
            </w:pPr>
            <w:r w:rsidRPr="00CA2CC1">
              <w:rPr>
                <w:rFonts w:cs="Calibri"/>
                <w:color w:val="414042"/>
                <w:spacing w:val="-2"/>
                <w:sz w:val="18"/>
              </w:rPr>
              <w:t>1,243,221</w:t>
            </w:r>
          </w:p>
        </w:tc>
      </w:tr>
    </w:tbl>
    <w:p w14:paraId="68B46E52" w14:textId="77777777" w:rsidR="00FA4226" w:rsidRPr="00CA2CC1" w:rsidRDefault="00FA4226" w:rsidP="0043303B">
      <w:pPr>
        <w:pStyle w:val="BodyText"/>
        <w:rPr>
          <w:rFonts w:cs="Calibri"/>
        </w:rPr>
      </w:pPr>
    </w:p>
    <w:p w14:paraId="6CF92910" w14:textId="77777777" w:rsidR="00FA4226" w:rsidRPr="00CA2CC1" w:rsidRDefault="00000000" w:rsidP="0043303B">
      <w:pPr>
        <w:spacing w:before="1"/>
        <w:rPr>
          <w:rFonts w:cs="Calibri"/>
          <w:i/>
          <w:sz w:val="16"/>
        </w:rPr>
      </w:pPr>
      <w:r w:rsidRPr="00CA2CC1">
        <w:rPr>
          <w:rFonts w:cs="Calibri"/>
          <w:i/>
          <w:color w:val="414042"/>
          <w:sz w:val="16"/>
        </w:rPr>
        <w:t>(i)</w:t>
      </w:r>
      <w:r w:rsidRPr="00CA2CC1">
        <w:rPr>
          <w:rFonts w:cs="Calibri"/>
          <w:i/>
          <w:color w:val="414042"/>
          <w:spacing w:val="-3"/>
          <w:sz w:val="16"/>
        </w:rPr>
        <w:t xml:space="preserve"> </w:t>
      </w:r>
      <w:r w:rsidRPr="00CA2CC1">
        <w:rPr>
          <w:rFonts w:cs="Calibri"/>
          <w:i/>
          <w:color w:val="414042"/>
          <w:sz w:val="16"/>
        </w:rPr>
        <w:t>The</w:t>
      </w:r>
      <w:r w:rsidRPr="00CA2CC1">
        <w:rPr>
          <w:rFonts w:cs="Calibri"/>
          <w:i/>
          <w:color w:val="414042"/>
          <w:spacing w:val="-1"/>
          <w:sz w:val="16"/>
        </w:rPr>
        <w:t xml:space="preserve"> </w:t>
      </w:r>
      <w:r w:rsidRPr="00CA2CC1">
        <w:rPr>
          <w:rFonts w:cs="Calibri"/>
          <w:i/>
          <w:color w:val="414042"/>
          <w:sz w:val="16"/>
        </w:rPr>
        <w:t>2021-22</w:t>
      </w:r>
      <w:r w:rsidRPr="00CA2CC1">
        <w:rPr>
          <w:rFonts w:cs="Calibri"/>
          <w:i/>
          <w:color w:val="414042"/>
          <w:spacing w:val="-1"/>
          <w:sz w:val="16"/>
        </w:rPr>
        <w:t xml:space="preserve"> </w:t>
      </w:r>
      <w:r w:rsidRPr="00CA2CC1">
        <w:rPr>
          <w:rFonts w:cs="Calibri"/>
          <w:i/>
          <w:color w:val="414042"/>
          <w:sz w:val="16"/>
        </w:rPr>
        <w:t>comparative figures</w:t>
      </w:r>
      <w:r w:rsidRPr="00CA2CC1">
        <w:rPr>
          <w:rFonts w:cs="Calibri"/>
          <w:i/>
          <w:color w:val="414042"/>
          <w:spacing w:val="-1"/>
          <w:sz w:val="16"/>
        </w:rPr>
        <w:t xml:space="preserve"> </w:t>
      </w:r>
      <w:r w:rsidRPr="00CA2CC1">
        <w:rPr>
          <w:rFonts w:cs="Calibri"/>
          <w:i/>
          <w:color w:val="414042"/>
          <w:sz w:val="16"/>
        </w:rPr>
        <w:t>have</w:t>
      </w:r>
      <w:r w:rsidRPr="00CA2CC1">
        <w:rPr>
          <w:rFonts w:cs="Calibri"/>
          <w:i/>
          <w:color w:val="414042"/>
          <w:spacing w:val="-1"/>
          <w:sz w:val="16"/>
        </w:rPr>
        <w:t xml:space="preserve"> </w:t>
      </w:r>
      <w:r w:rsidRPr="00CA2CC1">
        <w:rPr>
          <w:rFonts w:cs="Calibri"/>
          <w:i/>
          <w:color w:val="414042"/>
          <w:sz w:val="16"/>
        </w:rPr>
        <w:t>been</w:t>
      </w:r>
      <w:r w:rsidRPr="00CA2CC1">
        <w:rPr>
          <w:rFonts w:cs="Calibri"/>
          <w:i/>
          <w:color w:val="414042"/>
          <w:spacing w:val="-1"/>
          <w:sz w:val="16"/>
        </w:rPr>
        <w:t xml:space="preserve"> </w:t>
      </w:r>
      <w:r w:rsidRPr="00CA2CC1">
        <w:rPr>
          <w:rFonts w:cs="Calibri"/>
          <w:i/>
          <w:color w:val="414042"/>
          <w:sz w:val="16"/>
        </w:rPr>
        <w:t>adjusted to</w:t>
      </w:r>
      <w:r w:rsidRPr="00CA2CC1">
        <w:rPr>
          <w:rFonts w:cs="Calibri"/>
          <w:i/>
          <w:color w:val="414042"/>
          <w:spacing w:val="-1"/>
          <w:sz w:val="16"/>
        </w:rPr>
        <w:t xml:space="preserve"> </w:t>
      </w:r>
      <w:r w:rsidRPr="00CA2CC1">
        <w:rPr>
          <w:rFonts w:cs="Calibri"/>
          <w:i/>
          <w:color w:val="414042"/>
          <w:sz w:val="16"/>
        </w:rPr>
        <w:t>correct</w:t>
      </w:r>
      <w:r w:rsidRPr="00CA2CC1">
        <w:rPr>
          <w:rFonts w:cs="Calibri"/>
          <w:i/>
          <w:color w:val="414042"/>
          <w:spacing w:val="-1"/>
          <w:sz w:val="16"/>
        </w:rPr>
        <w:t xml:space="preserve"> </w:t>
      </w:r>
      <w:r w:rsidRPr="00CA2CC1">
        <w:rPr>
          <w:rFonts w:cs="Calibri"/>
          <w:i/>
          <w:color w:val="414042"/>
          <w:sz w:val="16"/>
        </w:rPr>
        <w:t>a</w:t>
      </w:r>
      <w:r w:rsidRPr="00CA2CC1">
        <w:rPr>
          <w:rFonts w:cs="Calibri"/>
          <w:i/>
          <w:color w:val="414042"/>
          <w:spacing w:val="-1"/>
          <w:sz w:val="16"/>
        </w:rPr>
        <w:t xml:space="preserve"> </w:t>
      </w:r>
      <w:r w:rsidRPr="00CA2CC1">
        <w:rPr>
          <w:rFonts w:cs="Calibri"/>
          <w:i/>
          <w:color w:val="414042"/>
          <w:sz w:val="16"/>
        </w:rPr>
        <w:t>prior period</w:t>
      </w:r>
      <w:r w:rsidRPr="00CA2CC1">
        <w:rPr>
          <w:rFonts w:cs="Calibri"/>
          <w:i/>
          <w:color w:val="414042"/>
          <w:spacing w:val="-1"/>
          <w:sz w:val="16"/>
        </w:rPr>
        <w:t xml:space="preserve"> </w:t>
      </w:r>
      <w:r w:rsidRPr="00CA2CC1">
        <w:rPr>
          <w:rFonts w:cs="Calibri"/>
          <w:i/>
          <w:color w:val="414042"/>
          <w:sz w:val="16"/>
        </w:rPr>
        <w:t>error.</w:t>
      </w:r>
      <w:r w:rsidRPr="00CA2CC1">
        <w:rPr>
          <w:rFonts w:cs="Calibri"/>
          <w:i/>
          <w:color w:val="414042"/>
          <w:spacing w:val="-1"/>
          <w:sz w:val="16"/>
        </w:rPr>
        <w:t xml:space="preserve"> </w:t>
      </w:r>
      <w:r w:rsidRPr="00CA2CC1">
        <w:rPr>
          <w:rFonts w:cs="Calibri"/>
          <w:i/>
          <w:color w:val="414042"/>
          <w:sz w:val="16"/>
        </w:rPr>
        <w:t>Refer</w:t>
      </w:r>
      <w:r w:rsidRPr="00CA2CC1">
        <w:rPr>
          <w:rFonts w:cs="Calibri"/>
          <w:i/>
          <w:color w:val="414042"/>
          <w:spacing w:val="-1"/>
          <w:sz w:val="16"/>
        </w:rPr>
        <w:t xml:space="preserve"> </w:t>
      </w:r>
      <w:r w:rsidRPr="00CA2CC1">
        <w:rPr>
          <w:rFonts w:cs="Calibri"/>
          <w:i/>
          <w:color w:val="414042"/>
          <w:sz w:val="16"/>
        </w:rPr>
        <w:t>to note</w:t>
      </w:r>
      <w:r w:rsidRPr="00CA2CC1">
        <w:rPr>
          <w:rFonts w:cs="Calibri"/>
          <w:i/>
          <w:color w:val="414042"/>
          <w:spacing w:val="-1"/>
          <w:sz w:val="16"/>
        </w:rPr>
        <w:t xml:space="preserve"> </w:t>
      </w:r>
      <w:r w:rsidRPr="00CA2CC1">
        <w:rPr>
          <w:rFonts w:cs="Calibri"/>
          <w:i/>
          <w:color w:val="414042"/>
          <w:sz w:val="16"/>
        </w:rPr>
        <w:t>8.5</w:t>
      </w:r>
      <w:r w:rsidRPr="00CA2CC1">
        <w:rPr>
          <w:rFonts w:cs="Calibri"/>
          <w:i/>
          <w:color w:val="414042"/>
          <w:spacing w:val="-1"/>
          <w:sz w:val="16"/>
        </w:rPr>
        <w:t xml:space="preserve"> </w:t>
      </w:r>
      <w:r w:rsidRPr="00CA2CC1">
        <w:rPr>
          <w:rFonts w:cs="Calibri"/>
          <w:i/>
          <w:color w:val="414042"/>
          <w:sz w:val="16"/>
        </w:rPr>
        <w:t>for</w:t>
      </w:r>
      <w:r w:rsidRPr="00CA2CC1">
        <w:rPr>
          <w:rFonts w:cs="Calibri"/>
          <w:i/>
          <w:color w:val="414042"/>
          <w:spacing w:val="-1"/>
          <w:sz w:val="16"/>
        </w:rPr>
        <w:t xml:space="preserve"> </w:t>
      </w:r>
      <w:r w:rsidRPr="00CA2CC1">
        <w:rPr>
          <w:rFonts w:cs="Calibri"/>
          <w:i/>
          <w:color w:val="414042"/>
          <w:sz w:val="16"/>
        </w:rPr>
        <w:t xml:space="preserve">more </w:t>
      </w:r>
      <w:r w:rsidRPr="00CA2CC1">
        <w:rPr>
          <w:rFonts w:cs="Calibri"/>
          <w:i/>
          <w:color w:val="414042"/>
          <w:spacing w:val="-2"/>
          <w:sz w:val="16"/>
        </w:rPr>
        <w:t>information.</w:t>
      </w:r>
    </w:p>
    <w:p w14:paraId="2DA92C85" w14:textId="77777777" w:rsidR="00FA4226" w:rsidRPr="00CA2CC1" w:rsidRDefault="00FA4226" w:rsidP="0043303B">
      <w:pPr>
        <w:rPr>
          <w:rFonts w:cs="Calibri"/>
          <w:sz w:val="16"/>
        </w:rPr>
        <w:sectPr w:rsidR="00FA4226" w:rsidRPr="00CA2CC1" w:rsidSect="00E941A5">
          <w:type w:val="continuous"/>
          <w:pgSz w:w="11910" w:h="16840"/>
          <w:pgMar w:top="1134" w:right="1278" w:bottom="1134" w:left="1134" w:header="720" w:footer="720" w:gutter="0"/>
          <w:cols w:space="720"/>
        </w:sectPr>
      </w:pPr>
    </w:p>
    <w:p w14:paraId="7AE9D7A4" w14:textId="77777777" w:rsidR="003F42A3" w:rsidRPr="00CA2CC1" w:rsidRDefault="00000000" w:rsidP="0043303B">
      <w:pPr>
        <w:pStyle w:val="BodyText"/>
        <w:spacing w:before="124"/>
        <w:rPr>
          <w:rFonts w:cs="Calibri"/>
        </w:rPr>
      </w:pPr>
      <w:r w:rsidRPr="00CA2CC1">
        <w:rPr>
          <w:rFonts w:cs="Calibri"/>
          <w:color w:val="414042"/>
        </w:rPr>
        <w:t>Contractual</w:t>
      </w:r>
      <w:r w:rsidRPr="00CA2CC1">
        <w:rPr>
          <w:rFonts w:cs="Calibri"/>
          <w:color w:val="414042"/>
          <w:spacing w:val="-7"/>
        </w:rPr>
        <w:t xml:space="preserve"> </w:t>
      </w:r>
      <w:r w:rsidRPr="00CA2CC1">
        <w:rPr>
          <w:rFonts w:cs="Calibri"/>
          <w:color w:val="414042"/>
        </w:rPr>
        <w:t>payables</w:t>
      </w:r>
      <w:r w:rsidRPr="00CA2CC1">
        <w:rPr>
          <w:rFonts w:cs="Calibri"/>
          <w:color w:val="414042"/>
          <w:spacing w:val="-8"/>
        </w:rPr>
        <w:t xml:space="preserve"> </w:t>
      </w:r>
      <w:r w:rsidRPr="00CA2CC1">
        <w:rPr>
          <w:rFonts w:cs="Calibri"/>
          <w:color w:val="414042"/>
        </w:rPr>
        <w:t>are</w:t>
      </w:r>
      <w:r w:rsidRPr="00CA2CC1">
        <w:rPr>
          <w:rFonts w:cs="Calibri"/>
          <w:color w:val="414042"/>
          <w:spacing w:val="-7"/>
        </w:rPr>
        <w:t xml:space="preserve"> </w:t>
      </w:r>
      <w:r w:rsidRPr="00CA2CC1">
        <w:rPr>
          <w:rFonts w:cs="Calibri"/>
          <w:color w:val="414042"/>
        </w:rPr>
        <w:t>classified</w:t>
      </w:r>
      <w:r w:rsidRPr="00CA2CC1">
        <w:rPr>
          <w:rFonts w:cs="Calibri"/>
          <w:color w:val="414042"/>
          <w:spacing w:val="-7"/>
        </w:rPr>
        <w:t xml:space="preserve"> </w:t>
      </w:r>
      <w:r w:rsidRPr="00CA2CC1">
        <w:rPr>
          <w:rFonts w:cs="Calibri"/>
          <w:color w:val="414042"/>
        </w:rPr>
        <w:t>as</w:t>
      </w:r>
      <w:r w:rsidRPr="00CA2CC1">
        <w:rPr>
          <w:rFonts w:cs="Calibri"/>
          <w:color w:val="414042"/>
          <w:spacing w:val="-7"/>
        </w:rPr>
        <w:t xml:space="preserve"> </w:t>
      </w:r>
      <w:r w:rsidRPr="00CA2CC1">
        <w:rPr>
          <w:rFonts w:cs="Calibri"/>
          <w:color w:val="414042"/>
        </w:rPr>
        <w:t>financial</w:t>
      </w:r>
      <w:r w:rsidRPr="00CA2CC1">
        <w:rPr>
          <w:rFonts w:cs="Calibri"/>
          <w:color w:val="414042"/>
          <w:spacing w:val="-7"/>
        </w:rPr>
        <w:t xml:space="preserve"> </w:t>
      </w:r>
      <w:r w:rsidRPr="00CA2CC1">
        <w:rPr>
          <w:rFonts w:cs="Calibri"/>
          <w:color w:val="414042"/>
        </w:rPr>
        <w:t>instruments and measured at amortised cost. Creditors and accruals represent liabilities for goods and services provided to Infrastructure Victoria prior to the end of the financial year that are unpaid.</w:t>
      </w:r>
    </w:p>
    <w:p w14:paraId="430F5027" w14:textId="757E0BFA" w:rsidR="00FA4226" w:rsidRPr="00CA2CC1" w:rsidRDefault="00000000" w:rsidP="0043303B">
      <w:pPr>
        <w:pStyle w:val="BodyText"/>
        <w:spacing w:before="124"/>
        <w:rPr>
          <w:rFonts w:cs="Calibri"/>
        </w:rPr>
      </w:pPr>
      <w:r w:rsidRPr="00CA2CC1">
        <w:rPr>
          <w:rFonts w:cs="Calibri"/>
          <w:color w:val="414042"/>
        </w:rPr>
        <w:t>Statutory</w:t>
      </w:r>
      <w:r w:rsidRPr="00CA2CC1">
        <w:rPr>
          <w:rFonts w:cs="Calibri"/>
          <w:color w:val="414042"/>
          <w:spacing w:val="-8"/>
        </w:rPr>
        <w:t xml:space="preserve"> </w:t>
      </w:r>
      <w:r w:rsidRPr="00CA2CC1">
        <w:rPr>
          <w:rFonts w:cs="Calibri"/>
          <w:color w:val="414042"/>
        </w:rPr>
        <w:t>payables</w:t>
      </w:r>
      <w:r w:rsidRPr="00CA2CC1">
        <w:rPr>
          <w:rFonts w:cs="Calibri"/>
          <w:color w:val="414042"/>
          <w:spacing w:val="-9"/>
        </w:rPr>
        <w:t xml:space="preserve"> </w:t>
      </w:r>
      <w:r w:rsidRPr="00CA2CC1">
        <w:rPr>
          <w:rFonts w:cs="Calibri"/>
          <w:color w:val="414042"/>
        </w:rPr>
        <w:t>are</w:t>
      </w:r>
      <w:r w:rsidRPr="00CA2CC1">
        <w:rPr>
          <w:rFonts w:cs="Calibri"/>
          <w:color w:val="414042"/>
          <w:spacing w:val="-8"/>
        </w:rPr>
        <w:t xml:space="preserve"> </w:t>
      </w:r>
      <w:r w:rsidRPr="00CA2CC1">
        <w:rPr>
          <w:rFonts w:cs="Calibri"/>
          <w:color w:val="414042"/>
        </w:rPr>
        <w:t>recognised</w:t>
      </w:r>
      <w:r w:rsidRPr="00CA2CC1">
        <w:rPr>
          <w:rFonts w:cs="Calibri"/>
          <w:color w:val="414042"/>
          <w:spacing w:val="-8"/>
        </w:rPr>
        <w:t xml:space="preserve"> </w:t>
      </w:r>
      <w:r w:rsidRPr="00CA2CC1">
        <w:rPr>
          <w:rFonts w:cs="Calibri"/>
          <w:color w:val="414042"/>
        </w:rPr>
        <w:t>and</w:t>
      </w:r>
      <w:r w:rsidRPr="00CA2CC1">
        <w:rPr>
          <w:rFonts w:cs="Calibri"/>
          <w:color w:val="414042"/>
          <w:spacing w:val="-8"/>
        </w:rPr>
        <w:t xml:space="preserve"> </w:t>
      </w:r>
      <w:r w:rsidRPr="00CA2CC1">
        <w:rPr>
          <w:rFonts w:cs="Calibri"/>
          <w:color w:val="414042"/>
        </w:rPr>
        <w:t>measured</w:t>
      </w:r>
      <w:r w:rsidRPr="00CA2CC1">
        <w:rPr>
          <w:rFonts w:cs="Calibri"/>
          <w:color w:val="414042"/>
          <w:spacing w:val="-8"/>
        </w:rPr>
        <w:t xml:space="preserve"> </w:t>
      </w:r>
      <w:r w:rsidRPr="00CA2CC1">
        <w:rPr>
          <w:rFonts w:cs="Calibri"/>
          <w:color w:val="414042"/>
        </w:rPr>
        <w:t>similarly to contractual payables but are not classified as financial instruments and not included in the category of financial liabilities at amortised cost, because they do not arise</w:t>
      </w:r>
      <w:r w:rsidR="00657975" w:rsidRPr="00CA2CC1">
        <w:rPr>
          <w:rFonts w:cs="Calibri"/>
        </w:rPr>
        <w:t xml:space="preserve"> </w:t>
      </w:r>
      <w:r w:rsidRPr="00CA2CC1">
        <w:rPr>
          <w:rFonts w:cs="Calibri"/>
          <w:color w:val="414042"/>
        </w:rPr>
        <w:t>from</w:t>
      </w:r>
      <w:r w:rsidRPr="00CA2CC1">
        <w:rPr>
          <w:rFonts w:cs="Calibri"/>
          <w:color w:val="414042"/>
          <w:spacing w:val="-6"/>
        </w:rPr>
        <w:t xml:space="preserve"> </w:t>
      </w:r>
      <w:r w:rsidRPr="00CA2CC1">
        <w:rPr>
          <w:rFonts w:cs="Calibri"/>
          <w:color w:val="414042"/>
          <w:spacing w:val="-2"/>
        </w:rPr>
        <w:t>contracts.</w:t>
      </w:r>
    </w:p>
    <w:p w14:paraId="3D82C1C8" w14:textId="77777777" w:rsidR="00FA4226" w:rsidRPr="00CA2CC1" w:rsidRDefault="00FA4226" w:rsidP="0043303B">
      <w:pPr>
        <w:rPr>
          <w:rFonts w:cs="Calibri"/>
        </w:rPr>
        <w:sectPr w:rsidR="00FA4226" w:rsidRPr="00CA2CC1" w:rsidSect="00E941A5">
          <w:type w:val="continuous"/>
          <w:pgSz w:w="11910" w:h="16840"/>
          <w:pgMar w:top="1134" w:right="1278" w:bottom="1134" w:left="1134" w:header="720" w:footer="720" w:gutter="0"/>
          <w:cols w:space="720"/>
        </w:sectPr>
      </w:pPr>
    </w:p>
    <w:p w14:paraId="5C0C4023" w14:textId="77777777" w:rsidR="00FA4226" w:rsidRPr="00CA2CC1" w:rsidRDefault="00FA4226" w:rsidP="0043303B">
      <w:pPr>
        <w:pStyle w:val="BodyText"/>
        <w:spacing w:before="8"/>
        <w:rPr>
          <w:rFonts w:cs="Calibri"/>
        </w:rPr>
      </w:pPr>
    </w:p>
    <w:p w14:paraId="5D0559FA" w14:textId="77777777" w:rsidR="00FA4226" w:rsidRPr="00396443" w:rsidRDefault="00000000" w:rsidP="0043303B">
      <w:pPr>
        <w:pStyle w:val="Heading7"/>
        <w:numPr>
          <w:ilvl w:val="1"/>
          <w:numId w:val="12"/>
        </w:numPr>
        <w:tabs>
          <w:tab w:val="left" w:pos="1466"/>
        </w:tabs>
        <w:spacing w:before="60"/>
        <w:ind w:left="0" w:firstLine="0"/>
        <w:rPr>
          <w:rFonts w:cs="Calibri"/>
          <w:color w:val="000000" w:themeColor="text1"/>
        </w:rPr>
      </w:pPr>
      <w:r w:rsidRPr="00396443">
        <w:rPr>
          <w:rFonts w:cs="Calibri"/>
          <w:color w:val="000000" w:themeColor="text1"/>
        </w:rPr>
        <w:t>Deferred</w:t>
      </w:r>
      <w:r w:rsidRPr="00396443">
        <w:rPr>
          <w:rFonts w:cs="Calibri"/>
          <w:color w:val="000000" w:themeColor="text1"/>
          <w:spacing w:val="-2"/>
        </w:rPr>
        <w:t xml:space="preserve"> </w:t>
      </w:r>
      <w:r w:rsidRPr="00396443">
        <w:rPr>
          <w:rFonts w:cs="Calibri"/>
          <w:color w:val="000000" w:themeColor="text1"/>
        </w:rPr>
        <w:t>lease</w:t>
      </w:r>
      <w:r w:rsidRPr="00396443">
        <w:rPr>
          <w:rFonts w:cs="Calibri"/>
          <w:color w:val="000000" w:themeColor="text1"/>
          <w:spacing w:val="-2"/>
        </w:rPr>
        <w:t xml:space="preserve"> incentive</w:t>
      </w:r>
    </w:p>
    <w:p w14:paraId="3159AECD" w14:textId="77777777" w:rsidR="00FA4226" w:rsidRPr="00CA2CC1" w:rsidRDefault="00FA4226" w:rsidP="0043303B">
      <w:pPr>
        <w:pStyle w:val="BodyText"/>
        <w:spacing w:before="6"/>
        <w:rPr>
          <w:rFonts w:cs="Calibri"/>
          <w:sz w:val="9"/>
        </w:rPr>
      </w:pPr>
    </w:p>
    <w:tbl>
      <w:tblPr>
        <w:tblW w:w="9637" w:type="dxa"/>
        <w:tblBorders>
          <w:top w:val="single" w:sz="4" w:space="0" w:color="C48F1B"/>
          <w:left w:val="single" w:sz="4" w:space="0" w:color="C48F1B"/>
          <w:bottom w:val="single" w:sz="4" w:space="0" w:color="C48F1B"/>
          <w:right w:val="single" w:sz="4" w:space="0" w:color="C48F1B"/>
          <w:insideH w:val="single" w:sz="4" w:space="0" w:color="C48F1B"/>
          <w:insideV w:val="single" w:sz="4" w:space="0" w:color="C48F1B"/>
        </w:tblBorders>
        <w:tblLayout w:type="fixed"/>
        <w:tblCellMar>
          <w:left w:w="0" w:type="dxa"/>
          <w:right w:w="0" w:type="dxa"/>
        </w:tblCellMar>
        <w:tblLook w:val="01E0" w:firstRow="1" w:lastRow="1" w:firstColumn="1" w:lastColumn="1" w:noHBand="0" w:noVBand="0"/>
      </w:tblPr>
      <w:tblGrid>
        <w:gridCol w:w="6633"/>
        <w:gridCol w:w="1502"/>
        <w:gridCol w:w="1502"/>
      </w:tblGrid>
      <w:tr w:rsidR="00FA4226" w:rsidRPr="00CA2CC1" w14:paraId="38DE1898" w14:textId="77777777" w:rsidTr="00D22D90">
        <w:trPr>
          <w:trHeight w:val="565"/>
        </w:trPr>
        <w:tc>
          <w:tcPr>
            <w:tcW w:w="6633" w:type="dxa"/>
            <w:tcBorders>
              <w:top w:val="nil"/>
              <w:left w:val="nil"/>
              <w:right w:val="nil"/>
            </w:tcBorders>
          </w:tcPr>
          <w:p w14:paraId="5893C64A" w14:textId="77777777" w:rsidR="00FA4226" w:rsidRPr="00CA2CC1" w:rsidRDefault="00FA4226" w:rsidP="0043303B">
            <w:pPr>
              <w:pStyle w:val="TableParagraph"/>
              <w:jc w:val="left"/>
              <w:rPr>
                <w:rFonts w:cs="Calibri"/>
                <w:sz w:val="16"/>
              </w:rPr>
            </w:pPr>
          </w:p>
        </w:tc>
        <w:tc>
          <w:tcPr>
            <w:tcW w:w="1502" w:type="dxa"/>
            <w:tcBorders>
              <w:top w:val="nil"/>
              <w:left w:val="nil"/>
              <w:right w:val="single" w:sz="8" w:space="0" w:color="FFFFFF"/>
            </w:tcBorders>
            <w:shd w:val="clear" w:color="auto" w:fill="FFF0E7"/>
            <w:tcMar>
              <w:right w:w="57" w:type="dxa"/>
            </w:tcMar>
          </w:tcPr>
          <w:p w14:paraId="382ADA3A" w14:textId="77777777" w:rsidR="00FA4226" w:rsidRPr="00CA2CC1" w:rsidRDefault="00000000" w:rsidP="0043303B">
            <w:pPr>
              <w:pStyle w:val="TableParagraph"/>
              <w:spacing w:before="60"/>
              <w:rPr>
                <w:rFonts w:cs="Calibri"/>
                <w:sz w:val="17"/>
              </w:rPr>
            </w:pPr>
            <w:r w:rsidRPr="00CA2CC1">
              <w:rPr>
                <w:rFonts w:cs="Calibri"/>
                <w:color w:val="F68C59"/>
                <w:spacing w:val="-4"/>
                <w:sz w:val="17"/>
              </w:rPr>
              <w:t>2023</w:t>
            </w:r>
          </w:p>
          <w:p w14:paraId="5F02B8A3" w14:textId="77777777" w:rsidR="00FA4226" w:rsidRPr="00CA2CC1" w:rsidRDefault="00000000" w:rsidP="0043303B">
            <w:pPr>
              <w:pStyle w:val="TableParagraph"/>
              <w:spacing w:before="1"/>
              <w:rPr>
                <w:rFonts w:cs="Calibri"/>
                <w:sz w:val="17"/>
              </w:rPr>
            </w:pPr>
            <w:r w:rsidRPr="00CA2CC1">
              <w:rPr>
                <w:rFonts w:cs="Calibri"/>
                <w:color w:val="F68C59"/>
                <w:sz w:val="17"/>
              </w:rPr>
              <w:t>$</w:t>
            </w:r>
          </w:p>
        </w:tc>
        <w:tc>
          <w:tcPr>
            <w:tcW w:w="1502" w:type="dxa"/>
            <w:tcBorders>
              <w:top w:val="nil"/>
              <w:left w:val="single" w:sz="8" w:space="0" w:color="FFFFFF"/>
              <w:right w:val="nil"/>
            </w:tcBorders>
            <w:shd w:val="clear" w:color="auto" w:fill="EDEFF0"/>
            <w:tcMar>
              <w:right w:w="57" w:type="dxa"/>
            </w:tcMar>
          </w:tcPr>
          <w:p w14:paraId="06722FB1" w14:textId="77777777" w:rsidR="00FA4226" w:rsidRPr="00CA2CC1" w:rsidRDefault="00000000" w:rsidP="0043303B">
            <w:pPr>
              <w:pStyle w:val="TableParagraph"/>
              <w:spacing w:before="60"/>
              <w:rPr>
                <w:rFonts w:cs="Calibri"/>
                <w:sz w:val="17"/>
              </w:rPr>
            </w:pPr>
            <w:r w:rsidRPr="00CA2CC1">
              <w:rPr>
                <w:rFonts w:cs="Calibri"/>
                <w:color w:val="F68C59"/>
                <w:spacing w:val="-4"/>
                <w:sz w:val="17"/>
              </w:rPr>
              <w:t>2022</w:t>
            </w:r>
          </w:p>
          <w:p w14:paraId="659C510C" w14:textId="77777777" w:rsidR="00FA4226" w:rsidRPr="00CA2CC1" w:rsidRDefault="00000000" w:rsidP="0043303B">
            <w:pPr>
              <w:pStyle w:val="TableParagraph"/>
              <w:spacing w:before="1"/>
              <w:rPr>
                <w:rFonts w:cs="Calibri"/>
                <w:sz w:val="17"/>
              </w:rPr>
            </w:pPr>
            <w:r w:rsidRPr="00CA2CC1">
              <w:rPr>
                <w:rFonts w:cs="Calibri"/>
                <w:color w:val="F68C59"/>
                <w:sz w:val="17"/>
              </w:rPr>
              <w:t>$</w:t>
            </w:r>
          </w:p>
        </w:tc>
      </w:tr>
      <w:tr w:rsidR="00FA4226" w:rsidRPr="00CA2CC1" w14:paraId="0C7812E8" w14:textId="77777777" w:rsidTr="00D22D90">
        <w:trPr>
          <w:trHeight w:val="281"/>
        </w:trPr>
        <w:tc>
          <w:tcPr>
            <w:tcW w:w="6633" w:type="dxa"/>
            <w:tcBorders>
              <w:left w:val="nil"/>
              <w:bottom w:val="single" w:sz="2" w:space="0" w:color="73777A"/>
              <w:right w:val="nil"/>
            </w:tcBorders>
          </w:tcPr>
          <w:p w14:paraId="3B6253E3" w14:textId="77777777" w:rsidR="00FA4226" w:rsidRPr="00CA2CC1" w:rsidRDefault="00000000" w:rsidP="0043303B">
            <w:pPr>
              <w:pStyle w:val="TableParagraph"/>
              <w:jc w:val="left"/>
              <w:rPr>
                <w:rFonts w:cs="Calibri"/>
                <w:sz w:val="10"/>
              </w:rPr>
            </w:pPr>
            <w:r w:rsidRPr="00CA2CC1">
              <w:rPr>
                <w:rFonts w:cs="Calibri"/>
                <w:color w:val="414042"/>
                <w:sz w:val="18"/>
              </w:rPr>
              <w:t>Current</w:t>
            </w:r>
            <w:r w:rsidRPr="00CA2CC1">
              <w:rPr>
                <w:rFonts w:cs="Calibri"/>
                <w:color w:val="414042"/>
                <w:spacing w:val="4"/>
                <w:sz w:val="18"/>
              </w:rPr>
              <w:t xml:space="preserve"> </w:t>
            </w:r>
            <w:r w:rsidRPr="00CA2CC1">
              <w:rPr>
                <w:rFonts w:cs="Calibri"/>
                <w:color w:val="414042"/>
                <w:spacing w:val="-5"/>
                <w:position w:val="6"/>
                <w:sz w:val="10"/>
              </w:rPr>
              <w:t>(i)</w:t>
            </w:r>
          </w:p>
        </w:tc>
        <w:tc>
          <w:tcPr>
            <w:tcW w:w="1502" w:type="dxa"/>
            <w:tcBorders>
              <w:left w:val="nil"/>
              <w:bottom w:val="single" w:sz="2" w:space="0" w:color="73777A"/>
              <w:right w:val="single" w:sz="8" w:space="0" w:color="FFFFFF"/>
            </w:tcBorders>
            <w:shd w:val="clear" w:color="auto" w:fill="FFF0E7"/>
            <w:tcMar>
              <w:right w:w="57" w:type="dxa"/>
            </w:tcMar>
          </w:tcPr>
          <w:p w14:paraId="46390F0B" w14:textId="77777777" w:rsidR="00FA4226" w:rsidRPr="00CA2CC1" w:rsidRDefault="00000000" w:rsidP="0043303B">
            <w:pPr>
              <w:pStyle w:val="TableParagraph"/>
              <w:rPr>
                <w:rFonts w:cs="Calibri"/>
                <w:sz w:val="18"/>
              </w:rPr>
            </w:pPr>
            <w:r w:rsidRPr="00CA2CC1">
              <w:rPr>
                <w:rFonts w:cs="Calibri"/>
                <w:color w:val="414042"/>
                <w:spacing w:val="-2"/>
                <w:sz w:val="18"/>
              </w:rPr>
              <w:t>4,989</w:t>
            </w:r>
          </w:p>
        </w:tc>
        <w:tc>
          <w:tcPr>
            <w:tcW w:w="1502" w:type="dxa"/>
            <w:tcBorders>
              <w:left w:val="single" w:sz="8" w:space="0" w:color="FFFFFF"/>
              <w:bottom w:val="single" w:sz="2" w:space="0" w:color="73777A"/>
              <w:right w:val="nil"/>
            </w:tcBorders>
            <w:shd w:val="clear" w:color="auto" w:fill="EDEFF0"/>
            <w:tcMar>
              <w:right w:w="57" w:type="dxa"/>
            </w:tcMar>
          </w:tcPr>
          <w:p w14:paraId="16030233" w14:textId="77777777" w:rsidR="00FA4226" w:rsidRPr="00CA2CC1" w:rsidRDefault="00000000" w:rsidP="0043303B">
            <w:pPr>
              <w:pStyle w:val="TableParagraph"/>
              <w:rPr>
                <w:rFonts w:cs="Calibri"/>
                <w:sz w:val="18"/>
              </w:rPr>
            </w:pPr>
            <w:r w:rsidRPr="00CA2CC1">
              <w:rPr>
                <w:rFonts w:cs="Calibri"/>
                <w:color w:val="414042"/>
                <w:spacing w:val="-2"/>
                <w:sz w:val="18"/>
              </w:rPr>
              <w:t>5,989</w:t>
            </w:r>
          </w:p>
        </w:tc>
      </w:tr>
      <w:tr w:rsidR="00FA4226" w:rsidRPr="00CA2CC1" w14:paraId="45C660D0" w14:textId="77777777" w:rsidTr="00D22D90">
        <w:trPr>
          <w:trHeight w:val="292"/>
        </w:trPr>
        <w:tc>
          <w:tcPr>
            <w:tcW w:w="6633" w:type="dxa"/>
            <w:tcBorders>
              <w:top w:val="single" w:sz="2" w:space="0" w:color="73777A"/>
              <w:left w:val="nil"/>
              <w:bottom w:val="single" w:sz="6" w:space="0" w:color="73777A"/>
              <w:right w:val="nil"/>
            </w:tcBorders>
          </w:tcPr>
          <w:p w14:paraId="757A007B" w14:textId="77777777" w:rsidR="00FA4226" w:rsidRPr="00CA2CC1" w:rsidRDefault="00000000" w:rsidP="0043303B">
            <w:pPr>
              <w:pStyle w:val="TableParagraph"/>
              <w:jc w:val="left"/>
              <w:rPr>
                <w:rFonts w:cs="Calibri"/>
                <w:sz w:val="10"/>
              </w:rPr>
            </w:pPr>
            <w:r w:rsidRPr="00CA2CC1">
              <w:rPr>
                <w:rFonts w:cs="Calibri"/>
                <w:color w:val="414042"/>
                <w:sz w:val="18"/>
              </w:rPr>
              <w:t>Non-Current</w:t>
            </w:r>
            <w:r w:rsidRPr="00CA2CC1">
              <w:rPr>
                <w:rFonts w:cs="Calibri"/>
                <w:color w:val="414042"/>
                <w:spacing w:val="8"/>
                <w:sz w:val="18"/>
              </w:rPr>
              <w:t xml:space="preserve"> </w:t>
            </w:r>
            <w:r w:rsidRPr="00CA2CC1">
              <w:rPr>
                <w:rFonts w:cs="Calibri"/>
                <w:color w:val="414042"/>
                <w:spacing w:val="-5"/>
                <w:position w:val="6"/>
                <w:sz w:val="10"/>
              </w:rPr>
              <w:t>(i)</w:t>
            </w:r>
          </w:p>
        </w:tc>
        <w:tc>
          <w:tcPr>
            <w:tcW w:w="1502" w:type="dxa"/>
            <w:tcBorders>
              <w:top w:val="single" w:sz="2" w:space="0" w:color="73777A"/>
              <w:left w:val="nil"/>
              <w:bottom w:val="single" w:sz="6" w:space="0" w:color="73777A"/>
              <w:right w:val="single" w:sz="8" w:space="0" w:color="FFFFFF"/>
            </w:tcBorders>
            <w:shd w:val="clear" w:color="auto" w:fill="FFF0E7"/>
            <w:tcMar>
              <w:right w:w="57" w:type="dxa"/>
            </w:tcMar>
          </w:tcPr>
          <w:p w14:paraId="64716358" w14:textId="77777777" w:rsidR="00FA4226" w:rsidRPr="00CA2CC1" w:rsidRDefault="00000000" w:rsidP="0043303B">
            <w:pPr>
              <w:pStyle w:val="TableParagraph"/>
              <w:rPr>
                <w:rFonts w:cs="Calibri"/>
                <w:sz w:val="18"/>
              </w:rPr>
            </w:pPr>
            <w:r w:rsidRPr="00CA2CC1">
              <w:rPr>
                <w:rFonts w:cs="Calibri"/>
                <w:color w:val="414042"/>
                <w:sz w:val="18"/>
              </w:rPr>
              <w:t>-</w:t>
            </w:r>
          </w:p>
        </w:tc>
        <w:tc>
          <w:tcPr>
            <w:tcW w:w="1502" w:type="dxa"/>
            <w:tcBorders>
              <w:top w:val="single" w:sz="2" w:space="0" w:color="73777A"/>
              <w:left w:val="single" w:sz="8" w:space="0" w:color="FFFFFF"/>
              <w:bottom w:val="single" w:sz="6" w:space="0" w:color="73777A"/>
              <w:right w:val="nil"/>
            </w:tcBorders>
            <w:shd w:val="clear" w:color="auto" w:fill="EDEFF0"/>
            <w:tcMar>
              <w:right w:w="57" w:type="dxa"/>
            </w:tcMar>
          </w:tcPr>
          <w:p w14:paraId="6CFD2020" w14:textId="77777777" w:rsidR="00FA4226" w:rsidRPr="00CA2CC1" w:rsidRDefault="00000000" w:rsidP="0043303B">
            <w:pPr>
              <w:pStyle w:val="TableParagraph"/>
              <w:rPr>
                <w:rFonts w:cs="Calibri"/>
                <w:sz w:val="18"/>
              </w:rPr>
            </w:pPr>
            <w:r w:rsidRPr="00CA2CC1">
              <w:rPr>
                <w:rFonts w:cs="Calibri"/>
                <w:color w:val="414042"/>
                <w:spacing w:val="-2"/>
                <w:sz w:val="18"/>
              </w:rPr>
              <w:t>4,989</w:t>
            </w:r>
          </w:p>
        </w:tc>
      </w:tr>
      <w:tr w:rsidR="00FA4226" w:rsidRPr="00CA2CC1" w14:paraId="62D8F788" w14:textId="77777777" w:rsidTr="00D22D90">
        <w:trPr>
          <w:trHeight w:val="272"/>
        </w:trPr>
        <w:tc>
          <w:tcPr>
            <w:tcW w:w="6633" w:type="dxa"/>
            <w:tcBorders>
              <w:top w:val="single" w:sz="6" w:space="0" w:color="73777A"/>
              <w:left w:val="nil"/>
              <w:bottom w:val="double" w:sz="6" w:space="0" w:color="73777A"/>
              <w:right w:val="nil"/>
            </w:tcBorders>
          </w:tcPr>
          <w:p w14:paraId="667CE8B2" w14:textId="77777777" w:rsidR="00FA4226" w:rsidRPr="00CA2CC1" w:rsidRDefault="00000000" w:rsidP="0043303B">
            <w:pPr>
              <w:pStyle w:val="TableParagraph"/>
              <w:spacing w:before="8"/>
              <w:jc w:val="left"/>
              <w:rPr>
                <w:rFonts w:cs="Calibri"/>
                <w:sz w:val="18"/>
              </w:rPr>
            </w:pPr>
            <w:r w:rsidRPr="00CA2CC1">
              <w:rPr>
                <w:rFonts w:cs="Calibri"/>
                <w:color w:val="414042"/>
                <w:sz w:val="18"/>
              </w:rPr>
              <w:t>Total</w:t>
            </w:r>
            <w:r w:rsidRPr="00CA2CC1">
              <w:rPr>
                <w:rFonts w:cs="Calibri"/>
                <w:color w:val="414042"/>
                <w:spacing w:val="4"/>
                <w:sz w:val="18"/>
              </w:rPr>
              <w:t xml:space="preserve"> </w:t>
            </w:r>
            <w:r w:rsidRPr="00CA2CC1">
              <w:rPr>
                <w:rFonts w:cs="Calibri"/>
                <w:color w:val="414042"/>
                <w:sz w:val="18"/>
              </w:rPr>
              <w:t>deferred</w:t>
            </w:r>
            <w:r w:rsidRPr="00CA2CC1">
              <w:rPr>
                <w:rFonts w:cs="Calibri"/>
                <w:color w:val="414042"/>
                <w:spacing w:val="4"/>
                <w:sz w:val="18"/>
              </w:rPr>
              <w:t xml:space="preserve"> </w:t>
            </w:r>
            <w:r w:rsidRPr="00CA2CC1">
              <w:rPr>
                <w:rFonts w:cs="Calibri"/>
                <w:color w:val="414042"/>
                <w:sz w:val="18"/>
              </w:rPr>
              <w:t>lease</w:t>
            </w:r>
            <w:r w:rsidRPr="00CA2CC1">
              <w:rPr>
                <w:rFonts w:cs="Calibri"/>
                <w:color w:val="414042"/>
                <w:spacing w:val="5"/>
                <w:sz w:val="18"/>
              </w:rPr>
              <w:t xml:space="preserve"> </w:t>
            </w:r>
            <w:r w:rsidRPr="00CA2CC1">
              <w:rPr>
                <w:rFonts w:cs="Calibri"/>
                <w:color w:val="414042"/>
                <w:spacing w:val="-2"/>
                <w:sz w:val="18"/>
              </w:rPr>
              <w:t>incentive</w:t>
            </w:r>
          </w:p>
        </w:tc>
        <w:tc>
          <w:tcPr>
            <w:tcW w:w="1502" w:type="dxa"/>
            <w:tcBorders>
              <w:top w:val="single" w:sz="6" w:space="0" w:color="73777A"/>
              <w:left w:val="nil"/>
              <w:bottom w:val="double" w:sz="4" w:space="0" w:color="73777A"/>
              <w:right w:val="single" w:sz="8" w:space="0" w:color="FFFFFF"/>
            </w:tcBorders>
            <w:shd w:val="clear" w:color="auto" w:fill="FFF0E7"/>
            <w:tcMar>
              <w:right w:w="57" w:type="dxa"/>
            </w:tcMar>
          </w:tcPr>
          <w:p w14:paraId="60F7EC66" w14:textId="77777777" w:rsidR="00FA4226" w:rsidRPr="00CA2CC1" w:rsidRDefault="00000000" w:rsidP="0043303B">
            <w:pPr>
              <w:pStyle w:val="TableParagraph"/>
              <w:spacing w:before="8"/>
              <w:rPr>
                <w:rFonts w:cs="Calibri"/>
                <w:sz w:val="18"/>
              </w:rPr>
            </w:pPr>
            <w:r w:rsidRPr="00CA2CC1">
              <w:rPr>
                <w:rFonts w:cs="Calibri"/>
                <w:color w:val="414042"/>
                <w:spacing w:val="-4"/>
                <w:sz w:val="18"/>
              </w:rPr>
              <w:t>4,989</w:t>
            </w:r>
          </w:p>
        </w:tc>
        <w:tc>
          <w:tcPr>
            <w:tcW w:w="1502" w:type="dxa"/>
            <w:tcBorders>
              <w:top w:val="single" w:sz="6" w:space="0" w:color="73777A"/>
              <w:left w:val="single" w:sz="8" w:space="0" w:color="FFFFFF"/>
              <w:bottom w:val="double" w:sz="4" w:space="0" w:color="73777A"/>
              <w:right w:val="nil"/>
            </w:tcBorders>
            <w:shd w:val="clear" w:color="auto" w:fill="EDEFF0"/>
            <w:tcMar>
              <w:right w:w="57" w:type="dxa"/>
            </w:tcMar>
          </w:tcPr>
          <w:p w14:paraId="2234E8F0" w14:textId="77777777" w:rsidR="00FA4226" w:rsidRPr="00CA2CC1" w:rsidRDefault="00000000" w:rsidP="0043303B">
            <w:pPr>
              <w:pStyle w:val="TableParagraph"/>
              <w:spacing w:before="8"/>
              <w:rPr>
                <w:rFonts w:cs="Calibri"/>
                <w:sz w:val="18"/>
              </w:rPr>
            </w:pPr>
            <w:r w:rsidRPr="00CA2CC1">
              <w:rPr>
                <w:rFonts w:cs="Calibri"/>
                <w:color w:val="414042"/>
                <w:spacing w:val="-2"/>
                <w:sz w:val="18"/>
              </w:rPr>
              <w:t>10,978</w:t>
            </w:r>
          </w:p>
        </w:tc>
      </w:tr>
    </w:tbl>
    <w:p w14:paraId="389D0D06" w14:textId="77777777" w:rsidR="00FA4226" w:rsidRPr="00CA2CC1" w:rsidRDefault="00FA4226" w:rsidP="0043303B">
      <w:pPr>
        <w:pStyle w:val="BodyText"/>
        <w:spacing w:before="1"/>
        <w:rPr>
          <w:rFonts w:cs="Calibri"/>
          <w:sz w:val="23"/>
        </w:rPr>
      </w:pPr>
    </w:p>
    <w:p w14:paraId="7C09793D" w14:textId="77777777" w:rsidR="00FA4226" w:rsidRPr="00CA2CC1" w:rsidRDefault="00000000" w:rsidP="0043303B">
      <w:pPr>
        <w:rPr>
          <w:rFonts w:cs="Calibri"/>
          <w:i/>
          <w:sz w:val="16"/>
        </w:rPr>
      </w:pPr>
      <w:r w:rsidRPr="00CA2CC1">
        <w:rPr>
          <w:rFonts w:cs="Calibri"/>
          <w:i/>
          <w:color w:val="414042"/>
          <w:sz w:val="16"/>
        </w:rPr>
        <w:t>(i)</w:t>
      </w:r>
      <w:r w:rsidRPr="00CA2CC1">
        <w:rPr>
          <w:rFonts w:cs="Calibri"/>
          <w:i/>
          <w:color w:val="414042"/>
          <w:spacing w:val="-4"/>
          <w:sz w:val="16"/>
        </w:rPr>
        <w:t xml:space="preserve"> </w:t>
      </w:r>
      <w:r w:rsidRPr="00CA2CC1">
        <w:rPr>
          <w:rFonts w:cs="Calibri"/>
          <w:i/>
          <w:color w:val="414042"/>
          <w:sz w:val="16"/>
        </w:rPr>
        <w:t>The</w:t>
      </w:r>
      <w:r w:rsidRPr="00CA2CC1">
        <w:rPr>
          <w:rFonts w:cs="Calibri"/>
          <w:i/>
          <w:color w:val="414042"/>
          <w:spacing w:val="-4"/>
          <w:sz w:val="16"/>
        </w:rPr>
        <w:t xml:space="preserve"> </w:t>
      </w:r>
      <w:r w:rsidRPr="00CA2CC1">
        <w:rPr>
          <w:rFonts w:cs="Calibri"/>
          <w:i/>
          <w:color w:val="414042"/>
          <w:sz w:val="16"/>
        </w:rPr>
        <w:t>2021-22</w:t>
      </w:r>
      <w:r w:rsidRPr="00CA2CC1">
        <w:rPr>
          <w:rFonts w:cs="Calibri"/>
          <w:i/>
          <w:color w:val="414042"/>
          <w:spacing w:val="-4"/>
          <w:sz w:val="16"/>
        </w:rPr>
        <w:t xml:space="preserve"> </w:t>
      </w:r>
      <w:r w:rsidRPr="00CA2CC1">
        <w:rPr>
          <w:rFonts w:cs="Calibri"/>
          <w:i/>
          <w:color w:val="414042"/>
          <w:sz w:val="16"/>
        </w:rPr>
        <w:t>comparative</w:t>
      </w:r>
      <w:r w:rsidRPr="00CA2CC1">
        <w:rPr>
          <w:rFonts w:cs="Calibri"/>
          <w:i/>
          <w:color w:val="414042"/>
          <w:spacing w:val="-4"/>
          <w:sz w:val="16"/>
        </w:rPr>
        <w:t xml:space="preserve"> </w:t>
      </w:r>
      <w:r w:rsidRPr="00CA2CC1">
        <w:rPr>
          <w:rFonts w:cs="Calibri"/>
          <w:i/>
          <w:color w:val="414042"/>
          <w:sz w:val="16"/>
        </w:rPr>
        <w:t>figures</w:t>
      </w:r>
      <w:r w:rsidRPr="00CA2CC1">
        <w:rPr>
          <w:rFonts w:cs="Calibri"/>
          <w:i/>
          <w:color w:val="414042"/>
          <w:spacing w:val="-4"/>
          <w:sz w:val="16"/>
        </w:rPr>
        <w:t xml:space="preserve"> </w:t>
      </w:r>
      <w:r w:rsidRPr="00CA2CC1">
        <w:rPr>
          <w:rFonts w:cs="Calibri"/>
          <w:i/>
          <w:color w:val="414042"/>
          <w:sz w:val="16"/>
        </w:rPr>
        <w:t>have</w:t>
      </w:r>
      <w:r w:rsidRPr="00CA2CC1">
        <w:rPr>
          <w:rFonts w:cs="Calibri"/>
          <w:i/>
          <w:color w:val="414042"/>
          <w:spacing w:val="-4"/>
          <w:sz w:val="16"/>
        </w:rPr>
        <w:t xml:space="preserve"> </w:t>
      </w:r>
      <w:r w:rsidRPr="00CA2CC1">
        <w:rPr>
          <w:rFonts w:cs="Calibri"/>
          <w:i/>
          <w:color w:val="414042"/>
          <w:sz w:val="16"/>
        </w:rPr>
        <w:t>been</w:t>
      </w:r>
      <w:r w:rsidRPr="00CA2CC1">
        <w:rPr>
          <w:rFonts w:cs="Calibri"/>
          <w:i/>
          <w:color w:val="414042"/>
          <w:spacing w:val="-4"/>
          <w:sz w:val="16"/>
        </w:rPr>
        <w:t xml:space="preserve"> </w:t>
      </w:r>
      <w:r w:rsidRPr="00CA2CC1">
        <w:rPr>
          <w:rFonts w:cs="Calibri"/>
          <w:i/>
          <w:color w:val="414042"/>
          <w:sz w:val="16"/>
        </w:rPr>
        <w:t>adjusted</w:t>
      </w:r>
      <w:r w:rsidRPr="00CA2CC1">
        <w:rPr>
          <w:rFonts w:cs="Calibri"/>
          <w:i/>
          <w:color w:val="414042"/>
          <w:spacing w:val="-4"/>
          <w:sz w:val="16"/>
        </w:rPr>
        <w:t xml:space="preserve"> </w:t>
      </w:r>
      <w:r w:rsidRPr="00CA2CC1">
        <w:rPr>
          <w:rFonts w:cs="Calibri"/>
          <w:i/>
          <w:color w:val="414042"/>
          <w:sz w:val="16"/>
        </w:rPr>
        <w:t>to</w:t>
      </w:r>
      <w:r w:rsidRPr="00CA2CC1">
        <w:rPr>
          <w:rFonts w:cs="Calibri"/>
          <w:i/>
          <w:color w:val="414042"/>
          <w:spacing w:val="-4"/>
          <w:sz w:val="16"/>
        </w:rPr>
        <w:t xml:space="preserve"> </w:t>
      </w:r>
      <w:r w:rsidRPr="00CA2CC1">
        <w:rPr>
          <w:rFonts w:cs="Calibri"/>
          <w:i/>
          <w:color w:val="414042"/>
          <w:sz w:val="16"/>
        </w:rPr>
        <w:t>move a rounding issue between line items.</w:t>
      </w:r>
    </w:p>
    <w:p w14:paraId="127D261A" w14:textId="77777777" w:rsidR="00FA4226" w:rsidRPr="00CA2CC1" w:rsidRDefault="00000000" w:rsidP="0043303B">
      <w:pPr>
        <w:pStyle w:val="BodyText"/>
        <w:spacing w:before="100"/>
        <w:rPr>
          <w:rFonts w:cs="Calibri"/>
        </w:rPr>
      </w:pPr>
      <w:r w:rsidRPr="00CA2CC1">
        <w:rPr>
          <w:rFonts w:cs="Calibri"/>
          <w:color w:val="414042"/>
        </w:rPr>
        <w:t>The</w:t>
      </w:r>
      <w:r w:rsidRPr="00CA2CC1">
        <w:rPr>
          <w:rFonts w:cs="Calibri"/>
          <w:color w:val="414042"/>
          <w:spacing w:val="-8"/>
        </w:rPr>
        <w:t xml:space="preserve"> </w:t>
      </w:r>
      <w:r w:rsidRPr="00CA2CC1">
        <w:rPr>
          <w:rFonts w:cs="Calibri"/>
          <w:color w:val="414042"/>
        </w:rPr>
        <w:t>lease</w:t>
      </w:r>
      <w:r w:rsidRPr="00CA2CC1">
        <w:rPr>
          <w:rFonts w:cs="Calibri"/>
          <w:color w:val="414042"/>
          <w:spacing w:val="-8"/>
        </w:rPr>
        <w:t xml:space="preserve"> </w:t>
      </w:r>
      <w:r w:rsidRPr="00CA2CC1">
        <w:rPr>
          <w:rFonts w:cs="Calibri"/>
          <w:color w:val="414042"/>
        </w:rPr>
        <w:t>incentive</w:t>
      </w:r>
      <w:r w:rsidRPr="00CA2CC1">
        <w:rPr>
          <w:rFonts w:cs="Calibri"/>
          <w:color w:val="414042"/>
          <w:spacing w:val="-8"/>
        </w:rPr>
        <w:t xml:space="preserve"> </w:t>
      </w:r>
      <w:r w:rsidRPr="00CA2CC1">
        <w:rPr>
          <w:rFonts w:cs="Calibri"/>
          <w:color w:val="414042"/>
        </w:rPr>
        <w:t>relates</w:t>
      </w:r>
      <w:r w:rsidRPr="00CA2CC1">
        <w:rPr>
          <w:rFonts w:cs="Calibri"/>
          <w:color w:val="414042"/>
          <w:spacing w:val="-8"/>
        </w:rPr>
        <w:t xml:space="preserve"> </w:t>
      </w:r>
      <w:r w:rsidRPr="00CA2CC1">
        <w:rPr>
          <w:rFonts w:cs="Calibri"/>
          <w:color w:val="414042"/>
        </w:rPr>
        <w:t>to</w:t>
      </w:r>
      <w:r w:rsidRPr="00CA2CC1">
        <w:rPr>
          <w:rFonts w:cs="Calibri"/>
          <w:color w:val="414042"/>
          <w:spacing w:val="-8"/>
        </w:rPr>
        <w:t xml:space="preserve"> </w:t>
      </w:r>
      <w:r w:rsidRPr="00CA2CC1">
        <w:rPr>
          <w:rFonts w:cs="Calibri"/>
          <w:color w:val="414042"/>
        </w:rPr>
        <w:t>Infrastructure</w:t>
      </w:r>
      <w:r w:rsidRPr="00CA2CC1">
        <w:rPr>
          <w:rFonts w:cs="Calibri"/>
          <w:color w:val="414042"/>
          <w:spacing w:val="-8"/>
        </w:rPr>
        <w:t xml:space="preserve"> </w:t>
      </w:r>
      <w:r w:rsidRPr="00CA2CC1">
        <w:rPr>
          <w:rFonts w:cs="Calibri"/>
          <w:color w:val="414042"/>
        </w:rPr>
        <w:t>Victoria’s</w:t>
      </w:r>
      <w:r w:rsidRPr="00CA2CC1">
        <w:rPr>
          <w:rFonts w:cs="Calibri"/>
          <w:color w:val="414042"/>
          <w:spacing w:val="-8"/>
        </w:rPr>
        <w:t xml:space="preserve"> </w:t>
      </w:r>
      <w:r w:rsidRPr="00CA2CC1">
        <w:rPr>
          <w:rFonts w:cs="Calibri"/>
          <w:color w:val="414042"/>
        </w:rPr>
        <w:t>William Street, Melbourne, office facilities. The total lease incentive</w:t>
      </w:r>
      <w:r w:rsidRPr="00CA2CC1">
        <w:rPr>
          <w:rFonts w:cs="Calibri"/>
          <w:color w:val="414042"/>
          <w:spacing w:val="40"/>
        </w:rPr>
        <w:t xml:space="preserve"> </w:t>
      </w:r>
      <w:r w:rsidRPr="00CA2CC1">
        <w:rPr>
          <w:rFonts w:cs="Calibri"/>
          <w:color w:val="414042"/>
        </w:rPr>
        <w:t>is being amortised annually over the term of the lease that expires at the end of April 2024.</w:t>
      </w:r>
    </w:p>
    <w:p w14:paraId="662B808B" w14:textId="77777777" w:rsidR="00FA4226" w:rsidRPr="00CA2CC1" w:rsidRDefault="00FA4226" w:rsidP="0043303B">
      <w:pPr>
        <w:pStyle w:val="BodyText"/>
        <w:spacing w:before="2"/>
        <w:rPr>
          <w:rFonts w:cs="Calibri"/>
          <w:sz w:val="15"/>
        </w:rPr>
      </w:pPr>
    </w:p>
    <w:p w14:paraId="2DEF512E" w14:textId="77777777" w:rsidR="00FA4226" w:rsidRPr="00396443" w:rsidRDefault="00000000" w:rsidP="0043303B">
      <w:pPr>
        <w:pStyle w:val="Heading7"/>
        <w:numPr>
          <w:ilvl w:val="1"/>
          <w:numId w:val="12"/>
        </w:numPr>
        <w:tabs>
          <w:tab w:val="left" w:pos="1466"/>
        </w:tabs>
        <w:ind w:left="0" w:firstLine="0"/>
        <w:rPr>
          <w:rFonts w:cs="Calibri"/>
          <w:color w:val="000000" w:themeColor="text1"/>
        </w:rPr>
      </w:pPr>
      <w:r w:rsidRPr="00396443">
        <w:rPr>
          <w:rFonts w:cs="Calibri"/>
          <w:color w:val="000000" w:themeColor="text1"/>
          <w:spacing w:val="-2"/>
        </w:rPr>
        <w:t>Prepayments</w:t>
      </w:r>
    </w:p>
    <w:p w14:paraId="510A0EC7" w14:textId="77777777" w:rsidR="00FA4226" w:rsidRPr="00CA2CC1" w:rsidRDefault="00FA4226" w:rsidP="0043303B">
      <w:pPr>
        <w:pStyle w:val="BodyText"/>
        <w:spacing w:before="5" w:after="1"/>
        <w:rPr>
          <w:rFonts w:cs="Calibri"/>
          <w:sz w:val="9"/>
        </w:rPr>
      </w:pPr>
    </w:p>
    <w:tbl>
      <w:tblPr>
        <w:tblW w:w="9637" w:type="dxa"/>
        <w:tblBorders>
          <w:top w:val="single" w:sz="4" w:space="0" w:color="C48F1B"/>
          <w:left w:val="single" w:sz="4" w:space="0" w:color="C48F1B"/>
          <w:bottom w:val="single" w:sz="4" w:space="0" w:color="C48F1B"/>
          <w:right w:val="single" w:sz="4" w:space="0" w:color="C48F1B"/>
          <w:insideH w:val="single" w:sz="4" w:space="0" w:color="C48F1B"/>
          <w:insideV w:val="single" w:sz="4" w:space="0" w:color="C48F1B"/>
        </w:tblBorders>
        <w:tblLayout w:type="fixed"/>
        <w:tblCellMar>
          <w:left w:w="0" w:type="dxa"/>
          <w:right w:w="0" w:type="dxa"/>
        </w:tblCellMar>
        <w:tblLook w:val="01E0" w:firstRow="1" w:lastRow="1" w:firstColumn="1" w:lastColumn="1" w:noHBand="0" w:noVBand="0"/>
      </w:tblPr>
      <w:tblGrid>
        <w:gridCol w:w="6633"/>
        <w:gridCol w:w="1502"/>
        <w:gridCol w:w="1502"/>
      </w:tblGrid>
      <w:tr w:rsidR="00FA4226" w:rsidRPr="00CA2CC1" w14:paraId="36577D93" w14:textId="77777777" w:rsidTr="00D22D90">
        <w:trPr>
          <w:trHeight w:val="628"/>
        </w:trPr>
        <w:tc>
          <w:tcPr>
            <w:tcW w:w="6633" w:type="dxa"/>
            <w:tcBorders>
              <w:top w:val="nil"/>
              <w:left w:val="nil"/>
              <w:right w:val="nil"/>
            </w:tcBorders>
          </w:tcPr>
          <w:p w14:paraId="09E5C38F" w14:textId="77777777" w:rsidR="00FA4226" w:rsidRPr="00CA2CC1" w:rsidRDefault="00FA4226" w:rsidP="0043303B">
            <w:pPr>
              <w:pStyle w:val="TableParagraph"/>
              <w:jc w:val="left"/>
              <w:rPr>
                <w:rFonts w:cs="Calibri"/>
                <w:sz w:val="16"/>
              </w:rPr>
            </w:pPr>
          </w:p>
        </w:tc>
        <w:tc>
          <w:tcPr>
            <w:tcW w:w="1502" w:type="dxa"/>
            <w:tcBorders>
              <w:top w:val="nil"/>
              <w:left w:val="nil"/>
              <w:right w:val="single" w:sz="8" w:space="0" w:color="FFFFFF"/>
            </w:tcBorders>
            <w:shd w:val="clear" w:color="auto" w:fill="FFF0E7"/>
            <w:tcMar>
              <w:right w:w="57" w:type="dxa"/>
            </w:tcMar>
          </w:tcPr>
          <w:p w14:paraId="4E8C0191" w14:textId="77777777" w:rsidR="00FA4226" w:rsidRPr="00CA2CC1" w:rsidRDefault="00000000" w:rsidP="0043303B">
            <w:pPr>
              <w:pStyle w:val="TableParagraph"/>
              <w:spacing w:before="123"/>
              <w:rPr>
                <w:rFonts w:cs="Calibri"/>
                <w:sz w:val="17"/>
              </w:rPr>
            </w:pPr>
            <w:r w:rsidRPr="00CA2CC1">
              <w:rPr>
                <w:rFonts w:cs="Calibri"/>
                <w:color w:val="F68C59"/>
                <w:spacing w:val="-4"/>
                <w:sz w:val="17"/>
              </w:rPr>
              <w:t>2023</w:t>
            </w:r>
          </w:p>
          <w:p w14:paraId="6C24EF7D" w14:textId="77777777" w:rsidR="00FA4226" w:rsidRPr="00CA2CC1" w:rsidRDefault="00000000" w:rsidP="0043303B">
            <w:pPr>
              <w:pStyle w:val="TableParagraph"/>
              <w:spacing w:before="1"/>
              <w:rPr>
                <w:rFonts w:cs="Calibri"/>
                <w:sz w:val="17"/>
              </w:rPr>
            </w:pPr>
            <w:r w:rsidRPr="00CA2CC1">
              <w:rPr>
                <w:rFonts w:cs="Calibri"/>
                <w:color w:val="F68C59"/>
                <w:sz w:val="17"/>
              </w:rPr>
              <w:t>$</w:t>
            </w:r>
          </w:p>
        </w:tc>
        <w:tc>
          <w:tcPr>
            <w:tcW w:w="1502" w:type="dxa"/>
            <w:tcBorders>
              <w:top w:val="nil"/>
              <w:left w:val="single" w:sz="8" w:space="0" w:color="FFFFFF"/>
              <w:right w:val="nil"/>
            </w:tcBorders>
            <w:shd w:val="clear" w:color="auto" w:fill="EDEFF0"/>
            <w:tcMar>
              <w:right w:w="57" w:type="dxa"/>
            </w:tcMar>
          </w:tcPr>
          <w:p w14:paraId="60048A1D" w14:textId="77777777" w:rsidR="00FA4226" w:rsidRPr="00CA2CC1" w:rsidRDefault="00000000" w:rsidP="0043303B">
            <w:pPr>
              <w:pStyle w:val="TableParagraph"/>
              <w:spacing w:before="123"/>
              <w:rPr>
                <w:rFonts w:cs="Calibri"/>
                <w:sz w:val="17"/>
              </w:rPr>
            </w:pPr>
            <w:r w:rsidRPr="00CA2CC1">
              <w:rPr>
                <w:rFonts w:cs="Calibri"/>
                <w:color w:val="F68C59"/>
                <w:spacing w:val="-4"/>
                <w:sz w:val="17"/>
              </w:rPr>
              <w:t>2022</w:t>
            </w:r>
          </w:p>
          <w:p w14:paraId="2933768B" w14:textId="77777777" w:rsidR="00FA4226" w:rsidRPr="00CA2CC1" w:rsidRDefault="00000000" w:rsidP="0043303B">
            <w:pPr>
              <w:pStyle w:val="TableParagraph"/>
              <w:spacing w:before="1"/>
              <w:rPr>
                <w:rFonts w:cs="Calibri"/>
                <w:sz w:val="17"/>
              </w:rPr>
            </w:pPr>
            <w:r w:rsidRPr="00CA2CC1">
              <w:rPr>
                <w:rFonts w:cs="Calibri"/>
                <w:color w:val="F68C59"/>
                <w:sz w:val="17"/>
              </w:rPr>
              <w:t>$</w:t>
            </w:r>
          </w:p>
        </w:tc>
      </w:tr>
      <w:tr w:rsidR="00FA4226" w:rsidRPr="00CA2CC1" w14:paraId="633EBF37" w14:textId="77777777" w:rsidTr="00D22D90">
        <w:trPr>
          <w:trHeight w:val="292"/>
        </w:trPr>
        <w:tc>
          <w:tcPr>
            <w:tcW w:w="6633" w:type="dxa"/>
            <w:tcBorders>
              <w:left w:val="nil"/>
              <w:bottom w:val="single" w:sz="2" w:space="0" w:color="73777A"/>
              <w:right w:val="nil"/>
            </w:tcBorders>
          </w:tcPr>
          <w:p w14:paraId="55794A64" w14:textId="77777777" w:rsidR="00FA4226" w:rsidRPr="00CA2CC1" w:rsidRDefault="00000000" w:rsidP="0043303B">
            <w:pPr>
              <w:pStyle w:val="TableParagraph"/>
              <w:spacing w:before="5"/>
              <w:jc w:val="left"/>
              <w:rPr>
                <w:rFonts w:cs="Calibri"/>
                <w:sz w:val="18"/>
              </w:rPr>
            </w:pPr>
            <w:r w:rsidRPr="00CA2CC1">
              <w:rPr>
                <w:rFonts w:cs="Calibri"/>
                <w:color w:val="414042"/>
                <w:sz w:val="18"/>
              </w:rPr>
              <w:t>Information</w:t>
            </w:r>
            <w:r w:rsidRPr="00CA2CC1">
              <w:rPr>
                <w:rFonts w:cs="Calibri"/>
                <w:color w:val="414042"/>
                <w:spacing w:val="5"/>
                <w:sz w:val="18"/>
              </w:rPr>
              <w:t xml:space="preserve"> </w:t>
            </w:r>
            <w:r w:rsidRPr="00CA2CC1">
              <w:rPr>
                <w:rFonts w:cs="Calibri"/>
                <w:color w:val="414042"/>
                <w:sz w:val="18"/>
              </w:rPr>
              <w:t>technology</w:t>
            </w:r>
            <w:r w:rsidRPr="00CA2CC1">
              <w:rPr>
                <w:rFonts w:cs="Calibri"/>
                <w:color w:val="414042"/>
                <w:spacing w:val="8"/>
                <w:sz w:val="18"/>
              </w:rPr>
              <w:t xml:space="preserve"> </w:t>
            </w:r>
            <w:r w:rsidRPr="00CA2CC1">
              <w:rPr>
                <w:rFonts w:cs="Calibri"/>
                <w:color w:val="414042"/>
                <w:spacing w:val="-2"/>
                <w:sz w:val="18"/>
              </w:rPr>
              <w:t>costs</w:t>
            </w:r>
          </w:p>
        </w:tc>
        <w:tc>
          <w:tcPr>
            <w:tcW w:w="1502" w:type="dxa"/>
            <w:tcBorders>
              <w:left w:val="nil"/>
              <w:bottom w:val="single" w:sz="2" w:space="0" w:color="73777A"/>
              <w:right w:val="single" w:sz="8" w:space="0" w:color="FFFFFF"/>
            </w:tcBorders>
            <w:shd w:val="clear" w:color="auto" w:fill="FFF0E7"/>
            <w:tcMar>
              <w:right w:w="57" w:type="dxa"/>
            </w:tcMar>
          </w:tcPr>
          <w:p w14:paraId="2927BDF0" w14:textId="77777777" w:rsidR="00FA4226" w:rsidRPr="00CA2CC1" w:rsidRDefault="00000000" w:rsidP="0043303B">
            <w:pPr>
              <w:pStyle w:val="TableParagraph"/>
              <w:spacing w:before="5"/>
              <w:rPr>
                <w:rFonts w:cs="Calibri"/>
                <w:sz w:val="18"/>
              </w:rPr>
            </w:pPr>
            <w:r w:rsidRPr="00CA2CC1">
              <w:rPr>
                <w:rFonts w:cs="Calibri"/>
                <w:color w:val="414042"/>
                <w:spacing w:val="-2"/>
                <w:sz w:val="18"/>
              </w:rPr>
              <w:t>118,289</w:t>
            </w:r>
          </w:p>
        </w:tc>
        <w:tc>
          <w:tcPr>
            <w:tcW w:w="1502" w:type="dxa"/>
            <w:tcBorders>
              <w:left w:val="single" w:sz="8" w:space="0" w:color="FFFFFF"/>
              <w:bottom w:val="single" w:sz="2" w:space="0" w:color="73777A"/>
              <w:right w:val="nil"/>
            </w:tcBorders>
            <w:shd w:val="clear" w:color="auto" w:fill="EDEFF0"/>
            <w:tcMar>
              <w:right w:w="57" w:type="dxa"/>
            </w:tcMar>
          </w:tcPr>
          <w:p w14:paraId="74AE7155" w14:textId="77777777" w:rsidR="00FA4226" w:rsidRPr="00CA2CC1" w:rsidRDefault="00000000" w:rsidP="0043303B">
            <w:pPr>
              <w:pStyle w:val="TableParagraph"/>
              <w:spacing w:before="5"/>
              <w:rPr>
                <w:rFonts w:cs="Calibri"/>
                <w:sz w:val="18"/>
              </w:rPr>
            </w:pPr>
            <w:r w:rsidRPr="00CA2CC1">
              <w:rPr>
                <w:rFonts w:cs="Calibri"/>
                <w:color w:val="414042"/>
                <w:spacing w:val="-2"/>
                <w:sz w:val="18"/>
              </w:rPr>
              <w:t>29,585</w:t>
            </w:r>
          </w:p>
        </w:tc>
      </w:tr>
      <w:tr w:rsidR="00FA4226" w:rsidRPr="00CA2CC1" w14:paraId="6DEBC056" w14:textId="77777777" w:rsidTr="00D22D90">
        <w:trPr>
          <w:trHeight w:val="295"/>
        </w:trPr>
        <w:tc>
          <w:tcPr>
            <w:tcW w:w="6633" w:type="dxa"/>
            <w:tcBorders>
              <w:top w:val="single" w:sz="2" w:space="0" w:color="73777A"/>
              <w:left w:val="nil"/>
              <w:bottom w:val="single" w:sz="2" w:space="0" w:color="73777A"/>
              <w:right w:val="nil"/>
            </w:tcBorders>
          </w:tcPr>
          <w:p w14:paraId="793A8C0D" w14:textId="77777777" w:rsidR="00FA4226" w:rsidRPr="00CA2CC1" w:rsidRDefault="00000000" w:rsidP="0043303B">
            <w:pPr>
              <w:pStyle w:val="TableParagraph"/>
              <w:spacing w:before="7"/>
              <w:jc w:val="left"/>
              <w:rPr>
                <w:rFonts w:cs="Calibri"/>
                <w:sz w:val="18"/>
              </w:rPr>
            </w:pPr>
            <w:r w:rsidRPr="00CA2CC1">
              <w:rPr>
                <w:rFonts w:cs="Calibri"/>
                <w:color w:val="414042"/>
                <w:sz w:val="18"/>
              </w:rPr>
              <w:t>Membership</w:t>
            </w:r>
            <w:r w:rsidRPr="00CA2CC1">
              <w:rPr>
                <w:rFonts w:cs="Calibri"/>
                <w:color w:val="414042"/>
                <w:spacing w:val="13"/>
                <w:sz w:val="18"/>
              </w:rPr>
              <w:t xml:space="preserve"> </w:t>
            </w:r>
            <w:r w:rsidRPr="00CA2CC1">
              <w:rPr>
                <w:rFonts w:cs="Calibri"/>
                <w:color w:val="414042"/>
                <w:spacing w:val="-2"/>
                <w:sz w:val="18"/>
              </w:rPr>
              <w:t>costs</w:t>
            </w:r>
          </w:p>
        </w:tc>
        <w:tc>
          <w:tcPr>
            <w:tcW w:w="1502" w:type="dxa"/>
            <w:tcBorders>
              <w:top w:val="single" w:sz="2" w:space="0" w:color="73777A"/>
              <w:left w:val="nil"/>
              <w:bottom w:val="single" w:sz="2" w:space="0" w:color="73777A"/>
              <w:right w:val="single" w:sz="8" w:space="0" w:color="FFFFFF"/>
            </w:tcBorders>
            <w:shd w:val="clear" w:color="auto" w:fill="FFF0E7"/>
            <w:tcMar>
              <w:right w:w="57" w:type="dxa"/>
            </w:tcMar>
          </w:tcPr>
          <w:p w14:paraId="561BBE37" w14:textId="77777777" w:rsidR="00FA4226" w:rsidRPr="00CA2CC1" w:rsidRDefault="00000000" w:rsidP="0043303B">
            <w:pPr>
              <w:pStyle w:val="TableParagraph"/>
              <w:spacing w:before="7"/>
              <w:rPr>
                <w:rFonts w:cs="Calibri"/>
                <w:sz w:val="18"/>
              </w:rPr>
            </w:pPr>
            <w:r w:rsidRPr="00CA2CC1">
              <w:rPr>
                <w:rFonts w:cs="Calibri"/>
                <w:color w:val="414042"/>
                <w:spacing w:val="-2"/>
                <w:sz w:val="18"/>
              </w:rPr>
              <w:t>60,294</w:t>
            </w:r>
          </w:p>
        </w:tc>
        <w:tc>
          <w:tcPr>
            <w:tcW w:w="1502" w:type="dxa"/>
            <w:tcBorders>
              <w:top w:val="single" w:sz="2" w:space="0" w:color="73777A"/>
              <w:left w:val="single" w:sz="8" w:space="0" w:color="FFFFFF"/>
              <w:bottom w:val="single" w:sz="2" w:space="0" w:color="73777A"/>
              <w:right w:val="nil"/>
            </w:tcBorders>
            <w:shd w:val="clear" w:color="auto" w:fill="EDEFF0"/>
            <w:tcMar>
              <w:right w:w="57" w:type="dxa"/>
            </w:tcMar>
          </w:tcPr>
          <w:p w14:paraId="015D289D" w14:textId="77777777" w:rsidR="00FA4226" w:rsidRPr="00CA2CC1" w:rsidRDefault="00000000" w:rsidP="0043303B">
            <w:pPr>
              <w:pStyle w:val="TableParagraph"/>
              <w:spacing w:before="7"/>
              <w:rPr>
                <w:rFonts w:cs="Calibri"/>
                <w:sz w:val="18"/>
              </w:rPr>
            </w:pPr>
            <w:r w:rsidRPr="00CA2CC1">
              <w:rPr>
                <w:rFonts w:cs="Calibri"/>
                <w:color w:val="414042"/>
                <w:spacing w:val="-2"/>
                <w:sz w:val="18"/>
              </w:rPr>
              <w:t>80,005</w:t>
            </w:r>
          </w:p>
        </w:tc>
      </w:tr>
      <w:tr w:rsidR="00FA4226" w:rsidRPr="00CA2CC1" w14:paraId="3ACDB438" w14:textId="77777777" w:rsidTr="00D22D90">
        <w:trPr>
          <w:trHeight w:val="290"/>
        </w:trPr>
        <w:tc>
          <w:tcPr>
            <w:tcW w:w="6633" w:type="dxa"/>
            <w:tcBorders>
              <w:top w:val="single" w:sz="2" w:space="0" w:color="73777A"/>
              <w:left w:val="nil"/>
              <w:bottom w:val="single" w:sz="6" w:space="0" w:color="73777A"/>
              <w:right w:val="nil"/>
            </w:tcBorders>
          </w:tcPr>
          <w:p w14:paraId="083E9104" w14:textId="77777777" w:rsidR="00FA4226" w:rsidRPr="00CA2CC1" w:rsidRDefault="00000000" w:rsidP="0043303B">
            <w:pPr>
              <w:pStyle w:val="TableParagraph"/>
              <w:spacing w:before="7"/>
              <w:jc w:val="left"/>
              <w:rPr>
                <w:rFonts w:cs="Calibri"/>
                <w:sz w:val="18"/>
              </w:rPr>
            </w:pPr>
            <w:r w:rsidRPr="00CA2CC1">
              <w:rPr>
                <w:rFonts w:cs="Calibri"/>
                <w:color w:val="414042"/>
                <w:spacing w:val="-2"/>
                <w:sz w:val="18"/>
              </w:rPr>
              <w:t>Other</w:t>
            </w:r>
          </w:p>
        </w:tc>
        <w:tc>
          <w:tcPr>
            <w:tcW w:w="1502" w:type="dxa"/>
            <w:tcBorders>
              <w:top w:val="single" w:sz="2" w:space="0" w:color="73777A"/>
              <w:left w:val="nil"/>
              <w:bottom w:val="single" w:sz="6" w:space="0" w:color="73777A"/>
              <w:right w:val="single" w:sz="8" w:space="0" w:color="FFFFFF"/>
            </w:tcBorders>
            <w:shd w:val="clear" w:color="auto" w:fill="FFF0E7"/>
            <w:tcMar>
              <w:right w:w="57" w:type="dxa"/>
            </w:tcMar>
          </w:tcPr>
          <w:p w14:paraId="634E095D" w14:textId="77777777" w:rsidR="00FA4226" w:rsidRPr="00CA2CC1" w:rsidRDefault="00000000" w:rsidP="0043303B">
            <w:pPr>
              <w:pStyle w:val="TableParagraph"/>
              <w:spacing w:before="7"/>
              <w:rPr>
                <w:rFonts w:cs="Calibri"/>
                <w:sz w:val="18"/>
              </w:rPr>
            </w:pPr>
            <w:r w:rsidRPr="00CA2CC1">
              <w:rPr>
                <w:rFonts w:cs="Calibri"/>
                <w:color w:val="414042"/>
                <w:spacing w:val="-2"/>
                <w:sz w:val="18"/>
              </w:rPr>
              <w:t>24,062</w:t>
            </w:r>
          </w:p>
        </w:tc>
        <w:tc>
          <w:tcPr>
            <w:tcW w:w="1502" w:type="dxa"/>
            <w:tcBorders>
              <w:top w:val="single" w:sz="2" w:space="0" w:color="73777A"/>
              <w:left w:val="single" w:sz="8" w:space="0" w:color="FFFFFF"/>
              <w:bottom w:val="single" w:sz="6" w:space="0" w:color="73777A"/>
              <w:right w:val="nil"/>
            </w:tcBorders>
            <w:shd w:val="clear" w:color="auto" w:fill="EDEFF0"/>
            <w:tcMar>
              <w:right w:w="57" w:type="dxa"/>
            </w:tcMar>
          </w:tcPr>
          <w:p w14:paraId="43CA167E" w14:textId="77777777" w:rsidR="00FA4226" w:rsidRPr="00CA2CC1" w:rsidRDefault="00000000" w:rsidP="0043303B">
            <w:pPr>
              <w:pStyle w:val="TableParagraph"/>
              <w:spacing w:before="7"/>
              <w:rPr>
                <w:rFonts w:cs="Calibri"/>
                <w:sz w:val="18"/>
              </w:rPr>
            </w:pPr>
            <w:r w:rsidRPr="00CA2CC1">
              <w:rPr>
                <w:rFonts w:cs="Calibri"/>
                <w:color w:val="414042"/>
                <w:sz w:val="18"/>
              </w:rPr>
              <w:t>-</w:t>
            </w:r>
          </w:p>
        </w:tc>
      </w:tr>
      <w:tr w:rsidR="00FA4226" w:rsidRPr="00CA2CC1" w14:paraId="44DA7BD8" w14:textId="77777777" w:rsidTr="00D22D90">
        <w:trPr>
          <w:trHeight w:val="258"/>
        </w:trPr>
        <w:tc>
          <w:tcPr>
            <w:tcW w:w="6633" w:type="dxa"/>
            <w:tcBorders>
              <w:top w:val="single" w:sz="6" w:space="0" w:color="73777A"/>
              <w:left w:val="nil"/>
              <w:bottom w:val="double" w:sz="6" w:space="0" w:color="73777A"/>
              <w:right w:val="nil"/>
            </w:tcBorders>
          </w:tcPr>
          <w:p w14:paraId="00879706" w14:textId="77777777" w:rsidR="00FA4226" w:rsidRPr="00CA2CC1" w:rsidRDefault="00000000" w:rsidP="0043303B">
            <w:pPr>
              <w:pStyle w:val="TableParagraph"/>
              <w:jc w:val="left"/>
              <w:rPr>
                <w:rFonts w:cs="Calibri"/>
                <w:sz w:val="18"/>
              </w:rPr>
            </w:pPr>
            <w:r w:rsidRPr="00CA2CC1">
              <w:rPr>
                <w:rFonts w:cs="Calibri"/>
                <w:color w:val="414042"/>
                <w:sz w:val="18"/>
              </w:rPr>
              <w:t>Total</w:t>
            </w:r>
            <w:r w:rsidRPr="00CA2CC1">
              <w:rPr>
                <w:rFonts w:cs="Calibri"/>
                <w:color w:val="414042"/>
                <w:spacing w:val="-9"/>
                <w:sz w:val="18"/>
              </w:rPr>
              <w:t xml:space="preserve"> </w:t>
            </w:r>
            <w:r w:rsidRPr="00CA2CC1">
              <w:rPr>
                <w:rFonts w:cs="Calibri"/>
                <w:color w:val="414042"/>
                <w:spacing w:val="-2"/>
                <w:sz w:val="18"/>
              </w:rPr>
              <w:t>prepayments</w:t>
            </w:r>
          </w:p>
        </w:tc>
        <w:tc>
          <w:tcPr>
            <w:tcW w:w="1502" w:type="dxa"/>
            <w:tcBorders>
              <w:top w:val="single" w:sz="6" w:space="0" w:color="73777A"/>
              <w:left w:val="nil"/>
              <w:bottom w:val="double" w:sz="4" w:space="0" w:color="73777A"/>
              <w:right w:val="single" w:sz="8" w:space="0" w:color="FFFFFF"/>
            </w:tcBorders>
            <w:shd w:val="clear" w:color="auto" w:fill="FFF0E7"/>
            <w:tcMar>
              <w:right w:w="57" w:type="dxa"/>
            </w:tcMar>
          </w:tcPr>
          <w:p w14:paraId="6CB96A03" w14:textId="77777777" w:rsidR="00FA4226" w:rsidRPr="00CA2CC1" w:rsidRDefault="00000000" w:rsidP="0043303B">
            <w:pPr>
              <w:pStyle w:val="TableParagraph"/>
              <w:rPr>
                <w:rFonts w:cs="Calibri"/>
                <w:sz w:val="18"/>
              </w:rPr>
            </w:pPr>
            <w:r w:rsidRPr="00CA2CC1">
              <w:rPr>
                <w:rFonts w:cs="Calibri"/>
                <w:color w:val="414042"/>
                <w:spacing w:val="-2"/>
                <w:sz w:val="18"/>
              </w:rPr>
              <w:t>202,645</w:t>
            </w:r>
          </w:p>
        </w:tc>
        <w:tc>
          <w:tcPr>
            <w:tcW w:w="1502" w:type="dxa"/>
            <w:tcBorders>
              <w:top w:val="single" w:sz="6" w:space="0" w:color="73777A"/>
              <w:left w:val="single" w:sz="8" w:space="0" w:color="FFFFFF"/>
              <w:bottom w:val="double" w:sz="4" w:space="0" w:color="73777A"/>
              <w:right w:val="nil"/>
            </w:tcBorders>
            <w:shd w:val="clear" w:color="auto" w:fill="EDEFF0"/>
            <w:tcMar>
              <w:right w:w="57" w:type="dxa"/>
            </w:tcMar>
          </w:tcPr>
          <w:p w14:paraId="2024F512" w14:textId="77777777" w:rsidR="00FA4226" w:rsidRPr="00CA2CC1" w:rsidRDefault="00000000" w:rsidP="0043303B">
            <w:pPr>
              <w:pStyle w:val="TableParagraph"/>
              <w:rPr>
                <w:rFonts w:cs="Calibri"/>
                <w:sz w:val="18"/>
              </w:rPr>
            </w:pPr>
            <w:r w:rsidRPr="00CA2CC1">
              <w:rPr>
                <w:rFonts w:cs="Calibri"/>
                <w:color w:val="414042"/>
                <w:spacing w:val="-2"/>
                <w:sz w:val="18"/>
              </w:rPr>
              <w:t>109,590</w:t>
            </w:r>
          </w:p>
        </w:tc>
      </w:tr>
    </w:tbl>
    <w:p w14:paraId="0CCDF22D" w14:textId="77777777" w:rsidR="00FA4226" w:rsidRPr="00CA2CC1" w:rsidRDefault="00000000" w:rsidP="0043303B">
      <w:pPr>
        <w:pStyle w:val="BodyText"/>
        <w:spacing w:before="180"/>
        <w:jc w:val="both"/>
        <w:rPr>
          <w:rFonts w:cs="Calibri"/>
        </w:rPr>
      </w:pPr>
      <w:r w:rsidRPr="00CA2CC1">
        <w:rPr>
          <w:rFonts w:cs="Calibri"/>
          <w:color w:val="414042"/>
        </w:rPr>
        <w:t>Prepayments</w:t>
      </w:r>
      <w:r w:rsidRPr="00CA2CC1">
        <w:rPr>
          <w:rFonts w:cs="Calibri"/>
          <w:color w:val="414042"/>
          <w:spacing w:val="-4"/>
        </w:rPr>
        <w:t xml:space="preserve"> </w:t>
      </w:r>
      <w:r w:rsidRPr="00CA2CC1">
        <w:rPr>
          <w:rFonts w:cs="Calibri"/>
          <w:color w:val="414042"/>
        </w:rPr>
        <w:t>represent</w:t>
      </w:r>
      <w:r w:rsidRPr="00CA2CC1">
        <w:rPr>
          <w:rFonts w:cs="Calibri"/>
          <w:color w:val="414042"/>
          <w:spacing w:val="-4"/>
        </w:rPr>
        <w:t xml:space="preserve"> </w:t>
      </w:r>
      <w:r w:rsidRPr="00CA2CC1">
        <w:rPr>
          <w:rFonts w:cs="Calibri"/>
          <w:color w:val="414042"/>
        </w:rPr>
        <w:t>payments</w:t>
      </w:r>
      <w:r w:rsidRPr="00CA2CC1">
        <w:rPr>
          <w:rFonts w:cs="Calibri"/>
          <w:color w:val="414042"/>
          <w:spacing w:val="-4"/>
        </w:rPr>
        <w:t xml:space="preserve"> </w:t>
      </w:r>
      <w:r w:rsidRPr="00CA2CC1">
        <w:rPr>
          <w:rFonts w:cs="Calibri"/>
          <w:color w:val="414042"/>
        </w:rPr>
        <w:t>in</w:t>
      </w:r>
      <w:r w:rsidRPr="00CA2CC1">
        <w:rPr>
          <w:rFonts w:cs="Calibri"/>
          <w:color w:val="414042"/>
          <w:spacing w:val="-4"/>
        </w:rPr>
        <w:t xml:space="preserve"> </w:t>
      </w:r>
      <w:r w:rsidRPr="00CA2CC1">
        <w:rPr>
          <w:rFonts w:cs="Calibri"/>
          <w:color w:val="414042"/>
        </w:rPr>
        <w:t>advance</w:t>
      </w:r>
      <w:r w:rsidRPr="00CA2CC1">
        <w:rPr>
          <w:rFonts w:cs="Calibri"/>
          <w:color w:val="414042"/>
          <w:spacing w:val="-4"/>
        </w:rPr>
        <w:t xml:space="preserve"> </w:t>
      </w:r>
      <w:r w:rsidRPr="00CA2CC1">
        <w:rPr>
          <w:rFonts w:cs="Calibri"/>
          <w:color w:val="414042"/>
        </w:rPr>
        <w:t>for</w:t>
      </w:r>
      <w:r w:rsidRPr="00CA2CC1">
        <w:rPr>
          <w:rFonts w:cs="Calibri"/>
          <w:color w:val="414042"/>
          <w:spacing w:val="-4"/>
        </w:rPr>
        <w:t xml:space="preserve"> </w:t>
      </w:r>
      <w:r w:rsidRPr="00CA2CC1">
        <w:rPr>
          <w:rFonts w:cs="Calibri"/>
          <w:color w:val="414042"/>
        </w:rPr>
        <w:t>receipt</w:t>
      </w:r>
      <w:r w:rsidRPr="00CA2CC1">
        <w:rPr>
          <w:rFonts w:cs="Calibri"/>
          <w:color w:val="414042"/>
          <w:spacing w:val="-4"/>
        </w:rPr>
        <w:t xml:space="preserve"> </w:t>
      </w:r>
      <w:r w:rsidRPr="00CA2CC1">
        <w:rPr>
          <w:rFonts w:cs="Calibri"/>
          <w:color w:val="414042"/>
        </w:rPr>
        <w:t>of goods</w:t>
      </w:r>
      <w:r w:rsidRPr="00CA2CC1">
        <w:rPr>
          <w:rFonts w:cs="Calibri"/>
          <w:color w:val="414042"/>
          <w:spacing w:val="-5"/>
        </w:rPr>
        <w:t xml:space="preserve"> </w:t>
      </w:r>
      <w:r w:rsidRPr="00CA2CC1">
        <w:rPr>
          <w:rFonts w:cs="Calibri"/>
          <w:color w:val="414042"/>
        </w:rPr>
        <w:t>or</w:t>
      </w:r>
      <w:r w:rsidRPr="00CA2CC1">
        <w:rPr>
          <w:rFonts w:cs="Calibri"/>
          <w:color w:val="414042"/>
          <w:spacing w:val="-5"/>
        </w:rPr>
        <w:t xml:space="preserve"> </w:t>
      </w:r>
      <w:r w:rsidRPr="00CA2CC1">
        <w:rPr>
          <w:rFonts w:cs="Calibri"/>
          <w:color w:val="414042"/>
        </w:rPr>
        <w:t>services</w:t>
      </w:r>
      <w:r w:rsidRPr="00CA2CC1">
        <w:rPr>
          <w:rFonts w:cs="Calibri"/>
          <w:color w:val="414042"/>
          <w:spacing w:val="-5"/>
        </w:rPr>
        <w:t xml:space="preserve"> </w:t>
      </w:r>
      <w:r w:rsidRPr="00CA2CC1">
        <w:rPr>
          <w:rFonts w:cs="Calibri"/>
          <w:color w:val="414042"/>
        </w:rPr>
        <w:t>made</w:t>
      </w:r>
      <w:r w:rsidRPr="00CA2CC1">
        <w:rPr>
          <w:rFonts w:cs="Calibri"/>
          <w:color w:val="414042"/>
          <w:spacing w:val="-5"/>
        </w:rPr>
        <w:t xml:space="preserve"> </w:t>
      </w:r>
      <w:r w:rsidRPr="00CA2CC1">
        <w:rPr>
          <w:rFonts w:cs="Calibri"/>
          <w:color w:val="414042"/>
        </w:rPr>
        <w:t>in</w:t>
      </w:r>
      <w:r w:rsidRPr="00CA2CC1">
        <w:rPr>
          <w:rFonts w:cs="Calibri"/>
          <w:color w:val="414042"/>
          <w:spacing w:val="-5"/>
        </w:rPr>
        <w:t xml:space="preserve"> </w:t>
      </w:r>
      <w:r w:rsidRPr="00CA2CC1">
        <w:rPr>
          <w:rFonts w:cs="Calibri"/>
          <w:color w:val="414042"/>
        </w:rPr>
        <w:t>one</w:t>
      </w:r>
      <w:r w:rsidRPr="00CA2CC1">
        <w:rPr>
          <w:rFonts w:cs="Calibri"/>
          <w:color w:val="414042"/>
          <w:spacing w:val="-5"/>
        </w:rPr>
        <w:t xml:space="preserve"> </w:t>
      </w:r>
      <w:r w:rsidRPr="00CA2CC1">
        <w:rPr>
          <w:rFonts w:cs="Calibri"/>
          <w:color w:val="414042"/>
        </w:rPr>
        <w:t>accounting</w:t>
      </w:r>
      <w:r w:rsidRPr="00CA2CC1">
        <w:rPr>
          <w:rFonts w:cs="Calibri"/>
          <w:color w:val="414042"/>
          <w:spacing w:val="-5"/>
        </w:rPr>
        <w:t xml:space="preserve"> </w:t>
      </w:r>
      <w:r w:rsidRPr="00CA2CC1">
        <w:rPr>
          <w:rFonts w:cs="Calibri"/>
          <w:color w:val="414042"/>
        </w:rPr>
        <w:t>period</w:t>
      </w:r>
      <w:r w:rsidRPr="00CA2CC1">
        <w:rPr>
          <w:rFonts w:cs="Calibri"/>
          <w:color w:val="414042"/>
          <w:spacing w:val="-5"/>
        </w:rPr>
        <w:t xml:space="preserve"> </w:t>
      </w:r>
      <w:r w:rsidRPr="00CA2CC1">
        <w:rPr>
          <w:rFonts w:cs="Calibri"/>
          <w:color w:val="414042"/>
        </w:rPr>
        <w:t>covering a term extending beyond that period.</w:t>
      </w:r>
    </w:p>
    <w:p w14:paraId="53D0609E" w14:textId="77777777" w:rsidR="00FA4226" w:rsidRPr="00CA2CC1" w:rsidRDefault="00FA4226" w:rsidP="0043303B">
      <w:pPr>
        <w:pStyle w:val="BodyText"/>
        <w:spacing w:before="2"/>
        <w:rPr>
          <w:rFonts w:cs="Calibri"/>
          <w:sz w:val="15"/>
        </w:rPr>
      </w:pPr>
    </w:p>
    <w:p w14:paraId="7C17770B" w14:textId="77777777" w:rsidR="00FA4226" w:rsidRPr="00396443" w:rsidRDefault="00000000" w:rsidP="0043303B">
      <w:pPr>
        <w:pStyle w:val="Heading7"/>
        <w:numPr>
          <w:ilvl w:val="1"/>
          <w:numId w:val="12"/>
        </w:numPr>
        <w:tabs>
          <w:tab w:val="left" w:pos="1466"/>
        </w:tabs>
        <w:ind w:left="0" w:firstLine="0"/>
        <w:rPr>
          <w:rFonts w:cs="Calibri"/>
          <w:color w:val="000000" w:themeColor="text1"/>
        </w:rPr>
      </w:pPr>
      <w:r w:rsidRPr="00396443">
        <w:rPr>
          <w:rFonts w:cs="Calibri"/>
          <w:color w:val="000000" w:themeColor="text1"/>
        </w:rPr>
        <w:t xml:space="preserve">Other </w:t>
      </w:r>
      <w:r w:rsidRPr="00396443">
        <w:rPr>
          <w:rFonts w:cs="Calibri"/>
          <w:color w:val="000000" w:themeColor="text1"/>
          <w:spacing w:val="-2"/>
        </w:rPr>
        <w:t>provisions</w:t>
      </w:r>
    </w:p>
    <w:p w14:paraId="2B3EE58C" w14:textId="77777777" w:rsidR="00FA4226" w:rsidRPr="00CA2CC1" w:rsidRDefault="00FA4226" w:rsidP="0043303B">
      <w:pPr>
        <w:pStyle w:val="BodyText"/>
        <w:spacing w:before="6"/>
        <w:rPr>
          <w:rFonts w:cs="Calibri"/>
          <w:sz w:val="9"/>
        </w:rPr>
      </w:pPr>
    </w:p>
    <w:tbl>
      <w:tblPr>
        <w:tblW w:w="9637" w:type="dxa"/>
        <w:tblBorders>
          <w:top w:val="single" w:sz="4" w:space="0" w:color="C48F1B"/>
          <w:left w:val="single" w:sz="4" w:space="0" w:color="C48F1B"/>
          <w:bottom w:val="single" w:sz="4" w:space="0" w:color="C48F1B"/>
          <w:right w:val="single" w:sz="4" w:space="0" w:color="C48F1B"/>
          <w:insideH w:val="single" w:sz="4" w:space="0" w:color="C48F1B"/>
          <w:insideV w:val="single" w:sz="4" w:space="0" w:color="C48F1B"/>
        </w:tblBorders>
        <w:tblLayout w:type="fixed"/>
        <w:tblCellMar>
          <w:left w:w="0" w:type="dxa"/>
          <w:right w:w="0" w:type="dxa"/>
        </w:tblCellMar>
        <w:tblLook w:val="01E0" w:firstRow="1" w:lastRow="1" w:firstColumn="1" w:lastColumn="1" w:noHBand="0" w:noVBand="0"/>
      </w:tblPr>
      <w:tblGrid>
        <w:gridCol w:w="6633"/>
        <w:gridCol w:w="1502"/>
        <w:gridCol w:w="1502"/>
      </w:tblGrid>
      <w:tr w:rsidR="00FA4226" w:rsidRPr="00CA2CC1" w14:paraId="4A894217" w14:textId="77777777" w:rsidTr="00D22D90">
        <w:trPr>
          <w:trHeight w:val="555"/>
        </w:trPr>
        <w:tc>
          <w:tcPr>
            <w:tcW w:w="6633" w:type="dxa"/>
            <w:tcBorders>
              <w:top w:val="nil"/>
              <w:left w:val="nil"/>
              <w:right w:val="nil"/>
            </w:tcBorders>
          </w:tcPr>
          <w:p w14:paraId="26F8EBC6" w14:textId="77777777" w:rsidR="00FA4226" w:rsidRPr="00CA2CC1" w:rsidRDefault="00FA4226" w:rsidP="0043303B">
            <w:pPr>
              <w:pStyle w:val="TableParagraph"/>
              <w:jc w:val="left"/>
              <w:rPr>
                <w:rFonts w:cs="Calibri"/>
                <w:sz w:val="16"/>
              </w:rPr>
            </w:pPr>
          </w:p>
        </w:tc>
        <w:tc>
          <w:tcPr>
            <w:tcW w:w="1502" w:type="dxa"/>
            <w:tcBorders>
              <w:top w:val="nil"/>
              <w:left w:val="nil"/>
              <w:right w:val="single" w:sz="8" w:space="0" w:color="FFFFFF"/>
            </w:tcBorders>
            <w:shd w:val="clear" w:color="auto" w:fill="FFF0E7"/>
          </w:tcPr>
          <w:p w14:paraId="3679E272" w14:textId="77777777" w:rsidR="00FA4226" w:rsidRPr="00CA2CC1" w:rsidRDefault="00000000" w:rsidP="0043303B">
            <w:pPr>
              <w:pStyle w:val="TableParagraph"/>
              <w:spacing w:before="50"/>
              <w:rPr>
                <w:rFonts w:cs="Calibri"/>
                <w:sz w:val="17"/>
              </w:rPr>
            </w:pPr>
            <w:r w:rsidRPr="00CA2CC1">
              <w:rPr>
                <w:rFonts w:cs="Calibri"/>
                <w:color w:val="F68C59"/>
                <w:spacing w:val="-4"/>
                <w:sz w:val="17"/>
              </w:rPr>
              <w:t>2023</w:t>
            </w:r>
          </w:p>
          <w:p w14:paraId="7CF10F3E" w14:textId="77777777" w:rsidR="00FA4226" w:rsidRPr="00CA2CC1" w:rsidRDefault="00000000" w:rsidP="0043303B">
            <w:pPr>
              <w:pStyle w:val="TableParagraph"/>
              <w:spacing w:before="1"/>
              <w:rPr>
                <w:rFonts w:cs="Calibri"/>
                <w:sz w:val="17"/>
              </w:rPr>
            </w:pPr>
            <w:r w:rsidRPr="00CA2CC1">
              <w:rPr>
                <w:rFonts w:cs="Calibri"/>
                <w:color w:val="F68C59"/>
                <w:sz w:val="17"/>
              </w:rPr>
              <w:t>$</w:t>
            </w:r>
          </w:p>
        </w:tc>
        <w:tc>
          <w:tcPr>
            <w:tcW w:w="1502" w:type="dxa"/>
            <w:tcBorders>
              <w:top w:val="nil"/>
              <w:left w:val="single" w:sz="8" w:space="0" w:color="FFFFFF"/>
              <w:right w:val="nil"/>
            </w:tcBorders>
            <w:shd w:val="clear" w:color="auto" w:fill="EDEFF0"/>
            <w:tcMar>
              <w:right w:w="57" w:type="dxa"/>
            </w:tcMar>
          </w:tcPr>
          <w:p w14:paraId="46E2C9F0" w14:textId="77777777" w:rsidR="00FA4226" w:rsidRPr="00CA2CC1" w:rsidRDefault="00000000" w:rsidP="0043303B">
            <w:pPr>
              <w:pStyle w:val="TableParagraph"/>
              <w:spacing w:before="50"/>
              <w:rPr>
                <w:rFonts w:cs="Calibri"/>
                <w:sz w:val="17"/>
              </w:rPr>
            </w:pPr>
            <w:r w:rsidRPr="00CA2CC1">
              <w:rPr>
                <w:rFonts w:cs="Calibri"/>
                <w:color w:val="F68C59"/>
                <w:spacing w:val="-4"/>
                <w:sz w:val="17"/>
              </w:rPr>
              <w:t>2022</w:t>
            </w:r>
          </w:p>
          <w:p w14:paraId="0569E52A" w14:textId="77777777" w:rsidR="00FA4226" w:rsidRPr="00CA2CC1" w:rsidRDefault="00000000" w:rsidP="0043303B">
            <w:pPr>
              <w:pStyle w:val="TableParagraph"/>
              <w:spacing w:before="1"/>
              <w:rPr>
                <w:rFonts w:cs="Calibri"/>
                <w:sz w:val="17"/>
              </w:rPr>
            </w:pPr>
            <w:r w:rsidRPr="00CA2CC1">
              <w:rPr>
                <w:rFonts w:cs="Calibri"/>
                <w:color w:val="F68C59"/>
                <w:sz w:val="17"/>
              </w:rPr>
              <w:t>$</w:t>
            </w:r>
          </w:p>
        </w:tc>
      </w:tr>
      <w:tr w:rsidR="00FA4226" w:rsidRPr="00CA2CC1" w14:paraId="79F708A8" w14:textId="77777777" w:rsidTr="00D22D90">
        <w:trPr>
          <w:trHeight w:val="276"/>
        </w:trPr>
        <w:tc>
          <w:tcPr>
            <w:tcW w:w="6633" w:type="dxa"/>
            <w:tcBorders>
              <w:left w:val="nil"/>
              <w:bottom w:val="single" w:sz="6" w:space="0" w:color="73777A"/>
              <w:right w:val="nil"/>
            </w:tcBorders>
          </w:tcPr>
          <w:p w14:paraId="0EB9514A" w14:textId="77777777" w:rsidR="00FA4226" w:rsidRPr="00CA2CC1" w:rsidRDefault="00000000" w:rsidP="0043303B">
            <w:pPr>
              <w:pStyle w:val="TableParagraph"/>
              <w:jc w:val="left"/>
              <w:rPr>
                <w:rFonts w:cs="Calibri"/>
                <w:sz w:val="18"/>
              </w:rPr>
            </w:pPr>
            <w:r w:rsidRPr="00CA2CC1">
              <w:rPr>
                <w:rFonts w:cs="Calibri"/>
                <w:color w:val="414042"/>
                <w:sz w:val="18"/>
              </w:rPr>
              <w:t>Make-good</w:t>
            </w:r>
            <w:r w:rsidRPr="00CA2CC1">
              <w:rPr>
                <w:rFonts w:cs="Calibri"/>
                <w:color w:val="414042"/>
                <w:spacing w:val="10"/>
                <w:sz w:val="18"/>
              </w:rPr>
              <w:t xml:space="preserve"> </w:t>
            </w:r>
            <w:r w:rsidRPr="00CA2CC1">
              <w:rPr>
                <w:rFonts w:cs="Calibri"/>
                <w:color w:val="414042"/>
                <w:spacing w:val="-2"/>
                <w:sz w:val="18"/>
              </w:rPr>
              <w:t>provision</w:t>
            </w:r>
          </w:p>
        </w:tc>
        <w:tc>
          <w:tcPr>
            <w:tcW w:w="1502" w:type="dxa"/>
            <w:tcBorders>
              <w:left w:val="nil"/>
              <w:bottom w:val="single" w:sz="6" w:space="0" w:color="73777A"/>
              <w:right w:val="single" w:sz="8" w:space="0" w:color="FFFFFF"/>
            </w:tcBorders>
            <w:shd w:val="clear" w:color="auto" w:fill="FFF0E7"/>
          </w:tcPr>
          <w:p w14:paraId="76702AB1" w14:textId="77777777" w:rsidR="00FA4226" w:rsidRPr="00CA2CC1" w:rsidRDefault="00000000" w:rsidP="0043303B">
            <w:pPr>
              <w:pStyle w:val="TableParagraph"/>
              <w:rPr>
                <w:rFonts w:cs="Calibri"/>
                <w:sz w:val="18"/>
              </w:rPr>
            </w:pPr>
            <w:r w:rsidRPr="00CA2CC1">
              <w:rPr>
                <w:rFonts w:cs="Calibri"/>
                <w:color w:val="414042"/>
                <w:spacing w:val="-2"/>
                <w:sz w:val="18"/>
              </w:rPr>
              <w:t>98,667</w:t>
            </w:r>
          </w:p>
        </w:tc>
        <w:tc>
          <w:tcPr>
            <w:tcW w:w="1502" w:type="dxa"/>
            <w:tcBorders>
              <w:left w:val="single" w:sz="8" w:space="0" w:color="FFFFFF"/>
              <w:bottom w:val="single" w:sz="6" w:space="0" w:color="73777A"/>
              <w:right w:val="nil"/>
            </w:tcBorders>
            <w:shd w:val="clear" w:color="auto" w:fill="EDEFF0"/>
          </w:tcPr>
          <w:p w14:paraId="4822CBF3" w14:textId="77777777" w:rsidR="00FA4226" w:rsidRPr="00CA2CC1" w:rsidRDefault="00000000" w:rsidP="0043303B">
            <w:pPr>
              <w:pStyle w:val="TableParagraph"/>
              <w:rPr>
                <w:rFonts w:cs="Calibri"/>
                <w:sz w:val="18"/>
              </w:rPr>
            </w:pPr>
            <w:r w:rsidRPr="00CA2CC1">
              <w:rPr>
                <w:rFonts w:cs="Calibri"/>
                <w:color w:val="414042"/>
                <w:spacing w:val="-2"/>
                <w:sz w:val="18"/>
              </w:rPr>
              <w:t>98,667</w:t>
            </w:r>
          </w:p>
        </w:tc>
      </w:tr>
      <w:tr w:rsidR="00FA4226" w:rsidRPr="00CA2CC1" w14:paraId="427D2D7F" w14:textId="77777777" w:rsidTr="00D22D90">
        <w:trPr>
          <w:trHeight w:val="258"/>
        </w:trPr>
        <w:tc>
          <w:tcPr>
            <w:tcW w:w="6633" w:type="dxa"/>
            <w:tcBorders>
              <w:top w:val="single" w:sz="6" w:space="0" w:color="73777A"/>
              <w:left w:val="nil"/>
              <w:bottom w:val="double" w:sz="6" w:space="0" w:color="73777A"/>
              <w:right w:val="nil"/>
            </w:tcBorders>
          </w:tcPr>
          <w:p w14:paraId="15141E01" w14:textId="77777777" w:rsidR="00FA4226" w:rsidRPr="00CA2CC1" w:rsidRDefault="00000000" w:rsidP="0043303B">
            <w:pPr>
              <w:pStyle w:val="TableParagraph"/>
              <w:jc w:val="left"/>
              <w:rPr>
                <w:rFonts w:cs="Calibri"/>
                <w:sz w:val="18"/>
              </w:rPr>
            </w:pPr>
            <w:r w:rsidRPr="00CA2CC1">
              <w:rPr>
                <w:rFonts w:cs="Calibri"/>
                <w:color w:val="414042"/>
                <w:sz w:val="18"/>
              </w:rPr>
              <w:t>Total</w:t>
            </w:r>
            <w:r w:rsidRPr="00CA2CC1">
              <w:rPr>
                <w:rFonts w:cs="Calibri"/>
                <w:color w:val="414042"/>
                <w:spacing w:val="-1"/>
                <w:sz w:val="18"/>
              </w:rPr>
              <w:t xml:space="preserve"> </w:t>
            </w:r>
            <w:r w:rsidRPr="00CA2CC1">
              <w:rPr>
                <w:rFonts w:cs="Calibri"/>
                <w:color w:val="414042"/>
                <w:sz w:val="18"/>
              </w:rPr>
              <w:t>other</w:t>
            </w:r>
            <w:r w:rsidRPr="00CA2CC1">
              <w:rPr>
                <w:rFonts w:cs="Calibri"/>
                <w:color w:val="414042"/>
                <w:spacing w:val="-1"/>
                <w:sz w:val="18"/>
              </w:rPr>
              <w:t xml:space="preserve"> </w:t>
            </w:r>
            <w:r w:rsidRPr="00CA2CC1">
              <w:rPr>
                <w:rFonts w:cs="Calibri"/>
                <w:color w:val="414042"/>
                <w:spacing w:val="-2"/>
                <w:sz w:val="18"/>
              </w:rPr>
              <w:t>provisions</w:t>
            </w:r>
          </w:p>
        </w:tc>
        <w:tc>
          <w:tcPr>
            <w:tcW w:w="1502" w:type="dxa"/>
            <w:tcBorders>
              <w:top w:val="single" w:sz="6" w:space="0" w:color="73777A"/>
              <w:left w:val="nil"/>
              <w:bottom w:val="double" w:sz="4" w:space="0" w:color="73777A"/>
              <w:right w:val="single" w:sz="8" w:space="0" w:color="FFFFFF"/>
            </w:tcBorders>
            <w:shd w:val="clear" w:color="auto" w:fill="FFF0E7"/>
          </w:tcPr>
          <w:p w14:paraId="3FCFC157" w14:textId="77777777" w:rsidR="00FA4226" w:rsidRPr="00CA2CC1" w:rsidRDefault="00000000" w:rsidP="0043303B">
            <w:pPr>
              <w:pStyle w:val="TableParagraph"/>
              <w:rPr>
                <w:rFonts w:cs="Calibri"/>
                <w:sz w:val="18"/>
              </w:rPr>
            </w:pPr>
            <w:r w:rsidRPr="00CA2CC1">
              <w:rPr>
                <w:rFonts w:cs="Calibri"/>
                <w:color w:val="414042"/>
                <w:spacing w:val="-2"/>
                <w:sz w:val="18"/>
              </w:rPr>
              <w:t>98,667</w:t>
            </w:r>
          </w:p>
        </w:tc>
        <w:tc>
          <w:tcPr>
            <w:tcW w:w="1502" w:type="dxa"/>
            <w:tcBorders>
              <w:top w:val="single" w:sz="6" w:space="0" w:color="73777A"/>
              <w:left w:val="single" w:sz="8" w:space="0" w:color="FFFFFF"/>
              <w:bottom w:val="double" w:sz="4" w:space="0" w:color="73777A"/>
              <w:right w:val="nil"/>
            </w:tcBorders>
            <w:shd w:val="clear" w:color="auto" w:fill="EDEFF0"/>
          </w:tcPr>
          <w:p w14:paraId="2038EA31" w14:textId="77777777" w:rsidR="00FA4226" w:rsidRPr="00CA2CC1" w:rsidRDefault="00000000" w:rsidP="0043303B">
            <w:pPr>
              <w:pStyle w:val="TableParagraph"/>
              <w:rPr>
                <w:rFonts w:cs="Calibri"/>
                <w:sz w:val="18"/>
              </w:rPr>
            </w:pPr>
            <w:r w:rsidRPr="00CA2CC1">
              <w:rPr>
                <w:rFonts w:cs="Calibri"/>
                <w:color w:val="414042"/>
                <w:spacing w:val="-2"/>
                <w:sz w:val="18"/>
              </w:rPr>
              <w:t>98,667</w:t>
            </w:r>
          </w:p>
        </w:tc>
      </w:tr>
    </w:tbl>
    <w:p w14:paraId="6210419A" w14:textId="7DEFEA67" w:rsidR="00FA4226" w:rsidRPr="00CA2CC1" w:rsidRDefault="00000000" w:rsidP="0043303B">
      <w:pPr>
        <w:pStyle w:val="BodyText"/>
        <w:spacing w:before="144"/>
        <w:rPr>
          <w:rFonts w:cs="Calibri"/>
        </w:rPr>
      </w:pPr>
      <w:r w:rsidRPr="00CA2CC1">
        <w:rPr>
          <w:rFonts w:cs="Calibri"/>
          <w:color w:val="414042"/>
        </w:rPr>
        <w:t>The make-good provision is recognised in accordance with the</w:t>
      </w:r>
      <w:r w:rsidRPr="00CA2CC1">
        <w:rPr>
          <w:rFonts w:cs="Calibri"/>
          <w:color w:val="414042"/>
          <w:spacing w:val="-6"/>
        </w:rPr>
        <w:t xml:space="preserve"> </w:t>
      </w:r>
      <w:r w:rsidRPr="00CA2CC1">
        <w:rPr>
          <w:rFonts w:cs="Calibri"/>
          <w:color w:val="414042"/>
        </w:rPr>
        <w:t>agreement</w:t>
      </w:r>
      <w:r w:rsidRPr="00CA2CC1">
        <w:rPr>
          <w:rFonts w:cs="Calibri"/>
          <w:color w:val="414042"/>
          <w:spacing w:val="-6"/>
        </w:rPr>
        <w:t xml:space="preserve"> </w:t>
      </w:r>
      <w:r w:rsidRPr="00CA2CC1">
        <w:rPr>
          <w:rFonts w:cs="Calibri"/>
          <w:color w:val="414042"/>
        </w:rPr>
        <w:t>over</w:t>
      </w:r>
      <w:r w:rsidRPr="00CA2CC1">
        <w:rPr>
          <w:rFonts w:cs="Calibri"/>
          <w:color w:val="414042"/>
          <w:spacing w:val="-6"/>
        </w:rPr>
        <w:t xml:space="preserve"> </w:t>
      </w:r>
      <w:r w:rsidRPr="00CA2CC1">
        <w:rPr>
          <w:rFonts w:cs="Calibri"/>
          <w:color w:val="414042"/>
        </w:rPr>
        <w:t>the</w:t>
      </w:r>
      <w:r w:rsidRPr="00CA2CC1">
        <w:rPr>
          <w:rFonts w:cs="Calibri"/>
          <w:color w:val="414042"/>
          <w:spacing w:val="-6"/>
        </w:rPr>
        <w:t xml:space="preserve"> </w:t>
      </w:r>
      <w:r w:rsidRPr="00CA2CC1">
        <w:rPr>
          <w:rFonts w:cs="Calibri"/>
          <w:color w:val="414042"/>
        </w:rPr>
        <w:t>leased</w:t>
      </w:r>
      <w:r w:rsidRPr="00CA2CC1">
        <w:rPr>
          <w:rFonts w:cs="Calibri"/>
          <w:color w:val="414042"/>
          <w:spacing w:val="-6"/>
        </w:rPr>
        <w:t xml:space="preserve"> </w:t>
      </w:r>
      <w:r w:rsidRPr="00CA2CC1">
        <w:rPr>
          <w:rFonts w:cs="Calibri"/>
          <w:color w:val="414042"/>
        </w:rPr>
        <w:t>premises</w:t>
      </w:r>
      <w:r w:rsidRPr="00CA2CC1">
        <w:rPr>
          <w:rFonts w:cs="Calibri"/>
          <w:color w:val="414042"/>
          <w:spacing w:val="-6"/>
        </w:rPr>
        <w:t xml:space="preserve"> </w:t>
      </w:r>
      <w:r w:rsidRPr="00CA2CC1">
        <w:rPr>
          <w:rFonts w:cs="Calibri"/>
          <w:color w:val="414042"/>
        </w:rPr>
        <w:t>when</w:t>
      </w:r>
      <w:r w:rsidRPr="00CA2CC1">
        <w:rPr>
          <w:rFonts w:cs="Calibri"/>
          <w:color w:val="414042"/>
          <w:spacing w:val="-6"/>
        </w:rPr>
        <w:t xml:space="preserve"> </w:t>
      </w:r>
      <w:r w:rsidRPr="00CA2CC1">
        <w:rPr>
          <w:rFonts w:cs="Calibri"/>
          <w:color w:val="414042"/>
        </w:rPr>
        <w:t>Infrastructure Victoria is required to remove any leasehold improvements from the leased premises and restore the premises to</w:t>
      </w:r>
      <w:r w:rsidR="0063184A" w:rsidRPr="00CA2CC1">
        <w:rPr>
          <w:rFonts w:cs="Calibri"/>
        </w:rPr>
        <w:t xml:space="preserve"> </w:t>
      </w:r>
      <w:r w:rsidRPr="00CA2CC1">
        <w:rPr>
          <w:rFonts w:cs="Calibri"/>
          <w:color w:val="414042"/>
        </w:rPr>
        <w:t>its original condition at the end of the lease term. The amount</w:t>
      </w:r>
      <w:r w:rsidRPr="00CA2CC1">
        <w:rPr>
          <w:rFonts w:cs="Calibri"/>
          <w:color w:val="414042"/>
          <w:spacing w:val="-5"/>
        </w:rPr>
        <w:t xml:space="preserve"> </w:t>
      </w:r>
      <w:r w:rsidRPr="00CA2CC1">
        <w:rPr>
          <w:rFonts w:cs="Calibri"/>
          <w:color w:val="414042"/>
        </w:rPr>
        <w:t>recognised</w:t>
      </w:r>
      <w:r w:rsidRPr="00CA2CC1">
        <w:rPr>
          <w:rFonts w:cs="Calibri"/>
          <w:color w:val="414042"/>
          <w:spacing w:val="-5"/>
        </w:rPr>
        <w:t xml:space="preserve"> </w:t>
      </w:r>
      <w:r w:rsidRPr="00CA2CC1">
        <w:rPr>
          <w:rFonts w:cs="Calibri"/>
          <w:color w:val="414042"/>
        </w:rPr>
        <w:t>as</w:t>
      </w:r>
      <w:r w:rsidRPr="00CA2CC1">
        <w:rPr>
          <w:rFonts w:cs="Calibri"/>
          <w:color w:val="414042"/>
          <w:spacing w:val="-5"/>
        </w:rPr>
        <w:t xml:space="preserve"> </w:t>
      </w:r>
      <w:r w:rsidRPr="00CA2CC1">
        <w:rPr>
          <w:rFonts w:cs="Calibri"/>
          <w:color w:val="414042"/>
        </w:rPr>
        <w:t>a</w:t>
      </w:r>
      <w:r w:rsidRPr="00CA2CC1">
        <w:rPr>
          <w:rFonts w:cs="Calibri"/>
          <w:color w:val="414042"/>
          <w:spacing w:val="-5"/>
        </w:rPr>
        <w:t xml:space="preserve"> </w:t>
      </w:r>
      <w:r w:rsidRPr="00CA2CC1">
        <w:rPr>
          <w:rFonts w:cs="Calibri"/>
          <w:color w:val="414042"/>
        </w:rPr>
        <w:t>provision</w:t>
      </w:r>
      <w:r w:rsidRPr="00CA2CC1">
        <w:rPr>
          <w:rFonts w:cs="Calibri"/>
          <w:color w:val="414042"/>
          <w:spacing w:val="-5"/>
        </w:rPr>
        <w:t xml:space="preserve"> </w:t>
      </w:r>
      <w:r w:rsidRPr="00CA2CC1">
        <w:rPr>
          <w:rFonts w:cs="Calibri"/>
          <w:color w:val="414042"/>
        </w:rPr>
        <w:t>is</w:t>
      </w:r>
      <w:r w:rsidRPr="00CA2CC1">
        <w:rPr>
          <w:rFonts w:cs="Calibri"/>
          <w:color w:val="414042"/>
          <w:spacing w:val="-5"/>
        </w:rPr>
        <w:t xml:space="preserve"> </w:t>
      </w:r>
      <w:r w:rsidRPr="00CA2CC1">
        <w:rPr>
          <w:rFonts w:cs="Calibri"/>
          <w:color w:val="414042"/>
        </w:rPr>
        <w:t>the</w:t>
      </w:r>
      <w:r w:rsidRPr="00CA2CC1">
        <w:rPr>
          <w:rFonts w:cs="Calibri"/>
          <w:color w:val="414042"/>
          <w:spacing w:val="-5"/>
        </w:rPr>
        <w:t xml:space="preserve"> </w:t>
      </w:r>
      <w:r w:rsidRPr="00CA2CC1">
        <w:rPr>
          <w:rFonts w:cs="Calibri"/>
          <w:color w:val="414042"/>
        </w:rPr>
        <w:t>best</w:t>
      </w:r>
      <w:r w:rsidRPr="00CA2CC1">
        <w:rPr>
          <w:rFonts w:cs="Calibri"/>
          <w:color w:val="414042"/>
          <w:spacing w:val="-5"/>
        </w:rPr>
        <w:t xml:space="preserve"> </w:t>
      </w:r>
      <w:r w:rsidRPr="00CA2CC1">
        <w:rPr>
          <w:rFonts w:cs="Calibri"/>
          <w:color w:val="414042"/>
        </w:rPr>
        <w:t>estimate</w:t>
      </w:r>
      <w:r w:rsidRPr="00CA2CC1">
        <w:rPr>
          <w:rFonts w:cs="Calibri"/>
          <w:color w:val="414042"/>
          <w:spacing w:val="-5"/>
        </w:rPr>
        <w:t xml:space="preserve"> </w:t>
      </w:r>
      <w:r w:rsidRPr="00CA2CC1">
        <w:rPr>
          <w:rFonts w:cs="Calibri"/>
          <w:color w:val="414042"/>
        </w:rPr>
        <w:t>of the consideration required to settle the obligation, after considering the risks and uncertainties surrounding the restoration costs.</w:t>
      </w:r>
    </w:p>
    <w:p w14:paraId="24B1AD2E" w14:textId="77777777" w:rsidR="00FA4226" w:rsidRPr="00CA2CC1" w:rsidRDefault="00FA4226" w:rsidP="0043303B">
      <w:pPr>
        <w:pStyle w:val="BodyText"/>
        <w:rPr>
          <w:rFonts w:cs="Calibri"/>
          <w:sz w:val="20"/>
        </w:rPr>
      </w:pPr>
    </w:p>
    <w:p w14:paraId="4F4D7755" w14:textId="77777777" w:rsidR="00FA4226" w:rsidRPr="00CA2CC1" w:rsidRDefault="00FA4226" w:rsidP="0043303B">
      <w:pPr>
        <w:pStyle w:val="BodyText"/>
        <w:rPr>
          <w:rFonts w:cs="Calibri"/>
          <w:sz w:val="20"/>
        </w:rPr>
      </w:pPr>
    </w:p>
    <w:p w14:paraId="69E7C581" w14:textId="77777777" w:rsidR="00FA4226" w:rsidRPr="00CA2CC1" w:rsidRDefault="00FA4226" w:rsidP="0043303B">
      <w:pPr>
        <w:pStyle w:val="BodyText"/>
        <w:rPr>
          <w:rFonts w:cs="Calibri"/>
          <w:sz w:val="20"/>
        </w:rPr>
      </w:pPr>
    </w:p>
    <w:p w14:paraId="7B90C698" w14:textId="77777777" w:rsidR="00FA4226" w:rsidRPr="00CA2CC1" w:rsidRDefault="00FA4226" w:rsidP="0043303B">
      <w:pPr>
        <w:pStyle w:val="BodyText"/>
        <w:rPr>
          <w:rFonts w:cs="Calibri"/>
          <w:sz w:val="20"/>
        </w:rPr>
      </w:pPr>
    </w:p>
    <w:p w14:paraId="7C1FA229" w14:textId="77777777" w:rsidR="00FA4226" w:rsidRPr="00CA2CC1" w:rsidRDefault="00FA4226" w:rsidP="0043303B">
      <w:pPr>
        <w:pStyle w:val="BodyText"/>
        <w:rPr>
          <w:rFonts w:cs="Calibri"/>
          <w:sz w:val="20"/>
        </w:rPr>
      </w:pPr>
    </w:p>
    <w:p w14:paraId="649D0324" w14:textId="77777777" w:rsidR="00FA4226" w:rsidRPr="00CA2CC1" w:rsidRDefault="00FA4226" w:rsidP="0043303B">
      <w:pPr>
        <w:pStyle w:val="BodyText"/>
        <w:rPr>
          <w:rFonts w:cs="Calibri"/>
          <w:sz w:val="20"/>
        </w:rPr>
      </w:pPr>
    </w:p>
    <w:p w14:paraId="768E6CD8" w14:textId="77777777" w:rsidR="00FA4226" w:rsidRPr="00CA2CC1" w:rsidRDefault="00FA4226" w:rsidP="0043303B">
      <w:pPr>
        <w:pStyle w:val="BodyText"/>
        <w:rPr>
          <w:rFonts w:cs="Calibri"/>
          <w:sz w:val="20"/>
        </w:rPr>
      </w:pPr>
    </w:p>
    <w:p w14:paraId="50F28278" w14:textId="77777777" w:rsidR="00FA4226" w:rsidRPr="00CA2CC1" w:rsidRDefault="00FA4226" w:rsidP="0043303B">
      <w:pPr>
        <w:pStyle w:val="BodyText"/>
        <w:rPr>
          <w:rFonts w:cs="Calibri"/>
          <w:sz w:val="20"/>
        </w:rPr>
      </w:pPr>
    </w:p>
    <w:p w14:paraId="028413EF" w14:textId="77777777" w:rsidR="00FA4226" w:rsidRPr="00CA2CC1" w:rsidRDefault="00FA4226" w:rsidP="0043303B">
      <w:pPr>
        <w:pStyle w:val="BodyText"/>
        <w:spacing w:before="3"/>
        <w:rPr>
          <w:rFonts w:cs="Calibri"/>
        </w:rPr>
      </w:pPr>
    </w:p>
    <w:p w14:paraId="1FFD5F3D" w14:textId="77777777" w:rsidR="00FA4226" w:rsidRPr="00CA2CC1" w:rsidRDefault="00000000" w:rsidP="0043303B">
      <w:pPr>
        <w:spacing w:before="68"/>
        <w:jc w:val="right"/>
        <w:rPr>
          <w:rFonts w:cs="Calibri"/>
          <w:sz w:val="16"/>
        </w:rPr>
      </w:pPr>
      <w:r w:rsidRPr="00CA2CC1">
        <w:rPr>
          <w:rFonts w:cs="Calibri"/>
          <w:color w:val="73777A"/>
          <w:spacing w:val="-5"/>
          <w:sz w:val="16"/>
        </w:rPr>
        <w:t>113</w:t>
      </w:r>
    </w:p>
    <w:p w14:paraId="563B6F78" w14:textId="77777777" w:rsidR="00FA4226" w:rsidRPr="00CA2CC1" w:rsidRDefault="00FA4226" w:rsidP="0043303B">
      <w:pPr>
        <w:jc w:val="right"/>
        <w:rPr>
          <w:rFonts w:cs="Calibri"/>
          <w:sz w:val="16"/>
        </w:rPr>
        <w:sectPr w:rsidR="00FA4226" w:rsidRPr="00CA2CC1" w:rsidSect="00E941A5">
          <w:pgSz w:w="11910" w:h="16840"/>
          <w:pgMar w:top="1134" w:right="1278" w:bottom="1134" w:left="1134" w:header="720" w:footer="720" w:gutter="0"/>
          <w:cols w:space="720"/>
        </w:sectPr>
      </w:pPr>
    </w:p>
    <w:p w14:paraId="413023F0" w14:textId="77BDD3A5" w:rsidR="009011FA" w:rsidRPr="00CA2CC1" w:rsidRDefault="009011FA" w:rsidP="0043303B">
      <w:pPr>
        <w:rPr>
          <w:rFonts w:cs="Calibri"/>
          <w:color w:val="000000" w:themeColor="text1"/>
          <w:szCs w:val="18"/>
        </w:rPr>
      </w:pPr>
      <w:r w:rsidRPr="00CA2CC1">
        <w:rPr>
          <w:rFonts w:cs="Calibri"/>
        </w:rPr>
        <w:br w:type="page"/>
      </w:r>
    </w:p>
    <w:p w14:paraId="6EDF83C1" w14:textId="77777777" w:rsidR="00FA4226" w:rsidRPr="00396443" w:rsidRDefault="00000000" w:rsidP="0043303B">
      <w:pPr>
        <w:pStyle w:val="Heading3"/>
        <w:numPr>
          <w:ilvl w:val="0"/>
          <w:numId w:val="15"/>
        </w:numPr>
        <w:spacing w:before="36"/>
        <w:ind w:left="0" w:firstLine="0"/>
        <w:rPr>
          <w:rFonts w:cs="Calibri"/>
          <w:color w:val="000000" w:themeColor="text1"/>
        </w:rPr>
      </w:pPr>
      <w:bookmarkStart w:id="128" w:name="_bookmark76"/>
      <w:bookmarkEnd w:id="128"/>
      <w:r w:rsidRPr="00396443">
        <w:rPr>
          <w:rFonts w:cs="Calibri"/>
          <w:color w:val="000000" w:themeColor="text1"/>
        </w:rPr>
        <w:t xml:space="preserve">Financing our </w:t>
      </w:r>
      <w:r w:rsidRPr="00396443">
        <w:rPr>
          <w:rFonts w:cs="Calibri"/>
          <w:color w:val="000000" w:themeColor="text1"/>
          <w:spacing w:val="-2"/>
        </w:rPr>
        <w:t>operations</w:t>
      </w:r>
    </w:p>
    <w:p w14:paraId="1583BD67" w14:textId="4C576B2A" w:rsidR="00205660" w:rsidRPr="00CA2CC1" w:rsidRDefault="00205660" w:rsidP="0043303B">
      <w:pPr>
        <w:pStyle w:val="BodyText"/>
        <w:rPr>
          <w:rFonts w:cs="Calibri"/>
        </w:rPr>
      </w:pPr>
      <w:r w:rsidRPr="00CA2CC1">
        <w:rPr>
          <w:rFonts w:cs="Calibri"/>
        </w:rPr>
        <w:t>Introduction</w:t>
      </w:r>
    </w:p>
    <w:p w14:paraId="4A7B7205" w14:textId="057285CD" w:rsidR="00FA4226" w:rsidRPr="00CA2CC1" w:rsidRDefault="00000000" w:rsidP="0043303B">
      <w:pPr>
        <w:pStyle w:val="BodyText"/>
        <w:spacing w:before="87"/>
        <w:rPr>
          <w:rFonts w:cs="Calibri"/>
          <w:color w:val="414042"/>
        </w:rPr>
      </w:pPr>
      <w:r w:rsidRPr="00CA2CC1">
        <w:rPr>
          <w:rFonts w:cs="Calibri"/>
          <w:color w:val="414042"/>
        </w:rPr>
        <w:t>This section provides information on the sources of finance utilised for Infrastructure Victoria’s operations, along with interest expenses (the cost of borrowings) and other information related to financing activities of Infrastructure Victoria.</w:t>
      </w:r>
    </w:p>
    <w:p w14:paraId="79C8BDFB" w14:textId="31AAEBDB" w:rsidR="0003652D" w:rsidRPr="00CA2CC1" w:rsidRDefault="00205660" w:rsidP="0043303B">
      <w:pPr>
        <w:pStyle w:val="BodyText"/>
        <w:spacing w:before="87"/>
        <w:rPr>
          <w:rFonts w:cs="Calibri"/>
          <w:color w:val="414042"/>
          <w:szCs w:val="22"/>
        </w:rPr>
      </w:pPr>
      <w:r w:rsidRPr="00CA2CC1">
        <w:rPr>
          <w:rFonts w:cs="Calibri"/>
          <w:color w:val="414042"/>
          <w:szCs w:val="22"/>
        </w:rPr>
        <w:t>Structure</w:t>
      </w:r>
    </w:p>
    <w:p w14:paraId="706265AF" w14:textId="77777777" w:rsidR="0003652D" w:rsidRPr="00CA2CC1" w:rsidRDefault="0003652D" w:rsidP="0043303B">
      <w:pPr>
        <w:pStyle w:val="ListParagraph"/>
        <w:numPr>
          <w:ilvl w:val="1"/>
          <w:numId w:val="15"/>
        </w:numPr>
        <w:tabs>
          <w:tab w:val="left" w:pos="875"/>
        </w:tabs>
        <w:spacing w:before="64"/>
        <w:ind w:left="0" w:firstLine="0"/>
        <w:rPr>
          <w:rFonts w:cs="Calibri"/>
          <w:szCs w:val="22"/>
        </w:rPr>
      </w:pPr>
      <w:r w:rsidRPr="00CA2CC1">
        <w:rPr>
          <w:rFonts w:cs="Calibri"/>
          <w:color w:val="414042"/>
          <w:spacing w:val="-2"/>
          <w:szCs w:val="22"/>
        </w:rPr>
        <w:t>Borrowings</w:t>
      </w:r>
    </w:p>
    <w:p w14:paraId="09E3E323" w14:textId="77777777" w:rsidR="0003652D" w:rsidRPr="00CA2CC1" w:rsidRDefault="0003652D" w:rsidP="0043303B">
      <w:pPr>
        <w:pStyle w:val="ListParagraph"/>
        <w:numPr>
          <w:ilvl w:val="1"/>
          <w:numId w:val="15"/>
        </w:numPr>
        <w:tabs>
          <w:tab w:val="left" w:pos="895"/>
        </w:tabs>
        <w:spacing w:before="108"/>
        <w:ind w:left="0" w:firstLine="0"/>
        <w:rPr>
          <w:rFonts w:cs="Calibri"/>
          <w:szCs w:val="22"/>
        </w:rPr>
      </w:pPr>
      <w:r w:rsidRPr="00CA2CC1">
        <w:rPr>
          <w:rFonts w:cs="Calibri"/>
          <w:color w:val="414042"/>
          <w:szCs w:val="22"/>
        </w:rPr>
        <w:t>Reconciliation of the net result for the period to cash flow from operating activities</w:t>
      </w:r>
    </w:p>
    <w:p w14:paraId="3F77C236" w14:textId="138536AF" w:rsidR="0003652D" w:rsidRPr="00CA2CC1" w:rsidRDefault="0003652D" w:rsidP="0043303B">
      <w:pPr>
        <w:pStyle w:val="ListParagraph"/>
        <w:numPr>
          <w:ilvl w:val="1"/>
          <w:numId w:val="15"/>
        </w:numPr>
        <w:tabs>
          <w:tab w:val="left" w:pos="893"/>
        </w:tabs>
        <w:spacing w:before="88"/>
        <w:ind w:left="0" w:firstLine="0"/>
        <w:rPr>
          <w:rFonts w:cs="Calibri"/>
          <w:szCs w:val="22"/>
        </w:rPr>
      </w:pPr>
      <w:r w:rsidRPr="00CA2CC1">
        <w:rPr>
          <w:rFonts w:cs="Calibri"/>
          <w:color w:val="414042"/>
          <w:szCs w:val="22"/>
        </w:rPr>
        <w:t>Commitments</w:t>
      </w:r>
      <w:r w:rsidRPr="00CA2CC1">
        <w:rPr>
          <w:rFonts w:cs="Calibri"/>
          <w:color w:val="414042"/>
          <w:spacing w:val="3"/>
          <w:szCs w:val="22"/>
        </w:rPr>
        <w:t xml:space="preserve"> </w:t>
      </w:r>
      <w:r w:rsidRPr="00CA2CC1">
        <w:rPr>
          <w:rFonts w:cs="Calibri"/>
          <w:color w:val="414042"/>
          <w:szCs w:val="22"/>
        </w:rPr>
        <w:t>for</w:t>
      </w:r>
      <w:r w:rsidRPr="00CA2CC1">
        <w:rPr>
          <w:rFonts w:cs="Calibri"/>
          <w:color w:val="414042"/>
          <w:spacing w:val="5"/>
          <w:szCs w:val="22"/>
        </w:rPr>
        <w:t xml:space="preserve"> </w:t>
      </w:r>
      <w:r w:rsidRPr="00CA2CC1">
        <w:rPr>
          <w:rFonts w:cs="Calibri"/>
          <w:color w:val="414042"/>
          <w:spacing w:val="-2"/>
          <w:szCs w:val="22"/>
        </w:rPr>
        <w:t>expenditure</w:t>
      </w:r>
    </w:p>
    <w:p w14:paraId="2786CF28" w14:textId="77777777" w:rsidR="00FA4226" w:rsidRPr="00CA2CC1" w:rsidRDefault="00FA4226" w:rsidP="0043303B">
      <w:pPr>
        <w:pStyle w:val="BodyText"/>
        <w:spacing w:before="5"/>
        <w:rPr>
          <w:rFonts w:cs="Calibri"/>
          <w:sz w:val="17"/>
        </w:rPr>
      </w:pPr>
    </w:p>
    <w:p w14:paraId="79C602C0" w14:textId="2DED8205" w:rsidR="00FA4226" w:rsidRPr="00CA2CC1" w:rsidRDefault="00FA4226" w:rsidP="0043303B">
      <w:pPr>
        <w:pStyle w:val="BodyText"/>
        <w:rPr>
          <w:rFonts w:cs="Calibri"/>
          <w:sz w:val="2"/>
        </w:rPr>
      </w:pPr>
    </w:p>
    <w:p w14:paraId="3C647C0E" w14:textId="77777777" w:rsidR="00FA4226" w:rsidRPr="00CA2CC1" w:rsidRDefault="00FA4226" w:rsidP="0043303B">
      <w:pPr>
        <w:pStyle w:val="BodyText"/>
        <w:spacing w:before="7"/>
        <w:rPr>
          <w:rFonts w:cs="Calibri"/>
          <w:sz w:val="6"/>
        </w:rPr>
      </w:pPr>
    </w:p>
    <w:p w14:paraId="75F80C1C" w14:textId="77777777" w:rsidR="00FA4226" w:rsidRPr="00396443" w:rsidRDefault="00000000" w:rsidP="0043303B">
      <w:pPr>
        <w:pStyle w:val="Heading7"/>
        <w:numPr>
          <w:ilvl w:val="1"/>
          <w:numId w:val="11"/>
        </w:numPr>
        <w:spacing w:before="61"/>
        <w:ind w:left="0" w:firstLine="0"/>
        <w:rPr>
          <w:rFonts w:cs="Calibri"/>
          <w:color w:val="000000" w:themeColor="text1"/>
        </w:rPr>
      </w:pPr>
      <w:r w:rsidRPr="00396443">
        <w:rPr>
          <w:rFonts w:cs="Calibri"/>
          <w:color w:val="000000" w:themeColor="text1"/>
          <w:spacing w:val="-2"/>
        </w:rPr>
        <w:t>Borrowings</w:t>
      </w:r>
    </w:p>
    <w:p w14:paraId="47F58502" w14:textId="77777777" w:rsidR="00FA4226" w:rsidRPr="00CA2CC1" w:rsidRDefault="00FA4226" w:rsidP="0043303B">
      <w:pPr>
        <w:pStyle w:val="BodyText"/>
        <w:spacing w:before="5"/>
        <w:rPr>
          <w:rFonts w:cs="Calibri"/>
          <w:sz w:val="9"/>
        </w:rPr>
      </w:pPr>
    </w:p>
    <w:tbl>
      <w:tblPr>
        <w:tblW w:w="9637" w:type="dxa"/>
        <w:tblBorders>
          <w:top w:val="single" w:sz="4" w:space="0" w:color="C48F1B"/>
          <w:left w:val="single" w:sz="4" w:space="0" w:color="C48F1B"/>
          <w:bottom w:val="single" w:sz="4" w:space="0" w:color="C48F1B"/>
          <w:right w:val="single" w:sz="4" w:space="0" w:color="C48F1B"/>
          <w:insideH w:val="single" w:sz="4" w:space="0" w:color="C48F1B"/>
          <w:insideV w:val="single" w:sz="4" w:space="0" w:color="C48F1B"/>
        </w:tblBorders>
        <w:tblLayout w:type="fixed"/>
        <w:tblCellMar>
          <w:left w:w="0" w:type="dxa"/>
          <w:right w:w="0" w:type="dxa"/>
        </w:tblCellMar>
        <w:tblLook w:val="01E0" w:firstRow="1" w:lastRow="1" w:firstColumn="1" w:lastColumn="1" w:noHBand="0" w:noVBand="0"/>
      </w:tblPr>
      <w:tblGrid>
        <w:gridCol w:w="6633"/>
        <w:gridCol w:w="1502"/>
        <w:gridCol w:w="1502"/>
      </w:tblGrid>
      <w:tr w:rsidR="00FA4226" w:rsidRPr="00CA2CC1" w14:paraId="153A1C64" w14:textId="77777777" w:rsidTr="00D22D90">
        <w:trPr>
          <w:trHeight w:val="617"/>
        </w:trPr>
        <w:tc>
          <w:tcPr>
            <w:tcW w:w="6633" w:type="dxa"/>
            <w:tcBorders>
              <w:top w:val="nil"/>
              <w:left w:val="nil"/>
              <w:right w:val="nil"/>
            </w:tcBorders>
          </w:tcPr>
          <w:p w14:paraId="30FC7AB7" w14:textId="77777777" w:rsidR="00FA4226" w:rsidRPr="00CA2CC1" w:rsidRDefault="00FA4226" w:rsidP="0043303B">
            <w:pPr>
              <w:pStyle w:val="TableParagraph"/>
              <w:jc w:val="left"/>
              <w:rPr>
                <w:rFonts w:cs="Calibri"/>
                <w:sz w:val="16"/>
              </w:rPr>
            </w:pPr>
          </w:p>
        </w:tc>
        <w:tc>
          <w:tcPr>
            <w:tcW w:w="1502" w:type="dxa"/>
            <w:tcBorders>
              <w:top w:val="nil"/>
              <w:left w:val="nil"/>
              <w:right w:val="single" w:sz="8" w:space="0" w:color="FFFFFF"/>
            </w:tcBorders>
            <w:shd w:val="clear" w:color="auto" w:fill="FFF0E7"/>
            <w:tcMar>
              <w:right w:w="57" w:type="dxa"/>
            </w:tcMar>
          </w:tcPr>
          <w:p w14:paraId="60FC81EA" w14:textId="77777777" w:rsidR="00FA4226" w:rsidRPr="00CA2CC1" w:rsidRDefault="00000000" w:rsidP="0043303B">
            <w:pPr>
              <w:pStyle w:val="TableParagraph"/>
              <w:spacing w:before="112"/>
              <w:rPr>
                <w:rFonts w:cs="Calibri"/>
                <w:sz w:val="17"/>
              </w:rPr>
            </w:pPr>
            <w:r w:rsidRPr="00CA2CC1">
              <w:rPr>
                <w:rFonts w:cs="Calibri"/>
                <w:color w:val="F68C59"/>
                <w:spacing w:val="-4"/>
                <w:sz w:val="17"/>
              </w:rPr>
              <w:t>2023</w:t>
            </w:r>
          </w:p>
          <w:p w14:paraId="5210DA21" w14:textId="77777777" w:rsidR="00FA4226" w:rsidRPr="00CA2CC1" w:rsidRDefault="00000000" w:rsidP="0043303B">
            <w:pPr>
              <w:pStyle w:val="TableParagraph"/>
              <w:spacing w:before="1"/>
              <w:rPr>
                <w:rFonts w:cs="Calibri"/>
                <w:sz w:val="17"/>
              </w:rPr>
            </w:pPr>
            <w:r w:rsidRPr="00CA2CC1">
              <w:rPr>
                <w:rFonts w:cs="Calibri"/>
                <w:color w:val="F68C59"/>
                <w:sz w:val="17"/>
              </w:rPr>
              <w:t>$</w:t>
            </w:r>
          </w:p>
        </w:tc>
        <w:tc>
          <w:tcPr>
            <w:tcW w:w="1502" w:type="dxa"/>
            <w:tcBorders>
              <w:top w:val="nil"/>
              <w:left w:val="single" w:sz="8" w:space="0" w:color="FFFFFF"/>
              <w:right w:val="nil"/>
            </w:tcBorders>
            <w:shd w:val="clear" w:color="auto" w:fill="EDEFF0"/>
            <w:tcMar>
              <w:right w:w="57" w:type="dxa"/>
            </w:tcMar>
          </w:tcPr>
          <w:p w14:paraId="6B8D01F2" w14:textId="77777777" w:rsidR="00FA4226" w:rsidRPr="00CA2CC1" w:rsidRDefault="00000000" w:rsidP="0043303B">
            <w:pPr>
              <w:pStyle w:val="TableParagraph"/>
              <w:spacing w:before="112"/>
              <w:rPr>
                <w:rFonts w:cs="Calibri"/>
                <w:sz w:val="17"/>
              </w:rPr>
            </w:pPr>
            <w:r w:rsidRPr="00CA2CC1">
              <w:rPr>
                <w:rFonts w:cs="Calibri"/>
                <w:color w:val="F68C59"/>
                <w:spacing w:val="-4"/>
                <w:sz w:val="17"/>
              </w:rPr>
              <w:t>2022</w:t>
            </w:r>
          </w:p>
          <w:p w14:paraId="1B909894" w14:textId="77777777" w:rsidR="00FA4226" w:rsidRPr="00CA2CC1" w:rsidRDefault="00000000" w:rsidP="0043303B">
            <w:pPr>
              <w:pStyle w:val="TableParagraph"/>
              <w:spacing w:before="1"/>
              <w:rPr>
                <w:rFonts w:cs="Calibri"/>
                <w:sz w:val="17"/>
              </w:rPr>
            </w:pPr>
            <w:r w:rsidRPr="00CA2CC1">
              <w:rPr>
                <w:rFonts w:cs="Calibri"/>
                <w:color w:val="F68C59"/>
                <w:sz w:val="17"/>
              </w:rPr>
              <w:t>$</w:t>
            </w:r>
          </w:p>
        </w:tc>
      </w:tr>
      <w:tr w:rsidR="00FA4226" w:rsidRPr="00CA2CC1" w14:paraId="021111B0" w14:textId="77777777" w:rsidTr="00D22D90">
        <w:trPr>
          <w:trHeight w:val="300"/>
        </w:trPr>
        <w:tc>
          <w:tcPr>
            <w:tcW w:w="6633" w:type="dxa"/>
            <w:tcBorders>
              <w:left w:val="nil"/>
              <w:bottom w:val="single" w:sz="2" w:space="0" w:color="73777A"/>
              <w:right w:val="nil"/>
            </w:tcBorders>
          </w:tcPr>
          <w:p w14:paraId="715FEBC3" w14:textId="77777777" w:rsidR="00FA4226" w:rsidRPr="00CA2CC1" w:rsidRDefault="00000000" w:rsidP="0043303B">
            <w:pPr>
              <w:pStyle w:val="TableParagraph"/>
              <w:spacing w:before="13"/>
              <w:jc w:val="left"/>
              <w:rPr>
                <w:rFonts w:cs="Calibri"/>
                <w:sz w:val="10"/>
              </w:rPr>
            </w:pPr>
            <w:r w:rsidRPr="00CA2CC1">
              <w:rPr>
                <w:rFonts w:cs="Calibri"/>
                <w:color w:val="414042"/>
                <w:sz w:val="18"/>
              </w:rPr>
              <w:t>Current</w:t>
            </w:r>
            <w:r w:rsidRPr="00CA2CC1">
              <w:rPr>
                <w:rFonts w:cs="Calibri"/>
                <w:color w:val="414042"/>
                <w:spacing w:val="7"/>
                <w:sz w:val="18"/>
              </w:rPr>
              <w:t xml:space="preserve"> </w:t>
            </w:r>
            <w:r w:rsidRPr="00CA2CC1">
              <w:rPr>
                <w:rFonts w:cs="Calibri"/>
                <w:color w:val="414042"/>
                <w:sz w:val="18"/>
              </w:rPr>
              <w:t>lease</w:t>
            </w:r>
            <w:r w:rsidRPr="00CA2CC1">
              <w:rPr>
                <w:rFonts w:cs="Calibri"/>
                <w:color w:val="414042"/>
                <w:spacing w:val="7"/>
                <w:sz w:val="18"/>
              </w:rPr>
              <w:t xml:space="preserve"> </w:t>
            </w:r>
            <w:r w:rsidRPr="00CA2CC1">
              <w:rPr>
                <w:rFonts w:cs="Calibri"/>
                <w:color w:val="414042"/>
                <w:sz w:val="18"/>
              </w:rPr>
              <w:t>liabilities</w:t>
            </w:r>
            <w:r w:rsidRPr="00CA2CC1">
              <w:rPr>
                <w:rFonts w:cs="Calibri"/>
                <w:color w:val="414042"/>
                <w:spacing w:val="8"/>
                <w:sz w:val="18"/>
              </w:rPr>
              <w:t xml:space="preserve"> </w:t>
            </w:r>
            <w:r w:rsidRPr="00CA2CC1">
              <w:rPr>
                <w:rFonts w:cs="Calibri"/>
                <w:color w:val="414042"/>
                <w:spacing w:val="-5"/>
                <w:position w:val="6"/>
                <w:sz w:val="10"/>
              </w:rPr>
              <w:t>(i)</w:t>
            </w:r>
          </w:p>
        </w:tc>
        <w:tc>
          <w:tcPr>
            <w:tcW w:w="1502" w:type="dxa"/>
            <w:tcBorders>
              <w:left w:val="nil"/>
              <w:bottom w:val="single" w:sz="2" w:space="0" w:color="73777A"/>
              <w:right w:val="single" w:sz="8" w:space="0" w:color="FFFFFF"/>
            </w:tcBorders>
            <w:shd w:val="clear" w:color="auto" w:fill="FFF0E7"/>
            <w:tcMar>
              <w:right w:w="57" w:type="dxa"/>
            </w:tcMar>
          </w:tcPr>
          <w:p w14:paraId="07E483F7" w14:textId="77777777" w:rsidR="00FA4226" w:rsidRPr="00CA2CC1" w:rsidRDefault="00000000" w:rsidP="0043303B">
            <w:pPr>
              <w:pStyle w:val="TableParagraph"/>
              <w:spacing w:before="13"/>
              <w:rPr>
                <w:rFonts w:cs="Calibri"/>
                <w:sz w:val="18"/>
              </w:rPr>
            </w:pPr>
            <w:r w:rsidRPr="00CA2CC1">
              <w:rPr>
                <w:rFonts w:cs="Calibri"/>
                <w:color w:val="414042"/>
                <w:spacing w:val="-2"/>
                <w:sz w:val="18"/>
              </w:rPr>
              <w:t>400,962</w:t>
            </w:r>
          </w:p>
        </w:tc>
        <w:tc>
          <w:tcPr>
            <w:tcW w:w="1502" w:type="dxa"/>
            <w:tcBorders>
              <w:left w:val="single" w:sz="8" w:space="0" w:color="FFFFFF"/>
              <w:bottom w:val="single" w:sz="2" w:space="0" w:color="73777A"/>
              <w:right w:val="nil"/>
            </w:tcBorders>
            <w:shd w:val="clear" w:color="auto" w:fill="EDEFF0"/>
            <w:tcMar>
              <w:right w:w="57" w:type="dxa"/>
            </w:tcMar>
          </w:tcPr>
          <w:p w14:paraId="64A75266" w14:textId="77777777" w:rsidR="00FA4226" w:rsidRPr="00CA2CC1" w:rsidRDefault="00000000" w:rsidP="0043303B">
            <w:pPr>
              <w:pStyle w:val="TableParagraph"/>
              <w:spacing w:before="13"/>
              <w:rPr>
                <w:rFonts w:cs="Calibri"/>
                <w:sz w:val="18"/>
              </w:rPr>
            </w:pPr>
            <w:r w:rsidRPr="00CA2CC1">
              <w:rPr>
                <w:rFonts w:cs="Calibri"/>
                <w:color w:val="414042"/>
                <w:spacing w:val="-2"/>
                <w:sz w:val="18"/>
              </w:rPr>
              <w:t>381,454</w:t>
            </w:r>
          </w:p>
        </w:tc>
      </w:tr>
      <w:tr w:rsidR="00FA4226" w:rsidRPr="00CA2CC1" w14:paraId="60856321" w14:textId="77777777" w:rsidTr="00D22D90">
        <w:trPr>
          <w:trHeight w:val="278"/>
        </w:trPr>
        <w:tc>
          <w:tcPr>
            <w:tcW w:w="6633" w:type="dxa"/>
            <w:tcBorders>
              <w:top w:val="single" w:sz="2" w:space="0" w:color="73777A"/>
              <w:left w:val="nil"/>
              <w:bottom w:val="single" w:sz="6" w:space="0" w:color="73777A"/>
              <w:right w:val="nil"/>
            </w:tcBorders>
          </w:tcPr>
          <w:p w14:paraId="63E03F5D" w14:textId="77777777" w:rsidR="00FA4226" w:rsidRPr="00CA2CC1" w:rsidRDefault="00000000" w:rsidP="0043303B">
            <w:pPr>
              <w:pStyle w:val="TableParagraph"/>
              <w:jc w:val="left"/>
              <w:rPr>
                <w:rFonts w:cs="Calibri"/>
                <w:sz w:val="10"/>
              </w:rPr>
            </w:pPr>
            <w:r w:rsidRPr="00CA2CC1">
              <w:rPr>
                <w:rFonts w:cs="Calibri"/>
                <w:color w:val="414042"/>
                <w:sz w:val="18"/>
              </w:rPr>
              <w:t>Non-current</w:t>
            </w:r>
            <w:r w:rsidRPr="00CA2CC1">
              <w:rPr>
                <w:rFonts w:cs="Calibri"/>
                <w:color w:val="414042"/>
                <w:spacing w:val="8"/>
                <w:sz w:val="18"/>
              </w:rPr>
              <w:t xml:space="preserve"> </w:t>
            </w:r>
            <w:r w:rsidRPr="00CA2CC1">
              <w:rPr>
                <w:rFonts w:cs="Calibri"/>
                <w:color w:val="414042"/>
                <w:sz w:val="18"/>
              </w:rPr>
              <w:t>lease</w:t>
            </w:r>
            <w:r w:rsidRPr="00CA2CC1">
              <w:rPr>
                <w:rFonts w:cs="Calibri"/>
                <w:color w:val="414042"/>
                <w:spacing w:val="9"/>
                <w:sz w:val="18"/>
              </w:rPr>
              <w:t xml:space="preserve"> </w:t>
            </w:r>
            <w:r w:rsidRPr="00CA2CC1">
              <w:rPr>
                <w:rFonts w:cs="Calibri"/>
                <w:color w:val="414042"/>
                <w:sz w:val="18"/>
              </w:rPr>
              <w:t>liabilities</w:t>
            </w:r>
            <w:r w:rsidRPr="00CA2CC1">
              <w:rPr>
                <w:rFonts w:cs="Calibri"/>
                <w:color w:val="414042"/>
                <w:spacing w:val="8"/>
                <w:sz w:val="18"/>
              </w:rPr>
              <w:t xml:space="preserve"> </w:t>
            </w:r>
            <w:r w:rsidRPr="00CA2CC1">
              <w:rPr>
                <w:rFonts w:cs="Calibri"/>
                <w:color w:val="414042"/>
                <w:spacing w:val="-5"/>
                <w:position w:val="6"/>
                <w:sz w:val="10"/>
              </w:rPr>
              <w:t>(i)</w:t>
            </w:r>
          </w:p>
        </w:tc>
        <w:tc>
          <w:tcPr>
            <w:tcW w:w="1502" w:type="dxa"/>
            <w:tcBorders>
              <w:top w:val="single" w:sz="2" w:space="0" w:color="73777A"/>
              <w:left w:val="nil"/>
              <w:bottom w:val="single" w:sz="6" w:space="0" w:color="73777A"/>
              <w:right w:val="single" w:sz="8" w:space="0" w:color="FFFFFF"/>
            </w:tcBorders>
            <w:shd w:val="clear" w:color="auto" w:fill="FFF0E7"/>
            <w:tcMar>
              <w:right w:w="57" w:type="dxa"/>
            </w:tcMar>
          </w:tcPr>
          <w:p w14:paraId="2CEBB5FE" w14:textId="77777777" w:rsidR="00FA4226" w:rsidRPr="00CA2CC1" w:rsidRDefault="00000000" w:rsidP="0043303B">
            <w:pPr>
              <w:pStyle w:val="TableParagraph"/>
              <w:rPr>
                <w:rFonts w:cs="Calibri"/>
                <w:sz w:val="18"/>
              </w:rPr>
            </w:pPr>
            <w:r w:rsidRPr="00CA2CC1">
              <w:rPr>
                <w:rFonts w:cs="Calibri"/>
                <w:color w:val="414042"/>
                <w:spacing w:val="-2"/>
                <w:sz w:val="18"/>
              </w:rPr>
              <w:t>1,480,417</w:t>
            </w:r>
          </w:p>
        </w:tc>
        <w:tc>
          <w:tcPr>
            <w:tcW w:w="1502" w:type="dxa"/>
            <w:tcBorders>
              <w:top w:val="single" w:sz="2" w:space="0" w:color="73777A"/>
              <w:left w:val="single" w:sz="8" w:space="0" w:color="FFFFFF"/>
              <w:bottom w:val="single" w:sz="6" w:space="0" w:color="73777A"/>
              <w:right w:val="nil"/>
            </w:tcBorders>
            <w:shd w:val="clear" w:color="auto" w:fill="EDEFF0"/>
            <w:tcMar>
              <w:right w:w="57" w:type="dxa"/>
            </w:tcMar>
          </w:tcPr>
          <w:p w14:paraId="69B1AEA2" w14:textId="77777777" w:rsidR="00FA4226" w:rsidRPr="00CA2CC1" w:rsidRDefault="00000000" w:rsidP="0043303B">
            <w:pPr>
              <w:pStyle w:val="TableParagraph"/>
              <w:rPr>
                <w:rFonts w:cs="Calibri"/>
                <w:sz w:val="18"/>
              </w:rPr>
            </w:pPr>
            <w:r w:rsidRPr="00CA2CC1">
              <w:rPr>
                <w:rFonts w:cs="Calibri"/>
                <w:color w:val="414042"/>
                <w:spacing w:val="-2"/>
                <w:sz w:val="18"/>
              </w:rPr>
              <w:t>1,862,777</w:t>
            </w:r>
          </w:p>
        </w:tc>
      </w:tr>
      <w:tr w:rsidR="00FA4226" w:rsidRPr="00CA2CC1" w14:paraId="25FFD354" w14:textId="77777777" w:rsidTr="00D22D90">
        <w:trPr>
          <w:trHeight w:val="278"/>
        </w:trPr>
        <w:tc>
          <w:tcPr>
            <w:tcW w:w="6633" w:type="dxa"/>
            <w:tcBorders>
              <w:top w:val="single" w:sz="6" w:space="0" w:color="73777A"/>
              <w:left w:val="nil"/>
              <w:bottom w:val="double" w:sz="6" w:space="0" w:color="73777A"/>
              <w:right w:val="nil"/>
            </w:tcBorders>
          </w:tcPr>
          <w:p w14:paraId="7838C080" w14:textId="77777777" w:rsidR="00FA4226" w:rsidRPr="00CA2CC1" w:rsidRDefault="00000000" w:rsidP="0043303B">
            <w:pPr>
              <w:pStyle w:val="TableParagraph"/>
              <w:spacing w:before="13"/>
              <w:jc w:val="left"/>
              <w:rPr>
                <w:rFonts w:cs="Calibri"/>
                <w:sz w:val="10"/>
              </w:rPr>
            </w:pPr>
            <w:r w:rsidRPr="00CA2CC1">
              <w:rPr>
                <w:rFonts w:cs="Calibri"/>
                <w:color w:val="414042"/>
                <w:sz w:val="18"/>
              </w:rPr>
              <w:t>Total</w:t>
            </w:r>
            <w:r w:rsidRPr="00CA2CC1">
              <w:rPr>
                <w:rFonts w:cs="Calibri"/>
                <w:color w:val="414042"/>
                <w:spacing w:val="3"/>
                <w:sz w:val="18"/>
              </w:rPr>
              <w:t xml:space="preserve"> </w:t>
            </w:r>
            <w:r w:rsidRPr="00CA2CC1">
              <w:rPr>
                <w:rFonts w:cs="Calibri"/>
                <w:color w:val="414042"/>
                <w:sz w:val="18"/>
              </w:rPr>
              <w:t>borrowings</w:t>
            </w:r>
            <w:r w:rsidRPr="00CA2CC1">
              <w:rPr>
                <w:rFonts w:cs="Calibri"/>
                <w:color w:val="414042"/>
                <w:spacing w:val="4"/>
                <w:sz w:val="18"/>
              </w:rPr>
              <w:t xml:space="preserve"> </w:t>
            </w:r>
            <w:r w:rsidRPr="00CA2CC1">
              <w:rPr>
                <w:rFonts w:cs="Calibri"/>
                <w:color w:val="414042"/>
                <w:spacing w:val="-5"/>
                <w:position w:val="6"/>
                <w:sz w:val="10"/>
              </w:rPr>
              <w:t>(i)</w:t>
            </w:r>
          </w:p>
        </w:tc>
        <w:tc>
          <w:tcPr>
            <w:tcW w:w="1502" w:type="dxa"/>
            <w:tcBorders>
              <w:top w:val="single" w:sz="6" w:space="0" w:color="73777A"/>
              <w:left w:val="nil"/>
              <w:bottom w:val="double" w:sz="4" w:space="0" w:color="73777A"/>
              <w:right w:val="single" w:sz="8" w:space="0" w:color="FFFFFF"/>
            </w:tcBorders>
            <w:shd w:val="clear" w:color="auto" w:fill="FFF0E7"/>
            <w:tcMar>
              <w:right w:w="57" w:type="dxa"/>
            </w:tcMar>
          </w:tcPr>
          <w:p w14:paraId="343DF4B3" w14:textId="77777777" w:rsidR="00FA4226" w:rsidRPr="00CA2CC1" w:rsidRDefault="00000000" w:rsidP="0043303B">
            <w:pPr>
              <w:pStyle w:val="TableParagraph"/>
              <w:spacing w:before="13"/>
              <w:rPr>
                <w:rFonts w:cs="Calibri"/>
                <w:sz w:val="18"/>
              </w:rPr>
            </w:pPr>
            <w:r w:rsidRPr="00CA2CC1">
              <w:rPr>
                <w:rFonts w:cs="Calibri"/>
                <w:color w:val="414042"/>
                <w:spacing w:val="-2"/>
                <w:sz w:val="18"/>
              </w:rPr>
              <w:t>1,881,379</w:t>
            </w:r>
          </w:p>
        </w:tc>
        <w:tc>
          <w:tcPr>
            <w:tcW w:w="1502" w:type="dxa"/>
            <w:tcBorders>
              <w:top w:val="single" w:sz="6" w:space="0" w:color="73777A"/>
              <w:left w:val="single" w:sz="8" w:space="0" w:color="FFFFFF"/>
              <w:bottom w:val="double" w:sz="4" w:space="0" w:color="73777A"/>
              <w:right w:val="nil"/>
            </w:tcBorders>
            <w:shd w:val="clear" w:color="auto" w:fill="EDEFF0"/>
            <w:tcMar>
              <w:right w:w="57" w:type="dxa"/>
            </w:tcMar>
          </w:tcPr>
          <w:p w14:paraId="47E136CB" w14:textId="77777777" w:rsidR="00FA4226" w:rsidRPr="00CA2CC1" w:rsidRDefault="00000000" w:rsidP="0043303B">
            <w:pPr>
              <w:pStyle w:val="TableParagraph"/>
              <w:spacing w:before="13"/>
              <w:rPr>
                <w:rFonts w:cs="Calibri"/>
                <w:sz w:val="18"/>
              </w:rPr>
            </w:pPr>
            <w:r w:rsidRPr="00CA2CC1">
              <w:rPr>
                <w:rFonts w:cs="Calibri"/>
                <w:color w:val="414042"/>
                <w:spacing w:val="-2"/>
                <w:sz w:val="18"/>
              </w:rPr>
              <w:t>2,244,231</w:t>
            </w:r>
          </w:p>
        </w:tc>
      </w:tr>
    </w:tbl>
    <w:p w14:paraId="625AFF3A" w14:textId="77777777" w:rsidR="00FA4226" w:rsidRPr="00CA2CC1" w:rsidRDefault="00FA4226" w:rsidP="0043303B">
      <w:pPr>
        <w:pStyle w:val="BodyText"/>
        <w:spacing w:before="7"/>
        <w:rPr>
          <w:rFonts w:cs="Calibri"/>
        </w:rPr>
      </w:pPr>
    </w:p>
    <w:p w14:paraId="57FE395F" w14:textId="77777777" w:rsidR="00FA4226" w:rsidRPr="00CA2CC1" w:rsidRDefault="00000000" w:rsidP="0043303B">
      <w:pPr>
        <w:rPr>
          <w:rFonts w:cs="Calibri"/>
          <w:i/>
          <w:sz w:val="16"/>
        </w:rPr>
      </w:pPr>
      <w:r w:rsidRPr="00CA2CC1">
        <w:rPr>
          <w:rFonts w:cs="Calibri"/>
          <w:i/>
          <w:color w:val="414042"/>
          <w:sz w:val="16"/>
        </w:rPr>
        <w:t>(i)</w:t>
      </w:r>
      <w:r w:rsidRPr="00CA2CC1">
        <w:rPr>
          <w:rFonts w:cs="Calibri"/>
          <w:i/>
          <w:color w:val="414042"/>
          <w:spacing w:val="-3"/>
          <w:sz w:val="16"/>
        </w:rPr>
        <w:t xml:space="preserve"> </w:t>
      </w:r>
      <w:r w:rsidRPr="00CA2CC1">
        <w:rPr>
          <w:rFonts w:cs="Calibri"/>
          <w:i/>
          <w:color w:val="414042"/>
          <w:sz w:val="16"/>
        </w:rPr>
        <w:t>The</w:t>
      </w:r>
      <w:r w:rsidRPr="00CA2CC1">
        <w:rPr>
          <w:rFonts w:cs="Calibri"/>
          <w:i/>
          <w:color w:val="414042"/>
          <w:spacing w:val="-1"/>
          <w:sz w:val="16"/>
        </w:rPr>
        <w:t xml:space="preserve"> </w:t>
      </w:r>
      <w:r w:rsidRPr="00CA2CC1">
        <w:rPr>
          <w:rFonts w:cs="Calibri"/>
          <w:i/>
          <w:color w:val="414042"/>
          <w:sz w:val="16"/>
        </w:rPr>
        <w:t>2021-22</w:t>
      </w:r>
      <w:r w:rsidRPr="00CA2CC1">
        <w:rPr>
          <w:rFonts w:cs="Calibri"/>
          <w:i/>
          <w:color w:val="414042"/>
          <w:spacing w:val="-1"/>
          <w:sz w:val="16"/>
        </w:rPr>
        <w:t xml:space="preserve"> </w:t>
      </w:r>
      <w:r w:rsidRPr="00CA2CC1">
        <w:rPr>
          <w:rFonts w:cs="Calibri"/>
          <w:i/>
          <w:color w:val="414042"/>
          <w:sz w:val="16"/>
        </w:rPr>
        <w:t>comparative figures</w:t>
      </w:r>
      <w:r w:rsidRPr="00CA2CC1">
        <w:rPr>
          <w:rFonts w:cs="Calibri"/>
          <w:i/>
          <w:color w:val="414042"/>
          <w:spacing w:val="-1"/>
          <w:sz w:val="16"/>
        </w:rPr>
        <w:t xml:space="preserve"> </w:t>
      </w:r>
      <w:r w:rsidRPr="00CA2CC1">
        <w:rPr>
          <w:rFonts w:cs="Calibri"/>
          <w:i/>
          <w:color w:val="414042"/>
          <w:sz w:val="16"/>
        </w:rPr>
        <w:t>have</w:t>
      </w:r>
      <w:r w:rsidRPr="00CA2CC1">
        <w:rPr>
          <w:rFonts w:cs="Calibri"/>
          <w:i/>
          <w:color w:val="414042"/>
          <w:spacing w:val="-1"/>
          <w:sz w:val="16"/>
        </w:rPr>
        <w:t xml:space="preserve"> </w:t>
      </w:r>
      <w:r w:rsidRPr="00CA2CC1">
        <w:rPr>
          <w:rFonts w:cs="Calibri"/>
          <w:i/>
          <w:color w:val="414042"/>
          <w:sz w:val="16"/>
        </w:rPr>
        <w:t>been</w:t>
      </w:r>
      <w:r w:rsidRPr="00CA2CC1">
        <w:rPr>
          <w:rFonts w:cs="Calibri"/>
          <w:i/>
          <w:color w:val="414042"/>
          <w:spacing w:val="-1"/>
          <w:sz w:val="16"/>
        </w:rPr>
        <w:t xml:space="preserve"> </w:t>
      </w:r>
      <w:r w:rsidRPr="00CA2CC1">
        <w:rPr>
          <w:rFonts w:cs="Calibri"/>
          <w:i/>
          <w:color w:val="414042"/>
          <w:sz w:val="16"/>
        </w:rPr>
        <w:t>adjusted to</w:t>
      </w:r>
      <w:r w:rsidRPr="00CA2CC1">
        <w:rPr>
          <w:rFonts w:cs="Calibri"/>
          <w:i/>
          <w:color w:val="414042"/>
          <w:spacing w:val="-1"/>
          <w:sz w:val="16"/>
        </w:rPr>
        <w:t xml:space="preserve"> </w:t>
      </w:r>
      <w:r w:rsidRPr="00CA2CC1">
        <w:rPr>
          <w:rFonts w:cs="Calibri"/>
          <w:i/>
          <w:color w:val="414042"/>
          <w:sz w:val="16"/>
        </w:rPr>
        <w:t>correct</w:t>
      </w:r>
      <w:r w:rsidRPr="00CA2CC1">
        <w:rPr>
          <w:rFonts w:cs="Calibri"/>
          <w:i/>
          <w:color w:val="414042"/>
          <w:spacing w:val="-1"/>
          <w:sz w:val="16"/>
        </w:rPr>
        <w:t xml:space="preserve"> </w:t>
      </w:r>
      <w:r w:rsidRPr="00CA2CC1">
        <w:rPr>
          <w:rFonts w:cs="Calibri"/>
          <w:i/>
          <w:color w:val="414042"/>
          <w:sz w:val="16"/>
        </w:rPr>
        <w:t>a</w:t>
      </w:r>
      <w:r w:rsidRPr="00CA2CC1">
        <w:rPr>
          <w:rFonts w:cs="Calibri"/>
          <w:i/>
          <w:color w:val="414042"/>
          <w:spacing w:val="-1"/>
          <w:sz w:val="16"/>
        </w:rPr>
        <w:t xml:space="preserve"> </w:t>
      </w:r>
      <w:r w:rsidRPr="00CA2CC1">
        <w:rPr>
          <w:rFonts w:cs="Calibri"/>
          <w:i/>
          <w:color w:val="414042"/>
          <w:sz w:val="16"/>
        </w:rPr>
        <w:t>prior period</w:t>
      </w:r>
      <w:r w:rsidRPr="00CA2CC1">
        <w:rPr>
          <w:rFonts w:cs="Calibri"/>
          <w:i/>
          <w:color w:val="414042"/>
          <w:spacing w:val="-1"/>
          <w:sz w:val="16"/>
        </w:rPr>
        <w:t xml:space="preserve"> </w:t>
      </w:r>
      <w:r w:rsidRPr="00CA2CC1">
        <w:rPr>
          <w:rFonts w:cs="Calibri"/>
          <w:i/>
          <w:color w:val="414042"/>
          <w:sz w:val="16"/>
        </w:rPr>
        <w:t>error.</w:t>
      </w:r>
      <w:r w:rsidRPr="00CA2CC1">
        <w:rPr>
          <w:rFonts w:cs="Calibri"/>
          <w:i/>
          <w:color w:val="414042"/>
          <w:spacing w:val="-1"/>
          <w:sz w:val="16"/>
        </w:rPr>
        <w:t xml:space="preserve"> </w:t>
      </w:r>
      <w:r w:rsidRPr="00CA2CC1">
        <w:rPr>
          <w:rFonts w:cs="Calibri"/>
          <w:i/>
          <w:color w:val="414042"/>
          <w:sz w:val="16"/>
        </w:rPr>
        <w:t>Refer</w:t>
      </w:r>
      <w:r w:rsidRPr="00CA2CC1">
        <w:rPr>
          <w:rFonts w:cs="Calibri"/>
          <w:i/>
          <w:color w:val="414042"/>
          <w:spacing w:val="-1"/>
          <w:sz w:val="16"/>
        </w:rPr>
        <w:t xml:space="preserve"> </w:t>
      </w:r>
      <w:r w:rsidRPr="00CA2CC1">
        <w:rPr>
          <w:rFonts w:cs="Calibri"/>
          <w:i/>
          <w:color w:val="414042"/>
          <w:sz w:val="16"/>
        </w:rPr>
        <w:t>to note</w:t>
      </w:r>
      <w:r w:rsidRPr="00CA2CC1">
        <w:rPr>
          <w:rFonts w:cs="Calibri"/>
          <w:i/>
          <w:color w:val="414042"/>
          <w:spacing w:val="-1"/>
          <w:sz w:val="16"/>
        </w:rPr>
        <w:t xml:space="preserve"> </w:t>
      </w:r>
      <w:r w:rsidRPr="00CA2CC1">
        <w:rPr>
          <w:rFonts w:cs="Calibri"/>
          <w:i/>
          <w:color w:val="414042"/>
          <w:sz w:val="16"/>
        </w:rPr>
        <w:t>8.5</w:t>
      </w:r>
      <w:r w:rsidRPr="00CA2CC1">
        <w:rPr>
          <w:rFonts w:cs="Calibri"/>
          <w:i/>
          <w:color w:val="414042"/>
          <w:spacing w:val="-1"/>
          <w:sz w:val="16"/>
        </w:rPr>
        <w:t xml:space="preserve"> </w:t>
      </w:r>
      <w:r w:rsidRPr="00CA2CC1">
        <w:rPr>
          <w:rFonts w:cs="Calibri"/>
          <w:i/>
          <w:color w:val="414042"/>
          <w:sz w:val="16"/>
        </w:rPr>
        <w:t>for</w:t>
      </w:r>
      <w:r w:rsidRPr="00CA2CC1">
        <w:rPr>
          <w:rFonts w:cs="Calibri"/>
          <w:i/>
          <w:color w:val="414042"/>
          <w:spacing w:val="-1"/>
          <w:sz w:val="16"/>
        </w:rPr>
        <w:t xml:space="preserve"> </w:t>
      </w:r>
      <w:r w:rsidRPr="00CA2CC1">
        <w:rPr>
          <w:rFonts w:cs="Calibri"/>
          <w:i/>
          <w:color w:val="414042"/>
          <w:sz w:val="16"/>
        </w:rPr>
        <w:t xml:space="preserve">more </w:t>
      </w:r>
      <w:r w:rsidRPr="00CA2CC1">
        <w:rPr>
          <w:rFonts w:cs="Calibri"/>
          <w:i/>
          <w:color w:val="414042"/>
          <w:spacing w:val="-2"/>
          <w:sz w:val="16"/>
        </w:rPr>
        <w:t>information.</w:t>
      </w:r>
    </w:p>
    <w:p w14:paraId="768A4790" w14:textId="77777777" w:rsidR="00FA4226" w:rsidRPr="00CA2CC1" w:rsidRDefault="00FA4226" w:rsidP="0043303B">
      <w:pPr>
        <w:rPr>
          <w:rFonts w:cs="Calibri"/>
          <w:sz w:val="12"/>
        </w:rPr>
      </w:pPr>
    </w:p>
    <w:p w14:paraId="73E9B2C5" w14:textId="77777777" w:rsidR="00405B9A" w:rsidRPr="00CA2CC1" w:rsidRDefault="00405B9A" w:rsidP="0043303B">
      <w:pPr>
        <w:pStyle w:val="BodyText"/>
        <w:spacing w:before="70"/>
        <w:rPr>
          <w:rFonts w:cs="Calibri"/>
        </w:rPr>
      </w:pPr>
      <w:r w:rsidRPr="00CA2CC1">
        <w:rPr>
          <w:rFonts w:cs="Calibri"/>
          <w:color w:val="414042"/>
        </w:rPr>
        <w:t>For any new contracts entered into, Infrastructure Victoria considers whether a contract is, or contains a lease. A lease is defined as ‘a contract, or part of a contract, that conveys</w:t>
      </w:r>
      <w:r w:rsidRPr="00CA2CC1">
        <w:rPr>
          <w:rFonts w:cs="Calibri"/>
          <w:color w:val="414042"/>
          <w:spacing w:val="-4"/>
        </w:rPr>
        <w:t xml:space="preserve"> </w:t>
      </w:r>
      <w:r w:rsidRPr="00CA2CC1">
        <w:rPr>
          <w:rFonts w:cs="Calibri"/>
          <w:color w:val="414042"/>
        </w:rPr>
        <w:t>the</w:t>
      </w:r>
      <w:r w:rsidRPr="00CA2CC1">
        <w:rPr>
          <w:rFonts w:cs="Calibri"/>
          <w:color w:val="414042"/>
          <w:spacing w:val="-4"/>
        </w:rPr>
        <w:t xml:space="preserve"> </w:t>
      </w:r>
      <w:r w:rsidRPr="00CA2CC1">
        <w:rPr>
          <w:rFonts w:cs="Calibri"/>
          <w:color w:val="414042"/>
        </w:rPr>
        <w:t>right</w:t>
      </w:r>
      <w:r w:rsidRPr="00CA2CC1">
        <w:rPr>
          <w:rFonts w:cs="Calibri"/>
          <w:color w:val="414042"/>
          <w:spacing w:val="-4"/>
        </w:rPr>
        <w:t xml:space="preserve"> </w:t>
      </w:r>
      <w:r w:rsidRPr="00CA2CC1">
        <w:rPr>
          <w:rFonts w:cs="Calibri"/>
          <w:color w:val="414042"/>
        </w:rPr>
        <w:t>to</w:t>
      </w:r>
      <w:r w:rsidRPr="00CA2CC1">
        <w:rPr>
          <w:rFonts w:cs="Calibri"/>
          <w:color w:val="414042"/>
          <w:spacing w:val="-4"/>
        </w:rPr>
        <w:t xml:space="preserve"> </w:t>
      </w:r>
      <w:r w:rsidRPr="00CA2CC1">
        <w:rPr>
          <w:rFonts w:cs="Calibri"/>
          <w:color w:val="414042"/>
        </w:rPr>
        <w:t>use</w:t>
      </w:r>
      <w:r w:rsidRPr="00CA2CC1">
        <w:rPr>
          <w:rFonts w:cs="Calibri"/>
          <w:color w:val="414042"/>
          <w:spacing w:val="-4"/>
        </w:rPr>
        <w:t xml:space="preserve"> </w:t>
      </w:r>
      <w:r w:rsidRPr="00CA2CC1">
        <w:rPr>
          <w:rFonts w:cs="Calibri"/>
          <w:color w:val="414042"/>
        </w:rPr>
        <w:t>an</w:t>
      </w:r>
      <w:r w:rsidRPr="00CA2CC1">
        <w:rPr>
          <w:rFonts w:cs="Calibri"/>
          <w:color w:val="414042"/>
          <w:spacing w:val="-4"/>
        </w:rPr>
        <w:t xml:space="preserve"> </w:t>
      </w:r>
      <w:r w:rsidRPr="00CA2CC1">
        <w:rPr>
          <w:rFonts w:cs="Calibri"/>
          <w:color w:val="414042"/>
        </w:rPr>
        <w:t>asset</w:t>
      </w:r>
      <w:r w:rsidRPr="00CA2CC1">
        <w:rPr>
          <w:rFonts w:cs="Calibri"/>
          <w:color w:val="414042"/>
          <w:spacing w:val="-4"/>
        </w:rPr>
        <w:t xml:space="preserve"> </w:t>
      </w:r>
      <w:r w:rsidRPr="00CA2CC1">
        <w:rPr>
          <w:rFonts w:cs="Calibri"/>
          <w:color w:val="414042"/>
        </w:rPr>
        <w:t>(the</w:t>
      </w:r>
      <w:r w:rsidRPr="00CA2CC1">
        <w:rPr>
          <w:rFonts w:cs="Calibri"/>
          <w:color w:val="414042"/>
          <w:spacing w:val="-4"/>
        </w:rPr>
        <w:t xml:space="preserve"> </w:t>
      </w:r>
      <w:r w:rsidRPr="00CA2CC1">
        <w:rPr>
          <w:rFonts w:cs="Calibri"/>
          <w:color w:val="414042"/>
        </w:rPr>
        <w:t>underlying</w:t>
      </w:r>
      <w:r w:rsidRPr="00CA2CC1">
        <w:rPr>
          <w:rFonts w:cs="Calibri"/>
          <w:color w:val="414042"/>
          <w:spacing w:val="-4"/>
        </w:rPr>
        <w:t xml:space="preserve"> </w:t>
      </w:r>
      <w:r w:rsidRPr="00CA2CC1">
        <w:rPr>
          <w:rFonts w:cs="Calibri"/>
          <w:color w:val="414042"/>
        </w:rPr>
        <w:t>asset)</w:t>
      </w:r>
      <w:r w:rsidRPr="00CA2CC1">
        <w:rPr>
          <w:rFonts w:cs="Calibri"/>
          <w:color w:val="414042"/>
          <w:spacing w:val="-4"/>
        </w:rPr>
        <w:t xml:space="preserve"> </w:t>
      </w:r>
      <w:r w:rsidRPr="00CA2CC1">
        <w:rPr>
          <w:rFonts w:cs="Calibri"/>
          <w:color w:val="414042"/>
        </w:rPr>
        <w:t>for a period of time in exchange for consideration’. To apply this</w:t>
      </w:r>
      <w:r w:rsidRPr="00CA2CC1">
        <w:rPr>
          <w:rFonts w:cs="Calibri"/>
          <w:color w:val="414042"/>
          <w:spacing w:val="-4"/>
        </w:rPr>
        <w:t xml:space="preserve"> </w:t>
      </w:r>
      <w:r w:rsidRPr="00CA2CC1">
        <w:rPr>
          <w:rFonts w:cs="Calibri"/>
          <w:color w:val="414042"/>
        </w:rPr>
        <w:t>definition,</w:t>
      </w:r>
      <w:r w:rsidRPr="00CA2CC1">
        <w:rPr>
          <w:rFonts w:cs="Calibri"/>
          <w:color w:val="414042"/>
          <w:spacing w:val="-4"/>
        </w:rPr>
        <w:t xml:space="preserve"> </w:t>
      </w:r>
      <w:r w:rsidRPr="00CA2CC1">
        <w:rPr>
          <w:rFonts w:cs="Calibri"/>
          <w:color w:val="414042"/>
        </w:rPr>
        <w:t>Infrastructure</w:t>
      </w:r>
      <w:r w:rsidRPr="00CA2CC1">
        <w:rPr>
          <w:rFonts w:cs="Calibri"/>
          <w:color w:val="414042"/>
          <w:spacing w:val="-4"/>
        </w:rPr>
        <w:t xml:space="preserve"> </w:t>
      </w:r>
      <w:r w:rsidRPr="00CA2CC1">
        <w:rPr>
          <w:rFonts w:cs="Calibri"/>
          <w:color w:val="414042"/>
        </w:rPr>
        <w:t>Victoria</w:t>
      </w:r>
      <w:r w:rsidRPr="00CA2CC1">
        <w:rPr>
          <w:rFonts w:cs="Calibri"/>
          <w:color w:val="414042"/>
          <w:spacing w:val="-4"/>
        </w:rPr>
        <w:t xml:space="preserve"> </w:t>
      </w:r>
      <w:r w:rsidRPr="00CA2CC1">
        <w:rPr>
          <w:rFonts w:cs="Calibri"/>
          <w:color w:val="414042"/>
        </w:rPr>
        <w:t>assesses</w:t>
      </w:r>
      <w:r w:rsidRPr="00CA2CC1">
        <w:rPr>
          <w:rFonts w:cs="Calibri"/>
          <w:color w:val="414042"/>
          <w:spacing w:val="-4"/>
        </w:rPr>
        <w:t xml:space="preserve"> </w:t>
      </w:r>
      <w:r w:rsidRPr="00CA2CC1">
        <w:rPr>
          <w:rFonts w:cs="Calibri"/>
          <w:color w:val="414042"/>
        </w:rPr>
        <w:t>whether</w:t>
      </w:r>
      <w:r w:rsidRPr="00CA2CC1">
        <w:rPr>
          <w:rFonts w:cs="Calibri"/>
          <w:color w:val="414042"/>
          <w:spacing w:val="-4"/>
        </w:rPr>
        <w:t xml:space="preserve"> </w:t>
      </w:r>
      <w:r w:rsidRPr="00CA2CC1">
        <w:rPr>
          <w:rFonts w:cs="Calibri"/>
          <w:color w:val="414042"/>
        </w:rPr>
        <w:t>the contract meets three key evaluations:</w:t>
      </w:r>
    </w:p>
    <w:p w14:paraId="677C27F9" w14:textId="77777777" w:rsidR="00405B9A" w:rsidRPr="00CA2CC1" w:rsidRDefault="00405B9A" w:rsidP="0043303B">
      <w:pPr>
        <w:pStyle w:val="BodyText"/>
        <w:numPr>
          <w:ilvl w:val="0"/>
          <w:numId w:val="64"/>
        </w:numPr>
        <w:rPr>
          <w:rFonts w:cs="Calibri"/>
        </w:rPr>
      </w:pPr>
      <w:r w:rsidRPr="00CA2CC1">
        <w:rPr>
          <w:rFonts w:cs="Calibri"/>
        </w:rPr>
        <w:t>Whether the contract contains an identified asset, which is either explicitly identified in the contract or implicitly</w:t>
      </w:r>
      <w:r w:rsidRPr="00CA2CC1">
        <w:rPr>
          <w:rFonts w:cs="Calibri"/>
          <w:spacing w:val="-3"/>
        </w:rPr>
        <w:t xml:space="preserve"> </w:t>
      </w:r>
      <w:r w:rsidRPr="00CA2CC1">
        <w:rPr>
          <w:rFonts w:cs="Calibri"/>
        </w:rPr>
        <w:t>specified</w:t>
      </w:r>
      <w:r w:rsidRPr="00CA2CC1">
        <w:rPr>
          <w:rFonts w:cs="Calibri"/>
          <w:spacing w:val="-3"/>
        </w:rPr>
        <w:t xml:space="preserve"> </w:t>
      </w:r>
      <w:r w:rsidRPr="00CA2CC1">
        <w:rPr>
          <w:rFonts w:cs="Calibri"/>
        </w:rPr>
        <w:t>by</w:t>
      </w:r>
      <w:r w:rsidRPr="00CA2CC1">
        <w:rPr>
          <w:rFonts w:cs="Calibri"/>
          <w:spacing w:val="-3"/>
        </w:rPr>
        <w:t xml:space="preserve"> </w:t>
      </w:r>
      <w:r w:rsidRPr="00CA2CC1">
        <w:rPr>
          <w:rFonts w:cs="Calibri"/>
        </w:rPr>
        <w:t>being</w:t>
      </w:r>
      <w:r w:rsidRPr="00CA2CC1">
        <w:rPr>
          <w:rFonts w:cs="Calibri"/>
          <w:spacing w:val="-3"/>
        </w:rPr>
        <w:t xml:space="preserve"> </w:t>
      </w:r>
      <w:r w:rsidRPr="00CA2CC1">
        <w:rPr>
          <w:rFonts w:cs="Calibri"/>
        </w:rPr>
        <w:t>identified</w:t>
      </w:r>
      <w:r w:rsidRPr="00CA2CC1">
        <w:rPr>
          <w:rFonts w:cs="Calibri"/>
          <w:spacing w:val="-3"/>
        </w:rPr>
        <w:t xml:space="preserve"> </w:t>
      </w:r>
      <w:r w:rsidRPr="00CA2CC1">
        <w:rPr>
          <w:rFonts w:cs="Calibri"/>
        </w:rPr>
        <w:t>at</w:t>
      </w:r>
      <w:r w:rsidRPr="00CA2CC1">
        <w:rPr>
          <w:rFonts w:cs="Calibri"/>
          <w:spacing w:val="-3"/>
        </w:rPr>
        <w:t xml:space="preserve"> </w:t>
      </w:r>
      <w:r w:rsidRPr="00CA2CC1">
        <w:rPr>
          <w:rFonts w:cs="Calibri"/>
        </w:rPr>
        <w:t>the</w:t>
      </w:r>
      <w:r w:rsidRPr="00CA2CC1">
        <w:rPr>
          <w:rFonts w:cs="Calibri"/>
          <w:spacing w:val="-3"/>
        </w:rPr>
        <w:t xml:space="preserve"> </w:t>
      </w:r>
      <w:r w:rsidRPr="00CA2CC1">
        <w:rPr>
          <w:rFonts w:cs="Calibri"/>
        </w:rPr>
        <w:t>time</w:t>
      </w:r>
      <w:r w:rsidRPr="00CA2CC1">
        <w:rPr>
          <w:rFonts w:cs="Calibri"/>
          <w:spacing w:val="-3"/>
        </w:rPr>
        <w:t xml:space="preserve"> </w:t>
      </w:r>
      <w:r w:rsidRPr="00CA2CC1">
        <w:rPr>
          <w:rFonts w:cs="Calibri"/>
        </w:rPr>
        <w:t>the asset</w:t>
      </w:r>
      <w:r w:rsidRPr="00CA2CC1">
        <w:rPr>
          <w:rFonts w:cs="Calibri"/>
          <w:spacing w:val="-6"/>
        </w:rPr>
        <w:t xml:space="preserve"> </w:t>
      </w:r>
      <w:r w:rsidRPr="00CA2CC1">
        <w:rPr>
          <w:rFonts w:cs="Calibri"/>
        </w:rPr>
        <w:t>is</w:t>
      </w:r>
      <w:r w:rsidRPr="00CA2CC1">
        <w:rPr>
          <w:rFonts w:cs="Calibri"/>
          <w:spacing w:val="-6"/>
        </w:rPr>
        <w:t xml:space="preserve"> </w:t>
      </w:r>
      <w:r w:rsidRPr="00CA2CC1">
        <w:rPr>
          <w:rFonts w:cs="Calibri"/>
        </w:rPr>
        <w:t>made</w:t>
      </w:r>
      <w:r w:rsidRPr="00CA2CC1">
        <w:rPr>
          <w:rFonts w:cs="Calibri"/>
          <w:spacing w:val="-6"/>
        </w:rPr>
        <w:t xml:space="preserve"> </w:t>
      </w:r>
      <w:r w:rsidRPr="00CA2CC1">
        <w:rPr>
          <w:rFonts w:cs="Calibri"/>
        </w:rPr>
        <w:t>available</w:t>
      </w:r>
      <w:r w:rsidRPr="00CA2CC1">
        <w:rPr>
          <w:rFonts w:cs="Calibri"/>
          <w:spacing w:val="-6"/>
        </w:rPr>
        <w:t xml:space="preserve"> </w:t>
      </w:r>
      <w:r w:rsidRPr="00CA2CC1">
        <w:rPr>
          <w:rFonts w:cs="Calibri"/>
        </w:rPr>
        <w:t>to</w:t>
      </w:r>
      <w:r w:rsidRPr="00CA2CC1">
        <w:rPr>
          <w:rFonts w:cs="Calibri"/>
          <w:spacing w:val="-6"/>
        </w:rPr>
        <w:t xml:space="preserve"> </w:t>
      </w:r>
      <w:r w:rsidRPr="00CA2CC1">
        <w:rPr>
          <w:rFonts w:cs="Calibri"/>
        </w:rPr>
        <w:t>Infrastructure</w:t>
      </w:r>
      <w:r w:rsidRPr="00CA2CC1">
        <w:rPr>
          <w:rFonts w:cs="Calibri"/>
          <w:spacing w:val="-6"/>
        </w:rPr>
        <w:t xml:space="preserve"> </w:t>
      </w:r>
      <w:r w:rsidRPr="00CA2CC1">
        <w:rPr>
          <w:rFonts w:cs="Calibri"/>
        </w:rPr>
        <w:t>Victoria</w:t>
      </w:r>
      <w:r w:rsidRPr="00CA2CC1">
        <w:rPr>
          <w:rFonts w:cs="Calibri"/>
          <w:spacing w:val="-6"/>
        </w:rPr>
        <w:t xml:space="preserve"> </w:t>
      </w:r>
      <w:r w:rsidRPr="00CA2CC1">
        <w:rPr>
          <w:rFonts w:cs="Calibri"/>
        </w:rPr>
        <w:t>and for which the supplier does not have substantive substitution rights;</w:t>
      </w:r>
    </w:p>
    <w:p w14:paraId="211677C4" w14:textId="77777777" w:rsidR="00405B9A" w:rsidRPr="00CA2CC1" w:rsidRDefault="00405B9A" w:rsidP="0043303B">
      <w:pPr>
        <w:pStyle w:val="BodyText"/>
        <w:numPr>
          <w:ilvl w:val="0"/>
          <w:numId w:val="64"/>
        </w:numPr>
        <w:rPr>
          <w:rFonts w:cs="Calibri"/>
        </w:rPr>
      </w:pPr>
      <w:r w:rsidRPr="00CA2CC1">
        <w:rPr>
          <w:rFonts w:cs="Calibri"/>
        </w:rPr>
        <w:t>Whether Infrastructure Victoria has the right to obtain substantially all of the economic benefits from use of the identified</w:t>
      </w:r>
      <w:r w:rsidRPr="00CA2CC1">
        <w:rPr>
          <w:rFonts w:cs="Calibri"/>
          <w:spacing w:val="-8"/>
        </w:rPr>
        <w:t xml:space="preserve"> </w:t>
      </w:r>
      <w:r w:rsidRPr="00CA2CC1">
        <w:rPr>
          <w:rFonts w:cs="Calibri"/>
        </w:rPr>
        <w:t>asset</w:t>
      </w:r>
      <w:r w:rsidRPr="00CA2CC1">
        <w:rPr>
          <w:rFonts w:cs="Calibri"/>
          <w:spacing w:val="-8"/>
        </w:rPr>
        <w:t xml:space="preserve"> </w:t>
      </w:r>
      <w:r w:rsidRPr="00CA2CC1">
        <w:rPr>
          <w:rFonts w:cs="Calibri"/>
        </w:rPr>
        <w:t>throughout</w:t>
      </w:r>
      <w:r w:rsidRPr="00CA2CC1">
        <w:rPr>
          <w:rFonts w:cs="Calibri"/>
          <w:spacing w:val="-8"/>
        </w:rPr>
        <w:t xml:space="preserve"> </w:t>
      </w:r>
      <w:r w:rsidRPr="00CA2CC1">
        <w:rPr>
          <w:rFonts w:cs="Calibri"/>
        </w:rPr>
        <w:t>the</w:t>
      </w:r>
      <w:r w:rsidRPr="00CA2CC1">
        <w:rPr>
          <w:rFonts w:cs="Calibri"/>
          <w:spacing w:val="-8"/>
        </w:rPr>
        <w:t xml:space="preserve"> </w:t>
      </w:r>
      <w:r w:rsidRPr="00CA2CC1">
        <w:rPr>
          <w:rFonts w:cs="Calibri"/>
        </w:rPr>
        <w:t>period</w:t>
      </w:r>
      <w:r w:rsidRPr="00CA2CC1">
        <w:rPr>
          <w:rFonts w:cs="Calibri"/>
          <w:spacing w:val="-8"/>
        </w:rPr>
        <w:t xml:space="preserve"> </w:t>
      </w:r>
      <w:r w:rsidRPr="00CA2CC1">
        <w:rPr>
          <w:rFonts w:cs="Calibri"/>
        </w:rPr>
        <w:t>of</w:t>
      </w:r>
      <w:r w:rsidRPr="00CA2CC1">
        <w:rPr>
          <w:rFonts w:cs="Calibri"/>
          <w:spacing w:val="-8"/>
        </w:rPr>
        <w:t xml:space="preserve"> </w:t>
      </w:r>
      <w:r w:rsidRPr="00CA2CC1">
        <w:rPr>
          <w:rFonts w:cs="Calibri"/>
        </w:rPr>
        <w:t>use,</w:t>
      </w:r>
      <w:r w:rsidRPr="00CA2CC1">
        <w:rPr>
          <w:rFonts w:cs="Calibri"/>
          <w:spacing w:val="-8"/>
        </w:rPr>
        <w:t xml:space="preserve"> </w:t>
      </w:r>
      <w:r w:rsidRPr="00CA2CC1">
        <w:rPr>
          <w:rFonts w:cs="Calibri"/>
        </w:rPr>
        <w:t>considering its rights within the defined scope of the contract and Infrastructure Victoria has the right to direct the use of the identified asset throughout the period of use; and</w:t>
      </w:r>
    </w:p>
    <w:p w14:paraId="75FD5ACA" w14:textId="77777777" w:rsidR="00405B9A" w:rsidRPr="00CA2CC1" w:rsidRDefault="00405B9A" w:rsidP="0043303B">
      <w:pPr>
        <w:pStyle w:val="BodyText"/>
        <w:numPr>
          <w:ilvl w:val="0"/>
          <w:numId w:val="64"/>
        </w:numPr>
        <w:rPr>
          <w:rFonts w:cs="Calibri"/>
        </w:rPr>
      </w:pPr>
      <w:r w:rsidRPr="00CA2CC1">
        <w:rPr>
          <w:rFonts w:cs="Calibri"/>
        </w:rPr>
        <w:t>Whether</w:t>
      </w:r>
      <w:r w:rsidRPr="00CA2CC1">
        <w:rPr>
          <w:rFonts w:cs="Calibri"/>
          <w:spacing w:val="-6"/>
        </w:rPr>
        <w:t xml:space="preserve"> </w:t>
      </w:r>
      <w:r w:rsidRPr="00CA2CC1">
        <w:rPr>
          <w:rFonts w:cs="Calibri"/>
        </w:rPr>
        <w:t>Infrastructure</w:t>
      </w:r>
      <w:r w:rsidRPr="00CA2CC1">
        <w:rPr>
          <w:rFonts w:cs="Calibri"/>
          <w:spacing w:val="-6"/>
        </w:rPr>
        <w:t xml:space="preserve"> </w:t>
      </w:r>
      <w:r w:rsidRPr="00CA2CC1">
        <w:rPr>
          <w:rFonts w:cs="Calibri"/>
        </w:rPr>
        <w:t>Victoria</w:t>
      </w:r>
      <w:r w:rsidRPr="00CA2CC1">
        <w:rPr>
          <w:rFonts w:cs="Calibri"/>
          <w:spacing w:val="-6"/>
        </w:rPr>
        <w:t xml:space="preserve"> </w:t>
      </w:r>
      <w:r w:rsidRPr="00CA2CC1">
        <w:rPr>
          <w:rFonts w:cs="Calibri"/>
        </w:rPr>
        <w:t>has</w:t>
      </w:r>
      <w:r w:rsidRPr="00CA2CC1">
        <w:rPr>
          <w:rFonts w:cs="Calibri"/>
          <w:spacing w:val="-6"/>
        </w:rPr>
        <w:t xml:space="preserve"> </w:t>
      </w:r>
      <w:r w:rsidRPr="00CA2CC1">
        <w:rPr>
          <w:rFonts w:cs="Calibri"/>
        </w:rPr>
        <w:t>the</w:t>
      </w:r>
      <w:r w:rsidRPr="00CA2CC1">
        <w:rPr>
          <w:rFonts w:cs="Calibri"/>
          <w:spacing w:val="-6"/>
        </w:rPr>
        <w:t xml:space="preserve"> </w:t>
      </w:r>
      <w:r w:rsidRPr="00CA2CC1">
        <w:rPr>
          <w:rFonts w:cs="Calibri"/>
        </w:rPr>
        <w:t>right</w:t>
      </w:r>
      <w:r w:rsidRPr="00CA2CC1">
        <w:rPr>
          <w:rFonts w:cs="Calibri"/>
          <w:spacing w:val="-6"/>
        </w:rPr>
        <w:t xml:space="preserve"> </w:t>
      </w:r>
      <w:r w:rsidRPr="00CA2CC1">
        <w:rPr>
          <w:rFonts w:cs="Calibri"/>
        </w:rPr>
        <w:t>to</w:t>
      </w:r>
      <w:r w:rsidRPr="00CA2CC1">
        <w:rPr>
          <w:rFonts w:cs="Calibri"/>
          <w:spacing w:val="-6"/>
        </w:rPr>
        <w:t xml:space="preserve"> </w:t>
      </w:r>
      <w:r w:rsidRPr="00CA2CC1">
        <w:rPr>
          <w:rFonts w:cs="Calibri"/>
        </w:rPr>
        <w:t>take decisions</w:t>
      </w:r>
      <w:r w:rsidRPr="00CA2CC1">
        <w:rPr>
          <w:rFonts w:cs="Calibri"/>
          <w:spacing w:val="-4"/>
        </w:rPr>
        <w:t xml:space="preserve"> </w:t>
      </w:r>
      <w:r w:rsidRPr="00CA2CC1">
        <w:rPr>
          <w:rFonts w:cs="Calibri"/>
        </w:rPr>
        <w:t>in</w:t>
      </w:r>
      <w:r w:rsidRPr="00CA2CC1">
        <w:rPr>
          <w:rFonts w:cs="Calibri"/>
          <w:spacing w:val="-4"/>
        </w:rPr>
        <w:t xml:space="preserve"> </w:t>
      </w:r>
      <w:r w:rsidRPr="00CA2CC1">
        <w:rPr>
          <w:rFonts w:cs="Calibri"/>
        </w:rPr>
        <w:t>respect</w:t>
      </w:r>
      <w:r w:rsidRPr="00CA2CC1">
        <w:rPr>
          <w:rFonts w:cs="Calibri"/>
          <w:spacing w:val="-4"/>
        </w:rPr>
        <w:t xml:space="preserve"> </w:t>
      </w:r>
      <w:r w:rsidRPr="00CA2CC1">
        <w:rPr>
          <w:rFonts w:cs="Calibri"/>
        </w:rPr>
        <w:t>of</w:t>
      </w:r>
      <w:r w:rsidRPr="00CA2CC1">
        <w:rPr>
          <w:rFonts w:cs="Calibri"/>
          <w:spacing w:val="-4"/>
        </w:rPr>
        <w:t xml:space="preserve"> </w:t>
      </w:r>
      <w:r w:rsidRPr="00CA2CC1">
        <w:rPr>
          <w:rFonts w:cs="Calibri"/>
        </w:rPr>
        <w:t>‘how</w:t>
      </w:r>
      <w:r w:rsidRPr="00CA2CC1">
        <w:rPr>
          <w:rFonts w:cs="Calibri"/>
          <w:spacing w:val="-4"/>
        </w:rPr>
        <w:t xml:space="preserve"> </w:t>
      </w:r>
      <w:r w:rsidRPr="00CA2CC1">
        <w:rPr>
          <w:rFonts w:cs="Calibri"/>
        </w:rPr>
        <w:t>and</w:t>
      </w:r>
      <w:r w:rsidRPr="00CA2CC1">
        <w:rPr>
          <w:rFonts w:cs="Calibri"/>
          <w:spacing w:val="-4"/>
        </w:rPr>
        <w:t xml:space="preserve"> </w:t>
      </w:r>
      <w:r w:rsidRPr="00CA2CC1">
        <w:rPr>
          <w:rFonts w:cs="Calibri"/>
        </w:rPr>
        <w:t>for</w:t>
      </w:r>
      <w:r w:rsidRPr="00CA2CC1">
        <w:rPr>
          <w:rFonts w:cs="Calibri"/>
          <w:spacing w:val="-4"/>
        </w:rPr>
        <w:t xml:space="preserve"> </w:t>
      </w:r>
      <w:r w:rsidRPr="00CA2CC1">
        <w:rPr>
          <w:rFonts w:cs="Calibri"/>
        </w:rPr>
        <w:t>what</w:t>
      </w:r>
      <w:r w:rsidRPr="00CA2CC1">
        <w:rPr>
          <w:rFonts w:cs="Calibri"/>
          <w:spacing w:val="-4"/>
        </w:rPr>
        <w:t xml:space="preserve"> </w:t>
      </w:r>
      <w:r w:rsidRPr="00CA2CC1">
        <w:rPr>
          <w:rFonts w:cs="Calibri"/>
        </w:rPr>
        <w:t>purpose’ the asset is used throughout the period of use.</w:t>
      </w:r>
    </w:p>
    <w:p w14:paraId="1390E741" w14:textId="77777777" w:rsidR="00405B9A" w:rsidRPr="00CA2CC1" w:rsidRDefault="00405B9A" w:rsidP="0043303B">
      <w:pPr>
        <w:pStyle w:val="BodyText"/>
        <w:spacing w:before="113"/>
        <w:rPr>
          <w:rFonts w:cs="Calibri"/>
        </w:rPr>
      </w:pPr>
      <w:r w:rsidRPr="00CA2CC1">
        <w:rPr>
          <w:rFonts w:cs="Calibri"/>
          <w:color w:val="414042"/>
        </w:rPr>
        <w:t xml:space="preserve">Separation of lease and non-lease </w:t>
      </w:r>
      <w:r w:rsidRPr="00CA2CC1">
        <w:rPr>
          <w:rFonts w:cs="Calibri"/>
          <w:color w:val="414042"/>
          <w:spacing w:val="-2"/>
        </w:rPr>
        <w:t>components</w:t>
      </w:r>
    </w:p>
    <w:p w14:paraId="3904636F" w14:textId="77777777" w:rsidR="00405B9A" w:rsidRPr="00CA2CC1" w:rsidRDefault="00405B9A" w:rsidP="0043303B">
      <w:pPr>
        <w:pStyle w:val="BodyText"/>
        <w:spacing w:before="116"/>
        <w:rPr>
          <w:rFonts w:cs="Calibri"/>
        </w:rPr>
      </w:pPr>
      <w:r w:rsidRPr="00CA2CC1">
        <w:rPr>
          <w:rFonts w:cs="Calibri"/>
          <w:color w:val="414042"/>
        </w:rPr>
        <w:t>At</w:t>
      </w:r>
      <w:r w:rsidRPr="00CA2CC1">
        <w:rPr>
          <w:rFonts w:cs="Calibri"/>
          <w:color w:val="414042"/>
          <w:spacing w:val="-5"/>
        </w:rPr>
        <w:t xml:space="preserve"> </w:t>
      </w:r>
      <w:r w:rsidRPr="00CA2CC1">
        <w:rPr>
          <w:rFonts w:cs="Calibri"/>
          <w:color w:val="414042"/>
        </w:rPr>
        <w:t>inception</w:t>
      </w:r>
      <w:r w:rsidRPr="00CA2CC1">
        <w:rPr>
          <w:rFonts w:cs="Calibri"/>
          <w:color w:val="414042"/>
          <w:spacing w:val="-5"/>
        </w:rPr>
        <w:t xml:space="preserve"> </w:t>
      </w:r>
      <w:r w:rsidRPr="00CA2CC1">
        <w:rPr>
          <w:rFonts w:cs="Calibri"/>
          <w:color w:val="414042"/>
        </w:rPr>
        <w:t>or</w:t>
      </w:r>
      <w:r w:rsidRPr="00CA2CC1">
        <w:rPr>
          <w:rFonts w:cs="Calibri"/>
          <w:color w:val="414042"/>
          <w:spacing w:val="-5"/>
        </w:rPr>
        <w:t xml:space="preserve"> </w:t>
      </w:r>
      <w:r w:rsidRPr="00CA2CC1">
        <w:rPr>
          <w:rFonts w:cs="Calibri"/>
          <w:color w:val="414042"/>
        </w:rPr>
        <w:t>on</w:t>
      </w:r>
      <w:r w:rsidRPr="00CA2CC1">
        <w:rPr>
          <w:rFonts w:cs="Calibri"/>
          <w:color w:val="414042"/>
          <w:spacing w:val="-5"/>
        </w:rPr>
        <w:t xml:space="preserve"> </w:t>
      </w:r>
      <w:r w:rsidRPr="00CA2CC1">
        <w:rPr>
          <w:rFonts w:cs="Calibri"/>
          <w:color w:val="414042"/>
        </w:rPr>
        <w:t>reassessment</w:t>
      </w:r>
      <w:r w:rsidRPr="00CA2CC1">
        <w:rPr>
          <w:rFonts w:cs="Calibri"/>
          <w:color w:val="414042"/>
          <w:spacing w:val="-5"/>
        </w:rPr>
        <w:t xml:space="preserve"> </w:t>
      </w:r>
      <w:r w:rsidRPr="00CA2CC1">
        <w:rPr>
          <w:rFonts w:cs="Calibri"/>
          <w:color w:val="414042"/>
        </w:rPr>
        <w:t>of</w:t>
      </w:r>
      <w:r w:rsidRPr="00CA2CC1">
        <w:rPr>
          <w:rFonts w:cs="Calibri"/>
          <w:color w:val="414042"/>
          <w:spacing w:val="-5"/>
        </w:rPr>
        <w:t xml:space="preserve"> </w:t>
      </w:r>
      <w:r w:rsidRPr="00CA2CC1">
        <w:rPr>
          <w:rFonts w:cs="Calibri"/>
          <w:color w:val="414042"/>
        </w:rPr>
        <w:t>a</w:t>
      </w:r>
      <w:r w:rsidRPr="00CA2CC1">
        <w:rPr>
          <w:rFonts w:cs="Calibri"/>
          <w:color w:val="414042"/>
          <w:spacing w:val="-5"/>
        </w:rPr>
        <w:t xml:space="preserve"> </w:t>
      </w:r>
      <w:r w:rsidRPr="00CA2CC1">
        <w:rPr>
          <w:rFonts w:cs="Calibri"/>
          <w:color w:val="414042"/>
        </w:rPr>
        <w:t>contract</w:t>
      </w:r>
      <w:r w:rsidRPr="00CA2CC1">
        <w:rPr>
          <w:rFonts w:cs="Calibri"/>
          <w:color w:val="414042"/>
          <w:spacing w:val="-5"/>
        </w:rPr>
        <w:t xml:space="preserve"> </w:t>
      </w:r>
      <w:r w:rsidRPr="00CA2CC1">
        <w:rPr>
          <w:rFonts w:cs="Calibri"/>
          <w:color w:val="414042"/>
        </w:rPr>
        <w:t>that</w:t>
      </w:r>
      <w:r w:rsidRPr="00CA2CC1">
        <w:rPr>
          <w:rFonts w:cs="Calibri"/>
          <w:color w:val="414042"/>
          <w:spacing w:val="-5"/>
        </w:rPr>
        <w:t xml:space="preserve"> </w:t>
      </w:r>
      <w:r w:rsidRPr="00CA2CC1">
        <w:rPr>
          <w:rFonts w:cs="Calibri"/>
          <w:color w:val="414042"/>
        </w:rPr>
        <w:t>contains a lease component, the lessee is required to separate</w:t>
      </w:r>
      <w:r w:rsidRPr="00CA2CC1">
        <w:rPr>
          <w:rFonts w:cs="Calibri"/>
        </w:rPr>
        <w:t xml:space="preserve"> </w:t>
      </w:r>
      <w:r w:rsidRPr="00CA2CC1">
        <w:rPr>
          <w:rFonts w:cs="Calibri"/>
          <w:color w:val="414042"/>
        </w:rPr>
        <w:t>out and account separately for non-lease components within a lease contract and exclude these amounts when determining</w:t>
      </w:r>
      <w:r w:rsidRPr="00CA2CC1">
        <w:rPr>
          <w:rFonts w:cs="Calibri"/>
          <w:color w:val="414042"/>
          <w:spacing w:val="-6"/>
        </w:rPr>
        <w:t xml:space="preserve"> </w:t>
      </w:r>
      <w:r w:rsidRPr="00CA2CC1">
        <w:rPr>
          <w:rFonts w:cs="Calibri"/>
          <w:color w:val="414042"/>
        </w:rPr>
        <w:t>the</w:t>
      </w:r>
      <w:r w:rsidRPr="00CA2CC1">
        <w:rPr>
          <w:rFonts w:cs="Calibri"/>
          <w:color w:val="414042"/>
          <w:spacing w:val="-6"/>
        </w:rPr>
        <w:t xml:space="preserve"> </w:t>
      </w:r>
      <w:r w:rsidRPr="00CA2CC1">
        <w:rPr>
          <w:rFonts w:cs="Calibri"/>
          <w:color w:val="414042"/>
        </w:rPr>
        <w:t>lease</w:t>
      </w:r>
      <w:r w:rsidRPr="00CA2CC1">
        <w:rPr>
          <w:rFonts w:cs="Calibri"/>
          <w:color w:val="414042"/>
          <w:spacing w:val="-6"/>
        </w:rPr>
        <w:t xml:space="preserve"> </w:t>
      </w:r>
      <w:r w:rsidRPr="00CA2CC1">
        <w:rPr>
          <w:rFonts w:cs="Calibri"/>
          <w:color w:val="414042"/>
        </w:rPr>
        <w:t>liability</w:t>
      </w:r>
      <w:r w:rsidRPr="00CA2CC1">
        <w:rPr>
          <w:rFonts w:cs="Calibri"/>
          <w:color w:val="414042"/>
          <w:spacing w:val="-6"/>
        </w:rPr>
        <w:t xml:space="preserve"> </w:t>
      </w:r>
      <w:r w:rsidRPr="00CA2CC1">
        <w:rPr>
          <w:rFonts w:cs="Calibri"/>
          <w:color w:val="414042"/>
        </w:rPr>
        <w:t>and</w:t>
      </w:r>
      <w:r w:rsidRPr="00CA2CC1">
        <w:rPr>
          <w:rFonts w:cs="Calibri"/>
          <w:color w:val="414042"/>
          <w:spacing w:val="-6"/>
        </w:rPr>
        <w:t xml:space="preserve"> </w:t>
      </w:r>
      <w:r w:rsidRPr="00CA2CC1">
        <w:rPr>
          <w:rFonts w:cs="Calibri"/>
          <w:color w:val="414042"/>
        </w:rPr>
        <w:t>right-of-use</w:t>
      </w:r>
      <w:r w:rsidRPr="00CA2CC1">
        <w:rPr>
          <w:rFonts w:cs="Calibri"/>
          <w:color w:val="414042"/>
          <w:spacing w:val="-6"/>
        </w:rPr>
        <w:t xml:space="preserve"> </w:t>
      </w:r>
      <w:r w:rsidRPr="00CA2CC1">
        <w:rPr>
          <w:rFonts w:cs="Calibri"/>
          <w:color w:val="414042"/>
        </w:rPr>
        <w:t>asset</w:t>
      </w:r>
      <w:r w:rsidRPr="00CA2CC1">
        <w:rPr>
          <w:rFonts w:cs="Calibri"/>
          <w:color w:val="414042"/>
          <w:spacing w:val="-6"/>
        </w:rPr>
        <w:t xml:space="preserve"> </w:t>
      </w:r>
      <w:r w:rsidRPr="00CA2CC1">
        <w:rPr>
          <w:rFonts w:cs="Calibri"/>
          <w:color w:val="414042"/>
        </w:rPr>
        <w:t>amount.</w:t>
      </w:r>
    </w:p>
    <w:p w14:paraId="7867635A" w14:textId="77777777" w:rsidR="00405B9A" w:rsidRPr="00CA2CC1" w:rsidRDefault="00405B9A" w:rsidP="0043303B">
      <w:pPr>
        <w:pStyle w:val="BodyText"/>
        <w:spacing w:before="67"/>
        <w:rPr>
          <w:rFonts w:cs="Calibri"/>
        </w:rPr>
      </w:pPr>
      <w:r w:rsidRPr="00CA2CC1">
        <w:rPr>
          <w:rFonts w:cs="Calibri"/>
          <w:color w:val="414042"/>
        </w:rPr>
        <w:t>Recognition</w:t>
      </w:r>
      <w:r w:rsidRPr="00CA2CC1">
        <w:rPr>
          <w:rFonts w:cs="Calibri"/>
          <w:color w:val="414042"/>
          <w:spacing w:val="-1"/>
        </w:rPr>
        <w:t xml:space="preserve"> </w:t>
      </w:r>
      <w:r w:rsidRPr="00CA2CC1">
        <w:rPr>
          <w:rFonts w:cs="Calibri"/>
          <w:color w:val="414042"/>
        </w:rPr>
        <w:t>and</w:t>
      </w:r>
      <w:r w:rsidRPr="00CA2CC1">
        <w:rPr>
          <w:rFonts w:cs="Calibri"/>
          <w:color w:val="414042"/>
          <w:spacing w:val="-1"/>
        </w:rPr>
        <w:t xml:space="preserve"> </w:t>
      </w:r>
      <w:r w:rsidRPr="00CA2CC1">
        <w:rPr>
          <w:rFonts w:cs="Calibri"/>
          <w:color w:val="414042"/>
        </w:rPr>
        <w:t>measurement of</w:t>
      </w:r>
      <w:r w:rsidRPr="00CA2CC1">
        <w:rPr>
          <w:rFonts w:cs="Calibri"/>
          <w:color w:val="414042"/>
          <w:spacing w:val="-1"/>
        </w:rPr>
        <w:t xml:space="preserve"> </w:t>
      </w:r>
      <w:r w:rsidRPr="00CA2CC1">
        <w:rPr>
          <w:rFonts w:cs="Calibri"/>
          <w:color w:val="414042"/>
        </w:rPr>
        <w:t>leases as</w:t>
      </w:r>
      <w:r w:rsidRPr="00CA2CC1">
        <w:rPr>
          <w:rFonts w:cs="Calibri"/>
          <w:color w:val="414042"/>
          <w:spacing w:val="-1"/>
        </w:rPr>
        <w:t xml:space="preserve"> </w:t>
      </w:r>
      <w:r w:rsidRPr="00CA2CC1">
        <w:rPr>
          <w:rFonts w:cs="Calibri"/>
          <w:color w:val="414042"/>
        </w:rPr>
        <w:t xml:space="preserve">a </w:t>
      </w:r>
      <w:r w:rsidRPr="00CA2CC1">
        <w:rPr>
          <w:rFonts w:cs="Calibri"/>
          <w:color w:val="414042"/>
          <w:spacing w:val="-2"/>
        </w:rPr>
        <w:t>lessee</w:t>
      </w:r>
    </w:p>
    <w:p w14:paraId="315B5F38" w14:textId="77777777" w:rsidR="00405B9A" w:rsidRPr="00CA2CC1" w:rsidRDefault="00405B9A" w:rsidP="0043303B">
      <w:pPr>
        <w:pStyle w:val="BodyText"/>
        <w:spacing w:before="116"/>
        <w:rPr>
          <w:rFonts w:cs="Calibri"/>
        </w:rPr>
      </w:pPr>
      <w:r w:rsidRPr="00CA2CC1">
        <w:rPr>
          <w:rFonts w:cs="Calibri"/>
          <w:color w:val="414042"/>
        </w:rPr>
        <w:t>The lease liability is initially measured at the present value of</w:t>
      </w:r>
      <w:r w:rsidRPr="00CA2CC1">
        <w:rPr>
          <w:rFonts w:cs="Calibri"/>
          <w:color w:val="414042"/>
          <w:spacing w:val="-5"/>
        </w:rPr>
        <w:t xml:space="preserve"> </w:t>
      </w:r>
      <w:r w:rsidRPr="00CA2CC1">
        <w:rPr>
          <w:rFonts w:cs="Calibri"/>
          <w:color w:val="414042"/>
        </w:rPr>
        <w:t>the</w:t>
      </w:r>
      <w:r w:rsidRPr="00CA2CC1">
        <w:rPr>
          <w:rFonts w:cs="Calibri"/>
          <w:color w:val="414042"/>
          <w:spacing w:val="-5"/>
        </w:rPr>
        <w:t xml:space="preserve"> </w:t>
      </w:r>
      <w:r w:rsidRPr="00CA2CC1">
        <w:rPr>
          <w:rFonts w:cs="Calibri"/>
          <w:color w:val="414042"/>
        </w:rPr>
        <w:t>lease</w:t>
      </w:r>
      <w:r w:rsidRPr="00CA2CC1">
        <w:rPr>
          <w:rFonts w:cs="Calibri"/>
          <w:color w:val="414042"/>
          <w:spacing w:val="-5"/>
        </w:rPr>
        <w:t xml:space="preserve"> </w:t>
      </w:r>
      <w:r w:rsidRPr="00CA2CC1">
        <w:rPr>
          <w:rFonts w:cs="Calibri"/>
          <w:color w:val="414042"/>
        </w:rPr>
        <w:t>payments</w:t>
      </w:r>
      <w:r w:rsidRPr="00CA2CC1">
        <w:rPr>
          <w:rFonts w:cs="Calibri"/>
          <w:color w:val="414042"/>
          <w:spacing w:val="-5"/>
        </w:rPr>
        <w:t xml:space="preserve"> </w:t>
      </w:r>
      <w:r w:rsidRPr="00CA2CC1">
        <w:rPr>
          <w:rFonts w:cs="Calibri"/>
          <w:color w:val="414042"/>
        </w:rPr>
        <w:t>unpaid</w:t>
      </w:r>
      <w:r w:rsidRPr="00CA2CC1">
        <w:rPr>
          <w:rFonts w:cs="Calibri"/>
          <w:color w:val="414042"/>
          <w:spacing w:val="-5"/>
        </w:rPr>
        <w:t xml:space="preserve"> </w:t>
      </w:r>
      <w:r w:rsidRPr="00CA2CC1">
        <w:rPr>
          <w:rFonts w:cs="Calibri"/>
          <w:color w:val="414042"/>
        </w:rPr>
        <w:t>at</w:t>
      </w:r>
      <w:r w:rsidRPr="00CA2CC1">
        <w:rPr>
          <w:rFonts w:cs="Calibri"/>
          <w:color w:val="414042"/>
          <w:spacing w:val="-5"/>
        </w:rPr>
        <w:t xml:space="preserve"> </w:t>
      </w:r>
      <w:r w:rsidRPr="00CA2CC1">
        <w:rPr>
          <w:rFonts w:cs="Calibri"/>
          <w:color w:val="414042"/>
        </w:rPr>
        <w:t>the</w:t>
      </w:r>
      <w:r w:rsidRPr="00CA2CC1">
        <w:rPr>
          <w:rFonts w:cs="Calibri"/>
          <w:color w:val="414042"/>
          <w:spacing w:val="-5"/>
        </w:rPr>
        <w:t xml:space="preserve"> </w:t>
      </w:r>
      <w:r w:rsidRPr="00CA2CC1">
        <w:rPr>
          <w:rFonts w:cs="Calibri"/>
          <w:color w:val="414042"/>
        </w:rPr>
        <w:t>commencement</w:t>
      </w:r>
      <w:r w:rsidRPr="00CA2CC1">
        <w:rPr>
          <w:rFonts w:cs="Calibri"/>
          <w:color w:val="414042"/>
          <w:spacing w:val="-5"/>
        </w:rPr>
        <w:t xml:space="preserve"> </w:t>
      </w:r>
      <w:r w:rsidRPr="00CA2CC1">
        <w:rPr>
          <w:rFonts w:cs="Calibri"/>
          <w:color w:val="414042"/>
        </w:rPr>
        <w:t>date, discounted using the interest rate implicit in the lease if</w:t>
      </w:r>
      <w:r w:rsidRPr="00CA2CC1">
        <w:rPr>
          <w:rFonts w:cs="Calibri"/>
          <w:color w:val="414042"/>
          <w:spacing w:val="40"/>
        </w:rPr>
        <w:t xml:space="preserve"> </w:t>
      </w:r>
      <w:r w:rsidRPr="00CA2CC1">
        <w:rPr>
          <w:rFonts w:cs="Calibri"/>
          <w:color w:val="414042"/>
        </w:rPr>
        <w:t>that rate is readily determinable or Infrastructure Victoria’s incremental borrowing rate.</w:t>
      </w:r>
    </w:p>
    <w:p w14:paraId="1960B400" w14:textId="77777777" w:rsidR="00405B9A" w:rsidRPr="00CA2CC1" w:rsidRDefault="00405B9A" w:rsidP="0043303B">
      <w:pPr>
        <w:pStyle w:val="BodyText"/>
        <w:spacing w:before="114"/>
        <w:rPr>
          <w:rFonts w:cs="Calibri"/>
        </w:rPr>
      </w:pPr>
      <w:r w:rsidRPr="00CA2CC1">
        <w:rPr>
          <w:rFonts w:cs="Calibri"/>
          <w:color w:val="414042"/>
        </w:rPr>
        <w:t>Lease</w:t>
      </w:r>
      <w:r w:rsidRPr="00CA2CC1">
        <w:rPr>
          <w:rFonts w:cs="Calibri"/>
          <w:color w:val="414042"/>
          <w:spacing w:val="-5"/>
        </w:rPr>
        <w:t xml:space="preserve"> </w:t>
      </w:r>
      <w:r w:rsidRPr="00CA2CC1">
        <w:rPr>
          <w:rFonts w:cs="Calibri"/>
          <w:color w:val="414042"/>
        </w:rPr>
        <w:t>payments</w:t>
      </w:r>
      <w:r w:rsidRPr="00CA2CC1">
        <w:rPr>
          <w:rFonts w:cs="Calibri"/>
          <w:color w:val="414042"/>
          <w:spacing w:val="-5"/>
        </w:rPr>
        <w:t xml:space="preserve"> </w:t>
      </w:r>
      <w:r w:rsidRPr="00CA2CC1">
        <w:rPr>
          <w:rFonts w:cs="Calibri"/>
          <w:color w:val="414042"/>
        </w:rPr>
        <w:t>included</w:t>
      </w:r>
      <w:r w:rsidRPr="00CA2CC1">
        <w:rPr>
          <w:rFonts w:cs="Calibri"/>
          <w:color w:val="414042"/>
          <w:spacing w:val="-5"/>
        </w:rPr>
        <w:t xml:space="preserve"> </w:t>
      </w:r>
      <w:r w:rsidRPr="00CA2CC1">
        <w:rPr>
          <w:rFonts w:cs="Calibri"/>
          <w:color w:val="414042"/>
        </w:rPr>
        <w:t>in</w:t>
      </w:r>
      <w:r w:rsidRPr="00CA2CC1">
        <w:rPr>
          <w:rFonts w:cs="Calibri"/>
          <w:color w:val="414042"/>
          <w:spacing w:val="-5"/>
        </w:rPr>
        <w:t xml:space="preserve"> </w:t>
      </w:r>
      <w:r w:rsidRPr="00CA2CC1">
        <w:rPr>
          <w:rFonts w:cs="Calibri"/>
          <w:color w:val="414042"/>
        </w:rPr>
        <w:t>the</w:t>
      </w:r>
      <w:r w:rsidRPr="00CA2CC1">
        <w:rPr>
          <w:rFonts w:cs="Calibri"/>
          <w:color w:val="414042"/>
          <w:spacing w:val="-5"/>
        </w:rPr>
        <w:t xml:space="preserve"> </w:t>
      </w:r>
      <w:r w:rsidRPr="00CA2CC1">
        <w:rPr>
          <w:rFonts w:cs="Calibri"/>
          <w:color w:val="414042"/>
        </w:rPr>
        <w:t>measurement</w:t>
      </w:r>
      <w:r w:rsidRPr="00CA2CC1">
        <w:rPr>
          <w:rFonts w:cs="Calibri"/>
          <w:color w:val="414042"/>
          <w:spacing w:val="-5"/>
        </w:rPr>
        <w:t xml:space="preserve"> </w:t>
      </w:r>
      <w:r w:rsidRPr="00CA2CC1">
        <w:rPr>
          <w:rFonts w:cs="Calibri"/>
          <w:color w:val="414042"/>
        </w:rPr>
        <w:t>of</w:t>
      </w:r>
      <w:r w:rsidRPr="00CA2CC1">
        <w:rPr>
          <w:rFonts w:cs="Calibri"/>
          <w:color w:val="414042"/>
          <w:spacing w:val="-5"/>
        </w:rPr>
        <w:t xml:space="preserve"> </w:t>
      </w:r>
      <w:r w:rsidRPr="00CA2CC1">
        <w:rPr>
          <w:rFonts w:cs="Calibri"/>
          <w:color w:val="414042"/>
        </w:rPr>
        <w:t>the</w:t>
      </w:r>
      <w:r w:rsidRPr="00CA2CC1">
        <w:rPr>
          <w:rFonts w:cs="Calibri"/>
          <w:color w:val="414042"/>
          <w:spacing w:val="-5"/>
        </w:rPr>
        <w:t xml:space="preserve"> </w:t>
      </w:r>
      <w:r w:rsidRPr="00CA2CC1">
        <w:rPr>
          <w:rFonts w:cs="Calibri"/>
          <w:color w:val="414042"/>
        </w:rPr>
        <w:t>lease liability comprise the following:</w:t>
      </w:r>
    </w:p>
    <w:p w14:paraId="2DE61082" w14:textId="77777777" w:rsidR="00405B9A" w:rsidRPr="00CA2CC1" w:rsidRDefault="00405B9A" w:rsidP="0043303B">
      <w:pPr>
        <w:pStyle w:val="BodyText"/>
        <w:numPr>
          <w:ilvl w:val="0"/>
          <w:numId w:val="65"/>
        </w:numPr>
        <w:rPr>
          <w:rFonts w:cs="Calibri"/>
        </w:rPr>
      </w:pPr>
      <w:r w:rsidRPr="00CA2CC1">
        <w:rPr>
          <w:rFonts w:cs="Calibri"/>
        </w:rPr>
        <w:t>fixed payments (including in-substance fixed payments) less any lease incentive receivable;</w:t>
      </w:r>
    </w:p>
    <w:p w14:paraId="6E142104" w14:textId="77777777" w:rsidR="00405B9A" w:rsidRPr="00CA2CC1" w:rsidRDefault="00405B9A" w:rsidP="0043303B">
      <w:pPr>
        <w:pStyle w:val="BodyText"/>
        <w:numPr>
          <w:ilvl w:val="0"/>
          <w:numId w:val="65"/>
        </w:numPr>
        <w:rPr>
          <w:rFonts w:cs="Calibri"/>
        </w:rPr>
      </w:pPr>
      <w:r w:rsidRPr="00CA2CC1">
        <w:rPr>
          <w:rFonts w:cs="Calibri"/>
        </w:rPr>
        <w:t>variable payments based on an index or rate, initially measured using the index or rate as at the commencement date;</w:t>
      </w:r>
    </w:p>
    <w:p w14:paraId="154395D6" w14:textId="77777777" w:rsidR="00405B9A" w:rsidRPr="00CA2CC1" w:rsidRDefault="00405B9A" w:rsidP="0043303B">
      <w:pPr>
        <w:pStyle w:val="BodyText"/>
        <w:numPr>
          <w:ilvl w:val="0"/>
          <w:numId w:val="65"/>
        </w:numPr>
        <w:rPr>
          <w:rFonts w:cs="Calibri"/>
        </w:rPr>
      </w:pPr>
      <w:r w:rsidRPr="00CA2CC1">
        <w:rPr>
          <w:rFonts w:cs="Calibri"/>
        </w:rPr>
        <w:t>amounts expected to be payable under a residual value guarantee; and</w:t>
      </w:r>
    </w:p>
    <w:p w14:paraId="5CD7DE20" w14:textId="77777777" w:rsidR="00405B9A" w:rsidRPr="00CA2CC1" w:rsidRDefault="00405B9A" w:rsidP="0043303B">
      <w:pPr>
        <w:pStyle w:val="BodyText"/>
        <w:numPr>
          <w:ilvl w:val="0"/>
          <w:numId w:val="65"/>
        </w:numPr>
        <w:rPr>
          <w:rFonts w:cs="Calibri"/>
        </w:rPr>
      </w:pPr>
      <w:r w:rsidRPr="00CA2CC1">
        <w:rPr>
          <w:rFonts w:cs="Calibri"/>
        </w:rPr>
        <w:t>payments arising from purchase and termination options reasonably certain to be exercised.</w:t>
      </w:r>
    </w:p>
    <w:p w14:paraId="3ECF4D27" w14:textId="77777777" w:rsidR="00405B9A" w:rsidRDefault="00405B9A" w:rsidP="0043303B">
      <w:pPr>
        <w:pStyle w:val="BodyText"/>
        <w:rPr>
          <w:rFonts w:cs="Calibri"/>
          <w:color w:val="3B3B3A"/>
        </w:rPr>
      </w:pPr>
      <w:r w:rsidRPr="00CA2CC1">
        <w:rPr>
          <w:rFonts w:cs="Calibri"/>
        </w:rPr>
        <w:t>Interest expenses include costs incurred in connection with the borrowing of funds or the notional interest cost in the accommodation</w:t>
      </w:r>
      <w:r w:rsidRPr="00CA2CC1">
        <w:rPr>
          <w:rFonts w:cs="Calibri"/>
          <w:spacing w:val="-6"/>
        </w:rPr>
        <w:t xml:space="preserve"> </w:t>
      </w:r>
      <w:r w:rsidRPr="00CA2CC1">
        <w:rPr>
          <w:rFonts w:cs="Calibri"/>
        </w:rPr>
        <w:t>and</w:t>
      </w:r>
      <w:r w:rsidRPr="00CA2CC1">
        <w:rPr>
          <w:rFonts w:cs="Calibri"/>
          <w:spacing w:val="-6"/>
        </w:rPr>
        <w:t xml:space="preserve"> </w:t>
      </w:r>
      <w:r w:rsidRPr="00CA2CC1">
        <w:rPr>
          <w:rFonts w:cs="Calibri"/>
        </w:rPr>
        <w:t>vehicle</w:t>
      </w:r>
      <w:r w:rsidRPr="00CA2CC1">
        <w:rPr>
          <w:rFonts w:cs="Calibri"/>
          <w:spacing w:val="-6"/>
        </w:rPr>
        <w:t xml:space="preserve"> </w:t>
      </w:r>
      <w:r w:rsidRPr="00CA2CC1">
        <w:rPr>
          <w:rFonts w:cs="Calibri"/>
        </w:rPr>
        <w:t>leases</w:t>
      </w:r>
      <w:r w:rsidRPr="00CA2CC1">
        <w:rPr>
          <w:rFonts w:cs="Calibri"/>
          <w:spacing w:val="-6"/>
        </w:rPr>
        <w:t xml:space="preserve"> </w:t>
      </w:r>
      <w:r w:rsidRPr="00CA2CC1">
        <w:rPr>
          <w:rFonts w:cs="Calibri"/>
        </w:rPr>
        <w:t>recognised</w:t>
      </w:r>
      <w:r w:rsidRPr="00CA2CC1">
        <w:rPr>
          <w:rFonts w:cs="Calibri"/>
          <w:spacing w:val="-6"/>
        </w:rPr>
        <w:t xml:space="preserve"> </w:t>
      </w:r>
      <w:r w:rsidRPr="00CA2CC1">
        <w:rPr>
          <w:rFonts w:cs="Calibri"/>
        </w:rPr>
        <w:t>under</w:t>
      </w:r>
      <w:r w:rsidRPr="00CA2CC1">
        <w:rPr>
          <w:rFonts w:cs="Calibri"/>
          <w:spacing w:val="-6"/>
        </w:rPr>
        <w:t xml:space="preserve"> </w:t>
      </w:r>
      <w:r w:rsidRPr="00CA2CC1">
        <w:rPr>
          <w:rFonts w:cs="Calibri"/>
        </w:rPr>
        <w:t xml:space="preserve">AASB 16 </w:t>
      </w:r>
      <w:r w:rsidRPr="00CA2CC1">
        <w:rPr>
          <w:rFonts w:cs="Calibri"/>
          <w:i/>
        </w:rPr>
        <w:t>Leases</w:t>
      </w:r>
      <w:r w:rsidRPr="00CA2CC1">
        <w:rPr>
          <w:rFonts w:cs="Calibri"/>
        </w:rPr>
        <w:t xml:space="preserve">. </w:t>
      </w:r>
      <w:r w:rsidRPr="00CA2CC1">
        <w:rPr>
          <w:rFonts w:cs="Calibri"/>
          <w:color w:val="3B3B3A"/>
        </w:rPr>
        <w:t>Interest expense is recognised in the period in which it is incurred.</w:t>
      </w:r>
    </w:p>
    <w:p w14:paraId="06CEFE2E" w14:textId="77777777" w:rsidR="005B49BC" w:rsidRDefault="005B49BC" w:rsidP="0043303B">
      <w:pPr>
        <w:pStyle w:val="BodyText"/>
        <w:rPr>
          <w:rFonts w:cs="Calibri"/>
        </w:rPr>
      </w:pPr>
    </w:p>
    <w:p w14:paraId="4DF9D01A" w14:textId="77777777" w:rsidR="005B49BC" w:rsidRPr="00CA2CC1" w:rsidRDefault="005B49BC" w:rsidP="005B49BC">
      <w:pPr>
        <w:pStyle w:val="BodyText"/>
        <w:spacing w:before="64"/>
        <w:rPr>
          <w:rFonts w:cs="Calibri"/>
        </w:rPr>
      </w:pPr>
      <w:r w:rsidRPr="00CA2CC1">
        <w:rPr>
          <w:rFonts w:cs="Calibri"/>
          <w:color w:val="414042"/>
        </w:rPr>
        <w:t xml:space="preserve">Lease Liability – subsequent </w:t>
      </w:r>
      <w:r w:rsidRPr="00CA2CC1">
        <w:rPr>
          <w:rFonts w:cs="Calibri"/>
          <w:color w:val="414042"/>
          <w:spacing w:val="-2"/>
        </w:rPr>
        <w:t>measurement</w:t>
      </w:r>
    </w:p>
    <w:p w14:paraId="03B1416D" w14:textId="77777777" w:rsidR="005B49BC" w:rsidRPr="00CA2CC1" w:rsidRDefault="005B49BC" w:rsidP="005B49BC">
      <w:pPr>
        <w:pStyle w:val="BodyText"/>
        <w:spacing w:before="116"/>
        <w:rPr>
          <w:rFonts w:cs="Calibri"/>
        </w:rPr>
      </w:pPr>
      <w:r w:rsidRPr="00CA2CC1">
        <w:rPr>
          <w:rFonts w:cs="Calibri"/>
          <w:color w:val="414042"/>
        </w:rPr>
        <w:t>Subsequent to initial measurement, the liability will be reduced for payments made and increased for interest. It is</w:t>
      </w:r>
      <w:r w:rsidRPr="00CA2CC1">
        <w:rPr>
          <w:rFonts w:cs="Calibri"/>
          <w:color w:val="414042"/>
          <w:spacing w:val="-7"/>
        </w:rPr>
        <w:t xml:space="preserve"> </w:t>
      </w:r>
      <w:r w:rsidRPr="00CA2CC1">
        <w:rPr>
          <w:rFonts w:cs="Calibri"/>
          <w:color w:val="414042"/>
        </w:rPr>
        <w:t>remeasured</w:t>
      </w:r>
      <w:r w:rsidRPr="00CA2CC1">
        <w:rPr>
          <w:rFonts w:cs="Calibri"/>
          <w:color w:val="414042"/>
          <w:spacing w:val="-7"/>
        </w:rPr>
        <w:t xml:space="preserve"> </w:t>
      </w:r>
      <w:r w:rsidRPr="00CA2CC1">
        <w:rPr>
          <w:rFonts w:cs="Calibri"/>
          <w:color w:val="414042"/>
        </w:rPr>
        <w:t>to</w:t>
      </w:r>
      <w:r w:rsidRPr="00CA2CC1">
        <w:rPr>
          <w:rFonts w:cs="Calibri"/>
          <w:color w:val="414042"/>
          <w:spacing w:val="-7"/>
        </w:rPr>
        <w:t xml:space="preserve"> </w:t>
      </w:r>
      <w:r w:rsidRPr="00CA2CC1">
        <w:rPr>
          <w:rFonts w:cs="Calibri"/>
          <w:color w:val="414042"/>
        </w:rPr>
        <w:t>reflect</w:t>
      </w:r>
      <w:r w:rsidRPr="00CA2CC1">
        <w:rPr>
          <w:rFonts w:cs="Calibri"/>
          <w:color w:val="414042"/>
          <w:spacing w:val="-7"/>
        </w:rPr>
        <w:t xml:space="preserve"> </w:t>
      </w:r>
      <w:r w:rsidRPr="00CA2CC1">
        <w:rPr>
          <w:rFonts w:cs="Calibri"/>
          <w:color w:val="414042"/>
        </w:rPr>
        <w:t>any</w:t>
      </w:r>
      <w:r w:rsidRPr="00CA2CC1">
        <w:rPr>
          <w:rFonts w:cs="Calibri"/>
          <w:color w:val="414042"/>
          <w:spacing w:val="-7"/>
        </w:rPr>
        <w:t xml:space="preserve"> </w:t>
      </w:r>
      <w:r w:rsidRPr="00CA2CC1">
        <w:rPr>
          <w:rFonts w:cs="Calibri"/>
          <w:color w:val="414042"/>
        </w:rPr>
        <w:t>reassessment</w:t>
      </w:r>
      <w:r w:rsidRPr="00CA2CC1">
        <w:rPr>
          <w:rFonts w:cs="Calibri"/>
          <w:color w:val="414042"/>
          <w:spacing w:val="-7"/>
        </w:rPr>
        <w:t xml:space="preserve"> </w:t>
      </w:r>
      <w:r w:rsidRPr="00CA2CC1">
        <w:rPr>
          <w:rFonts w:cs="Calibri"/>
          <w:color w:val="414042"/>
        </w:rPr>
        <w:t>or</w:t>
      </w:r>
      <w:r w:rsidRPr="00CA2CC1">
        <w:rPr>
          <w:rFonts w:cs="Calibri"/>
          <w:color w:val="414042"/>
          <w:spacing w:val="-7"/>
        </w:rPr>
        <w:t xml:space="preserve"> </w:t>
      </w:r>
      <w:r w:rsidRPr="00CA2CC1">
        <w:rPr>
          <w:rFonts w:cs="Calibri"/>
          <w:color w:val="414042"/>
        </w:rPr>
        <w:t>modification, or to reflect revised in-substance fixed payments.</w:t>
      </w:r>
    </w:p>
    <w:p w14:paraId="4227AD1E" w14:textId="77777777" w:rsidR="005B49BC" w:rsidRPr="00CA2CC1" w:rsidRDefault="005B49BC" w:rsidP="005B49BC">
      <w:pPr>
        <w:pStyle w:val="BodyText"/>
        <w:spacing w:before="116"/>
        <w:rPr>
          <w:rFonts w:cs="Calibri"/>
        </w:rPr>
      </w:pPr>
      <w:r w:rsidRPr="00CA2CC1">
        <w:rPr>
          <w:rFonts w:cs="Calibri"/>
          <w:color w:val="414042"/>
        </w:rPr>
        <w:t>When the lease liability is remeasured, the corresponding adjustment is reflected in the right-of-use asset, or profit and</w:t>
      </w:r>
      <w:r w:rsidRPr="00CA2CC1">
        <w:rPr>
          <w:rFonts w:cs="Calibri"/>
          <w:color w:val="414042"/>
          <w:spacing w:val="-5"/>
        </w:rPr>
        <w:t xml:space="preserve"> </w:t>
      </w:r>
      <w:r w:rsidRPr="00CA2CC1">
        <w:rPr>
          <w:rFonts w:cs="Calibri"/>
          <w:color w:val="414042"/>
        </w:rPr>
        <w:t>loss</w:t>
      </w:r>
      <w:r w:rsidRPr="00CA2CC1">
        <w:rPr>
          <w:rFonts w:cs="Calibri"/>
          <w:color w:val="414042"/>
          <w:spacing w:val="-5"/>
        </w:rPr>
        <w:t xml:space="preserve"> </w:t>
      </w:r>
      <w:r w:rsidRPr="00CA2CC1">
        <w:rPr>
          <w:rFonts w:cs="Calibri"/>
          <w:color w:val="414042"/>
        </w:rPr>
        <w:t>if</w:t>
      </w:r>
      <w:r w:rsidRPr="00CA2CC1">
        <w:rPr>
          <w:rFonts w:cs="Calibri"/>
          <w:color w:val="414042"/>
          <w:spacing w:val="-5"/>
        </w:rPr>
        <w:t xml:space="preserve"> </w:t>
      </w:r>
      <w:r w:rsidRPr="00CA2CC1">
        <w:rPr>
          <w:rFonts w:cs="Calibri"/>
          <w:color w:val="414042"/>
        </w:rPr>
        <w:t>the</w:t>
      </w:r>
      <w:r w:rsidRPr="00CA2CC1">
        <w:rPr>
          <w:rFonts w:cs="Calibri"/>
          <w:color w:val="414042"/>
          <w:spacing w:val="-5"/>
        </w:rPr>
        <w:t xml:space="preserve"> </w:t>
      </w:r>
      <w:r w:rsidRPr="00CA2CC1">
        <w:rPr>
          <w:rFonts w:cs="Calibri"/>
          <w:color w:val="414042"/>
        </w:rPr>
        <w:t>right-of-use</w:t>
      </w:r>
      <w:r w:rsidRPr="00CA2CC1">
        <w:rPr>
          <w:rFonts w:cs="Calibri"/>
          <w:color w:val="414042"/>
          <w:spacing w:val="-5"/>
        </w:rPr>
        <w:t xml:space="preserve"> </w:t>
      </w:r>
      <w:r w:rsidRPr="00CA2CC1">
        <w:rPr>
          <w:rFonts w:cs="Calibri"/>
          <w:color w:val="414042"/>
        </w:rPr>
        <w:t>asset</w:t>
      </w:r>
      <w:r w:rsidRPr="00CA2CC1">
        <w:rPr>
          <w:rFonts w:cs="Calibri"/>
          <w:color w:val="414042"/>
          <w:spacing w:val="-5"/>
        </w:rPr>
        <w:t xml:space="preserve"> </w:t>
      </w:r>
      <w:r w:rsidRPr="00CA2CC1">
        <w:rPr>
          <w:rFonts w:cs="Calibri"/>
          <w:color w:val="414042"/>
        </w:rPr>
        <w:t>is</w:t>
      </w:r>
      <w:r w:rsidRPr="00CA2CC1">
        <w:rPr>
          <w:rFonts w:cs="Calibri"/>
          <w:color w:val="414042"/>
          <w:spacing w:val="-5"/>
        </w:rPr>
        <w:t xml:space="preserve"> </w:t>
      </w:r>
      <w:r w:rsidRPr="00CA2CC1">
        <w:rPr>
          <w:rFonts w:cs="Calibri"/>
          <w:color w:val="414042"/>
        </w:rPr>
        <w:t>already</w:t>
      </w:r>
      <w:r w:rsidRPr="00CA2CC1">
        <w:rPr>
          <w:rFonts w:cs="Calibri"/>
          <w:color w:val="414042"/>
          <w:spacing w:val="-5"/>
        </w:rPr>
        <w:t xml:space="preserve"> </w:t>
      </w:r>
      <w:r w:rsidRPr="00CA2CC1">
        <w:rPr>
          <w:rFonts w:cs="Calibri"/>
          <w:color w:val="414042"/>
        </w:rPr>
        <w:t>reduced</w:t>
      </w:r>
      <w:r w:rsidRPr="00CA2CC1">
        <w:rPr>
          <w:rFonts w:cs="Calibri"/>
          <w:color w:val="414042"/>
          <w:spacing w:val="-5"/>
        </w:rPr>
        <w:t xml:space="preserve"> </w:t>
      </w:r>
      <w:r w:rsidRPr="00CA2CC1">
        <w:rPr>
          <w:rFonts w:cs="Calibri"/>
          <w:color w:val="414042"/>
        </w:rPr>
        <w:t>to</w:t>
      </w:r>
      <w:r w:rsidRPr="00CA2CC1">
        <w:rPr>
          <w:rFonts w:cs="Calibri"/>
          <w:color w:val="414042"/>
          <w:spacing w:val="-5"/>
        </w:rPr>
        <w:t xml:space="preserve"> </w:t>
      </w:r>
      <w:r w:rsidRPr="00CA2CC1">
        <w:rPr>
          <w:rFonts w:cs="Calibri"/>
          <w:color w:val="414042"/>
        </w:rPr>
        <w:t>zero.</w:t>
      </w:r>
    </w:p>
    <w:p w14:paraId="07292C6C" w14:textId="77777777" w:rsidR="005B49BC" w:rsidRPr="00CA2CC1" w:rsidRDefault="005B49BC" w:rsidP="005B49BC">
      <w:pPr>
        <w:pStyle w:val="BodyText"/>
        <w:spacing w:before="113"/>
        <w:rPr>
          <w:rFonts w:cs="Calibri"/>
        </w:rPr>
      </w:pPr>
      <w:r w:rsidRPr="00CA2CC1">
        <w:rPr>
          <w:rFonts w:cs="Calibri"/>
          <w:color w:val="414042"/>
        </w:rPr>
        <w:t xml:space="preserve">Short-term leases and leases of low-value </w:t>
      </w:r>
      <w:r w:rsidRPr="00CA2CC1">
        <w:rPr>
          <w:rFonts w:cs="Calibri"/>
          <w:color w:val="414042"/>
          <w:spacing w:val="-2"/>
        </w:rPr>
        <w:t>assets</w:t>
      </w:r>
    </w:p>
    <w:p w14:paraId="5199DA83" w14:textId="77777777" w:rsidR="005B49BC" w:rsidRPr="00CA2CC1" w:rsidRDefault="005B49BC" w:rsidP="005B49BC">
      <w:pPr>
        <w:pStyle w:val="BodyText"/>
        <w:spacing w:before="116"/>
        <w:rPr>
          <w:rFonts w:cs="Calibri"/>
        </w:rPr>
      </w:pPr>
      <w:r w:rsidRPr="00CA2CC1">
        <w:rPr>
          <w:rFonts w:cs="Calibri"/>
        </w:rPr>
        <w:t>Infrastructure</w:t>
      </w:r>
      <w:r w:rsidRPr="00CA2CC1">
        <w:rPr>
          <w:rFonts w:cs="Calibri"/>
          <w:spacing w:val="-6"/>
        </w:rPr>
        <w:t xml:space="preserve"> </w:t>
      </w:r>
      <w:r w:rsidRPr="00CA2CC1">
        <w:rPr>
          <w:rFonts w:cs="Calibri"/>
        </w:rPr>
        <w:t>Victoria</w:t>
      </w:r>
      <w:r w:rsidRPr="00CA2CC1">
        <w:rPr>
          <w:rFonts w:cs="Calibri"/>
          <w:spacing w:val="-7"/>
        </w:rPr>
        <w:t xml:space="preserve"> </w:t>
      </w:r>
      <w:r w:rsidRPr="00CA2CC1">
        <w:rPr>
          <w:rFonts w:cs="Calibri"/>
          <w:color w:val="414042"/>
        </w:rPr>
        <w:t>has</w:t>
      </w:r>
      <w:r w:rsidRPr="00CA2CC1">
        <w:rPr>
          <w:rFonts w:cs="Calibri"/>
          <w:color w:val="414042"/>
          <w:spacing w:val="-6"/>
        </w:rPr>
        <w:t xml:space="preserve"> </w:t>
      </w:r>
      <w:r w:rsidRPr="00CA2CC1">
        <w:rPr>
          <w:rFonts w:cs="Calibri"/>
          <w:color w:val="414042"/>
        </w:rPr>
        <w:t>elected</w:t>
      </w:r>
      <w:r w:rsidRPr="00CA2CC1">
        <w:rPr>
          <w:rFonts w:cs="Calibri"/>
          <w:color w:val="414042"/>
          <w:spacing w:val="-6"/>
        </w:rPr>
        <w:t xml:space="preserve"> </w:t>
      </w:r>
      <w:r w:rsidRPr="00CA2CC1">
        <w:rPr>
          <w:rFonts w:cs="Calibri"/>
          <w:color w:val="414042"/>
        </w:rPr>
        <w:t>to</w:t>
      </w:r>
      <w:r w:rsidRPr="00CA2CC1">
        <w:rPr>
          <w:rFonts w:cs="Calibri"/>
          <w:color w:val="414042"/>
          <w:spacing w:val="-6"/>
        </w:rPr>
        <w:t xml:space="preserve"> </w:t>
      </w:r>
      <w:r w:rsidRPr="00CA2CC1">
        <w:rPr>
          <w:rFonts w:cs="Calibri"/>
          <w:color w:val="414042"/>
        </w:rPr>
        <w:t>account</w:t>
      </w:r>
      <w:r w:rsidRPr="00CA2CC1">
        <w:rPr>
          <w:rFonts w:cs="Calibri"/>
          <w:color w:val="414042"/>
          <w:spacing w:val="-6"/>
        </w:rPr>
        <w:t xml:space="preserve"> </w:t>
      </w:r>
      <w:r w:rsidRPr="00CA2CC1">
        <w:rPr>
          <w:rFonts w:cs="Calibri"/>
          <w:color w:val="414042"/>
        </w:rPr>
        <w:t>for</w:t>
      </w:r>
      <w:r w:rsidRPr="00CA2CC1">
        <w:rPr>
          <w:rFonts w:cs="Calibri"/>
          <w:color w:val="414042"/>
          <w:spacing w:val="-6"/>
        </w:rPr>
        <w:t xml:space="preserve"> </w:t>
      </w:r>
      <w:r w:rsidRPr="00CA2CC1">
        <w:rPr>
          <w:rFonts w:cs="Calibri"/>
          <w:color w:val="414042"/>
        </w:rPr>
        <w:t>short-term leases and leases of low-value assets using the practical expedients. Instead of recognising a right-of-use asset</w:t>
      </w:r>
      <w:r w:rsidRPr="00CA2CC1">
        <w:rPr>
          <w:rFonts w:cs="Calibri"/>
        </w:rPr>
        <w:t xml:space="preserve"> </w:t>
      </w:r>
      <w:r w:rsidRPr="00CA2CC1">
        <w:rPr>
          <w:rFonts w:cs="Calibri"/>
          <w:color w:val="414042"/>
        </w:rPr>
        <w:t>and lease liability, the payments in relation to these are recognised</w:t>
      </w:r>
      <w:r w:rsidRPr="00CA2CC1">
        <w:rPr>
          <w:rFonts w:cs="Calibri"/>
          <w:color w:val="414042"/>
          <w:spacing w:val="-5"/>
        </w:rPr>
        <w:t xml:space="preserve"> </w:t>
      </w:r>
      <w:r w:rsidRPr="00CA2CC1">
        <w:rPr>
          <w:rFonts w:cs="Calibri"/>
          <w:color w:val="414042"/>
        </w:rPr>
        <w:t>as</w:t>
      </w:r>
      <w:r w:rsidRPr="00CA2CC1">
        <w:rPr>
          <w:rFonts w:cs="Calibri"/>
          <w:color w:val="414042"/>
          <w:spacing w:val="-5"/>
        </w:rPr>
        <w:t xml:space="preserve"> </w:t>
      </w:r>
      <w:r w:rsidRPr="00CA2CC1">
        <w:rPr>
          <w:rFonts w:cs="Calibri"/>
          <w:color w:val="414042"/>
        </w:rPr>
        <w:t>an</w:t>
      </w:r>
      <w:r w:rsidRPr="00CA2CC1">
        <w:rPr>
          <w:rFonts w:cs="Calibri"/>
          <w:color w:val="414042"/>
          <w:spacing w:val="-5"/>
        </w:rPr>
        <w:t xml:space="preserve"> </w:t>
      </w:r>
      <w:r w:rsidRPr="00CA2CC1">
        <w:rPr>
          <w:rFonts w:cs="Calibri"/>
          <w:color w:val="414042"/>
        </w:rPr>
        <w:t>expense</w:t>
      </w:r>
      <w:r w:rsidRPr="00CA2CC1">
        <w:rPr>
          <w:rFonts w:cs="Calibri"/>
          <w:color w:val="414042"/>
          <w:spacing w:val="-5"/>
        </w:rPr>
        <w:t xml:space="preserve"> </w:t>
      </w:r>
      <w:r w:rsidRPr="00CA2CC1">
        <w:rPr>
          <w:rFonts w:cs="Calibri"/>
          <w:color w:val="414042"/>
        </w:rPr>
        <w:t>in</w:t>
      </w:r>
      <w:r w:rsidRPr="00CA2CC1">
        <w:rPr>
          <w:rFonts w:cs="Calibri"/>
          <w:color w:val="414042"/>
          <w:spacing w:val="-5"/>
        </w:rPr>
        <w:t xml:space="preserve"> </w:t>
      </w:r>
      <w:r w:rsidRPr="00CA2CC1">
        <w:rPr>
          <w:rFonts w:cs="Calibri"/>
          <w:color w:val="414042"/>
        </w:rPr>
        <w:t>profit</w:t>
      </w:r>
      <w:r w:rsidRPr="00CA2CC1">
        <w:rPr>
          <w:rFonts w:cs="Calibri"/>
          <w:color w:val="414042"/>
          <w:spacing w:val="-5"/>
        </w:rPr>
        <w:t xml:space="preserve"> </w:t>
      </w:r>
      <w:r w:rsidRPr="00CA2CC1">
        <w:rPr>
          <w:rFonts w:cs="Calibri"/>
          <w:color w:val="414042"/>
        </w:rPr>
        <w:t>or</w:t>
      </w:r>
      <w:r w:rsidRPr="00CA2CC1">
        <w:rPr>
          <w:rFonts w:cs="Calibri"/>
          <w:color w:val="414042"/>
          <w:spacing w:val="-5"/>
        </w:rPr>
        <w:t xml:space="preserve"> </w:t>
      </w:r>
      <w:r w:rsidRPr="00CA2CC1">
        <w:rPr>
          <w:rFonts w:cs="Calibri"/>
          <w:color w:val="414042"/>
        </w:rPr>
        <w:t>loss</w:t>
      </w:r>
      <w:r w:rsidRPr="00CA2CC1">
        <w:rPr>
          <w:rFonts w:cs="Calibri"/>
          <w:color w:val="414042"/>
          <w:spacing w:val="-5"/>
        </w:rPr>
        <w:t xml:space="preserve"> </w:t>
      </w:r>
      <w:r w:rsidRPr="00CA2CC1">
        <w:rPr>
          <w:rFonts w:cs="Calibri"/>
          <w:color w:val="414042"/>
        </w:rPr>
        <w:t>on</w:t>
      </w:r>
      <w:r w:rsidRPr="00CA2CC1">
        <w:rPr>
          <w:rFonts w:cs="Calibri"/>
          <w:color w:val="414042"/>
          <w:spacing w:val="-5"/>
        </w:rPr>
        <w:t xml:space="preserve"> </w:t>
      </w:r>
      <w:r w:rsidRPr="00CA2CC1">
        <w:rPr>
          <w:rFonts w:cs="Calibri"/>
          <w:color w:val="414042"/>
        </w:rPr>
        <w:t>a</w:t>
      </w:r>
      <w:r w:rsidRPr="00CA2CC1">
        <w:rPr>
          <w:rFonts w:cs="Calibri"/>
          <w:color w:val="414042"/>
          <w:spacing w:val="-5"/>
        </w:rPr>
        <w:t xml:space="preserve"> </w:t>
      </w:r>
      <w:r w:rsidRPr="00CA2CC1">
        <w:rPr>
          <w:rFonts w:cs="Calibri"/>
          <w:color w:val="414042"/>
        </w:rPr>
        <w:t>straight-line basis over the lease term.</w:t>
      </w:r>
    </w:p>
    <w:p w14:paraId="1660C509" w14:textId="77777777" w:rsidR="005B49BC" w:rsidRPr="00CA2CC1" w:rsidRDefault="005B49BC" w:rsidP="005B49BC">
      <w:pPr>
        <w:pStyle w:val="BodyText"/>
        <w:rPr>
          <w:rFonts w:cs="Calibri"/>
        </w:rPr>
      </w:pPr>
      <w:r w:rsidRPr="00CA2CC1">
        <w:rPr>
          <w:rFonts w:cs="Calibri"/>
          <w:color w:val="414042"/>
        </w:rPr>
        <w:t>Presentation</w:t>
      </w:r>
      <w:r w:rsidRPr="00CA2CC1">
        <w:rPr>
          <w:rFonts w:cs="Calibri"/>
          <w:color w:val="414042"/>
          <w:spacing w:val="-1"/>
        </w:rPr>
        <w:t xml:space="preserve"> </w:t>
      </w:r>
      <w:r w:rsidRPr="00CA2CC1">
        <w:rPr>
          <w:rFonts w:cs="Calibri"/>
          <w:color w:val="414042"/>
        </w:rPr>
        <w:t>of</w:t>
      </w:r>
      <w:r w:rsidRPr="00CA2CC1">
        <w:rPr>
          <w:rFonts w:cs="Calibri"/>
          <w:color w:val="414042"/>
          <w:spacing w:val="-1"/>
        </w:rPr>
        <w:t xml:space="preserve"> </w:t>
      </w:r>
      <w:r w:rsidRPr="00CA2CC1">
        <w:rPr>
          <w:rFonts w:cs="Calibri"/>
          <w:color w:val="414042"/>
        </w:rPr>
        <w:t>right-of-use assets</w:t>
      </w:r>
      <w:r w:rsidRPr="00CA2CC1">
        <w:rPr>
          <w:rFonts w:cs="Calibri"/>
          <w:color w:val="414042"/>
          <w:spacing w:val="-1"/>
        </w:rPr>
        <w:t xml:space="preserve"> </w:t>
      </w:r>
      <w:r w:rsidRPr="00CA2CC1">
        <w:rPr>
          <w:rFonts w:cs="Calibri"/>
          <w:color w:val="414042"/>
        </w:rPr>
        <w:t>and</w:t>
      </w:r>
      <w:r w:rsidRPr="00CA2CC1">
        <w:rPr>
          <w:rFonts w:cs="Calibri"/>
          <w:color w:val="414042"/>
          <w:spacing w:val="-1"/>
        </w:rPr>
        <w:t xml:space="preserve"> </w:t>
      </w:r>
      <w:r w:rsidRPr="00CA2CC1">
        <w:rPr>
          <w:rFonts w:cs="Calibri"/>
          <w:color w:val="414042"/>
        </w:rPr>
        <w:t xml:space="preserve">lease </w:t>
      </w:r>
      <w:r w:rsidRPr="00CA2CC1">
        <w:rPr>
          <w:rFonts w:cs="Calibri"/>
          <w:color w:val="414042"/>
          <w:spacing w:val="-2"/>
        </w:rPr>
        <w:t>liabilities</w:t>
      </w:r>
    </w:p>
    <w:p w14:paraId="19739DE6" w14:textId="77777777" w:rsidR="005B49BC" w:rsidRPr="00CA2CC1" w:rsidRDefault="005B49BC" w:rsidP="005B49BC">
      <w:pPr>
        <w:pStyle w:val="BodyText"/>
        <w:spacing w:before="116"/>
        <w:rPr>
          <w:rFonts w:cs="Calibri"/>
        </w:rPr>
      </w:pPr>
      <w:r w:rsidRPr="00CA2CC1">
        <w:rPr>
          <w:rFonts w:cs="Calibri"/>
        </w:rPr>
        <w:t xml:space="preserve">Infrastructure Victoria </w:t>
      </w:r>
      <w:r w:rsidRPr="00CA2CC1">
        <w:rPr>
          <w:rFonts w:cs="Calibri"/>
          <w:color w:val="414042"/>
        </w:rPr>
        <w:t>presents right-of-use assets as ‘property, plant and equipment’ (refer to note 4.1). Lease liabilities</w:t>
      </w:r>
      <w:r w:rsidRPr="00CA2CC1">
        <w:rPr>
          <w:rFonts w:cs="Calibri"/>
          <w:color w:val="414042"/>
          <w:spacing w:val="-6"/>
        </w:rPr>
        <w:t xml:space="preserve"> </w:t>
      </w:r>
      <w:r w:rsidRPr="00CA2CC1">
        <w:rPr>
          <w:rFonts w:cs="Calibri"/>
          <w:color w:val="414042"/>
        </w:rPr>
        <w:t>are</w:t>
      </w:r>
      <w:r w:rsidRPr="00CA2CC1">
        <w:rPr>
          <w:rFonts w:cs="Calibri"/>
          <w:color w:val="414042"/>
          <w:spacing w:val="-6"/>
        </w:rPr>
        <w:t xml:space="preserve"> </w:t>
      </w:r>
      <w:r w:rsidRPr="00CA2CC1">
        <w:rPr>
          <w:rFonts w:cs="Calibri"/>
          <w:color w:val="414042"/>
        </w:rPr>
        <w:t>presented</w:t>
      </w:r>
      <w:r w:rsidRPr="00CA2CC1">
        <w:rPr>
          <w:rFonts w:cs="Calibri"/>
          <w:color w:val="414042"/>
          <w:spacing w:val="-6"/>
        </w:rPr>
        <w:t xml:space="preserve"> </w:t>
      </w:r>
      <w:r w:rsidRPr="00CA2CC1">
        <w:rPr>
          <w:rFonts w:cs="Calibri"/>
          <w:color w:val="414042"/>
        </w:rPr>
        <w:t>as</w:t>
      </w:r>
      <w:r w:rsidRPr="00CA2CC1">
        <w:rPr>
          <w:rFonts w:cs="Calibri"/>
          <w:color w:val="414042"/>
          <w:spacing w:val="-6"/>
        </w:rPr>
        <w:t xml:space="preserve"> </w:t>
      </w:r>
      <w:r w:rsidRPr="00CA2CC1">
        <w:rPr>
          <w:rFonts w:cs="Calibri"/>
          <w:color w:val="414042"/>
        </w:rPr>
        <w:t>‘borrowings’</w:t>
      </w:r>
      <w:r w:rsidRPr="00CA2CC1">
        <w:rPr>
          <w:rFonts w:cs="Calibri"/>
          <w:color w:val="414042"/>
          <w:spacing w:val="-6"/>
        </w:rPr>
        <w:t xml:space="preserve"> </w:t>
      </w:r>
      <w:r w:rsidRPr="00CA2CC1">
        <w:rPr>
          <w:rFonts w:cs="Calibri"/>
          <w:color w:val="414042"/>
        </w:rPr>
        <w:t>in</w:t>
      </w:r>
      <w:r w:rsidRPr="00CA2CC1">
        <w:rPr>
          <w:rFonts w:cs="Calibri"/>
          <w:color w:val="414042"/>
          <w:spacing w:val="-6"/>
        </w:rPr>
        <w:t xml:space="preserve"> </w:t>
      </w:r>
      <w:r w:rsidRPr="00CA2CC1">
        <w:rPr>
          <w:rFonts w:cs="Calibri"/>
          <w:color w:val="414042"/>
        </w:rPr>
        <w:t>the</w:t>
      </w:r>
      <w:r w:rsidRPr="00CA2CC1">
        <w:rPr>
          <w:rFonts w:cs="Calibri"/>
          <w:color w:val="414042"/>
          <w:spacing w:val="-6"/>
        </w:rPr>
        <w:t xml:space="preserve"> </w:t>
      </w:r>
      <w:r w:rsidRPr="00CA2CC1">
        <w:rPr>
          <w:rFonts w:cs="Calibri"/>
          <w:color w:val="414042"/>
        </w:rPr>
        <w:t>balance</w:t>
      </w:r>
      <w:r w:rsidRPr="00CA2CC1">
        <w:rPr>
          <w:rFonts w:cs="Calibri"/>
          <w:color w:val="414042"/>
          <w:spacing w:val="-6"/>
        </w:rPr>
        <w:t xml:space="preserve"> </w:t>
      </w:r>
      <w:r w:rsidRPr="00CA2CC1">
        <w:rPr>
          <w:rFonts w:cs="Calibri"/>
          <w:color w:val="414042"/>
        </w:rPr>
        <w:t>sheet.</w:t>
      </w:r>
      <w:r w:rsidRPr="00CA2CC1">
        <w:rPr>
          <w:rFonts w:cs="Calibri"/>
        </w:rPr>
        <w:t xml:space="preserve"> </w:t>
      </w:r>
    </w:p>
    <w:p w14:paraId="037D39CE" w14:textId="77777777" w:rsidR="005B49BC" w:rsidRPr="00396443" w:rsidRDefault="005B49BC" w:rsidP="005B49BC">
      <w:pPr>
        <w:pStyle w:val="BodyText"/>
        <w:spacing w:before="116"/>
        <w:rPr>
          <w:rFonts w:cs="Calibri"/>
        </w:rPr>
      </w:pPr>
      <w:r w:rsidRPr="00396443">
        <w:rPr>
          <w:rFonts w:cs="Calibri"/>
        </w:rPr>
        <w:t>6.1</w:t>
      </w:r>
      <w:r w:rsidRPr="00396443">
        <w:rPr>
          <w:rFonts w:cs="Calibri"/>
          <w:spacing w:val="-3"/>
        </w:rPr>
        <w:t xml:space="preserve"> </w:t>
      </w:r>
      <w:r w:rsidRPr="00396443">
        <w:rPr>
          <w:rFonts w:cs="Calibri"/>
        </w:rPr>
        <w:t>(a)</w:t>
      </w:r>
      <w:r w:rsidRPr="00396443">
        <w:rPr>
          <w:rFonts w:cs="Calibri"/>
          <w:spacing w:val="-1"/>
        </w:rPr>
        <w:t xml:space="preserve"> </w:t>
      </w:r>
      <w:r w:rsidRPr="00396443">
        <w:rPr>
          <w:rFonts w:cs="Calibri"/>
        </w:rPr>
        <w:t>Amounts</w:t>
      </w:r>
      <w:r w:rsidRPr="00396443">
        <w:rPr>
          <w:rFonts w:cs="Calibri"/>
          <w:spacing w:val="-1"/>
        </w:rPr>
        <w:t xml:space="preserve"> </w:t>
      </w:r>
      <w:r w:rsidRPr="00396443">
        <w:rPr>
          <w:rFonts w:cs="Calibri"/>
        </w:rPr>
        <w:t>recognised</w:t>
      </w:r>
      <w:r w:rsidRPr="00396443">
        <w:rPr>
          <w:rFonts w:cs="Calibri"/>
          <w:spacing w:val="-1"/>
        </w:rPr>
        <w:t xml:space="preserve"> </w:t>
      </w:r>
      <w:r w:rsidRPr="00396443">
        <w:rPr>
          <w:rFonts w:cs="Calibri"/>
        </w:rPr>
        <w:t>in</w:t>
      </w:r>
      <w:r w:rsidRPr="00396443">
        <w:rPr>
          <w:rFonts w:cs="Calibri"/>
          <w:spacing w:val="-1"/>
        </w:rPr>
        <w:t xml:space="preserve"> </w:t>
      </w:r>
      <w:r w:rsidRPr="00396443">
        <w:rPr>
          <w:rFonts w:cs="Calibri"/>
        </w:rPr>
        <w:t>the</w:t>
      </w:r>
      <w:r w:rsidRPr="00396443">
        <w:rPr>
          <w:rFonts w:cs="Calibri"/>
          <w:spacing w:val="-1"/>
        </w:rPr>
        <w:t xml:space="preserve"> </w:t>
      </w:r>
      <w:r w:rsidRPr="00396443">
        <w:rPr>
          <w:rFonts w:cs="Calibri"/>
        </w:rPr>
        <w:t>Comprehensive</w:t>
      </w:r>
      <w:r w:rsidRPr="00396443">
        <w:rPr>
          <w:rFonts w:cs="Calibri"/>
          <w:spacing w:val="-1"/>
        </w:rPr>
        <w:t xml:space="preserve"> </w:t>
      </w:r>
      <w:r w:rsidRPr="00396443">
        <w:rPr>
          <w:rFonts w:cs="Calibri"/>
        </w:rPr>
        <w:t>operating</w:t>
      </w:r>
      <w:r w:rsidRPr="00396443">
        <w:rPr>
          <w:rFonts w:cs="Calibri"/>
          <w:spacing w:val="-1"/>
        </w:rPr>
        <w:t xml:space="preserve"> </w:t>
      </w:r>
      <w:r w:rsidRPr="00396443">
        <w:rPr>
          <w:rFonts w:cs="Calibri"/>
          <w:spacing w:val="-2"/>
        </w:rPr>
        <w:t>statement</w:t>
      </w:r>
    </w:p>
    <w:p w14:paraId="761F3E9E" w14:textId="77777777" w:rsidR="005B49BC" w:rsidRPr="00CA2CC1" w:rsidRDefault="005B49BC" w:rsidP="005B49BC">
      <w:pPr>
        <w:pStyle w:val="BodyText"/>
        <w:spacing w:before="105"/>
        <w:rPr>
          <w:rFonts w:cs="Calibri"/>
        </w:rPr>
      </w:pPr>
      <w:r w:rsidRPr="00CA2CC1">
        <w:rPr>
          <w:rFonts w:cs="Calibri"/>
          <w:color w:val="414042"/>
        </w:rPr>
        <w:t>The</w:t>
      </w:r>
      <w:r w:rsidRPr="00CA2CC1">
        <w:rPr>
          <w:rFonts w:cs="Calibri"/>
          <w:color w:val="414042"/>
          <w:spacing w:val="-2"/>
        </w:rPr>
        <w:t xml:space="preserve"> </w:t>
      </w:r>
      <w:r w:rsidRPr="00CA2CC1">
        <w:rPr>
          <w:rFonts w:cs="Calibri"/>
          <w:color w:val="414042"/>
        </w:rPr>
        <w:t>following</w:t>
      </w:r>
      <w:r w:rsidRPr="00CA2CC1">
        <w:rPr>
          <w:rFonts w:cs="Calibri"/>
          <w:color w:val="414042"/>
          <w:spacing w:val="-1"/>
        </w:rPr>
        <w:t xml:space="preserve"> </w:t>
      </w:r>
      <w:r w:rsidRPr="00CA2CC1">
        <w:rPr>
          <w:rFonts w:cs="Calibri"/>
          <w:color w:val="414042"/>
        </w:rPr>
        <w:t>amounts</w:t>
      </w:r>
      <w:r w:rsidRPr="00CA2CC1">
        <w:rPr>
          <w:rFonts w:cs="Calibri"/>
          <w:color w:val="414042"/>
          <w:spacing w:val="-1"/>
        </w:rPr>
        <w:t xml:space="preserve"> </w:t>
      </w:r>
      <w:r w:rsidRPr="00CA2CC1">
        <w:rPr>
          <w:rFonts w:cs="Calibri"/>
          <w:color w:val="414042"/>
        </w:rPr>
        <w:t>are</w:t>
      </w:r>
      <w:r w:rsidRPr="00CA2CC1">
        <w:rPr>
          <w:rFonts w:cs="Calibri"/>
          <w:color w:val="414042"/>
          <w:spacing w:val="-2"/>
        </w:rPr>
        <w:t xml:space="preserve"> </w:t>
      </w:r>
      <w:r w:rsidRPr="00CA2CC1">
        <w:rPr>
          <w:rFonts w:cs="Calibri"/>
          <w:color w:val="414042"/>
        </w:rPr>
        <w:t>recognised</w:t>
      </w:r>
      <w:r w:rsidRPr="00CA2CC1">
        <w:rPr>
          <w:rFonts w:cs="Calibri"/>
          <w:color w:val="414042"/>
          <w:spacing w:val="-1"/>
        </w:rPr>
        <w:t xml:space="preserve"> </w:t>
      </w:r>
      <w:r w:rsidRPr="00CA2CC1">
        <w:rPr>
          <w:rFonts w:cs="Calibri"/>
          <w:color w:val="414042"/>
        </w:rPr>
        <w:t>in</w:t>
      </w:r>
      <w:r w:rsidRPr="00CA2CC1">
        <w:rPr>
          <w:rFonts w:cs="Calibri"/>
          <w:color w:val="414042"/>
          <w:spacing w:val="-1"/>
        </w:rPr>
        <w:t xml:space="preserve"> </w:t>
      </w:r>
      <w:r w:rsidRPr="00CA2CC1">
        <w:rPr>
          <w:rFonts w:cs="Calibri"/>
          <w:color w:val="414042"/>
        </w:rPr>
        <w:t>the</w:t>
      </w:r>
      <w:r w:rsidRPr="00CA2CC1">
        <w:rPr>
          <w:rFonts w:cs="Calibri"/>
          <w:color w:val="414042"/>
          <w:spacing w:val="-2"/>
        </w:rPr>
        <w:t xml:space="preserve"> </w:t>
      </w:r>
      <w:r w:rsidRPr="00CA2CC1">
        <w:rPr>
          <w:rFonts w:cs="Calibri"/>
          <w:color w:val="414042"/>
        </w:rPr>
        <w:t>Comprehensive</w:t>
      </w:r>
      <w:r w:rsidRPr="00CA2CC1">
        <w:rPr>
          <w:rFonts w:cs="Calibri"/>
          <w:color w:val="414042"/>
          <w:spacing w:val="-1"/>
        </w:rPr>
        <w:t xml:space="preserve"> </w:t>
      </w:r>
      <w:r w:rsidRPr="00CA2CC1">
        <w:rPr>
          <w:rFonts w:cs="Calibri"/>
          <w:color w:val="414042"/>
        </w:rPr>
        <w:t>Operating</w:t>
      </w:r>
      <w:r w:rsidRPr="00CA2CC1">
        <w:rPr>
          <w:rFonts w:cs="Calibri"/>
          <w:color w:val="414042"/>
          <w:spacing w:val="-1"/>
        </w:rPr>
        <w:t xml:space="preserve"> </w:t>
      </w:r>
      <w:r w:rsidRPr="00CA2CC1">
        <w:rPr>
          <w:rFonts w:cs="Calibri"/>
          <w:color w:val="414042"/>
        </w:rPr>
        <w:t>Statement</w:t>
      </w:r>
      <w:r w:rsidRPr="00CA2CC1">
        <w:rPr>
          <w:rFonts w:cs="Calibri"/>
          <w:color w:val="414042"/>
          <w:spacing w:val="-2"/>
        </w:rPr>
        <w:t xml:space="preserve"> </w:t>
      </w:r>
      <w:r w:rsidRPr="00CA2CC1">
        <w:rPr>
          <w:rFonts w:cs="Calibri"/>
          <w:color w:val="414042"/>
        </w:rPr>
        <w:t>relating</w:t>
      </w:r>
      <w:r w:rsidRPr="00CA2CC1">
        <w:rPr>
          <w:rFonts w:cs="Calibri"/>
          <w:color w:val="414042"/>
          <w:spacing w:val="-1"/>
        </w:rPr>
        <w:t xml:space="preserve"> </w:t>
      </w:r>
      <w:r w:rsidRPr="00CA2CC1">
        <w:rPr>
          <w:rFonts w:cs="Calibri"/>
          <w:color w:val="414042"/>
        </w:rPr>
        <w:t>to</w:t>
      </w:r>
      <w:r w:rsidRPr="00CA2CC1">
        <w:rPr>
          <w:rFonts w:cs="Calibri"/>
          <w:color w:val="414042"/>
          <w:spacing w:val="-1"/>
        </w:rPr>
        <w:t xml:space="preserve"> </w:t>
      </w:r>
      <w:r w:rsidRPr="00CA2CC1">
        <w:rPr>
          <w:rFonts w:cs="Calibri"/>
          <w:color w:val="414042"/>
          <w:spacing w:val="-2"/>
        </w:rPr>
        <w:t>leases:</w:t>
      </w:r>
    </w:p>
    <w:p w14:paraId="27B228BD" w14:textId="77777777" w:rsidR="005B49BC" w:rsidRPr="00CA2CC1" w:rsidRDefault="005B49BC" w:rsidP="005B49BC">
      <w:pPr>
        <w:pStyle w:val="BodyText"/>
        <w:spacing w:before="11"/>
        <w:rPr>
          <w:rFonts w:cs="Calibri"/>
          <w:sz w:val="9"/>
        </w:rPr>
      </w:pPr>
    </w:p>
    <w:tbl>
      <w:tblPr>
        <w:tblW w:w="9617" w:type="dxa"/>
        <w:tblBorders>
          <w:top w:val="single" w:sz="4" w:space="0" w:color="C48F1B"/>
          <w:left w:val="single" w:sz="4" w:space="0" w:color="C48F1B"/>
          <w:bottom w:val="single" w:sz="4" w:space="0" w:color="C48F1B"/>
          <w:right w:val="single" w:sz="4" w:space="0" w:color="C48F1B"/>
          <w:insideH w:val="single" w:sz="4" w:space="0" w:color="C48F1B"/>
          <w:insideV w:val="single" w:sz="4" w:space="0" w:color="C48F1B"/>
        </w:tblBorders>
        <w:tblLayout w:type="fixed"/>
        <w:tblCellMar>
          <w:left w:w="0" w:type="dxa"/>
          <w:right w:w="0" w:type="dxa"/>
        </w:tblCellMar>
        <w:tblLook w:val="01E0" w:firstRow="1" w:lastRow="1" w:firstColumn="1" w:lastColumn="1" w:noHBand="0" w:noVBand="0"/>
      </w:tblPr>
      <w:tblGrid>
        <w:gridCol w:w="6633"/>
        <w:gridCol w:w="1492"/>
        <w:gridCol w:w="1492"/>
      </w:tblGrid>
      <w:tr w:rsidR="005B49BC" w:rsidRPr="00CA2CC1" w14:paraId="26685BE4" w14:textId="77777777" w:rsidTr="004435A7">
        <w:trPr>
          <w:trHeight w:val="638"/>
        </w:trPr>
        <w:tc>
          <w:tcPr>
            <w:tcW w:w="6633" w:type="dxa"/>
            <w:tcBorders>
              <w:top w:val="nil"/>
              <w:left w:val="nil"/>
              <w:right w:val="nil"/>
            </w:tcBorders>
          </w:tcPr>
          <w:p w14:paraId="78D19F5E" w14:textId="77777777" w:rsidR="005B49BC" w:rsidRPr="00CA2CC1" w:rsidRDefault="005B49BC" w:rsidP="003B766D">
            <w:pPr>
              <w:pStyle w:val="TableParagraph"/>
              <w:jc w:val="left"/>
              <w:rPr>
                <w:rFonts w:cs="Calibri"/>
                <w:sz w:val="16"/>
              </w:rPr>
            </w:pPr>
          </w:p>
        </w:tc>
        <w:tc>
          <w:tcPr>
            <w:tcW w:w="1492" w:type="dxa"/>
            <w:tcBorders>
              <w:top w:val="nil"/>
              <w:left w:val="nil"/>
              <w:right w:val="single" w:sz="8" w:space="0" w:color="FFFFFF"/>
            </w:tcBorders>
            <w:shd w:val="clear" w:color="auto" w:fill="FFF0E7"/>
            <w:tcMar>
              <w:right w:w="57" w:type="dxa"/>
            </w:tcMar>
          </w:tcPr>
          <w:p w14:paraId="1CDBC8A5" w14:textId="77777777" w:rsidR="005B49BC" w:rsidRPr="00CA2CC1" w:rsidRDefault="005B49BC" w:rsidP="003B766D">
            <w:pPr>
              <w:pStyle w:val="TableParagraph"/>
              <w:spacing w:before="133"/>
              <w:rPr>
                <w:rFonts w:cs="Calibri"/>
                <w:sz w:val="17"/>
              </w:rPr>
            </w:pPr>
            <w:r w:rsidRPr="00CA2CC1">
              <w:rPr>
                <w:rFonts w:cs="Calibri"/>
                <w:color w:val="F68C59"/>
                <w:spacing w:val="-4"/>
                <w:sz w:val="17"/>
              </w:rPr>
              <w:t>2023</w:t>
            </w:r>
          </w:p>
          <w:p w14:paraId="36AD2035" w14:textId="77777777" w:rsidR="005B49BC" w:rsidRPr="00CA2CC1" w:rsidRDefault="005B49BC" w:rsidP="003B766D">
            <w:pPr>
              <w:pStyle w:val="TableParagraph"/>
              <w:spacing w:before="1"/>
              <w:rPr>
                <w:rFonts w:cs="Calibri"/>
                <w:sz w:val="17"/>
              </w:rPr>
            </w:pPr>
            <w:r w:rsidRPr="00CA2CC1">
              <w:rPr>
                <w:rFonts w:cs="Calibri"/>
                <w:color w:val="F68C59"/>
                <w:sz w:val="17"/>
              </w:rPr>
              <w:t>$</w:t>
            </w:r>
          </w:p>
        </w:tc>
        <w:tc>
          <w:tcPr>
            <w:tcW w:w="1492" w:type="dxa"/>
            <w:tcBorders>
              <w:top w:val="nil"/>
              <w:left w:val="single" w:sz="8" w:space="0" w:color="FFFFFF"/>
              <w:right w:val="nil"/>
            </w:tcBorders>
            <w:shd w:val="clear" w:color="auto" w:fill="EDEFF0"/>
            <w:tcMar>
              <w:right w:w="57" w:type="dxa"/>
            </w:tcMar>
          </w:tcPr>
          <w:p w14:paraId="2AB968EC" w14:textId="77777777" w:rsidR="005B49BC" w:rsidRPr="00CA2CC1" w:rsidRDefault="005B49BC" w:rsidP="003B766D">
            <w:pPr>
              <w:pStyle w:val="TableParagraph"/>
              <w:spacing w:before="86"/>
              <w:rPr>
                <w:rFonts w:cs="Calibri"/>
                <w:sz w:val="17"/>
              </w:rPr>
            </w:pPr>
            <w:r w:rsidRPr="00CA2CC1">
              <w:rPr>
                <w:rFonts w:cs="Calibri"/>
                <w:color w:val="F68C59"/>
                <w:spacing w:val="-4"/>
                <w:sz w:val="17"/>
              </w:rPr>
              <w:t>2022</w:t>
            </w:r>
          </w:p>
          <w:p w14:paraId="25FAED25" w14:textId="77777777" w:rsidR="005B49BC" w:rsidRPr="00CA2CC1" w:rsidRDefault="005B49BC" w:rsidP="003B766D">
            <w:pPr>
              <w:pStyle w:val="TableParagraph"/>
              <w:spacing w:before="48"/>
              <w:rPr>
                <w:rFonts w:cs="Calibri"/>
                <w:sz w:val="17"/>
              </w:rPr>
            </w:pPr>
            <w:r w:rsidRPr="00CA2CC1">
              <w:rPr>
                <w:rFonts w:cs="Calibri"/>
                <w:color w:val="F68C59"/>
                <w:sz w:val="17"/>
              </w:rPr>
              <w:t>$</w:t>
            </w:r>
          </w:p>
        </w:tc>
      </w:tr>
      <w:tr w:rsidR="005B49BC" w:rsidRPr="00CA2CC1" w14:paraId="5110391C" w14:textId="77777777" w:rsidTr="004435A7">
        <w:trPr>
          <w:trHeight w:val="281"/>
        </w:trPr>
        <w:tc>
          <w:tcPr>
            <w:tcW w:w="6633" w:type="dxa"/>
            <w:tcBorders>
              <w:left w:val="nil"/>
              <w:bottom w:val="single" w:sz="2" w:space="0" w:color="73777A"/>
              <w:right w:val="nil"/>
            </w:tcBorders>
          </w:tcPr>
          <w:p w14:paraId="0C99FD31" w14:textId="77777777" w:rsidR="005B49BC" w:rsidRPr="00CA2CC1" w:rsidRDefault="005B49BC" w:rsidP="003B766D">
            <w:pPr>
              <w:pStyle w:val="TableParagraph"/>
              <w:jc w:val="left"/>
              <w:rPr>
                <w:rFonts w:cs="Calibri"/>
                <w:sz w:val="10"/>
              </w:rPr>
            </w:pPr>
            <w:r w:rsidRPr="00CA2CC1">
              <w:rPr>
                <w:rFonts w:cs="Calibri"/>
                <w:color w:val="414042"/>
                <w:sz w:val="18"/>
              </w:rPr>
              <w:t>Interest</w:t>
            </w:r>
            <w:r w:rsidRPr="00CA2CC1">
              <w:rPr>
                <w:rFonts w:cs="Calibri"/>
                <w:color w:val="414042"/>
                <w:spacing w:val="5"/>
                <w:sz w:val="18"/>
              </w:rPr>
              <w:t xml:space="preserve"> </w:t>
            </w:r>
            <w:r w:rsidRPr="00CA2CC1">
              <w:rPr>
                <w:rFonts w:cs="Calibri"/>
                <w:color w:val="414042"/>
                <w:sz w:val="18"/>
              </w:rPr>
              <w:t>expense</w:t>
            </w:r>
            <w:r w:rsidRPr="00CA2CC1">
              <w:rPr>
                <w:rFonts w:cs="Calibri"/>
                <w:color w:val="414042"/>
                <w:spacing w:val="6"/>
                <w:sz w:val="18"/>
              </w:rPr>
              <w:t xml:space="preserve"> </w:t>
            </w:r>
            <w:r w:rsidRPr="00CA2CC1">
              <w:rPr>
                <w:rFonts w:cs="Calibri"/>
                <w:color w:val="414042"/>
                <w:sz w:val="18"/>
              </w:rPr>
              <w:t>on</w:t>
            </w:r>
            <w:r w:rsidRPr="00CA2CC1">
              <w:rPr>
                <w:rFonts w:cs="Calibri"/>
                <w:color w:val="414042"/>
                <w:spacing w:val="6"/>
                <w:sz w:val="18"/>
              </w:rPr>
              <w:t xml:space="preserve"> </w:t>
            </w:r>
            <w:r w:rsidRPr="00CA2CC1">
              <w:rPr>
                <w:rFonts w:cs="Calibri"/>
                <w:color w:val="414042"/>
                <w:sz w:val="18"/>
              </w:rPr>
              <w:t>lease</w:t>
            </w:r>
            <w:r w:rsidRPr="00CA2CC1">
              <w:rPr>
                <w:rFonts w:cs="Calibri"/>
                <w:color w:val="414042"/>
                <w:spacing w:val="6"/>
                <w:sz w:val="18"/>
              </w:rPr>
              <w:t xml:space="preserve"> </w:t>
            </w:r>
            <w:r w:rsidRPr="00CA2CC1">
              <w:rPr>
                <w:rFonts w:cs="Calibri"/>
                <w:color w:val="414042"/>
                <w:sz w:val="18"/>
              </w:rPr>
              <w:t>liabilities</w:t>
            </w:r>
            <w:r w:rsidRPr="00CA2CC1">
              <w:rPr>
                <w:rFonts w:cs="Calibri"/>
                <w:color w:val="414042"/>
                <w:spacing w:val="5"/>
                <w:sz w:val="18"/>
              </w:rPr>
              <w:t xml:space="preserve"> </w:t>
            </w:r>
            <w:r w:rsidRPr="00CA2CC1">
              <w:rPr>
                <w:rFonts w:cs="Calibri"/>
                <w:color w:val="414042"/>
                <w:spacing w:val="-5"/>
                <w:position w:val="6"/>
                <w:sz w:val="10"/>
              </w:rPr>
              <w:t>(i)</w:t>
            </w:r>
          </w:p>
        </w:tc>
        <w:tc>
          <w:tcPr>
            <w:tcW w:w="1492" w:type="dxa"/>
            <w:tcBorders>
              <w:left w:val="nil"/>
              <w:bottom w:val="single" w:sz="2" w:space="0" w:color="73777A"/>
              <w:right w:val="single" w:sz="8" w:space="0" w:color="FFFFFF"/>
            </w:tcBorders>
            <w:shd w:val="clear" w:color="auto" w:fill="FFF0E7"/>
            <w:tcMar>
              <w:right w:w="57" w:type="dxa"/>
            </w:tcMar>
          </w:tcPr>
          <w:p w14:paraId="0A92FF98" w14:textId="77777777" w:rsidR="005B49BC" w:rsidRPr="00CA2CC1" w:rsidRDefault="005B49BC" w:rsidP="003B766D">
            <w:pPr>
              <w:pStyle w:val="TableParagraph"/>
              <w:rPr>
                <w:rFonts w:cs="Calibri"/>
                <w:sz w:val="18"/>
              </w:rPr>
            </w:pPr>
            <w:r w:rsidRPr="00CA2CC1">
              <w:rPr>
                <w:rFonts w:cs="Calibri"/>
                <w:color w:val="414042"/>
                <w:spacing w:val="-2"/>
                <w:sz w:val="18"/>
              </w:rPr>
              <w:t>57,129</w:t>
            </w:r>
          </w:p>
        </w:tc>
        <w:tc>
          <w:tcPr>
            <w:tcW w:w="1492" w:type="dxa"/>
            <w:tcBorders>
              <w:left w:val="single" w:sz="8" w:space="0" w:color="FFFFFF"/>
              <w:bottom w:val="single" w:sz="2" w:space="0" w:color="73777A"/>
              <w:right w:val="nil"/>
            </w:tcBorders>
            <w:shd w:val="clear" w:color="auto" w:fill="EDEFF0"/>
            <w:tcMar>
              <w:right w:w="57" w:type="dxa"/>
            </w:tcMar>
          </w:tcPr>
          <w:p w14:paraId="446425F0" w14:textId="77777777" w:rsidR="005B49BC" w:rsidRPr="00CA2CC1" w:rsidRDefault="005B49BC" w:rsidP="003B766D">
            <w:pPr>
              <w:pStyle w:val="TableParagraph"/>
              <w:rPr>
                <w:rFonts w:cs="Calibri"/>
                <w:sz w:val="18"/>
              </w:rPr>
            </w:pPr>
            <w:r w:rsidRPr="00CA2CC1">
              <w:rPr>
                <w:rFonts w:cs="Calibri"/>
                <w:color w:val="414042"/>
                <w:spacing w:val="-2"/>
                <w:sz w:val="18"/>
              </w:rPr>
              <w:t>65,486</w:t>
            </w:r>
          </w:p>
        </w:tc>
      </w:tr>
      <w:tr w:rsidR="005B49BC" w:rsidRPr="00CA2CC1" w14:paraId="30C6EA81" w14:textId="77777777" w:rsidTr="004435A7">
        <w:trPr>
          <w:trHeight w:val="278"/>
        </w:trPr>
        <w:tc>
          <w:tcPr>
            <w:tcW w:w="6633" w:type="dxa"/>
            <w:tcBorders>
              <w:top w:val="single" w:sz="2" w:space="0" w:color="73777A"/>
              <w:left w:val="nil"/>
              <w:bottom w:val="single" w:sz="6" w:space="0" w:color="73777A"/>
              <w:right w:val="nil"/>
            </w:tcBorders>
          </w:tcPr>
          <w:p w14:paraId="766BC79A" w14:textId="77777777" w:rsidR="005B49BC" w:rsidRPr="00CA2CC1" w:rsidRDefault="005B49BC" w:rsidP="003B766D">
            <w:pPr>
              <w:pStyle w:val="TableParagraph"/>
              <w:jc w:val="left"/>
              <w:rPr>
                <w:rFonts w:cs="Calibri"/>
                <w:sz w:val="10"/>
              </w:rPr>
            </w:pPr>
            <w:r w:rsidRPr="00CA2CC1">
              <w:rPr>
                <w:rFonts w:cs="Calibri"/>
                <w:color w:val="414042"/>
                <w:sz w:val="18"/>
              </w:rPr>
              <w:t>Low-value</w:t>
            </w:r>
            <w:r w:rsidRPr="00CA2CC1">
              <w:rPr>
                <w:rFonts w:cs="Calibri"/>
                <w:color w:val="414042"/>
                <w:spacing w:val="2"/>
                <w:sz w:val="18"/>
              </w:rPr>
              <w:t xml:space="preserve"> </w:t>
            </w:r>
            <w:r w:rsidRPr="00CA2CC1">
              <w:rPr>
                <w:rFonts w:cs="Calibri"/>
                <w:color w:val="414042"/>
                <w:sz w:val="18"/>
              </w:rPr>
              <w:t>lease</w:t>
            </w:r>
            <w:r w:rsidRPr="00CA2CC1">
              <w:rPr>
                <w:rFonts w:cs="Calibri"/>
                <w:color w:val="414042"/>
                <w:spacing w:val="5"/>
                <w:sz w:val="18"/>
              </w:rPr>
              <w:t xml:space="preserve"> </w:t>
            </w:r>
            <w:r w:rsidRPr="00CA2CC1">
              <w:rPr>
                <w:rFonts w:cs="Calibri"/>
                <w:color w:val="414042"/>
                <w:sz w:val="18"/>
              </w:rPr>
              <w:t>expenses</w:t>
            </w:r>
            <w:r w:rsidRPr="00CA2CC1">
              <w:rPr>
                <w:rFonts w:cs="Calibri"/>
                <w:color w:val="414042"/>
                <w:spacing w:val="5"/>
                <w:sz w:val="18"/>
              </w:rPr>
              <w:t xml:space="preserve"> </w:t>
            </w:r>
            <w:r w:rsidRPr="00CA2CC1">
              <w:rPr>
                <w:rFonts w:cs="Calibri"/>
                <w:color w:val="414042"/>
                <w:spacing w:val="-4"/>
                <w:position w:val="6"/>
                <w:sz w:val="10"/>
              </w:rPr>
              <w:t>(ii)</w:t>
            </w:r>
          </w:p>
        </w:tc>
        <w:tc>
          <w:tcPr>
            <w:tcW w:w="1492" w:type="dxa"/>
            <w:tcBorders>
              <w:top w:val="single" w:sz="2" w:space="0" w:color="73777A"/>
              <w:left w:val="nil"/>
              <w:bottom w:val="single" w:sz="6" w:space="0" w:color="73777A"/>
              <w:right w:val="single" w:sz="8" w:space="0" w:color="FFFFFF"/>
            </w:tcBorders>
            <w:shd w:val="clear" w:color="auto" w:fill="FFF0E7"/>
            <w:tcMar>
              <w:right w:w="57" w:type="dxa"/>
            </w:tcMar>
          </w:tcPr>
          <w:p w14:paraId="1FD55662" w14:textId="77777777" w:rsidR="005B49BC" w:rsidRPr="00CA2CC1" w:rsidRDefault="005B49BC" w:rsidP="003B766D">
            <w:pPr>
              <w:pStyle w:val="TableParagraph"/>
              <w:rPr>
                <w:rFonts w:cs="Calibri"/>
                <w:sz w:val="18"/>
              </w:rPr>
            </w:pPr>
            <w:r w:rsidRPr="00CA2CC1">
              <w:rPr>
                <w:rFonts w:cs="Calibri"/>
                <w:color w:val="414042"/>
                <w:spacing w:val="-2"/>
                <w:sz w:val="18"/>
              </w:rPr>
              <w:t>23,290</w:t>
            </w:r>
          </w:p>
        </w:tc>
        <w:tc>
          <w:tcPr>
            <w:tcW w:w="1492" w:type="dxa"/>
            <w:tcBorders>
              <w:top w:val="single" w:sz="2" w:space="0" w:color="73777A"/>
              <w:left w:val="single" w:sz="8" w:space="0" w:color="FFFFFF"/>
              <w:bottom w:val="single" w:sz="6" w:space="0" w:color="73777A"/>
              <w:right w:val="nil"/>
            </w:tcBorders>
            <w:shd w:val="clear" w:color="auto" w:fill="EDEFF0"/>
            <w:tcMar>
              <w:right w:w="57" w:type="dxa"/>
            </w:tcMar>
          </w:tcPr>
          <w:p w14:paraId="565FB59B" w14:textId="77777777" w:rsidR="005B49BC" w:rsidRPr="00CA2CC1" w:rsidRDefault="005B49BC" w:rsidP="003B766D">
            <w:pPr>
              <w:pStyle w:val="TableParagraph"/>
              <w:rPr>
                <w:rFonts w:cs="Calibri"/>
                <w:sz w:val="18"/>
              </w:rPr>
            </w:pPr>
            <w:r w:rsidRPr="00CA2CC1">
              <w:rPr>
                <w:rFonts w:cs="Calibri"/>
                <w:color w:val="414042"/>
                <w:spacing w:val="-2"/>
                <w:sz w:val="18"/>
              </w:rPr>
              <w:t>47,494</w:t>
            </w:r>
          </w:p>
        </w:tc>
      </w:tr>
      <w:tr w:rsidR="005B49BC" w:rsidRPr="00CA2CC1" w14:paraId="1B3A60F6" w14:textId="77777777" w:rsidTr="004435A7">
        <w:trPr>
          <w:trHeight w:val="290"/>
        </w:trPr>
        <w:tc>
          <w:tcPr>
            <w:tcW w:w="6633" w:type="dxa"/>
            <w:tcBorders>
              <w:top w:val="single" w:sz="6" w:space="0" w:color="73777A"/>
              <w:left w:val="nil"/>
              <w:bottom w:val="double" w:sz="6" w:space="0" w:color="73777A"/>
              <w:right w:val="nil"/>
            </w:tcBorders>
          </w:tcPr>
          <w:p w14:paraId="5A1F1F9E" w14:textId="77777777" w:rsidR="005B49BC" w:rsidRPr="00CA2CC1" w:rsidRDefault="005B49BC" w:rsidP="003B766D">
            <w:pPr>
              <w:pStyle w:val="TableParagraph"/>
              <w:spacing w:before="25"/>
              <w:jc w:val="left"/>
              <w:rPr>
                <w:rFonts w:cs="Calibri"/>
                <w:sz w:val="10"/>
              </w:rPr>
            </w:pPr>
            <w:r w:rsidRPr="00CA2CC1">
              <w:rPr>
                <w:rFonts w:cs="Calibri"/>
                <w:color w:val="414042"/>
                <w:sz w:val="18"/>
              </w:rPr>
              <w:t>Total</w:t>
            </w:r>
            <w:r w:rsidRPr="00CA2CC1">
              <w:rPr>
                <w:rFonts w:cs="Calibri"/>
                <w:color w:val="414042"/>
                <w:spacing w:val="8"/>
                <w:sz w:val="18"/>
              </w:rPr>
              <w:t xml:space="preserve"> </w:t>
            </w:r>
            <w:r w:rsidRPr="00CA2CC1">
              <w:rPr>
                <w:rFonts w:cs="Calibri"/>
                <w:color w:val="414042"/>
                <w:sz w:val="18"/>
              </w:rPr>
              <w:t>amount</w:t>
            </w:r>
            <w:r w:rsidRPr="00CA2CC1">
              <w:rPr>
                <w:rFonts w:cs="Calibri"/>
                <w:color w:val="414042"/>
                <w:spacing w:val="8"/>
                <w:sz w:val="18"/>
              </w:rPr>
              <w:t xml:space="preserve"> </w:t>
            </w:r>
            <w:r w:rsidRPr="00CA2CC1">
              <w:rPr>
                <w:rFonts w:cs="Calibri"/>
                <w:color w:val="414042"/>
                <w:sz w:val="18"/>
              </w:rPr>
              <w:t>recognised</w:t>
            </w:r>
            <w:r w:rsidRPr="00CA2CC1">
              <w:rPr>
                <w:rFonts w:cs="Calibri"/>
                <w:color w:val="414042"/>
                <w:spacing w:val="8"/>
                <w:sz w:val="18"/>
              </w:rPr>
              <w:t xml:space="preserve"> </w:t>
            </w:r>
            <w:r w:rsidRPr="00CA2CC1">
              <w:rPr>
                <w:rFonts w:cs="Calibri"/>
                <w:color w:val="414042"/>
                <w:sz w:val="18"/>
              </w:rPr>
              <w:t>in</w:t>
            </w:r>
            <w:r w:rsidRPr="00CA2CC1">
              <w:rPr>
                <w:rFonts w:cs="Calibri"/>
                <w:color w:val="414042"/>
                <w:spacing w:val="8"/>
                <w:sz w:val="18"/>
              </w:rPr>
              <w:t xml:space="preserve"> </w:t>
            </w:r>
            <w:r w:rsidRPr="00CA2CC1">
              <w:rPr>
                <w:rFonts w:cs="Calibri"/>
                <w:color w:val="414042"/>
                <w:sz w:val="18"/>
              </w:rPr>
              <w:t>the</w:t>
            </w:r>
            <w:r w:rsidRPr="00CA2CC1">
              <w:rPr>
                <w:rFonts w:cs="Calibri"/>
                <w:color w:val="414042"/>
                <w:spacing w:val="8"/>
                <w:sz w:val="18"/>
              </w:rPr>
              <w:t xml:space="preserve"> </w:t>
            </w:r>
            <w:r w:rsidRPr="00CA2CC1">
              <w:rPr>
                <w:rFonts w:cs="Calibri"/>
                <w:color w:val="414042"/>
                <w:sz w:val="18"/>
              </w:rPr>
              <w:t>comprehensive</w:t>
            </w:r>
            <w:r w:rsidRPr="00CA2CC1">
              <w:rPr>
                <w:rFonts w:cs="Calibri"/>
                <w:color w:val="414042"/>
                <w:spacing w:val="8"/>
                <w:sz w:val="18"/>
              </w:rPr>
              <w:t xml:space="preserve"> </w:t>
            </w:r>
            <w:r w:rsidRPr="00CA2CC1">
              <w:rPr>
                <w:rFonts w:cs="Calibri"/>
                <w:color w:val="414042"/>
                <w:sz w:val="18"/>
              </w:rPr>
              <w:t>operating</w:t>
            </w:r>
            <w:r w:rsidRPr="00CA2CC1">
              <w:rPr>
                <w:rFonts w:cs="Calibri"/>
                <w:color w:val="414042"/>
                <w:spacing w:val="8"/>
                <w:sz w:val="18"/>
              </w:rPr>
              <w:t xml:space="preserve"> </w:t>
            </w:r>
            <w:r w:rsidRPr="00CA2CC1">
              <w:rPr>
                <w:rFonts w:cs="Calibri"/>
                <w:color w:val="414042"/>
                <w:sz w:val="18"/>
              </w:rPr>
              <w:t>statement</w:t>
            </w:r>
            <w:r w:rsidRPr="00CA2CC1">
              <w:rPr>
                <w:rFonts w:cs="Calibri"/>
                <w:color w:val="414042"/>
                <w:spacing w:val="8"/>
                <w:sz w:val="18"/>
              </w:rPr>
              <w:t xml:space="preserve"> </w:t>
            </w:r>
            <w:r w:rsidRPr="00CA2CC1">
              <w:rPr>
                <w:rFonts w:cs="Calibri"/>
                <w:color w:val="414042"/>
                <w:spacing w:val="-2"/>
                <w:position w:val="6"/>
                <w:sz w:val="10"/>
              </w:rPr>
              <w:t>(i)(ii)</w:t>
            </w:r>
          </w:p>
        </w:tc>
        <w:tc>
          <w:tcPr>
            <w:tcW w:w="1492" w:type="dxa"/>
            <w:tcBorders>
              <w:top w:val="single" w:sz="6" w:space="0" w:color="73777A"/>
              <w:left w:val="nil"/>
              <w:bottom w:val="double" w:sz="4" w:space="0" w:color="73777A"/>
              <w:right w:val="single" w:sz="8" w:space="0" w:color="FFFFFF"/>
            </w:tcBorders>
            <w:shd w:val="clear" w:color="auto" w:fill="FFF0E7"/>
            <w:tcMar>
              <w:right w:w="57" w:type="dxa"/>
            </w:tcMar>
          </w:tcPr>
          <w:p w14:paraId="770CD88C" w14:textId="77777777" w:rsidR="005B49BC" w:rsidRPr="00CA2CC1" w:rsidRDefault="005B49BC" w:rsidP="003B766D">
            <w:pPr>
              <w:pStyle w:val="TableParagraph"/>
              <w:spacing w:before="25"/>
              <w:rPr>
                <w:rFonts w:cs="Calibri"/>
                <w:sz w:val="18"/>
              </w:rPr>
            </w:pPr>
            <w:r w:rsidRPr="00CA2CC1">
              <w:rPr>
                <w:rFonts w:cs="Calibri"/>
                <w:color w:val="414042"/>
                <w:spacing w:val="-2"/>
                <w:sz w:val="18"/>
              </w:rPr>
              <w:t>80,419</w:t>
            </w:r>
          </w:p>
        </w:tc>
        <w:tc>
          <w:tcPr>
            <w:tcW w:w="1492" w:type="dxa"/>
            <w:tcBorders>
              <w:top w:val="single" w:sz="6" w:space="0" w:color="73777A"/>
              <w:left w:val="single" w:sz="8" w:space="0" w:color="FFFFFF"/>
              <w:bottom w:val="double" w:sz="4" w:space="0" w:color="73777A"/>
              <w:right w:val="nil"/>
            </w:tcBorders>
            <w:shd w:val="clear" w:color="auto" w:fill="EDEFF0"/>
            <w:tcMar>
              <w:right w:w="57" w:type="dxa"/>
            </w:tcMar>
          </w:tcPr>
          <w:p w14:paraId="42DC5F22" w14:textId="77777777" w:rsidR="005B49BC" w:rsidRPr="00CA2CC1" w:rsidRDefault="005B49BC" w:rsidP="003B766D">
            <w:pPr>
              <w:pStyle w:val="TableParagraph"/>
              <w:spacing w:before="25"/>
              <w:rPr>
                <w:rFonts w:cs="Calibri"/>
                <w:sz w:val="18"/>
              </w:rPr>
            </w:pPr>
            <w:r w:rsidRPr="00CA2CC1">
              <w:rPr>
                <w:rFonts w:cs="Calibri"/>
                <w:color w:val="414042"/>
                <w:spacing w:val="-2"/>
                <w:sz w:val="18"/>
              </w:rPr>
              <w:t>112,980</w:t>
            </w:r>
          </w:p>
        </w:tc>
      </w:tr>
    </w:tbl>
    <w:p w14:paraId="29A68D64" w14:textId="77777777" w:rsidR="005B49BC" w:rsidRPr="00CA2CC1" w:rsidRDefault="005B49BC" w:rsidP="005B49BC">
      <w:pPr>
        <w:pStyle w:val="BodyText"/>
        <w:spacing w:before="5"/>
        <w:rPr>
          <w:rFonts w:cs="Calibri"/>
          <w:sz w:val="17"/>
        </w:rPr>
      </w:pPr>
    </w:p>
    <w:p w14:paraId="758B0EDD" w14:textId="77777777" w:rsidR="005B49BC" w:rsidRPr="00CA2CC1" w:rsidRDefault="005B49BC" w:rsidP="005B49BC">
      <w:pPr>
        <w:pStyle w:val="ListParagraph"/>
        <w:numPr>
          <w:ilvl w:val="0"/>
          <w:numId w:val="10"/>
        </w:numPr>
        <w:spacing w:before="0"/>
        <w:ind w:left="0" w:firstLine="0"/>
        <w:rPr>
          <w:rFonts w:cs="Calibri"/>
          <w:i/>
          <w:sz w:val="16"/>
        </w:rPr>
      </w:pPr>
      <w:r w:rsidRPr="00CA2CC1">
        <w:rPr>
          <w:rFonts w:cs="Calibri"/>
          <w:i/>
          <w:color w:val="414042"/>
          <w:sz w:val="16"/>
        </w:rPr>
        <w:t>The</w:t>
      </w:r>
      <w:r w:rsidRPr="00CA2CC1">
        <w:rPr>
          <w:rFonts w:cs="Calibri"/>
          <w:i/>
          <w:color w:val="414042"/>
          <w:spacing w:val="-3"/>
          <w:sz w:val="16"/>
        </w:rPr>
        <w:t xml:space="preserve"> </w:t>
      </w:r>
      <w:r w:rsidRPr="00CA2CC1">
        <w:rPr>
          <w:rFonts w:cs="Calibri"/>
          <w:i/>
          <w:color w:val="414042"/>
          <w:sz w:val="16"/>
        </w:rPr>
        <w:t>2021-22</w:t>
      </w:r>
      <w:r w:rsidRPr="00CA2CC1">
        <w:rPr>
          <w:rFonts w:cs="Calibri"/>
          <w:i/>
          <w:color w:val="414042"/>
          <w:spacing w:val="-1"/>
          <w:sz w:val="16"/>
        </w:rPr>
        <w:t xml:space="preserve"> </w:t>
      </w:r>
      <w:r w:rsidRPr="00CA2CC1">
        <w:rPr>
          <w:rFonts w:cs="Calibri"/>
          <w:i/>
          <w:color w:val="414042"/>
          <w:sz w:val="16"/>
        </w:rPr>
        <w:t>comparative</w:t>
      </w:r>
      <w:r w:rsidRPr="00CA2CC1">
        <w:rPr>
          <w:rFonts w:cs="Calibri"/>
          <w:i/>
          <w:color w:val="414042"/>
          <w:spacing w:val="-1"/>
          <w:sz w:val="16"/>
        </w:rPr>
        <w:t xml:space="preserve"> </w:t>
      </w:r>
      <w:r w:rsidRPr="00CA2CC1">
        <w:rPr>
          <w:rFonts w:cs="Calibri"/>
          <w:i/>
          <w:color w:val="414042"/>
          <w:sz w:val="16"/>
        </w:rPr>
        <w:t>figures</w:t>
      </w:r>
      <w:r w:rsidRPr="00CA2CC1">
        <w:rPr>
          <w:rFonts w:cs="Calibri"/>
          <w:i/>
          <w:color w:val="414042"/>
          <w:spacing w:val="-1"/>
          <w:sz w:val="16"/>
        </w:rPr>
        <w:t xml:space="preserve"> </w:t>
      </w:r>
      <w:r w:rsidRPr="00CA2CC1">
        <w:rPr>
          <w:rFonts w:cs="Calibri"/>
          <w:i/>
          <w:color w:val="414042"/>
          <w:sz w:val="16"/>
        </w:rPr>
        <w:t>have been</w:t>
      </w:r>
      <w:r w:rsidRPr="00CA2CC1">
        <w:rPr>
          <w:rFonts w:cs="Calibri"/>
          <w:i/>
          <w:color w:val="414042"/>
          <w:spacing w:val="-1"/>
          <w:sz w:val="16"/>
        </w:rPr>
        <w:t xml:space="preserve"> </w:t>
      </w:r>
      <w:r w:rsidRPr="00CA2CC1">
        <w:rPr>
          <w:rFonts w:cs="Calibri"/>
          <w:i/>
          <w:color w:val="414042"/>
          <w:sz w:val="16"/>
        </w:rPr>
        <w:t>adjusted</w:t>
      </w:r>
      <w:r w:rsidRPr="00CA2CC1">
        <w:rPr>
          <w:rFonts w:cs="Calibri"/>
          <w:i/>
          <w:color w:val="414042"/>
          <w:spacing w:val="-1"/>
          <w:sz w:val="16"/>
        </w:rPr>
        <w:t xml:space="preserve"> </w:t>
      </w:r>
      <w:r w:rsidRPr="00CA2CC1">
        <w:rPr>
          <w:rFonts w:cs="Calibri"/>
          <w:i/>
          <w:color w:val="414042"/>
          <w:sz w:val="16"/>
        </w:rPr>
        <w:t>to</w:t>
      </w:r>
      <w:r w:rsidRPr="00CA2CC1">
        <w:rPr>
          <w:rFonts w:cs="Calibri"/>
          <w:i/>
          <w:color w:val="414042"/>
          <w:spacing w:val="-1"/>
          <w:sz w:val="16"/>
        </w:rPr>
        <w:t xml:space="preserve"> </w:t>
      </w:r>
      <w:r w:rsidRPr="00CA2CC1">
        <w:rPr>
          <w:rFonts w:cs="Calibri"/>
          <w:i/>
          <w:color w:val="414042"/>
          <w:sz w:val="16"/>
        </w:rPr>
        <w:t>correct</w:t>
      </w:r>
      <w:r w:rsidRPr="00CA2CC1">
        <w:rPr>
          <w:rFonts w:cs="Calibri"/>
          <w:i/>
          <w:color w:val="414042"/>
          <w:spacing w:val="-1"/>
          <w:sz w:val="16"/>
        </w:rPr>
        <w:t xml:space="preserve"> </w:t>
      </w:r>
      <w:r w:rsidRPr="00CA2CC1">
        <w:rPr>
          <w:rFonts w:cs="Calibri"/>
          <w:i/>
          <w:color w:val="414042"/>
          <w:sz w:val="16"/>
        </w:rPr>
        <w:t>a prior</w:t>
      </w:r>
      <w:r w:rsidRPr="00CA2CC1">
        <w:rPr>
          <w:rFonts w:cs="Calibri"/>
          <w:i/>
          <w:color w:val="414042"/>
          <w:spacing w:val="-1"/>
          <w:sz w:val="16"/>
        </w:rPr>
        <w:t xml:space="preserve"> </w:t>
      </w:r>
      <w:r w:rsidRPr="00CA2CC1">
        <w:rPr>
          <w:rFonts w:cs="Calibri"/>
          <w:i/>
          <w:color w:val="414042"/>
          <w:sz w:val="16"/>
        </w:rPr>
        <w:t>period</w:t>
      </w:r>
      <w:r w:rsidRPr="00CA2CC1">
        <w:rPr>
          <w:rFonts w:cs="Calibri"/>
          <w:i/>
          <w:color w:val="414042"/>
          <w:spacing w:val="-1"/>
          <w:sz w:val="16"/>
        </w:rPr>
        <w:t xml:space="preserve"> </w:t>
      </w:r>
      <w:r w:rsidRPr="00CA2CC1">
        <w:rPr>
          <w:rFonts w:cs="Calibri"/>
          <w:i/>
          <w:color w:val="414042"/>
          <w:sz w:val="16"/>
        </w:rPr>
        <w:t>error.</w:t>
      </w:r>
      <w:r w:rsidRPr="00CA2CC1">
        <w:rPr>
          <w:rFonts w:cs="Calibri"/>
          <w:i/>
          <w:color w:val="414042"/>
          <w:spacing w:val="-1"/>
          <w:sz w:val="16"/>
        </w:rPr>
        <w:t xml:space="preserve"> </w:t>
      </w:r>
      <w:r w:rsidRPr="00CA2CC1">
        <w:rPr>
          <w:rFonts w:cs="Calibri"/>
          <w:i/>
          <w:color w:val="414042"/>
          <w:sz w:val="16"/>
        </w:rPr>
        <w:t>Refer</w:t>
      </w:r>
      <w:r w:rsidRPr="00CA2CC1">
        <w:rPr>
          <w:rFonts w:cs="Calibri"/>
          <w:i/>
          <w:color w:val="414042"/>
          <w:spacing w:val="-1"/>
          <w:sz w:val="16"/>
        </w:rPr>
        <w:t xml:space="preserve"> </w:t>
      </w:r>
      <w:r w:rsidRPr="00CA2CC1">
        <w:rPr>
          <w:rFonts w:cs="Calibri"/>
          <w:i/>
          <w:color w:val="414042"/>
          <w:sz w:val="16"/>
        </w:rPr>
        <w:t>to note</w:t>
      </w:r>
      <w:r w:rsidRPr="00CA2CC1">
        <w:rPr>
          <w:rFonts w:cs="Calibri"/>
          <w:i/>
          <w:color w:val="414042"/>
          <w:spacing w:val="-1"/>
          <w:sz w:val="16"/>
        </w:rPr>
        <w:t xml:space="preserve"> </w:t>
      </w:r>
      <w:r w:rsidRPr="00CA2CC1">
        <w:rPr>
          <w:rFonts w:cs="Calibri"/>
          <w:i/>
          <w:color w:val="414042"/>
          <w:sz w:val="16"/>
        </w:rPr>
        <w:t>8.5</w:t>
      </w:r>
      <w:r w:rsidRPr="00CA2CC1">
        <w:rPr>
          <w:rFonts w:cs="Calibri"/>
          <w:i/>
          <w:color w:val="414042"/>
          <w:spacing w:val="-1"/>
          <w:sz w:val="16"/>
        </w:rPr>
        <w:t xml:space="preserve"> </w:t>
      </w:r>
      <w:r w:rsidRPr="00CA2CC1">
        <w:rPr>
          <w:rFonts w:cs="Calibri"/>
          <w:i/>
          <w:color w:val="414042"/>
          <w:sz w:val="16"/>
        </w:rPr>
        <w:t>for</w:t>
      </w:r>
      <w:r w:rsidRPr="00CA2CC1">
        <w:rPr>
          <w:rFonts w:cs="Calibri"/>
          <w:i/>
          <w:color w:val="414042"/>
          <w:spacing w:val="-1"/>
          <w:sz w:val="16"/>
        </w:rPr>
        <w:t xml:space="preserve"> </w:t>
      </w:r>
      <w:r w:rsidRPr="00CA2CC1">
        <w:rPr>
          <w:rFonts w:cs="Calibri"/>
          <w:i/>
          <w:color w:val="414042"/>
          <w:sz w:val="16"/>
        </w:rPr>
        <w:t xml:space="preserve">more </w:t>
      </w:r>
      <w:r w:rsidRPr="00CA2CC1">
        <w:rPr>
          <w:rFonts w:cs="Calibri"/>
          <w:i/>
          <w:color w:val="414042"/>
          <w:spacing w:val="-2"/>
          <w:sz w:val="16"/>
        </w:rPr>
        <w:t>information.</w:t>
      </w:r>
    </w:p>
    <w:p w14:paraId="72C636CF" w14:textId="77777777" w:rsidR="005B49BC" w:rsidRPr="00CA2CC1" w:rsidRDefault="005B49BC" w:rsidP="005B49BC">
      <w:pPr>
        <w:pStyle w:val="ListParagraph"/>
        <w:numPr>
          <w:ilvl w:val="0"/>
          <w:numId w:val="10"/>
        </w:numPr>
        <w:spacing w:before="142"/>
        <w:ind w:left="0" w:firstLine="0"/>
        <w:rPr>
          <w:rFonts w:cs="Calibri"/>
          <w:i/>
          <w:sz w:val="16"/>
        </w:rPr>
      </w:pPr>
      <w:r w:rsidRPr="00CA2CC1">
        <w:rPr>
          <w:rFonts w:cs="Calibri"/>
          <w:i/>
          <w:color w:val="414042"/>
          <w:sz w:val="16"/>
        </w:rPr>
        <w:t xml:space="preserve">The 2021-22 comparative figure has been adjusted to correct a duplication </w:t>
      </w:r>
      <w:r w:rsidRPr="00CA2CC1">
        <w:rPr>
          <w:rFonts w:cs="Calibri"/>
          <w:i/>
          <w:color w:val="414042"/>
          <w:spacing w:val="-2"/>
          <w:sz w:val="16"/>
        </w:rPr>
        <w:t>error.</w:t>
      </w:r>
    </w:p>
    <w:p w14:paraId="39318D13" w14:textId="77777777" w:rsidR="005B49BC" w:rsidRPr="00CA2CC1" w:rsidRDefault="005B49BC" w:rsidP="005B49BC">
      <w:pPr>
        <w:pStyle w:val="BodyText"/>
        <w:spacing w:before="10"/>
        <w:rPr>
          <w:rFonts w:cs="Calibri"/>
          <w:i/>
          <w:sz w:val="15"/>
        </w:rPr>
      </w:pPr>
    </w:p>
    <w:p w14:paraId="3CFDDEB4" w14:textId="77777777" w:rsidR="005B49BC" w:rsidRPr="00396443" w:rsidRDefault="005B49BC" w:rsidP="005B49BC">
      <w:pPr>
        <w:pStyle w:val="Heading7"/>
        <w:numPr>
          <w:ilvl w:val="1"/>
          <w:numId w:val="9"/>
        </w:numPr>
        <w:spacing w:before="1"/>
        <w:ind w:left="0" w:firstLine="0"/>
        <w:rPr>
          <w:rFonts w:cs="Calibri"/>
          <w:color w:val="000000" w:themeColor="text1"/>
        </w:rPr>
      </w:pPr>
      <w:r w:rsidRPr="00396443">
        <w:rPr>
          <w:rFonts w:cs="Calibri"/>
          <w:color w:val="000000" w:themeColor="text1"/>
        </w:rPr>
        <w:t>(b)</w:t>
      </w:r>
      <w:r w:rsidRPr="00396443">
        <w:rPr>
          <w:rFonts w:cs="Calibri"/>
          <w:color w:val="000000" w:themeColor="text1"/>
          <w:spacing w:val="-1"/>
        </w:rPr>
        <w:t xml:space="preserve"> </w:t>
      </w:r>
      <w:r w:rsidRPr="00396443">
        <w:rPr>
          <w:rFonts w:cs="Calibri"/>
          <w:color w:val="000000" w:themeColor="text1"/>
        </w:rPr>
        <w:t>Amounts</w:t>
      </w:r>
      <w:r w:rsidRPr="00396443">
        <w:rPr>
          <w:rFonts w:cs="Calibri"/>
          <w:color w:val="000000" w:themeColor="text1"/>
          <w:spacing w:val="-1"/>
        </w:rPr>
        <w:t xml:space="preserve"> </w:t>
      </w:r>
      <w:r w:rsidRPr="00396443">
        <w:rPr>
          <w:rFonts w:cs="Calibri"/>
          <w:color w:val="000000" w:themeColor="text1"/>
        </w:rPr>
        <w:t>recognised in</w:t>
      </w:r>
      <w:r w:rsidRPr="00396443">
        <w:rPr>
          <w:rFonts w:cs="Calibri"/>
          <w:color w:val="000000" w:themeColor="text1"/>
          <w:spacing w:val="-1"/>
        </w:rPr>
        <w:t xml:space="preserve"> </w:t>
      </w:r>
      <w:r w:rsidRPr="00396443">
        <w:rPr>
          <w:rFonts w:cs="Calibri"/>
          <w:color w:val="000000" w:themeColor="text1"/>
        </w:rPr>
        <w:t>the Cash</w:t>
      </w:r>
      <w:r w:rsidRPr="00396443">
        <w:rPr>
          <w:rFonts w:cs="Calibri"/>
          <w:color w:val="000000" w:themeColor="text1"/>
          <w:spacing w:val="-1"/>
        </w:rPr>
        <w:t xml:space="preserve"> </w:t>
      </w:r>
      <w:r w:rsidRPr="00396443">
        <w:rPr>
          <w:rFonts w:cs="Calibri"/>
          <w:color w:val="000000" w:themeColor="text1"/>
        </w:rPr>
        <w:t xml:space="preserve">flow </w:t>
      </w:r>
      <w:r w:rsidRPr="00396443">
        <w:rPr>
          <w:rFonts w:cs="Calibri"/>
          <w:color w:val="000000" w:themeColor="text1"/>
          <w:spacing w:val="-2"/>
        </w:rPr>
        <w:t>statement</w:t>
      </w:r>
    </w:p>
    <w:p w14:paraId="72558032" w14:textId="77777777" w:rsidR="005B49BC" w:rsidRPr="00CA2CC1" w:rsidRDefault="005B49BC" w:rsidP="005B49BC">
      <w:pPr>
        <w:pStyle w:val="BodyText"/>
        <w:spacing w:before="105"/>
        <w:rPr>
          <w:rFonts w:cs="Calibri"/>
        </w:rPr>
      </w:pPr>
      <w:r w:rsidRPr="00CA2CC1">
        <w:rPr>
          <w:rFonts w:cs="Calibri"/>
          <w:color w:val="414042"/>
        </w:rPr>
        <w:t>The</w:t>
      </w:r>
      <w:r w:rsidRPr="00CA2CC1">
        <w:rPr>
          <w:rFonts w:cs="Calibri"/>
          <w:color w:val="414042"/>
          <w:spacing w:val="-1"/>
        </w:rPr>
        <w:t xml:space="preserve"> </w:t>
      </w:r>
      <w:r w:rsidRPr="00CA2CC1">
        <w:rPr>
          <w:rFonts w:cs="Calibri"/>
          <w:color w:val="414042"/>
        </w:rPr>
        <w:t>following</w:t>
      </w:r>
      <w:r w:rsidRPr="00CA2CC1">
        <w:rPr>
          <w:rFonts w:cs="Calibri"/>
          <w:color w:val="414042"/>
          <w:spacing w:val="-1"/>
        </w:rPr>
        <w:t xml:space="preserve"> </w:t>
      </w:r>
      <w:r w:rsidRPr="00CA2CC1">
        <w:rPr>
          <w:rFonts w:cs="Calibri"/>
          <w:color w:val="414042"/>
        </w:rPr>
        <w:t>amounts are</w:t>
      </w:r>
      <w:r w:rsidRPr="00CA2CC1">
        <w:rPr>
          <w:rFonts w:cs="Calibri"/>
          <w:color w:val="414042"/>
          <w:spacing w:val="-1"/>
        </w:rPr>
        <w:t xml:space="preserve"> </w:t>
      </w:r>
      <w:r w:rsidRPr="00CA2CC1">
        <w:rPr>
          <w:rFonts w:cs="Calibri"/>
          <w:color w:val="414042"/>
        </w:rPr>
        <w:t>recognised</w:t>
      </w:r>
      <w:r w:rsidRPr="00CA2CC1">
        <w:rPr>
          <w:rFonts w:cs="Calibri"/>
          <w:color w:val="414042"/>
          <w:spacing w:val="-1"/>
        </w:rPr>
        <w:t xml:space="preserve"> </w:t>
      </w:r>
      <w:r w:rsidRPr="00CA2CC1">
        <w:rPr>
          <w:rFonts w:cs="Calibri"/>
          <w:color w:val="414042"/>
        </w:rPr>
        <w:t>in the</w:t>
      </w:r>
      <w:r w:rsidRPr="00CA2CC1">
        <w:rPr>
          <w:rFonts w:cs="Calibri"/>
          <w:color w:val="414042"/>
          <w:spacing w:val="-1"/>
        </w:rPr>
        <w:t xml:space="preserve"> </w:t>
      </w:r>
      <w:r w:rsidRPr="00CA2CC1">
        <w:rPr>
          <w:rFonts w:cs="Calibri"/>
          <w:color w:val="414042"/>
        </w:rPr>
        <w:t>Cash</w:t>
      </w:r>
      <w:r w:rsidRPr="00CA2CC1">
        <w:rPr>
          <w:rFonts w:cs="Calibri"/>
          <w:color w:val="414042"/>
          <w:spacing w:val="-1"/>
        </w:rPr>
        <w:t xml:space="preserve"> </w:t>
      </w:r>
      <w:r w:rsidRPr="00CA2CC1">
        <w:rPr>
          <w:rFonts w:cs="Calibri"/>
          <w:color w:val="414042"/>
        </w:rPr>
        <w:t>flow statement</w:t>
      </w:r>
      <w:r w:rsidRPr="00CA2CC1">
        <w:rPr>
          <w:rFonts w:cs="Calibri"/>
          <w:color w:val="414042"/>
          <w:spacing w:val="-1"/>
        </w:rPr>
        <w:t xml:space="preserve"> </w:t>
      </w:r>
      <w:r w:rsidRPr="00CA2CC1">
        <w:rPr>
          <w:rFonts w:cs="Calibri"/>
          <w:color w:val="414042"/>
        </w:rPr>
        <w:t>for the</w:t>
      </w:r>
      <w:r w:rsidRPr="00CA2CC1">
        <w:rPr>
          <w:rFonts w:cs="Calibri"/>
          <w:color w:val="414042"/>
          <w:spacing w:val="-1"/>
        </w:rPr>
        <w:t xml:space="preserve"> </w:t>
      </w:r>
      <w:r w:rsidRPr="00CA2CC1">
        <w:rPr>
          <w:rFonts w:cs="Calibri"/>
          <w:color w:val="414042"/>
        </w:rPr>
        <w:t>year</w:t>
      </w:r>
      <w:r w:rsidRPr="00CA2CC1">
        <w:rPr>
          <w:rFonts w:cs="Calibri"/>
          <w:color w:val="414042"/>
          <w:spacing w:val="-1"/>
        </w:rPr>
        <w:t xml:space="preserve"> </w:t>
      </w:r>
      <w:r w:rsidRPr="00CA2CC1">
        <w:rPr>
          <w:rFonts w:cs="Calibri"/>
          <w:color w:val="414042"/>
        </w:rPr>
        <w:t>ended 30</w:t>
      </w:r>
      <w:r w:rsidRPr="00CA2CC1">
        <w:rPr>
          <w:rFonts w:cs="Calibri"/>
          <w:color w:val="414042"/>
          <w:spacing w:val="-1"/>
        </w:rPr>
        <w:t xml:space="preserve"> </w:t>
      </w:r>
      <w:r w:rsidRPr="00CA2CC1">
        <w:rPr>
          <w:rFonts w:cs="Calibri"/>
          <w:color w:val="414042"/>
        </w:rPr>
        <w:t>June</w:t>
      </w:r>
      <w:r w:rsidRPr="00CA2CC1">
        <w:rPr>
          <w:rFonts w:cs="Calibri"/>
          <w:color w:val="414042"/>
          <w:spacing w:val="-1"/>
        </w:rPr>
        <w:t xml:space="preserve"> </w:t>
      </w:r>
      <w:r w:rsidRPr="00CA2CC1">
        <w:rPr>
          <w:rFonts w:cs="Calibri"/>
          <w:color w:val="414042"/>
        </w:rPr>
        <w:t>2023 relating</w:t>
      </w:r>
      <w:r w:rsidRPr="00CA2CC1">
        <w:rPr>
          <w:rFonts w:cs="Calibri"/>
          <w:color w:val="414042"/>
          <w:spacing w:val="-1"/>
        </w:rPr>
        <w:t xml:space="preserve"> </w:t>
      </w:r>
      <w:r w:rsidRPr="00CA2CC1">
        <w:rPr>
          <w:rFonts w:cs="Calibri"/>
          <w:color w:val="414042"/>
        </w:rPr>
        <w:t xml:space="preserve">to </w:t>
      </w:r>
      <w:r w:rsidRPr="00CA2CC1">
        <w:rPr>
          <w:rFonts w:cs="Calibri"/>
          <w:color w:val="414042"/>
          <w:spacing w:val="-2"/>
        </w:rPr>
        <w:t>leases.</w:t>
      </w:r>
    </w:p>
    <w:p w14:paraId="5523F214" w14:textId="77777777" w:rsidR="005B49BC" w:rsidRPr="00CA2CC1" w:rsidRDefault="005B49BC" w:rsidP="005B49BC">
      <w:pPr>
        <w:pStyle w:val="BodyText"/>
        <w:spacing w:before="11"/>
        <w:rPr>
          <w:rFonts w:cs="Calibri"/>
          <w:sz w:val="9"/>
        </w:rPr>
      </w:pPr>
    </w:p>
    <w:tbl>
      <w:tblPr>
        <w:tblW w:w="9617" w:type="dxa"/>
        <w:tblBorders>
          <w:top w:val="single" w:sz="4" w:space="0" w:color="C48F1B"/>
          <w:left w:val="single" w:sz="4" w:space="0" w:color="C48F1B"/>
          <w:bottom w:val="single" w:sz="4" w:space="0" w:color="C48F1B"/>
          <w:right w:val="single" w:sz="4" w:space="0" w:color="C48F1B"/>
          <w:insideH w:val="single" w:sz="4" w:space="0" w:color="C48F1B"/>
          <w:insideV w:val="single" w:sz="4" w:space="0" w:color="C48F1B"/>
        </w:tblBorders>
        <w:tblLayout w:type="fixed"/>
        <w:tblCellMar>
          <w:left w:w="0" w:type="dxa"/>
          <w:right w:w="0" w:type="dxa"/>
        </w:tblCellMar>
        <w:tblLook w:val="01E0" w:firstRow="1" w:lastRow="1" w:firstColumn="1" w:lastColumn="1" w:noHBand="0" w:noVBand="0"/>
      </w:tblPr>
      <w:tblGrid>
        <w:gridCol w:w="6633"/>
        <w:gridCol w:w="1492"/>
        <w:gridCol w:w="1492"/>
      </w:tblGrid>
      <w:tr w:rsidR="005B49BC" w:rsidRPr="00CA2CC1" w14:paraId="38F46900" w14:textId="77777777" w:rsidTr="004435A7">
        <w:trPr>
          <w:trHeight w:val="587"/>
        </w:trPr>
        <w:tc>
          <w:tcPr>
            <w:tcW w:w="6633" w:type="dxa"/>
            <w:tcBorders>
              <w:top w:val="nil"/>
              <w:left w:val="nil"/>
              <w:right w:val="nil"/>
            </w:tcBorders>
          </w:tcPr>
          <w:p w14:paraId="5F0AC31A" w14:textId="77777777" w:rsidR="005B49BC" w:rsidRPr="00CA2CC1" w:rsidRDefault="005B49BC" w:rsidP="003B766D">
            <w:pPr>
              <w:pStyle w:val="TableParagraph"/>
              <w:jc w:val="left"/>
              <w:rPr>
                <w:rFonts w:cs="Calibri"/>
                <w:sz w:val="16"/>
              </w:rPr>
            </w:pPr>
          </w:p>
        </w:tc>
        <w:tc>
          <w:tcPr>
            <w:tcW w:w="1492" w:type="dxa"/>
            <w:tcBorders>
              <w:top w:val="nil"/>
              <w:left w:val="nil"/>
              <w:right w:val="single" w:sz="8" w:space="0" w:color="FFFFFF"/>
            </w:tcBorders>
            <w:shd w:val="clear" w:color="auto" w:fill="FFF0E7"/>
            <w:tcMar>
              <w:right w:w="57" w:type="dxa"/>
            </w:tcMar>
          </w:tcPr>
          <w:p w14:paraId="3AEBB47B" w14:textId="77777777" w:rsidR="005B49BC" w:rsidRPr="00CA2CC1" w:rsidRDefault="005B49BC" w:rsidP="003B766D">
            <w:pPr>
              <w:pStyle w:val="TableParagraph"/>
              <w:spacing w:before="60"/>
              <w:rPr>
                <w:rFonts w:cs="Calibri"/>
                <w:sz w:val="17"/>
              </w:rPr>
            </w:pPr>
            <w:r w:rsidRPr="00CA2CC1">
              <w:rPr>
                <w:rFonts w:cs="Calibri"/>
                <w:color w:val="F68C59"/>
                <w:spacing w:val="-4"/>
                <w:sz w:val="17"/>
              </w:rPr>
              <w:t>2023</w:t>
            </w:r>
          </w:p>
          <w:p w14:paraId="7F77AC12" w14:textId="77777777" w:rsidR="005B49BC" w:rsidRPr="00CA2CC1" w:rsidRDefault="005B49BC" w:rsidP="003B766D">
            <w:pPr>
              <w:pStyle w:val="TableParagraph"/>
              <w:spacing w:before="23"/>
              <w:rPr>
                <w:rFonts w:cs="Calibri"/>
                <w:sz w:val="17"/>
              </w:rPr>
            </w:pPr>
            <w:r w:rsidRPr="00CA2CC1">
              <w:rPr>
                <w:rFonts w:cs="Calibri"/>
                <w:color w:val="F68C59"/>
                <w:sz w:val="17"/>
              </w:rPr>
              <w:t>$</w:t>
            </w:r>
          </w:p>
        </w:tc>
        <w:tc>
          <w:tcPr>
            <w:tcW w:w="1492" w:type="dxa"/>
            <w:tcBorders>
              <w:top w:val="nil"/>
              <w:left w:val="single" w:sz="8" w:space="0" w:color="FFFFFF"/>
              <w:right w:val="nil"/>
            </w:tcBorders>
            <w:shd w:val="clear" w:color="auto" w:fill="EDEFF0"/>
            <w:tcMar>
              <w:right w:w="57" w:type="dxa"/>
            </w:tcMar>
          </w:tcPr>
          <w:p w14:paraId="2D112321" w14:textId="77777777" w:rsidR="005B49BC" w:rsidRPr="00CA2CC1" w:rsidRDefault="005B49BC" w:rsidP="003B766D">
            <w:pPr>
              <w:pStyle w:val="TableParagraph"/>
              <w:spacing w:before="49"/>
              <w:rPr>
                <w:rFonts w:cs="Calibri"/>
                <w:sz w:val="17"/>
              </w:rPr>
            </w:pPr>
            <w:r w:rsidRPr="00CA2CC1">
              <w:rPr>
                <w:rFonts w:cs="Calibri"/>
                <w:color w:val="F68C59"/>
                <w:spacing w:val="-4"/>
                <w:sz w:val="17"/>
              </w:rPr>
              <w:t>2022</w:t>
            </w:r>
          </w:p>
          <w:p w14:paraId="057D74BF" w14:textId="77777777" w:rsidR="005B49BC" w:rsidRPr="00CA2CC1" w:rsidRDefault="005B49BC" w:rsidP="003B766D">
            <w:pPr>
              <w:pStyle w:val="TableParagraph"/>
              <w:spacing w:before="23"/>
              <w:rPr>
                <w:rFonts w:cs="Calibri"/>
                <w:sz w:val="17"/>
              </w:rPr>
            </w:pPr>
            <w:r w:rsidRPr="00CA2CC1">
              <w:rPr>
                <w:rFonts w:cs="Calibri"/>
                <w:color w:val="F68C59"/>
                <w:sz w:val="17"/>
              </w:rPr>
              <w:t>$</w:t>
            </w:r>
          </w:p>
        </w:tc>
      </w:tr>
      <w:tr w:rsidR="005B49BC" w:rsidRPr="00CA2CC1" w14:paraId="33A0A0DC" w14:textId="77777777" w:rsidTr="004435A7">
        <w:trPr>
          <w:trHeight w:val="281"/>
        </w:trPr>
        <w:tc>
          <w:tcPr>
            <w:tcW w:w="6633" w:type="dxa"/>
            <w:tcBorders>
              <w:left w:val="nil"/>
              <w:bottom w:val="single" w:sz="2" w:space="0" w:color="73777A"/>
              <w:right w:val="nil"/>
            </w:tcBorders>
          </w:tcPr>
          <w:p w14:paraId="136D05E3" w14:textId="77777777" w:rsidR="005B49BC" w:rsidRPr="00CA2CC1" w:rsidRDefault="005B49BC" w:rsidP="003B766D">
            <w:pPr>
              <w:pStyle w:val="TableParagraph"/>
              <w:jc w:val="left"/>
              <w:rPr>
                <w:rFonts w:cs="Calibri"/>
                <w:sz w:val="10"/>
              </w:rPr>
            </w:pPr>
            <w:r w:rsidRPr="00CA2CC1">
              <w:rPr>
                <w:rFonts w:cs="Calibri"/>
                <w:color w:val="414042"/>
                <w:sz w:val="18"/>
              </w:rPr>
              <w:t>Interest</w:t>
            </w:r>
            <w:r w:rsidRPr="00CA2CC1">
              <w:rPr>
                <w:rFonts w:cs="Calibri"/>
                <w:color w:val="414042"/>
                <w:spacing w:val="5"/>
                <w:sz w:val="18"/>
              </w:rPr>
              <w:t xml:space="preserve"> </w:t>
            </w:r>
            <w:r w:rsidRPr="00CA2CC1">
              <w:rPr>
                <w:rFonts w:cs="Calibri"/>
                <w:color w:val="414042"/>
                <w:sz w:val="18"/>
              </w:rPr>
              <w:t>expense</w:t>
            </w:r>
            <w:r w:rsidRPr="00CA2CC1">
              <w:rPr>
                <w:rFonts w:cs="Calibri"/>
                <w:color w:val="414042"/>
                <w:spacing w:val="6"/>
                <w:sz w:val="18"/>
              </w:rPr>
              <w:t xml:space="preserve"> </w:t>
            </w:r>
            <w:r w:rsidRPr="00CA2CC1">
              <w:rPr>
                <w:rFonts w:cs="Calibri"/>
                <w:color w:val="414042"/>
                <w:sz w:val="18"/>
              </w:rPr>
              <w:t>on</w:t>
            </w:r>
            <w:r w:rsidRPr="00CA2CC1">
              <w:rPr>
                <w:rFonts w:cs="Calibri"/>
                <w:color w:val="414042"/>
                <w:spacing w:val="6"/>
                <w:sz w:val="18"/>
              </w:rPr>
              <w:t xml:space="preserve"> </w:t>
            </w:r>
            <w:r w:rsidRPr="00CA2CC1">
              <w:rPr>
                <w:rFonts w:cs="Calibri"/>
                <w:color w:val="414042"/>
                <w:sz w:val="18"/>
              </w:rPr>
              <w:t>lease</w:t>
            </w:r>
            <w:r w:rsidRPr="00CA2CC1">
              <w:rPr>
                <w:rFonts w:cs="Calibri"/>
                <w:color w:val="414042"/>
                <w:spacing w:val="6"/>
                <w:sz w:val="18"/>
              </w:rPr>
              <w:t xml:space="preserve"> </w:t>
            </w:r>
            <w:r w:rsidRPr="00CA2CC1">
              <w:rPr>
                <w:rFonts w:cs="Calibri"/>
                <w:color w:val="414042"/>
                <w:sz w:val="18"/>
              </w:rPr>
              <w:t>liabilities</w:t>
            </w:r>
            <w:r w:rsidRPr="00CA2CC1">
              <w:rPr>
                <w:rFonts w:cs="Calibri"/>
                <w:color w:val="414042"/>
                <w:spacing w:val="5"/>
                <w:sz w:val="18"/>
              </w:rPr>
              <w:t xml:space="preserve"> </w:t>
            </w:r>
            <w:r w:rsidRPr="00CA2CC1">
              <w:rPr>
                <w:rFonts w:cs="Calibri"/>
                <w:color w:val="414042"/>
                <w:spacing w:val="-5"/>
                <w:position w:val="6"/>
                <w:sz w:val="10"/>
              </w:rPr>
              <w:t>(i)</w:t>
            </w:r>
          </w:p>
        </w:tc>
        <w:tc>
          <w:tcPr>
            <w:tcW w:w="1492" w:type="dxa"/>
            <w:tcBorders>
              <w:left w:val="nil"/>
              <w:bottom w:val="single" w:sz="2" w:space="0" w:color="73777A"/>
              <w:right w:val="single" w:sz="8" w:space="0" w:color="FFFFFF"/>
            </w:tcBorders>
            <w:shd w:val="clear" w:color="auto" w:fill="FFF0E7"/>
            <w:tcMar>
              <w:right w:w="57" w:type="dxa"/>
            </w:tcMar>
          </w:tcPr>
          <w:p w14:paraId="5887839F" w14:textId="77777777" w:rsidR="005B49BC" w:rsidRPr="00CA2CC1" w:rsidRDefault="005B49BC" w:rsidP="003B766D">
            <w:pPr>
              <w:pStyle w:val="TableParagraph"/>
              <w:rPr>
                <w:rFonts w:cs="Calibri"/>
                <w:sz w:val="18"/>
              </w:rPr>
            </w:pPr>
            <w:r w:rsidRPr="00CA2CC1">
              <w:rPr>
                <w:rFonts w:cs="Calibri"/>
                <w:color w:val="414042"/>
                <w:spacing w:val="-2"/>
                <w:sz w:val="18"/>
              </w:rPr>
              <w:t>57,129</w:t>
            </w:r>
          </w:p>
        </w:tc>
        <w:tc>
          <w:tcPr>
            <w:tcW w:w="1492" w:type="dxa"/>
            <w:tcBorders>
              <w:left w:val="single" w:sz="8" w:space="0" w:color="FFFFFF"/>
              <w:bottom w:val="single" w:sz="2" w:space="0" w:color="73777A"/>
              <w:right w:val="nil"/>
            </w:tcBorders>
            <w:shd w:val="clear" w:color="auto" w:fill="EDEFF0"/>
            <w:tcMar>
              <w:right w:w="57" w:type="dxa"/>
            </w:tcMar>
          </w:tcPr>
          <w:p w14:paraId="61D14067" w14:textId="77777777" w:rsidR="005B49BC" w:rsidRPr="00CA2CC1" w:rsidRDefault="005B49BC" w:rsidP="003B766D">
            <w:pPr>
              <w:pStyle w:val="TableParagraph"/>
              <w:rPr>
                <w:rFonts w:cs="Calibri"/>
                <w:sz w:val="18"/>
              </w:rPr>
            </w:pPr>
            <w:r w:rsidRPr="00CA2CC1">
              <w:rPr>
                <w:rFonts w:cs="Calibri"/>
                <w:color w:val="414042"/>
                <w:spacing w:val="-2"/>
                <w:sz w:val="18"/>
              </w:rPr>
              <w:t>65,486</w:t>
            </w:r>
          </w:p>
        </w:tc>
      </w:tr>
      <w:tr w:rsidR="005B49BC" w:rsidRPr="00CA2CC1" w14:paraId="7EC6ECD0" w14:textId="77777777" w:rsidTr="004435A7">
        <w:trPr>
          <w:trHeight w:val="291"/>
        </w:trPr>
        <w:tc>
          <w:tcPr>
            <w:tcW w:w="6633" w:type="dxa"/>
            <w:tcBorders>
              <w:top w:val="single" w:sz="2" w:space="0" w:color="73777A"/>
              <w:left w:val="nil"/>
              <w:bottom w:val="single" w:sz="2" w:space="0" w:color="73777A"/>
              <w:right w:val="nil"/>
            </w:tcBorders>
          </w:tcPr>
          <w:p w14:paraId="3447F1E9" w14:textId="77777777" w:rsidR="005B49BC" w:rsidRPr="00CA2CC1" w:rsidRDefault="005B49BC" w:rsidP="003B766D">
            <w:pPr>
              <w:pStyle w:val="TableParagraph"/>
              <w:spacing w:before="3"/>
              <w:jc w:val="left"/>
              <w:rPr>
                <w:rFonts w:cs="Calibri"/>
                <w:sz w:val="10"/>
              </w:rPr>
            </w:pPr>
            <w:r w:rsidRPr="00CA2CC1">
              <w:rPr>
                <w:rFonts w:cs="Calibri"/>
                <w:color w:val="414042"/>
                <w:sz w:val="18"/>
              </w:rPr>
              <w:t>Low-value</w:t>
            </w:r>
            <w:r w:rsidRPr="00CA2CC1">
              <w:rPr>
                <w:rFonts w:cs="Calibri"/>
                <w:color w:val="414042"/>
                <w:spacing w:val="2"/>
                <w:sz w:val="18"/>
              </w:rPr>
              <w:t xml:space="preserve"> </w:t>
            </w:r>
            <w:r w:rsidRPr="00CA2CC1">
              <w:rPr>
                <w:rFonts w:cs="Calibri"/>
                <w:color w:val="414042"/>
                <w:sz w:val="18"/>
              </w:rPr>
              <w:t>lease</w:t>
            </w:r>
            <w:r w:rsidRPr="00CA2CC1">
              <w:rPr>
                <w:rFonts w:cs="Calibri"/>
                <w:color w:val="414042"/>
                <w:spacing w:val="5"/>
                <w:sz w:val="18"/>
              </w:rPr>
              <w:t xml:space="preserve"> </w:t>
            </w:r>
            <w:r w:rsidRPr="00CA2CC1">
              <w:rPr>
                <w:rFonts w:cs="Calibri"/>
                <w:color w:val="414042"/>
                <w:sz w:val="18"/>
              </w:rPr>
              <w:t>expenses</w:t>
            </w:r>
            <w:r w:rsidRPr="00CA2CC1">
              <w:rPr>
                <w:rFonts w:cs="Calibri"/>
                <w:color w:val="414042"/>
                <w:spacing w:val="5"/>
                <w:sz w:val="18"/>
              </w:rPr>
              <w:t xml:space="preserve"> </w:t>
            </w:r>
            <w:r w:rsidRPr="00CA2CC1">
              <w:rPr>
                <w:rFonts w:cs="Calibri"/>
                <w:color w:val="414042"/>
                <w:spacing w:val="-4"/>
                <w:position w:val="6"/>
                <w:sz w:val="10"/>
              </w:rPr>
              <w:t>(ii)</w:t>
            </w:r>
          </w:p>
        </w:tc>
        <w:tc>
          <w:tcPr>
            <w:tcW w:w="1492" w:type="dxa"/>
            <w:tcBorders>
              <w:top w:val="single" w:sz="2" w:space="0" w:color="73777A"/>
              <w:left w:val="nil"/>
              <w:bottom w:val="single" w:sz="2" w:space="0" w:color="73777A"/>
              <w:right w:val="single" w:sz="8" w:space="0" w:color="FFFFFF"/>
            </w:tcBorders>
            <w:shd w:val="clear" w:color="auto" w:fill="FFF0E7"/>
            <w:tcMar>
              <w:right w:w="57" w:type="dxa"/>
            </w:tcMar>
          </w:tcPr>
          <w:p w14:paraId="47185741" w14:textId="77777777" w:rsidR="005B49BC" w:rsidRPr="00CA2CC1" w:rsidRDefault="005B49BC" w:rsidP="003B766D">
            <w:pPr>
              <w:pStyle w:val="TableParagraph"/>
              <w:spacing w:before="3"/>
              <w:rPr>
                <w:rFonts w:cs="Calibri"/>
                <w:sz w:val="18"/>
              </w:rPr>
            </w:pPr>
            <w:r w:rsidRPr="00CA2CC1">
              <w:rPr>
                <w:rFonts w:cs="Calibri"/>
                <w:color w:val="414042"/>
                <w:spacing w:val="-2"/>
                <w:sz w:val="18"/>
              </w:rPr>
              <w:t>23,290</w:t>
            </w:r>
          </w:p>
        </w:tc>
        <w:tc>
          <w:tcPr>
            <w:tcW w:w="1492" w:type="dxa"/>
            <w:tcBorders>
              <w:top w:val="single" w:sz="2" w:space="0" w:color="73777A"/>
              <w:left w:val="single" w:sz="8" w:space="0" w:color="FFFFFF"/>
              <w:bottom w:val="single" w:sz="2" w:space="0" w:color="73777A"/>
              <w:right w:val="nil"/>
            </w:tcBorders>
            <w:shd w:val="clear" w:color="auto" w:fill="EDEFF0"/>
            <w:tcMar>
              <w:right w:w="57" w:type="dxa"/>
            </w:tcMar>
          </w:tcPr>
          <w:p w14:paraId="0BD829C4" w14:textId="77777777" w:rsidR="005B49BC" w:rsidRPr="00CA2CC1" w:rsidRDefault="005B49BC" w:rsidP="003B766D">
            <w:pPr>
              <w:pStyle w:val="TableParagraph"/>
              <w:spacing w:before="3"/>
              <w:rPr>
                <w:rFonts w:cs="Calibri"/>
                <w:sz w:val="18"/>
              </w:rPr>
            </w:pPr>
            <w:r w:rsidRPr="00CA2CC1">
              <w:rPr>
                <w:rFonts w:cs="Calibri"/>
                <w:color w:val="414042"/>
                <w:spacing w:val="-2"/>
                <w:sz w:val="18"/>
              </w:rPr>
              <w:t>47,494</w:t>
            </w:r>
          </w:p>
        </w:tc>
      </w:tr>
      <w:tr w:rsidR="005B49BC" w:rsidRPr="00CA2CC1" w14:paraId="7857F323" w14:textId="77777777" w:rsidTr="004435A7">
        <w:trPr>
          <w:trHeight w:val="278"/>
        </w:trPr>
        <w:tc>
          <w:tcPr>
            <w:tcW w:w="6633" w:type="dxa"/>
            <w:tcBorders>
              <w:top w:val="single" w:sz="2" w:space="0" w:color="73777A"/>
              <w:left w:val="nil"/>
              <w:bottom w:val="single" w:sz="6" w:space="0" w:color="73777A"/>
              <w:right w:val="nil"/>
            </w:tcBorders>
          </w:tcPr>
          <w:p w14:paraId="3077D2A3" w14:textId="77777777" w:rsidR="005B49BC" w:rsidRPr="00CA2CC1" w:rsidRDefault="005B49BC" w:rsidP="003B766D">
            <w:pPr>
              <w:pStyle w:val="TableParagraph"/>
              <w:jc w:val="left"/>
              <w:rPr>
                <w:rFonts w:cs="Calibri"/>
                <w:sz w:val="10"/>
              </w:rPr>
            </w:pPr>
            <w:r w:rsidRPr="00CA2CC1">
              <w:rPr>
                <w:rFonts w:cs="Calibri"/>
                <w:color w:val="414042"/>
                <w:sz w:val="18"/>
              </w:rPr>
              <w:t>Lease</w:t>
            </w:r>
            <w:r w:rsidRPr="00CA2CC1">
              <w:rPr>
                <w:rFonts w:cs="Calibri"/>
                <w:color w:val="414042"/>
                <w:spacing w:val="5"/>
                <w:sz w:val="18"/>
              </w:rPr>
              <w:t xml:space="preserve"> </w:t>
            </w:r>
            <w:r w:rsidRPr="00CA2CC1">
              <w:rPr>
                <w:rFonts w:cs="Calibri"/>
                <w:color w:val="414042"/>
                <w:sz w:val="18"/>
              </w:rPr>
              <w:t>liability</w:t>
            </w:r>
            <w:r w:rsidRPr="00CA2CC1">
              <w:rPr>
                <w:rFonts w:cs="Calibri"/>
                <w:color w:val="414042"/>
                <w:spacing w:val="8"/>
                <w:sz w:val="18"/>
              </w:rPr>
              <w:t xml:space="preserve"> </w:t>
            </w:r>
            <w:r w:rsidRPr="00CA2CC1">
              <w:rPr>
                <w:rFonts w:cs="Calibri"/>
                <w:color w:val="414042"/>
                <w:sz w:val="18"/>
              </w:rPr>
              <w:t>payments</w:t>
            </w:r>
            <w:r w:rsidRPr="00CA2CC1">
              <w:rPr>
                <w:rFonts w:cs="Calibri"/>
                <w:color w:val="414042"/>
                <w:spacing w:val="8"/>
                <w:sz w:val="18"/>
              </w:rPr>
              <w:t xml:space="preserve"> </w:t>
            </w:r>
            <w:r w:rsidRPr="00CA2CC1">
              <w:rPr>
                <w:rFonts w:cs="Calibri"/>
                <w:color w:val="414042"/>
                <w:spacing w:val="-5"/>
                <w:position w:val="6"/>
                <w:sz w:val="10"/>
              </w:rPr>
              <w:t>(i)</w:t>
            </w:r>
          </w:p>
        </w:tc>
        <w:tc>
          <w:tcPr>
            <w:tcW w:w="1492" w:type="dxa"/>
            <w:tcBorders>
              <w:top w:val="single" w:sz="2" w:space="0" w:color="73777A"/>
              <w:left w:val="nil"/>
              <w:bottom w:val="single" w:sz="6" w:space="0" w:color="73777A"/>
              <w:right w:val="single" w:sz="8" w:space="0" w:color="FFFFFF"/>
            </w:tcBorders>
            <w:shd w:val="clear" w:color="auto" w:fill="FFF0E7"/>
            <w:tcMar>
              <w:right w:w="57" w:type="dxa"/>
            </w:tcMar>
          </w:tcPr>
          <w:p w14:paraId="7FD8806B" w14:textId="77777777" w:rsidR="005B49BC" w:rsidRPr="00CA2CC1" w:rsidRDefault="005B49BC" w:rsidP="003B766D">
            <w:pPr>
              <w:pStyle w:val="TableParagraph"/>
              <w:rPr>
                <w:rFonts w:cs="Calibri"/>
                <w:sz w:val="18"/>
              </w:rPr>
            </w:pPr>
            <w:r w:rsidRPr="00CA2CC1">
              <w:rPr>
                <w:rFonts w:cs="Calibri"/>
                <w:color w:val="414042"/>
                <w:spacing w:val="-2"/>
                <w:sz w:val="18"/>
              </w:rPr>
              <w:t>362,853</w:t>
            </w:r>
          </w:p>
        </w:tc>
        <w:tc>
          <w:tcPr>
            <w:tcW w:w="1492" w:type="dxa"/>
            <w:tcBorders>
              <w:top w:val="single" w:sz="2" w:space="0" w:color="73777A"/>
              <w:left w:val="single" w:sz="8" w:space="0" w:color="FFFFFF"/>
              <w:bottom w:val="single" w:sz="6" w:space="0" w:color="73777A"/>
              <w:right w:val="nil"/>
            </w:tcBorders>
            <w:shd w:val="clear" w:color="auto" w:fill="EDEFF0"/>
            <w:tcMar>
              <w:right w:w="57" w:type="dxa"/>
            </w:tcMar>
          </w:tcPr>
          <w:p w14:paraId="2FC37478" w14:textId="77777777" w:rsidR="005B49BC" w:rsidRPr="00CA2CC1" w:rsidRDefault="005B49BC" w:rsidP="003B766D">
            <w:pPr>
              <w:pStyle w:val="TableParagraph"/>
              <w:rPr>
                <w:rFonts w:cs="Calibri"/>
                <w:sz w:val="18"/>
              </w:rPr>
            </w:pPr>
            <w:r w:rsidRPr="00CA2CC1">
              <w:rPr>
                <w:rFonts w:cs="Calibri"/>
                <w:color w:val="414042"/>
                <w:spacing w:val="-2"/>
                <w:sz w:val="18"/>
              </w:rPr>
              <w:t>336,038</w:t>
            </w:r>
          </w:p>
        </w:tc>
      </w:tr>
      <w:tr w:rsidR="005B49BC" w:rsidRPr="00CA2CC1" w14:paraId="661BF052" w14:textId="77777777" w:rsidTr="004435A7">
        <w:trPr>
          <w:trHeight w:val="272"/>
        </w:trPr>
        <w:tc>
          <w:tcPr>
            <w:tcW w:w="6633" w:type="dxa"/>
            <w:tcBorders>
              <w:top w:val="single" w:sz="6" w:space="0" w:color="73777A"/>
              <w:left w:val="nil"/>
              <w:bottom w:val="double" w:sz="6" w:space="0" w:color="73777A"/>
              <w:right w:val="nil"/>
            </w:tcBorders>
          </w:tcPr>
          <w:p w14:paraId="611773DC" w14:textId="77777777" w:rsidR="005B49BC" w:rsidRPr="00CA2CC1" w:rsidRDefault="005B49BC" w:rsidP="003B766D">
            <w:pPr>
              <w:pStyle w:val="TableParagraph"/>
              <w:spacing w:before="8"/>
              <w:jc w:val="left"/>
              <w:rPr>
                <w:rFonts w:cs="Calibri"/>
                <w:sz w:val="10"/>
              </w:rPr>
            </w:pPr>
            <w:r w:rsidRPr="00CA2CC1">
              <w:rPr>
                <w:rFonts w:cs="Calibri"/>
                <w:color w:val="414042"/>
                <w:sz w:val="18"/>
              </w:rPr>
              <w:t>Total</w:t>
            </w:r>
            <w:r w:rsidRPr="00CA2CC1">
              <w:rPr>
                <w:rFonts w:cs="Calibri"/>
                <w:color w:val="414042"/>
                <w:spacing w:val="4"/>
                <w:sz w:val="18"/>
              </w:rPr>
              <w:t xml:space="preserve"> </w:t>
            </w:r>
            <w:r w:rsidRPr="00CA2CC1">
              <w:rPr>
                <w:rFonts w:cs="Calibri"/>
                <w:color w:val="414042"/>
                <w:sz w:val="18"/>
              </w:rPr>
              <w:t>cash</w:t>
            </w:r>
            <w:r w:rsidRPr="00CA2CC1">
              <w:rPr>
                <w:rFonts w:cs="Calibri"/>
                <w:color w:val="414042"/>
                <w:spacing w:val="4"/>
                <w:sz w:val="18"/>
              </w:rPr>
              <w:t xml:space="preserve"> </w:t>
            </w:r>
            <w:r w:rsidRPr="00CA2CC1">
              <w:rPr>
                <w:rFonts w:cs="Calibri"/>
                <w:color w:val="414042"/>
                <w:sz w:val="18"/>
              </w:rPr>
              <w:t>outflow</w:t>
            </w:r>
            <w:r w:rsidRPr="00CA2CC1">
              <w:rPr>
                <w:rFonts w:cs="Calibri"/>
                <w:color w:val="414042"/>
                <w:spacing w:val="4"/>
                <w:sz w:val="18"/>
              </w:rPr>
              <w:t xml:space="preserve"> </w:t>
            </w:r>
            <w:r w:rsidRPr="00CA2CC1">
              <w:rPr>
                <w:rFonts w:cs="Calibri"/>
                <w:color w:val="414042"/>
                <w:sz w:val="18"/>
              </w:rPr>
              <w:t>for</w:t>
            </w:r>
            <w:r w:rsidRPr="00CA2CC1">
              <w:rPr>
                <w:rFonts w:cs="Calibri"/>
                <w:color w:val="414042"/>
                <w:spacing w:val="4"/>
                <w:sz w:val="18"/>
              </w:rPr>
              <w:t xml:space="preserve"> </w:t>
            </w:r>
            <w:r w:rsidRPr="00CA2CC1">
              <w:rPr>
                <w:rFonts w:cs="Calibri"/>
                <w:color w:val="414042"/>
                <w:sz w:val="18"/>
              </w:rPr>
              <w:t>leases</w:t>
            </w:r>
            <w:r w:rsidRPr="00CA2CC1">
              <w:rPr>
                <w:rFonts w:cs="Calibri"/>
                <w:color w:val="414042"/>
                <w:spacing w:val="4"/>
                <w:sz w:val="18"/>
              </w:rPr>
              <w:t xml:space="preserve"> </w:t>
            </w:r>
            <w:r w:rsidRPr="00CA2CC1">
              <w:rPr>
                <w:rFonts w:cs="Calibri"/>
                <w:color w:val="414042"/>
                <w:spacing w:val="-2"/>
                <w:position w:val="6"/>
                <w:sz w:val="10"/>
              </w:rPr>
              <w:t>(i)(ii)</w:t>
            </w:r>
          </w:p>
        </w:tc>
        <w:tc>
          <w:tcPr>
            <w:tcW w:w="1492" w:type="dxa"/>
            <w:tcBorders>
              <w:top w:val="single" w:sz="6" w:space="0" w:color="73777A"/>
              <w:left w:val="nil"/>
              <w:bottom w:val="single" w:sz="6" w:space="0" w:color="73777A"/>
              <w:right w:val="single" w:sz="8" w:space="0" w:color="FFFFFF"/>
            </w:tcBorders>
            <w:shd w:val="clear" w:color="auto" w:fill="FFF0E7"/>
            <w:tcMar>
              <w:right w:w="57" w:type="dxa"/>
            </w:tcMar>
          </w:tcPr>
          <w:p w14:paraId="5BC49936" w14:textId="77777777" w:rsidR="005B49BC" w:rsidRPr="00CA2CC1" w:rsidRDefault="005B49BC" w:rsidP="003B766D">
            <w:pPr>
              <w:pStyle w:val="TableParagraph"/>
              <w:spacing w:before="8"/>
              <w:rPr>
                <w:rFonts w:cs="Calibri"/>
                <w:sz w:val="18"/>
              </w:rPr>
            </w:pPr>
            <w:r w:rsidRPr="00CA2CC1">
              <w:rPr>
                <w:rFonts w:cs="Calibri"/>
                <w:color w:val="414042"/>
                <w:spacing w:val="-2"/>
                <w:sz w:val="18"/>
              </w:rPr>
              <w:t>443,272</w:t>
            </w:r>
          </w:p>
        </w:tc>
        <w:tc>
          <w:tcPr>
            <w:tcW w:w="1492" w:type="dxa"/>
            <w:tcBorders>
              <w:top w:val="single" w:sz="6" w:space="0" w:color="73777A"/>
              <w:left w:val="single" w:sz="8" w:space="0" w:color="FFFFFF"/>
              <w:bottom w:val="single" w:sz="6" w:space="0" w:color="73777A"/>
              <w:right w:val="nil"/>
            </w:tcBorders>
            <w:shd w:val="clear" w:color="auto" w:fill="EDEFF0"/>
            <w:tcMar>
              <w:right w:w="57" w:type="dxa"/>
            </w:tcMar>
          </w:tcPr>
          <w:p w14:paraId="203681BD" w14:textId="77777777" w:rsidR="005B49BC" w:rsidRPr="00CA2CC1" w:rsidRDefault="005B49BC" w:rsidP="003B766D">
            <w:pPr>
              <w:pStyle w:val="TableParagraph"/>
              <w:spacing w:before="8"/>
              <w:rPr>
                <w:rFonts w:cs="Calibri"/>
                <w:sz w:val="18"/>
              </w:rPr>
            </w:pPr>
            <w:r w:rsidRPr="00CA2CC1">
              <w:rPr>
                <w:rFonts w:cs="Calibri"/>
                <w:color w:val="414042"/>
                <w:spacing w:val="-2"/>
                <w:sz w:val="18"/>
              </w:rPr>
              <w:t>449,018</w:t>
            </w:r>
          </w:p>
        </w:tc>
      </w:tr>
    </w:tbl>
    <w:p w14:paraId="58DF70A0" w14:textId="77777777" w:rsidR="005B49BC" w:rsidRPr="00CA2CC1" w:rsidRDefault="005B49BC" w:rsidP="005B49BC">
      <w:pPr>
        <w:pStyle w:val="BodyText"/>
        <w:spacing w:before="4"/>
        <w:rPr>
          <w:rFonts w:cs="Calibri"/>
        </w:rPr>
      </w:pPr>
    </w:p>
    <w:p w14:paraId="0EF0871D" w14:textId="77777777" w:rsidR="005B49BC" w:rsidRPr="00CA2CC1" w:rsidRDefault="005B49BC" w:rsidP="005B49BC">
      <w:pPr>
        <w:pStyle w:val="ListParagraph"/>
        <w:numPr>
          <w:ilvl w:val="0"/>
          <w:numId w:val="8"/>
        </w:numPr>
        <w:spacing w:before="1"/>
        <w:ind w:left="0" w:firstLine="0"/>
        <w:rPr>
          <w:rFonts w:cs="Calibri"/>
          <w:i/>
          <w:sz w:val="16"/>
        </w:rPr>
      </w:pPr>
      <w:r w:rsidRPr="00CA2CC1">
        <w:rPr>
          <w:rFonts w:cs="Calibri"/>
          <w:i/>
          <w:color w:val="414042"/>
          <w:sz w:val="16"/>
        </w:rPr>
        <w:t>The</w:t>
      </w:r>
      <w:r w:rsidRPr="00CA2CC1">
        <w:rPr>
          <w:rFonts w:cs="Calibri"/>
          <w:i/>
          <w:color w:val="414042"/>
          <w:spacing w:val="-3"/>
          <w:sz w:val="16"/>
        </w:rPr>
        <w:t xml:space="preserve"> </w:t>
      </w:r>
      <w:r w:rsidRPr="00CA2CC1">
        <w:rPr>
          <w:rFonts w:cs="Calibri"/>
          <w:i/>
          <w:color w:val="414042"/>
          <w:sz w:val="16"/>
        </w:rPr>
        <w:t>2021-22</w:t>
      </w:r>
      <w:r w:rsidRPr="00CA2CC1">
        <w:rPr>
          <w:rFonts w:cs="Calibri"/>
          <w:i/>
          <w:color w:val="414042"/>
          <w:spacing w:val="-1"/>
          <w:sz w:val="16"/>
        </w:rPr>
        <w:t xml:space="preserve"> </w:t>
      </w:r>
      <w:r w:rsidRPr="00CA2CC1">
        <w:rPr>
          <w:rFonts w:cs="Calibri"/>
          <w:i/>
          <w:color w:val="414042"/>
          <w:sz w:val="16"/>
        </w:rPr>
        <w:t>comparative</w:t>
      </w:r>
      <w:r w:rsidRPr="00CA2CC1">
        <w:rPr>
          <w:rFonts w:cs="Calibri"/>
          <w:i/>
          <w:color w:val="414042"/>
          <w:spacing w:val="-1"/>
          <w:sz w:val="16"/>
        </w:rPr>
        <w:t xml:space="preserve"> </w:t>
      </w:r>
      <w:r w:rsidRPr="00CA2CC1">
        <w:rPr>
          <w:rFonts w:cs="Calibri"/>
          <w:i/>
          <w:color w:val="414042"/>
          <w:sz w:val="16"/>
        </w:rPr>
        <w:t>figures</w:t>
      </w:r>
      <w:r w:rsidRPr="00CA2CC1">
        <w:rPr>
          <w:rFonts w:cs="Calibri"/>
          <w:i/>
          <w:color w:val="414042"/>
          <w:spacing w:val="-1"/>
          <w:sz w:val="16"/>
        </w:rPr>
        <w:t xml:space="preserve"> </w:t>
      </w:r>
      <w:r w:rsidRPr="00CA2CC1">
        <w:rPr>
          <w:rFonts w:cs="Calibri"/>
          <w:i/>
          <w:color w:val="414042"/>
          <w:sz w:val="16"/>
        </w:rPr>
        <w:t>have been</w:t>
      </w:r>
      <w:r w:rsidRPr="00CA2CC1">
        <w:rPr>
          <w:rFonts w:cs="Calibri"/>
          <w:i/>
          <w:color w:val="414042"/>
          <w:spacing w:val="-1"/>
          <w:sz w:val="16"/>
        </w:rPr>
        <w:t xml:space="preserve"> </w:t>
      </w:r>
      <w:r w:rsidRPr="00CA2CC1">
        <w:rPr>
          <w:rFonts w:cs="Calibri"/>
          <w:i/>
          <w:color w:val="414042"/>
          <w:sz w:val="16"/>
        </w:rPr>
        <w:t>adjusted</w:t>
      </w:r>
      <w:r w:rsidRPr="00CA2CC1">
        <w:rPr>
          <w:rFonts w:cs="Calibri"/>
          <w:i/>
          <w:color w:val="414042"/>
          <w:spacing w:val="-1"/>
          <w:sz w:val="16"/>
        </w:rPr>
        <w:t xml:space="preserve"> </w:t>
      </w:r>
      <w:r w:rsidRPr="00CA2CC1">
        <w:rPr>
          <w:rFonts w:cs="Calibri"/>
          <w:i/>
          <w:color w:val="414042"/>
          <w:sz w:val="16"/>
        </w:rPr>
        <w:t>to</w:t>
      </w:r>
      <w:r w:rsidRPr="00CA2CC1">
        <w:rPr>
          <w:rFonts w:cs="Calibri"/>
          <w:i/>
          <w:color w:val="414042"/>
          <w:spacing w:val="-1"/>
          <w:sz w:val="16"/>
        </w:rPr>
        <w:t xml:space="preserve"> </w:t>
      </w:r>
      <w:r w:rsidRPr="00CA2CC1">
        <w:rPr>
          <w:rFonts w:cs="Calibri"/>
          <w:i/>
          <w:color w:val="414042"/>
          <w:sz w:val="16"/>
        </w:rPr>
        <w:t>correct</w:t>
      </w:r>
      <w:r w:rsidRPr="00CA2CC1">
        <w:rPr>
          <w:rFonts w:cs="Calibri"/>
          <w:i/>
          <w:color w:val="414042"/>
          <w:spacing w:val="-1"/>
          <w:sz w:val="16"/>
        </w:rPr>
        <w:t xml:space="preserve"> </w:t>
      </w:r>
      <w:r w:rsidRPr="00CA2CC1">
        <w:rPr>
          <w:rFonts w:cs="Calibri"/>
          <w:i/>
          <w:color w:val="414042"/>
          <w:sz w:val="16"/>
        </w:rPr>
        <w:t>a prior</w:t>
      </w:r>
      <w:r w:rsidRPr="00CA2CC1">
        <w:rPr>
          <w:rFonts w:cs="Calibri"/>
          <w:i/>
          <w:color w:val="414042"/>
          <w:spacing w:val="-1"/>
          <w:sz w:val="16"/>
        </w:rPr>
        <w:t xml:space="preserve"> </w:t>
      </w:r>
      <w:r w:rsidRPr="00CA2CC1">
        <w:rPr>
          <w:rFonts w:cs="Calibri"/>
          <w:i/>
          <w:color w:val="414042"/>
          <w:sz w:val="16"/>
        </w:rPr>
        <w:t>period</w:t>
      </w:r>
      <w:r w:rsidRPr="00CA2CC1">
        <w:rPr>
          <w:rFonts w:cs="Calibri"/>
          <w:i/>
          <w:color w:val="414042"/>
          <w:spacing w:val="-1"/>
          <w:sz w:val="16"/>
        </w:rPr>
        <w:t xml:space="preserve"> </w:t>
      </w:r>
      <w:r w:rsidRPr="00CA2CC1">
        <w:rPr>
          <w:rFonts w:cs="Calibri"/>
          <w:i/>
          <w:color w:val="414042"/>
          <w:sz w:val="16"/>
        </w:rPr>
        <w:t>error.</w:t>
      </w:r>
      <w:r w:rsidRPr="00CA2CC1">
        <w:rPr>
          <w:rFonts w:cs="Calibri"/>
          <w:i/>
          <w:color w:val="414042"/>
          <w:spacing w:val="-1"/>
          <w:sz w:val="16"/>
        </w:rPr>
        <w:t xml:space="preserve"> </w:t>
      </w:r>
      <w:r w:rsidRPr="00CA2CC1">
        <w:rPr>
          <w:rFonts w:cs="Calibri"/>
          <w:i/>
          <w:color w:val="414042"/>
          <w:sz w:val="16"/>
        </w:rPr>
        <w:t>Refer</w:t>
      </w:r>
      <w:r w:rsidRPr="00CA2CC1">
        <w:rPr>
          <w:rFonts w:cs="Calibri"/>
          <w:i/>
          <w:color w:val="414042"/>
          <w:spacing w:val="-1"/>
          <w:sz w:val="16"/>
        </w:rPr>
        <w:t xml:space="preserve"> </w:t>
      </w:r>
      <w:r w:rsidRPr="00CA2CC1">
        <w:rPr>
          <w:rFonts w:cs="Calibri"/>
          <w:i/>
          <w:color w:val="414042"/>
          <w:sz w:val="16"/>
        </w:rPr>
        <w:t>to note</w:t>
      </w:r>
      <w:r w:rsidRPr="00CA2CC1">
        <w:rPr>
          <w:rFonts w:cs="Calibri"/>
          <w:i/>
          <w:color w:val="414042"/>
          <w:spacing w:val="-1"/>
          <w:sz w:val="16"/>
        </w:rPr>
        <w:t xml:space="preserve"> </w:t>
      </w:r>
      <w:r w:rsidRPr="00CA2CC1">
        <w:rPr>
          <w:rFonts w:cs="Calibri"/>
          <w:i/>
          <w:color w:val="414042"/>
          <w:sz w:val="16"/>
        </w:rPr>
        <w:t>8.5</w:t>
      </w:r>
      <w:r w:rsidRPr="00CA2CC1">
        <w:rPr>
          <w:rFonts w:cs="Calibri"/>
          <w:i/>
          <w:color w:val="414042"/>
          <w:spacing w:val="-1"/>
          <w:sz w:val="16"/>
        </w:rPr>
        <w:t xml:space="preserve"> </w:t>
      </w:r>
      <w:r w:rsidRPr="00CA2CC1">
        <w:rPr>
          <w:rFonts w:cs="Calibri"/>
          <w:i/>
          <w:color w:val="414042"/>
          <w:sz w:val="16"/>
        </w:rPr>
        <w:t>for</w:t>
      </w:r>
      <w:r w:rsidRPr="00CA2CC1">
        <w:rPr>
          <w:rFonts w:cs="Calibri"/>
          <w:i/>
          <w:color w:val="414042"/>
          <w:spacing w:val="-1"/>
          <w:sz w:val="16"/>
        </w:rPr>
        <w:t xml:space="preserve"> </w:t>
      </w:r>
      <w:r w:rsidRPr="00CA2CC1">
        <w:rPr>
          <w:rFonts w:cs="Calibri"/>
          <w:i/>
          <w:color w:val="414042"/>
          <w:sz w:val="16"/>
        </w:rPr>
        <w:t xml:space="preserve">more </w:t>
      </w:r>
      <w:r w:rsidRPr="00CA2CC1">
        <w:rPr>
          <w:rFonts w:cs="Calibri"/>
          <w:i/>
          <w:color w:val="414042"/>
          <w:spacing w:val="-2"/>
          <w:sz w:val="16"/>
        </w:rPr>
        <w:t>information.</w:t>
      </w:r>
    </w:p>
    <w:p w14:paraId="3C7C26F9" w14:textId="77777777" w:rsidR="005B49BC" w:rsidRPr="00CA2CC1" w:rsidRDefault="005B49BC" w:rsidP="005B49BC">
      <w:pPr>
        <w:pStyle w:val="ListParagraph"/>
        <w:numPr>
          <w:ilvl w:val="0"/>
          <w:numId w:val="8"/>
        </w:numPr>
        <w:spacing w:before="141"/>
        <w:ind w:left="0" w:firstLine="0"/>
        <w:rPr>
          <w:rFonts w:cs="Calibri"/>
          <w:i/>
          <w:sz w:val="16"/>
        </w:rPr>
      </w:pPr>
      <w:r w:rsidRPr="00CA2CC1">
        <w:rPr>
          <w:rFonts w:cs="Calibri"/>
          <w:i/>
          <w:color w:val="414042"/>
          <w:sz w:val="16"/>
        </w:rPr>
        <w:t xml:space="preserve">The 2021-22 comparative figure has been adjusted to correct a duplication </w:t>
      </w:r>
      <w:r w:rsidRPr="00CA2CC1">
        <w:rPr>
          <w:rFonts w:cs="Calibri"/>
          <w:i/>
          <w:color w:val="414042"/>
          <w:spacing w:val="-2"/>
          <w:sz w:val="16"/>
        </w:rPr>
        <w:t>error.</w:t>
      </w:r>
    </w:p>
    <w:p w14:paraId="01EFE438" w14:textId="77777777" w:rsidR="005B49BC" w:rsidRPr="00CA2CC1" w:rsidRDefault="005B49BC" w:rsidP="005B49BC">
      <w:pPr>
        <w:pStyle w:val="BodyText"/>
        <w:spacing w:before="8"/>
        <w:rPr>
          <w:rFonts w:cs="Calibri"/>
        </w:rPr>
      </w:pPr>
    </w:p>
    <w:p w14:paraId="6B12EFF0" w14:textId="77777777" w:rsidR="005B49BC" w:rsidRPr="005B49BC" w:rsidRDefault="005B49BC" w:rsidP="005B49BC">
      <w:pPr>
        <w:pStyle w:val="Heading7"/>
        <w:numPr>
          <w:ilvl w:val="1"/>
          <w:numId w:val="9"/>
        </w:numPr>
        <w:spacing w:before="90"/>
        <w:ind w:left="0" w:firstLine="0"/>
        <w:rPr>
          <w:rFonts w:cs="Calibri"/>
          <w:color w:val="000000" w:themeColor="text1"/>
        </w:rPr>
      </w:pPr>
      <w:r w:rsidRPr="005B49BC">
        <w:rPr>
          <w:rFonts w:cs="Calibri"/>
          <w:color w:val="000000" w:themeColor="text1"/>
        </w:rPr>
        <w:t>Reconciliation</w:t>
      </w:r>
      <w:r w:rsidRPr="005B49BC">
        <w:rPr>
          <w:rFonts w:cs="Calibri"/>
          <w:color w:val="000000" w:themeColor="text1"/>
          <w:spacing w:val="-6"/>
        </w:rPr>
        <w:t xml:space="preserve"> </w:t>
      </w:r>
      <w:r w:rsidRPr="005B49BC">
        <w:rPr>
          <w:rFonts w:cs="Calibri"/>
          <w:color w:val="000000" w:themeColor="text1"/>
        </w:rPr>
        <w:t>of</w:t>
      </w:r>
      <w:r w:rsidRPr="005B49BC">
        <w:rPr>
          <w:rFonts w:cs="Calibri"/>
          <w:color w:val="000000" w:themeColor="text1"/>
          <w:spacing w:val="-6"/>
        </w:rPr>
        <w:t xml:space="preserve"> </w:t>
      </w:r>
      <w:r w:rsidRPr="005B49BC">
        <w:rPr>
          <w:rFonts w:cs="Calibri"/>
          <w:color w:val="000000" w:themeColor="text1"/>
        </w:rPr>
        <w:t>the</w:t>
      </w:r>
      <w:r w:rsidRPr="005B49BC">
        <w:rPr>
          <w:rFonts w:cs="Calibri"/>
          <w:color w:val="000000" w:themeColor="text1"/>
          <w:spacing w:val="-6"/>
        </w:rPr>
        <w:t xml:space="preserve"> </w:t>
      </w:r>
      <w:r w:rsidRPr="005B49BC">
        <w:rPr>
          <w:rFonts w:cs="Calibri"/>
          <w:color w:val="000000" w:themeColor="text1"/>
        </w:rPr>
        <w:t>net</w:t>
      </w:r>
      <w:r w:rsidRPr="005B49BC">
        <w:rPr>
          <w:rFonts w:cs="Calibri"/>
          <w:color w:val="000000" w:themeColor="text1"/>
          <w:spacing w:val="-6"/>
        </w:rPr>
        <w:t xml:space="preserve"> </w:t>
      </w:r>
      <w:r w:rsidRPr="005B49BC">
        <w:rPr>
          <w:rFonts w:cs="Calibri"/>
          <w:color w:val="000000" w:themeColor="text1"/>
        </w:rPr>
        <w:t>result</w:t>
      </w:r>
      <w:r w:rsidRPr="005B49BC">
        <w:rPr>
          <w:rFonts w:cs="Calibri"/>
          <w:color w:val="000000" w:themeColor="text1"/>
          <w:spacing w:val="-6"/>
        </w:rPr>
        <w:t xml:space="preserve"> </w:t>
      </w:r>
      <w:r w:rsidRPr="005B49BC">
        <w:rPr>
          <w:rFonts w:cs="Calibri"/>
          <w:color w:val="000000" w:themeColor="text1"/>
        </w:rPr>
        <w:t>for</w:t>
      </w:r>
      <w:r w:rsidRPr="005B49BC">
        <w:rPr>
          <w:rFonts w:cs="Calibri"/>
          <w:color w:val="000000" w:themeColor="text1"/>
          <w:spacing w:val="-6"/>
        </w:rPr>
        <w:t xml:space="preserve"> </w:t>
      </w:r>
      <w:r w:rsidRPr="005B49BC">
        <w:rPr>
          <w:rFonts w:cs="Calibri"/>
          <w:color w:val="000000" w:themeColor="text1"/>
        </w:rPr>
        <w:t>the</w:t>
      </w:r>
      <w:r w:rsidRPr="005B49BC">
        <w:rPr>
          <w:rFonts w:cs="Calibri"/>
          <w:color w:val="000000" w:themeColor="text1"/>
          <w:spacing w:val="-6"/>
        </w:rPr>
        <w:t xml:space="preserve"> </w:t>
      </w:r>
      <w:r w:rsidRPr="005B49BC">
        <w:rPr>
          <w:rFonts w:cs="Calibri"/>
          <w:color w:val="000000" w:themeColor="text1"/>
        </w:rPr>
        <w:t>period to cash flow from operating activities</w:t>
      </w:r>
    </w:p>
    <w:p w14:paraId="508BC1DA" w14:textId="77777777" w:rsidR="005B49BC" w:rsidRPr="00CA2CC1" w:rsidRDefault="005B49BC" w:rsidP="005B49BC">
      <w:pPr>
        <w:pStyle w:val="BodyText"/>
        <w:spacing w:before="13"/>
        <w:rPr>
          <w:rFonts w:cs="Calibri"/>
          <w:sz w:val="9"/>
        </w:rPr>
      </w:pPr>
    </w:p>
    <w:tbl>
      <w:tblPr>
        <w:tblW w:w="9637" w:type="dxa"/>
        <w:tblBorders>
          <w:top w:val="single" w:sz="4" w:space="0" w:color="C48F1B"/>
          <w:left w:val="single" w:sz="4" w:space="0" w:color="C48F1B"/>
          <w:bottom w:val="single" w:sz="4" w:space="0" w:color="C48F1B"/>
          <w:right w:val="single" w:sz="4" w:space="0" w:color="C48F1B"/>
          <w:insideH w:val="single" w:sz="4" w:space="0" w:color="C48F1B"/>
          <w:insideV w:val="single" w:sz="4" w:space="0" w:color="C48F1B"/>
        </w:tblBorders>
        <w:tblLayout w:type="fixed"/>
        <w:tblCellMar>
          <w:left w:w="0" w:type="dxa"/>
          <w:right w:w="0" w:type="dxa"/>
        </w:tblCellMar>
        <w:tblLook w:val="01E0" w:firstRow="1" w:lastRow="1" w:firstColumn="1" w:lastColumn="1" w:noHBand="0" w:noVBand="0"/>
      </w:tblPr>
      <w:tblGrid>
        <w:gridCol w:w="6633"/>
        <w:gridCol w:w="1502"/>
        <w:gridCol w:w="1502"/>
      </w:tblGrid>
      <w:tr w:rsidR="005B49BC" w:rsidRPr="00CA2CC1" w14:paraId="7743B6AE" w14:textId="77777777" w:rsidTr="00850934">
        <w:trPr>
          <w:trHeight w:val="544"/>
        </w:trPr>
        <w:tc>
          <w:tcPr>
            <w:tcW w:w="6633" w:type="dxa"/>
            <w:tcBorders>
              <w:top w:val="nil"/>
              <w:left w:val="nil"/>
              <w:right w:val="nil"/>
            </w:tcBorders>
          </w:tcPr>
          <w:p w14:paraId="1C9895C0" w14:textId="77777777" w:rsidR="005B49BC" w:rsidRPr="00CA2CC1" w:rsidRDefault="005B49BC" w:rsidP="003B766D">
            <w:pPr>
              <w:pStyle w:val="TableParagraph"/>
              <w:jc w:val="left"/>
              <w:rPr>
                <w:rFonts w:cs="Calibri"/>
                <w:sz w:val="16"/>
              </w:rPr>
            </w:pPr>
          </w:p>
        </w:tc>
        <w:tc>
          <w:tcPr>
            <w:tcW w:w="1502" w:type="dxa"/>
            <w:tcBorders>
              <w:top w:val="nil"/>
              <w:left w:val="nil"/>
              <w:right w:val="single" w:sz="8" w:space="0" w:color="FFFFFF"/>
            </w:tcBorders>
            <w:shd w:val="clear" w:color="auto" w:fill="FFF0E7"/>
            <w:tcMar>
              <w:right w:w="57" w:type="dxa"/>
            </w:tcMar>
          </w:tcPr>
          <w:p w14:paraId="24B59A27" w14:textId="77777777" w:rsidR="005B49BC" w:rsidRPr="00CA2CC1" w:rsidRDefault="005B49BC" w:rsidP="003B766D">
            <w:pPr>
              <w:pStyle w:val="TableParagraph"/>
              <w:spacing w:before="39"/>
              <w:rPr>
                <w:rFonts w:cs="Calibri"/>
                <w:sz w:val="17"/>
              </w:rPr>
            </w:pPr>
            <w:r w:rsidRPr="00CA2CC1">
              <w:rPr>
                <w:rFonts w:cs="Calibri"/>
                <w:color w:val="F68C59"/>
                <w:spacing w:val="-4"/>
                <w:sz w:val="17"/>
              </w:rPr>
              <w:t>2023</w:t>
            </w:r>
          </w:p>
          <w:p w14:paraId="65E794DF" w14:textId="77777777" w:rsidR="005B49BC" w:rsidRPr="00CA2CC1" w:rsidRDefault="005B49BC" w:rsidP="003B766D">
            <w:pPr>
              <w:pStyle w:val="TableParagraph"/>
              <w:spacing w:before="1"/>
              <w:rPr>
                <w:rFonts w:cs="Calibri"/>
                <w:sz w:val="17"/>
              </w:rPr>
            </w:pPr>
            <w:r w:rsidRPr="00CA2CC1">
              <w:rPr>
                <w:rFonts w:cs="Calibri"/>
                <w:color w:val="F68C59"/>
                <w:sz w:val="17"/>
              </w:rPr>
              <w:t>$</w:t>
            </w:r>
          </w:p>
        </w:tc>
        <w:tc>
          <w:tcPr>
            <w:tcW w:w="1502" w:type="dxa"/>
            <w:tcBorders>
              <w:top w:val="nil"/>
              <w:left w:val="single" w:sz="8" w:space="0" w:color="FFFFFF"/>
              <w:right w:val="nil"/>
            </w:tcBorders>
            <w:shd w:val="clear" w:color="auto" w:fill="EDEFF0"/>
            <w:tcMar>
              <w:right w:w="57" w:type="dxa"/>
            </w:tcMar>
          </w:tcPr>
          <w:p w14:paraId="00470C87" w14:textId="77777777" w:rsidR="005B49BC" w:rsidRPr="00CA2CC1" w:rsidRDefault="005B49BC" w:rsidP="003B766D">
            <w:pPr>
              <w:pStyle w:val="TableParagraph"/>
              <w:spacing w:before="39"/>
              <w:rPr>
                <w:rFonts w:cs="Calibri"/>
                <w:sz w:val="17"/>
              </w:rPr>
            </w:pPr>
            <w:r w:rsidRPr="00CA2CC1">
              <w:rPr>
                <w:rFonts w:cs="Calibri"/>
                <w:color w:val="F68C59"/>
                <w:spacing w:val="-4"/>
                <w:sz w:val="17"/>
              </w:rPr>
              <w:t>2022</w:t>
            </w:r>
          </w:p>
          <w:p w14:paraId="40B83E88" w14:textId="77777777" w:rsidR="005B49BC" w:rsidRPr="00CA2CC1" w:rsidRDefault="005B49BC" w:rsidP="003B766D">
            <w:pPr>
              <w:pStyle w:val="TableParagraph"/>
              <w:spacing w:before="1"/>
              <w:rPr>
                <w:rFonts w:cs="Calibri"/>
                <w:sz w:val="17"/>
              </w:rPr>
            </w:pPr>
            <w:r w:rsidRPr="00CA2CC1">
              <w:rPr>
                <w:rFonts w:cs="Calibri"/>
                <w:color w:val="F68C59"/>
                <w:sz w:val="17"/>
              </w:rPr>
              <w:t>$</w:t>
            </w:r>
          </w:p>
        </w:tc>
      </w:tr>
      <w:tr w:rsidR="005B49BC" w:rsidRPr="00CA2CC1" w14:paraId="31B43DCC" w14:textId="77777777" w:rsidTr="00850934">
        <w:trPr>
          <w:trHeight w:val="281"/>
        </w:trPr>
        <w:tc>
          <w:tcPr>
            <w:tcW w:w="6633" w:type="dxa"/>
            <w:tcBorders>
              <w:left w:val="nil"/>
              <w:bottom w:val="single" w:sz="2" w:space="0" w:color="73777A"/>
              <w:right w:val="nil"/>
            </w:tcBorders>
          </w:tcPr>
          <w:p w14:paraId="7BC4202D" w14:textId="77777777" w:rsidR="005B49BC" w:rsidRPr="00CA2CC1" w:rsidRDefault="005B49BC" w:rsidP="003B766D">
            <w:pPr>
              <w:pStyle w:val="TableParagraph"/>
              <w:jc w:val="left"/>
              <w:rPr>
                <w:rFonts w:cs="Calibri"/>
                <w:sz w:val="10"/>
              </w:rPr>
            </w:pPr>
            <w:r w:rsidRPr="00CA2CC1">
              <w:rPr>
                <w:rFonts w:cs="Calibri"/>
                <w:color w:val="414042"/>
                <w:sz w:val="18"/>
              </w:rPr>
              <w:t>Net</w:t>
            </w:r>
            <w:r w:rsidRPr="00CA2CC1">
              <w:rPr>
                <w:rFonts w:cs="Calibri"/>
                <w:color w:val="414042"/>
                <w:spacing w:val="3"/>
                <w:sz w:val="18"/>
              </w:rPr>
              <w:t xml:space="preserve"> </w:t>
            </w:r>
            <w:r w:rsidRPr="00CA2CC1">
              <w:rPr>
                <w:rFonts w:cs="Calibri"/>
                <w:color w:val="414042"/>
                <w:sz w:val="18"/>
              </w:rPr>
              <w:t>result</w:t>
            </w:r>
            <w:r w:rsidRPr="00CA2CC1">
              <w:rPr>
                <w:rFonts w:cs="Calibri"/>
                <w:color w:val="414042"/>
                <w:spacing w:val="5"/>
                <w:sz w:val="18"/>
              </w:rPr>
              <w:t xml:space="preserve"> </w:t>
            </w:r>
            <w:r w:rsidRPr="00CA2CC1">
              <w:rPr>
                <w:rFonts w:cs="Calibri"/>
                <w:color w:val="414042"/>
                <w:sz w:val="18"/>
              </w:rPr>
              <w:t>for</w:t>
            </w:r>
            <w:r w:rsidRPr="00CA2CC1">
              <w:rPr>
                <w:rFonts w:cs="Calibri"/>
                <w:color w:val="414042"/>
                <w:spacing w:val="5"/>
                <w:sz w:val="18"/>
              </w:rPr>
              <w:t xml:space="preserve"> </w:t>
            </w:r>
            <w:r w:rsidRPr="00CA2CC1">
              <w:rPr>
                <w:rFonts w:cs="Calibri"/>
                <w:color w:val="414042"/>
                <w:sz w:val="18"/>
              </w:rPr>
              <w:t>the</w:t>
            </w:r>
            <w:r w:rsidRPr="00CA2CC1">
              <w:rPr>
                <w:rFonts w:cs="Calibri"/>
                <w:color w:val="414042"/>
                <w:spacing w:val="5"/>
                <w:sz w:val="18"/>
              </w:rPr>
              <w:t xml:space="preserve"> </w:t>
            </w:r>
            <w:r w:rsidRPr="00CA2CC1">
              <w:rPr>
                <w:rFonts w:cs="Calibri"/>
                <w:color w:val="414042"/>
                <w:sz w:val="18"/>
              </w:rPr>
              <w:t>period</w:t>
            </w:r>
            <w:r w:rsidRPr="00CA2CC1">
              <w:rPr>
                <w:rFonts w:cs="Calibri"/>
                <w:color w:val="414042"/>
                <w:spacing w:val="5"/>
                <w:sz w:val="18"/>
              </w:rPr>
              <w:t xml:space="preserve"> </w:t>
            </w:r>
            <w:r w:rsidRPr="00CA2CC1">
              <w:rPr>
                <w:rFonts w:cs="Calibri"/>
                <w:color w:val="414042"/>
                <w:spacing w:val="-5"/>
                <w:position w:val="6"/>
                <w:sz w:val="10"/>
              </w:rPr>
              <w:t>(i)</w:t>
            </w:r>
          </w:p>
        </w:tc>
        <w:tc>
          <w:tcPr>
            <w:tcW w:w="1502" w:type="dxa"/>
            <w:tcBorders>
              <w:left w:val="nil"/>
              <w:bottom w:val="single" w:sz="2" w:space="0" w:color="73777A"/>
              <w:right w:val="single" w:sz="8" w:space="0" w:color="FFFFFF"/>
            </w:tcBorders>
            <w:shd w:val="clear" w:color="auto" w:fill="FFF0E7"/>
            <w:tcMar>
              <w:right w:w="57" w:type="dxa"/>
            </w:tcMar>
          </w:tcPr>
          <w:p w14:paraId="2E135F00" w14:textId="77777777" w:rsidR="005B49BC" w:rsidRPr="00CA2CC1" w:rsidRDefault="005B49BC" w:rsidP="003B766D">
            <w:pPr>
              <w:pStyle w:val="TableParagraph"/>
              <w:rPr>
                <w:rFonts w:cs="Calibri"/>
                <w:sz w:val="18"/>
              </w:rPr>
            </w:pPr>
            <w:r w:rsidRPr="00CA2CC1">
              <w:rPr>
                <w:rFonts w:cs="Calibri"/>
                <w:color w:val="414042"/>
                <w:spacing w:val="-2"/>
                <w:sz w:val="18"/>
              </w:rPr>
              <w:t>(61,764)</w:t>
            </w:r>
          </w:p>
        </w:tc>
        <w:tc>
          <w:tcPr>
            <w:tcW w:w="1502" w:type="dxa"/>
            <w:tcBorders>
              <w:left w:val="single" w:sz="8" w:space="0" w:color="FFFFFF"/>
              <w:bottom w:val="single" w:sz="2" w:space="0" w:color="73777A"/>
              <w:right w:val="nil"/>
            </w:tcBorders>
            <w:shd w:val="clear" w:color="auto" w:fill="EDEFF0"/>
            <w:tcMar>
              <w:right w:w="57" w:type="dxa"/>
            </w:tcMar>
          </w:tcPr>
          <w:p w14:paraId="38305832" w14:textId="77777777" w:rsidR="005B49BC" w:rsidRPr="00CA2CC1" w:rsidRDefault="005B49BC" w:rsidP="003B766D">
            <w:pPr>
              <w:pStyle w:val="TableParagraph"/>
              <w:rPr>
                <w:rFonts w:cs="Calibri"/>
                <w:sz w:val="18"/>
              </w:rPr>
            </w:pPr>
            <w:r w:rsidRPr="00CA2CC1">
              <w:rPr>
                <w:rFonts w:cs="Calibri"/>
                <w:color w:val="414042"/>
                <w:spacing w:val="-2"/>
                <w:sz w:val="18"/>
              </w:rPr>
              <w:t>592,053</w:t>
            </w:r>
          </w:p>
        </w:tc>
      </w:tr>
      <w:tr w:rsidR="005B49BC" w:rsidRPr="00CA2CC1" w14:paraId="34A73FAB" w14:textId="77777777" w:rsidTr="00850934">
        <w:trPr>
          <w:trHeight w:val="572"/>
        </w:trPr>
        <w:tc>
          <w:tcPr>
            <w:tcW w:w="6633" w:type="dxa"/>
            <w:tcBorders>
              <w:top w:val="single" w:sz="2" w:space="0" w:color="73777A"/>
              <w:left w:val="nil"/>
              <w:bottom w:val="single" w:sz="2" w:space="0" w:color="73777A"/>
              <w:right w:val="nil"/>
            </w:tcBorders>
          </w:tcPr>
          <w:p w14:paraId="6AB38776" w14:textId="77777777" w:rsidR="005B49BC" w:rsidRPr="00CA2CC1" w:rsidRDefault="005B49BC" w:rsidP="003B766D">
            <w:pPr>
              <w:pStyle w:val="TableParagraph"/>
              <w:spacing w:before="12"/>
              <w:jc w:val="left"/>
              <w:rPr>
                <w:rFonts w:cs="Calibri"/>
                <w:sz w:val="20"/>
              </w:rPr>
            </w:pPr>
          </w:p>
          <w:p w14:paraId="0460973B" w14:textId="77777777" w:rsidR="005B49BC" w:rsidRPr="00CA2CC1" w:rsidRDefault="005B49BC" w:rsidP="003B766D">
            <w:pPr>
              <w:pStyle w:val="TableParagraph"/>
              <w:jc w:val="left"/>
              <w:rPr>
                <w:rFonts w:cs="Calibri"/>
                <w:sz w:val="18"/>
              </w:rPr>
            </w:pPr>
            <w:r w:rsidRPr="00CA2CC1">
              <w:rPr>
                <w:rFonts w:cs="Calibri"/>
                <w:color w:val="F68C59"/>
                <w:sz w:val="18"/>
              </w:rPr>
              <w:t>Non-cash</w:t>
            </w:r>
            <w:r w:rsidRPr="00CA2CC1">
              <w:rPr>
                <w:rFonts w:cs="Calibri"/>
                <w:color w:val="F68C59"/>
                <w:spacing w:val="17"/>
                <w:sz w:val="18"/>
              </w:rPr>
              <w:t xml:space="preserve"> </w:t>
            </w:r>
            <w:r w:rsidRPr="00CA2CC1">
              <w:rPr>
                <w:rFonts w:cs="Calibri"/>
                <w:color w:val="F68C59"/>
                <w:spacing w:val="-2"/>
                <w:sz w:val="18"/>
              </w:rPr>
              <w:t>movements</w:t>
            </w:r>
          </w:p>
        </w:tc>
        <w:tc>
          <w:tcPr>
            <w:tcW w:w="1502" w:type="dxa"/>
            <w:tcBorders>
              <w:top w:val="single" w:sz="2" w:space="0" w:color="73777A"/>
              <w:left w:val="nil"/>
              <w:bottom w:val="single" w:sz="2" w:space="0" w:color="73777A"/>
              <w:right w:val="single" w:sz="8" w:space="0" w:color="FFFFFF"/>
            </w:tcBorders>
            <w:shd w:val="clear" w:color="auto" w:fill="FFF0E7"/>
            <w:tcMar>
              <w:right w:w="57" w:type="dxa"/>
            </w:tcMar>
          </w:tcPr>
          <w:p w14:paraId="0896725A" w14:textId="77777777" w:rsidR="005B49BC" w:rsidRPr="00CA2CC1" w:rsidRDefault="005B49BC" w:rsidP="003B766D">
            <w:pPr>
              <w:pStyle w:val="TableParagraph"/>
              <w:jc w:val="left"/>
              <w:rPr>
                <w:rFonts w:cs="Calibri"/>
                <w:sz w:val="16"/>
              </w:rPr>
            </w:pPr>
          </w:p>
        </w:tc>
        <w:tc>
          <w:tcPr>
            <w:tcW w:w="1502" w:type="dxa"/>
            <w:tcBorders>
              <w:top w:val="single" w:sz="2" w:space="0" w:color="73777A"/>
              <w:left w:val="single" w:sz="8" w:space="0" w:color="FFFFFF"/>
              <w:bottom w:val="single" w:sz="2" w:space="0" w:color="73777A"/>
              <w:right w:val="nil"/>
            </w:tcBorders>
            <w:shd w:val="clear" w:color="auto" w:fill="EDEFF0"/>
            <w:tcMar>
              <w:right w:w="57" w:type="dxa"/>
            </w:tcMar>
          </w:tcPr>
          <w:p w14:paraId="0EAD97DA" w14:textId="77777777" w:rsidR="005B49BC" w:rsidRPr="00CA2CC1" w:rsidRDefault="005B49BC" w:rsidP="003B766D">
            <w:pPr>
              <w:pStyle w:val="TableParagraph"/>
              <w:jc w:val="left"/>
              <w:rPr>
                <w:rFonts w:cs="Calibri"/>
                <w:sz w:val="16"/>
              </w:rPr>
            </w:pPr>
          </w:p>
        </w:tc>
      </w:tr>
      <w:tr w:rsidR="005B49BC" w:rsidRPr="00CA2CC1" w14:paraId="22D1E5A4" w14:textId="77777777" w:rsidTr="00850934">
        <w:trPr>
          <w:trHeight w:val="283"/>
        </w:trPr>
        <w:tc>
          <w:tcPr>
            <w:tcW w:w="6633" w:type="dxa"/>
            <w:tcBorders>
              <w:top w:val="single" w:sz="2" w:space="0" w:color="73777A"/>
              <w:left w:val="nil"/>
              <w:bottom w:val="single" w:sz="2" w:space="0" w:color="73777A"/>
              <w:right w:val="nil"/>
            </w:tcBorders>
          </w:tcPr>
          <w:p w14:paraId="0F4242D0" w14:textId="77777777" w:rsidR="005B49BC" w:rsidRPr="00CA2CC1" w:rsidRDefault="005B49BC" w:rsidP="003B766D">
            <w:pPr>
              <w:pStyle w:val="TableParagraph"/>
              <w:jc w:val="left"/>
              <w:rPr>
                <w:rFonts w:cs="Calibri"/>
                <w:sz w:val="10"/>
              </w:rPr>
            </w:pPr>
            <w:r w:rsidRPr="00CA2CC1">
              <w:rPr>
                <w:rFonts w:cs="Calibri"/>
                <w:color w:val="414042"/>
                <w:sz w:val="18"/>
              </w:rPr>
              <w:t>Depreciation</w:t>
            </w:r>
            <w:r w:rsidRPr="00CA2CC1">
              <w:rPr>
                <w:rFonts w:cs="Calibri"/>
                <w:color w:val="414042"/>
                <w:spacing w:val="10"/>
                <w:sz w:val="18"/>
              </w:rPr>
              <w:t xml:space="preserve"> </w:t>
            </w:r>
            <w:r w:rsidRPr="00CA2CC1">
              <w:rPr>
                <w:rFonts w:cs="Calibri"/>
                <w:color w:val="414042"/>
                <w:spacing w:val="-5"/>
                <w:position w:val="6"/>
                <w:sz w:val="10"/>
              </w:rPr>
              <w:t>(i)</w:t>
            </w:r>
          </w:p>
        </w:tc>
        <w:tc>
          <w:tcPr>
            <w:tcW w:w="1502" w:type="dxa"/>
            <w:tcBorders>
              <w:top w:val="single" w:sz="2" w:space="0" w:color="73777A"/>
              <w:left w:val="nil"/>
              <w:bottom w:val="single" w:sz="2" w:space="0" w:color="73777A"/>
              <w:right w:val="single" w:sz="8" w:space="0" w:color="FFFFFF"/>
            </w:tcBorders>
            <w:shd w:val="clear" w:color="auto" w:fill="FFF0E7"/>
            <w:tcMar>
              <w:right w:w="57" w:type="dxa"/>
            </w:tcMar>
          </w:tcPr>
          <w:p w14:paraId="7C09E82C" w14:textId="77777777" w:rsidR="005B49BC" w:rsidRPr="00CA2CC1" w:rsidRDefault="005B49BC" w:rsidP="003B766D">
            <w:pPr>
              <w:pStyle w:val="TableParagraph"/>
              <w:rPr>
                <w:rFonts w:cs="Calibri"/>
                <w:sz w:val="18"/>
              </w:rPr>
            </w:pPr>
            <w:r w:rsidRPr="00CA2CC1">
              <w:rPr>
                <w:rFonts w:cs="Calibri"/>
                <w:color w:val="414042"/>
                <w:spacing w:val="-2"/>
                <w:sz w:val="18"/>
              </w:rPr>
              <w:t>407,892</w:t>
            </w:r>
          </w:p>
        </w:tc>
        <w:tc>
          <w:tcPr>
            <w:tcW w:w="1502" w:type="dxa"/>
            <w:tcBorders>
              <w:top w:val="single" w:sz="2" w:space="0" w:color="73777A"/>
              <w:left w:val="single" w:sz="8" w:space="0" w:color="FFFFFF"/>
              <w:bottom w:val="single" w:sz="2" w:space="0" w:color="73777A"/>
              <w:right w:val="nil"/>
            </w:tcBorders>
            <w:shd w:val="clear" w:color="auto" w:fill="EDEFF0"/>
            <w:tcMar>
              <w:right w:w="57" w:type="dxa"/>
            </w:tcMar>
          </w:tcPr>
          <w:p w14:paraId="231CCC2F" w14:textId="77777777" w:rsidR="005B49BC" w:rsidRPr="00CA2CC1" w:rsidRDefault="005B49BC" w:rsidP="003B766D">
            <w:pPr>
              <w:pStyle w:val="TableParagraph"/>
              <w:rPr>
                <w:rFonts w:cs="Calibri"/>
                <w:sz w:val="18"/>
              </w:rPr>
            </w:pPr>
            <w:r w:rsidRPr="00CA2CC1">
              <w:rPr>
                <w:rFonts w:cs="Calibri"/>
                <w:color w:val="414042"/>
                <w:spacing w:val="-2"/>
                <w:sz w:val="18"/>
              </w:rPr>
              <w:t>404,396</w:t>
            </w:r>
          </w:p>
        </w:tc>
      </w:tr>
      <w:tr w:rsidR="005B49BC" w:rsidRPr="00CA2CC1" w14:paraId="6A1783B1" w14:textId="77777777" w:rsidTr="00850934">
        <w:trPr>
          <w:trHeight w:val="572"/>
        </w:trPr>
        <w:tc>
          <w:tcPr>
            <w:tcW w:w="6633" w:type="dxa"/>
            <w:tcBorders>
              <w:top w:val="single" w:sz="2" w:space="0" w:color="73777A"/>
              <w:left w:val="nil"/>
              <w:bottom w:val="single" w:sz="2" w:space="0" w:color="73777A"/>
              <w:right w:val="nil"/>
            </w:tcBorders>
          </w:tcPr>
          <w:p w14:paraId="696391C1" w14:textId="77777777" w:rsidR="005B49BC" w:rsidRPr="00CA2CC1" w:rsidRDefault="005B49BC" w:rsidP="003B766D">
            <w:pPr>
              <w:pStyle w:val="TableParagraph"/>
              <w:spacing w:before="12"/>
              <w:jc w:val="left"/>
              <w:rPr>
                <w:rFonts w:cs="Calibri"/>
                <w:sz w:val="20"/>
              </w:rPr>
            </w:pPr>
          </w:p>
          <w:p w14:paraId="2BDB7667" w14:textId="77777777" w:rsidR="005B49BC" w:rsidRPr="00CA2CC1" w:rsidRDefault="005B49BC" w:rsidP="003B766D">
            <w:pPr>
              <w:pStyle w:val="TableParagraph"/>
              <w:jc w:val="left"/>
              <w:rPr>
                <w:rFonts w:cs="Calibri"/>
                <w:sz w:val="18"/>
              </w:rPr>
            </w:pPr>
            <w:r w:rsidRPr="00CA2CC1">
              <w:rPr>
                <w:rFonts w:cs="Calibri"/>
                <w:color w:val="F68C59"/>
                <w:sz w:val="18"/>
              </w:rPr>
              <w:t>Movements</w:t>
            </w:r>
            <w:r w:rsidRPr="00CA2CC1">
              <w:rPr>
                <w:rFonts w:cs="Calibri"/>
                <w:color w:val="F68C59"/>
                <w:spacing w:val="5"/>
                <w:sz w:val="18"/>
              </w:rPr>
              <w:t xml:space="preserve"> </w:t>
            </w:r>
            <w:r w:rsidRPr="00CA2CC1">
              <w:rPr>
                <w:rFonts w:cs="Calibri"/>
                <w:color w:val="F68C59"/>
                <w:sz w:val="18"/>
              </w:rPr>
              <w:t>in</w:t>
            </w:r>
            <w:r w:rsidRPr="00CA2CC1">
              <w:rPr>
                <w:rFonts w:cs="Calibri"/>
                <w:color w:val="F68C59"/>
                <w:spacing w:val="6"/>
                <w:sz w:val="18"/>
              </w:rPr>
              <w:t xml:space="preserve"> </w:t>
            </w:r>
            <w:r w:rsidRPr="00CA2CC1">
              <w:rPr>
                <w:rFonts w:cs="Calibri"/>
                <w:color w:val="F68C59"/>
                <w:sz w:val="18"/>
              </w:rPr>
              <w:t>assets</w:t>
            </w:r>
            <w:r w:rsidRPr="00CA2CC1">
              <w:rPr>
                <w:rFonts w:cs="Calibri"/>
                <w:color w:val="F68C59"/>
                <w:spacing w:val="6"/>
                <w:sz w:val="18"/>
              </w:rPr>
              <w:t xml:space="preserve"> </w:t>
            </w:r>
            <w:r w:rsidRPr="00CA2CC1">
              <w:rPr>
                <w:rFonts w:cs="Calibri"/>
                <w:color w:val="F68C59"/>
                <w:sz w:val="18"/>
              </w:rPr>
              <w:t>and</w:t>
            </w:r>
            <w:r w:rsidRPr="00CA2CC1">
              <w:rPr>
                <w:rFonts w:cs="Calibri"/>
                <w:color w:val="F68C59"/>
                <w:spacing w:val="6"/>
                <w:sz w:val="18"/>
              </w:rPr>
              <w:t xml:space="preserve"> </w:t>
            </w:r>
            <w:r w:rsidRPr="00CA2CC1">
              <w:rPr>
                <w:rFonts w:cs="Calibri"/>
                <w:color w:val="F68C59"/>
                <w:spacing w:val="-2"/>
                <w:sz w:val="18"/>
              </w:rPr>
              <w:t>liabilities</w:t>
            </w:r>
          </w:p>
        </w:tc>
        <w:tc>
          <w:tcPr>
            <w:tcW w:w="1502" w:type="dxa"/>
            <w:tcBorders>
              <w:top w:val="single" w:sz="2" w:space="0" w:color="73777A"/>
              <w:left w:val="nil"/>
              <w:bottom w:val="single" w:sz="2" w:space="0" w:color="73777A"/>
              <w:right w:val="single" w:sz="8" w:space="0" w:color="FFFFFF"/>
            </w:tcBorders>
            <w:shd w:val="clear" w:color="auto" w:fill="FFF0E7"/>
            <w:tcMar>
              <w:right w:w="57" w:type="dxa"/>
            </w:tcMar>
          </w:tcPr>
          <w:p w14:paraId="1D5A065E" w14:textId="77777777" w:rsidR="005B49BC" w:rsidRPr="00CA2CC1" w:rsidRDefault="005B49BC" w:rsidP="003B766D">
            <w:pPr>
              <w:pStyle w:val="TableParagraph"/>
              <w:jc w:val="left"/>
              <w:rPr>
                <w:rFonts w:cs="Calibri"/>
                <w:sz w:val="16"/>
              </w:rPr>
            </w:pPr>
          </w:p>
        </w:tc>
        <w:tc>
          <w:tcPr>
            <w:tcW w:w="1502" w:type="dxa"/>
            <w:tcBorders>
              <w:top w:val="single" w:sz="2" w:space="0" w:color="73777A"/>
              <w:left w:val="single" w:sz="8" w:space="0" w:color="FFFFFF"/>
              <w:bottom w:val="single" w:sz="2" w:space="0" w:color="73777A"/>
              <w:right w:val="nil"/>
            </w:tcBorders>
            <w:shd w:val="clear" w:color="auto" w:fill="EDEFF0"/>
            <w:tcMar>
              <w:right w:w="57" w:type="dxa"/>
            </w:tcMar>
          </w:tcPr>
          <w:p w14:paraId="21B2F96D" w14:textId="77777777" w:rsidR="005B49BC" w:rsidRPr="00CA2CC1" w:rsidRDefault="005B49BC" w:rsidP="003B766D">
            <w:pPr>
              <w:pStyle w:val="TableParagraph"/>
              <w:jc w:val="left"/>
              <w:rPr>
                <w:rFonts w:cs="Calibri"/>
                <w:sz w:val="16"/>
              </w:rPr>
            </w:pPr>
          </w:p>
        </w:tc>
      </w:tr>
      <w:tr w:rsidR="005B49BC" w:rsidRPr="00CA2CC1" w14:paraId="363AF9E3" w14:textId="77777777" w:rsidTr="00850934">
        <w:trPr>
          <w:trHeight w:val="325"/>
        </w:trPr>
        <w:tc>
          <w:tcPr>
            <w:tcW w:w="6633" w:type="dxa"/>
            <w:tcBorders>
              <w:top w:val="single" w:sz="2" w:space="0" w:color="73777A"/>
              <w:left w:val="nil"/>
              <w:bottom w:val="single" w:sz="2" w:space="0" w:color="73777A"/>
              <w:right w:val="nil"/>
            </w:tcBorders>
          </w:tcPr>
          <w:p w14:paraId="232406E0" w14:textId="77777777" w:rsidR="005B49BC" w:rsidRPr="00CA2CC1" w:rsidRDefault="005B49BC" w:rsidP="003B766D">
            <w:pPr>
              <w:pStyle w:val="TableParagraph"/>
              <w:spacing w:before="37"/>
              <w:jc w:val="left"/>
              <w:rPr>
                <w:rFonts w:cs="Calibri"/>
                <w:sz w:val="18"/>
              </w:rPr>
            </w:pPr>
            <w:r w:rsidRPr="00CA2CC1">
              <w:rPr>
                <w:rFonts w:cs="Calibri"/>
                <w:color w:val="414042"/>
                <w:sz w:val="18"/>
              </w:rPr>
              <w:t>(Increase)/decrease</w:t>
            </w:r>
            <w:r w:rsidRPr="00CA2CC1">
              <w:rPr>
                <w:rFonts w:cs="Calibri"/>
                <w:color w:val="414042"/>
                <w:spacing w:val="5"/>
                <w:sz w:val="18"/>
              </w:rPr>
              <w:t xml:space="preserve"> </w:t>
            </w:r>
            <w:r w:rsidRPr="00CA2CC1">
              <w:rPr>
                <w:rFonts w:cs="Calibri"/>
                <w:color w:val="414042"/>
                <w:sz w:val="18"/>
              </w:rPr>
              <w:t>in</w:t>
            </w:r>
            <w:r w:rsidRPr="00CA2CC1">
              <w:rPr>
                <w:rFonts w:cs="Calibri"/>
                <w:color w:val="414042"/>
                <w:spacing w:val="5"/>
                <w:sz w:val="18"/>
              </w:rPr>
              <w:t xml:space="preserve"> </w:t>
            </w:r>
            <w:r w:rsidRPr="00CA2CC1">
              <w:rPr>
                <w:rFonts w:cs="Calibri"/>
                <w:color w:val="414042"/>
                <w:spacing w:val="-2"/>
                <w:sz w:val="18"/>
              </w:rPr>
              <w:t>receivables</w:t>
            </w:r>
          </w:p>
        </w:tc>
        <w:tc>
          <w:tcPr>
            <w:tcW w:w="1502" w:type="dxa"/>
            <w:tcBorders>
              <w:top w:val="single" w:sz="2" w:space="0" w:color="73777A"/>
              <w:left w:val="nil"/>
              <w:bottom w:val="single" w:sz="2" w:space="0" w:color="73777A"/>
              <w:right w:val="single" w:sz="8" w:space="0" w:color="FFFFFF"/>
            </w:tcBorders>
            <w:shd w:val="clear" w:color="auto" w:fill="FFF0E7"/>
            <w:tcMar>
              <w:right w:w="57" w:type="dxa"/>
            </w:tcMar>
          </w:tcPr>
          <w:p w14:paraId="38289698" w14:textId="77777777" w:rsidR="005B49BC" w:rsidRPr="00CA2CC1" w:rsidRDefault="005B49BC" w:rsidP="003B766D">
            <w:pPr>
              <w:pStyle w:val="TableParagraph"/>
              <w:spacing w:before="37"/>
              <w:rPr>
                <w:rFonts w:cs="Calibri"/>
                <w:sz w:val="18"/>
              </w:rPr>
            </w:pPr>
            <w:r w:rsidRPr="00CA2CC1">
              <w:rPr>
                <w:rFonts w:cs="Calibri"/>
                <w:color w:val="414042"/>
                <w:spacing w:val="-2"/>
                <w:sz w:val="18"/>
              </w:rPr>
              <w:t>109,220</w:t>
            </w:r>
          </w:p>
        </w:tc>
        <w:tc>
          <w:tcPr>
            <w:tcW w:w="1502" w:type="dxa"/>
            <w:tcBorders>
              <w:top w:val="single" w:sz="2" w:space="0" w:color="73777A"/>
              <w:left w:val="single" w:sz="8" w:space="0" w:color="FFFFFF"/>
              <w:bottom w:val="single" w:sz="2" w:space="0" w:color="73777A"/>
              <w:right w:val="nil"/>
            </w:tcBorders>
            <w:shd w:val="clear" w:color="auto" w:fill="EDEFF0"/>
            <w:tcMar>
              <w:right w:w="57" w:type="dxa"/>
            </w:tcMar>
          </w:tcPr>
          <w:p w14:paraId="0826092F" w14:textId="77777777" w:rsidR="005B49BC" w:rsidRPr="00CA2CC1" w:rsidRDefault="005B49BC" w:rsidP="003B766D">
            <w:pPr>
              <w:pStyle w:val="TableParagraph"/>
              <w:spacing w:before="37"/>
              <w:rPr>
                <w:rFonts w:cs="Calibri"/>
                <w:sz w:val="18"/>
              </w:rPr>
            </w:pPr>
            <w:r w:rsidRPr="00CA2CC1">
              <w:rPr>
                <w:rFonts w:cs="Calibri"/>
                <w:color w:val="414042"/>
                <w:spacing w:val="-2"/>
                <w:sz w:val="18"/>
              </w:rPr>
              <w:t>(1,383,666)</w:t>
            </w:r>
          </w:p>
        </w:tc>
      </w:tr>
      <w:tr w:rsidR="005B49BC" w:rsidRPr="00CA2CC1" w14:paraId="3E036936" w14:textId="77777777" w:rsidTr="00850934">
        <w:trPr>
          <w:trHeight w:val="283"/>
        </w:trPr>
        <w:tc>
          <w:tcPr>
            <w:tcW w:w="6633" w:type="dxa"/>
            <w:tcBorders>
              <w:top w:val="single" w:sz="2" w:space="0" w:color="73777A"/>
              <w:left w:val="nil"/>
              <w:bottom w:val="single" w:sz="2" w:space="0" w:color="73777A"/>
              <w:right w:val="nil"/>
            </w:tcBorders>
          </w:tcPr>
          <w:p w14:paraId="0F913A95" w14:textId="77777777" w:rsidR="005B49BC" w:rsidRPr="00CA2CC1" w:rsidRDefault="005B49BC" w:rsidP="003B766D">
            <w:pPr>
              <w:pStyle w:val="TableParagraph"/>
              <w:jc w:val="left"/>
              <w:rPr>
                <w:rFonts w:cs="Calibri"/>
                <w:sz w:val="18"/>
              </w:rPr>
            </w:pPr>
            <w:r w:rsidRPr="00CA2CC1">
              <w:rPr>
                <w:rFonts w:cs="Calibri"/>
                <w:color w:val="414042"/>
                <w:sz w:val="18"/>
              </w:rPr>
              <w:t>(Increase)/decrease</w:t>
            </w:r>
            <w:r w:rsidRPr="00CA2CC1">
              <w:rPr>
                <w:rFonts w:cs="Calibri"/>
                <w:color w:val="414042"/>
                <w:spacing w:val="5"/>
                <w:sz w:val="18"/>
              </w:rPr>
              <w:t xml:space="preserve"> </w:t>
            </w:r>
            <w:r w:rsidRPr="00CA2CC1">
              <w:rPr>
                <w:rFonts w:cs="Calibri"/>
                <w:color w:val="414042"/>
                <w:sz w:val="18"/>
              </w:rPr>
              <w:t>in</w:t>
            </w:r>
            <w:r w:rsidRPr="00CA2CC1">
              <w:rPr>
                <w:rFonts w:cs="Calibri"/>
                <w:color w:val="414042"/>
                <w:spacing w:val="5"/>
                <w:sz w:val="18"/>
              </w:rPr>
              <w:t xml:space="preserve"> </w:t>
            </w:r>
            <w:r w:rsidRPr="00CA2CC1">
              <w:rPr>
                <w:rFonts w:cs="Calibri"/>
                <w:color w:val="414042"/>
                <w:spacing w:val="-2"/>
                <w:sz w:val="18"/>
              </w:rPr>
              <w:t>prepayments</w:t>
            </w:r>
          </w:p>
        </w:tc>
        <w:tc>
          <w:tcPr>
            <w:tcW w:w="1502" w:type="dxa"/>
            <w:tcBorders>
              <w:top w:val="single" w:sz="2" w:space="0" w:color="73777A"/>
              <w:left w:val="nil"/>
              <w:bottom w:val="single" w:sz="2" w:space="0" w:color="73777A"/>
              <w:right w:val="single" w:sz="8" w:space="0" w:color="FFFFFF"/>
            </w:tcBorders>
            <w:shd w:val="clear" w:color="auto" w:fill="FFF0E7"/>
            <w:tcMar>
              <w:right w:w="57" w:type="dxa"/>
            </w:tcMar>
          </w:tcPr>
          <w:p w14:paraId="518113AF" w14:textId="77777777" w:rsidR="005B49BC" w:rsidRPr="00CA2CC1" w:rsidRDefault="005B49BC" w:rsidP="003B766D">
            <w:pPr>
              <w:pStyle w:val="TableParagraph"/>
              <w:rPr>
                <w:rFonts w:cs="Calibri"/>
                <w:sz w:val="18"/>
              </w:rPr>
            </w:pPr>
            <w:r w:rsidRPr="00CA2CC1">
              <w:rPr>
                <w:rFonts w:cs="Calibri"/>
                <w:color w:val="414042"/>
                <w:spacing w:val="-2"/>
                <w:sz w:val="18"/>
              </w:rPr>
              <w:t>(93,055)</w:t>
            </w:r>
          </w:p>
        </w:tc>
        <w:tc>
          <w:tcPr>
            <w:tcW w:w="1502" w:type="dxa"/>
            <w:tcBorders>
              <w:top w:val="single" w:sz="2" w:space="0" w:color="73777A"/>
              <w:left w:val="single" w:sz="8" w:space="0" w:color="FFFFFF"/>
              <w:bottom w:val="single" w:sz="2" w:space="0" w:color="73777A"/>
              <w:right w:val="nil"/>
            </w:tcBorders>
            <w:shd w:val="clear" w:color="auto" w:fill="EDEFF0"/>
            <w:tcMar>
              <w:right w:w="57" w:type="dxa"/>
            </w:tcMar>
          </w:tcPr>
          <w:p w14:paraId="5FDD0B32" w14:textId="77777777" w:rsidR="005B49BC" w:rsidRPr="00CA2CC1" w:rsidRDefault="005B49BC" w:rsidP="003B766D">
            <w:pPr>
              <w:pStyle w:val="TableParagraph"/>
              <w:rPr>
                <w:rFonts w:cs="Calibri"/>
                <w:sz w:val="18"/>
              </w:rPr>
            </w:pPr>
            <w:r w:rsidRPr="00CA2CC1">
              <w:rPr>
                <w:rFonts w:cs="Calibri"/>
                <w:color w:val="414042"/>
                <w:spacing w:val="-2"/>
                <w:sz w:val="18"/>
              </w:rPr>
              <w:t>(20,912)</w:t>
            </w:r>
          </w:p>
        </w:tc>
      </w:tr>
      <w:tr w:rsidR="005B49BC" w:rsidRPr="00CA2CC1" w14:paraId="5C5C2C2E" w14:textId="77777777" w:rsidTr="00850934">
        <w:trPr>
          <w:trHeight w:val="283"/>
        </w:trPr>
        <w:tc>
          <w:tcPr>
            <w:tcW w:w="6633" w:type="dxa"/>
            <w:tcBorders>
              <w:top w:val="single" w:sz="2" w:space="0" w:color="73777A"/>
              <w:left w:val="nil"/>
              <w:bottom w:val="single" w:sz="2" w:space="0" w:color="73777A"/>
              <w:right w:val="nil"/>
            </w:tcBorders>
          </w:tcPr>
          <w:p w14:paraId="23E8139C" w14:textId="77777777" w:rsidR="005B49BC" w:rsidRPr="00CA2CC1" w:rsidRDefault="005B49BC" w:rsidP="003B766D">
            <w:pPr>
              <w:pStyle w:val="TableParagraph"/>
              <w:jc w:val="left"/>
              <w:rPr>
                <w:rFonts w:cs="Calibri"/>
                <w:sz w:val="10"/>
              </w:rPr>
            </w:pPr>
            <w:r w:rsidRPr="00CA2CC1">
              <w:rPr>
                <w:rFonts w:cs="Calibri"/>
                <w:color w:val="414042"/>
                <w:sz w:val="18"/>
              </w:rPr>
              <w:t>(Decrease)/increase</w:t>
            </w:r>
            <w:r w:rsidRPr="00CA2CC1">
              <w:rPr>
                <w:rFonts w:cs="Calibri"/>
                <w:color w:val="414042"/>
                <w:spacing w:val="9"/>
                <w:sz w:val="18"/>
              </w:rPr>
              <w:t xml:space="preserve"> </w:t>
            </w:r>
            <w:r w:rsidRPr="00CA2CC1">
              <w:rPr>
                <w:rFonts w:cs="Calibri"/>
                <w:color w:val="414042"/>
                <w:sz w:val="18"/>
              </w:rPr>
              <w:t>in</w:t>
            </w:r>
            <w:r w:rsidRPr="00CA2CC1">
              <w:rPr>
                <w:rFonts w:cs="Calibri"/>
                <w:color w:val="414042"/>
                <w:spacing w:val="9"/>
                <w:sz w:val="18"/>
              </w:rPr>
              <w:t xml:space="preserve"> </w:t>
            </w:r>
            <w:r w:rsidRPr="00CA2CC1">
              <w:rPr>
                <w:rFonts w:cs="Calibri"/>
                <w:color w:val="414042"/>
                <w:sz w:val="18"/>
              </w:rPr>
              <w:t>payables</w:t>
            </w:r>
            <w:r w:rsidRPr="00CA2CC1">
              <w:rPr>
                <w:rFonts w:cs="Calibri"/>
                <w:color w:val="414042"/>
                <w:spacing w:val="8"/>
                <w:sz w:val="18"/>
              </w:rPr>
              <w:t xml:space="preserve"> </w:t>
            </w:r>
            <w:r w:rsidRPr="00CA2CC1">
              <w:rPr>
                <w:rFonts w:cs="Calibri"/>
                <w:color w:val="414042"/>
                <w:spacing w:val="-5"/>
                <w:position w:val="6"/>
                <w:sz w:val="10"/>
              </w:rPr>
              <w:t>(i)</w:t>
            </w:r>
          </w:p>
        </w:tc>
        <w:tc>
          <w:tcPr>
            <w:tcW w:w="1502" w:type="dxa"/>
            <w:tcBorders>
              <w:top w:val="single" w:sz="2" w:space="0" w:color="73777A"/>
              <w:left w:val="nil"/>
              <w:bottom w:val="single" w:sz="2" w:space="0" w:color="73777A"/>
              <w:right w:val="single" w:sz="8" w:space="0" w:color="FFFFFF"/>
            </w:tcBorders>
            <w:shd w:val="clear" w:color="auto" w:fill="FFF0E7"/>
            <w:tcMar>
              <w:right w:w="57" w:type="dxa"/>
            </w:tcMar>
          </w:tcPr>
          <w:p w14:paraId="19451D18" w14:textId="77777777" w:rsidR="005B49BC" w:rsidRPr="00CA2CC1" w:rsidRDefault="005B49BC" w:rsidP="003B766D">
            <w:pPr>
              <w:pStyle w:val="TableParagraph"/>
              <w:rPr>
                <w:rFonts w:cs="Calibri"/>
                <w:sz w:val="18"/>
              </w:rPr>
            </w:pPr>
            <w:r w:rsidRPr="00CA2CC1">
              <w:rPr>
                <w:rFonts w:cs="Calibri"/>
                <w:color w:val="414042"/>
                <w:spacing w:val="-2"/>
                <w:sz w:val="18"/>
              </w:rPr>
              <w:t>(166,847)</w:t>
            </w:r>
          </w:p>
        </w:tc>
        <w:tc>
          <w:tcPr>
            <w:tcW w:w="1502" w:type="dxa"/>
            <w:tcBorders>
              <w:top w:val="single" w:sz="2" w:space="0" w:color="73777A"/>
              <w:left w:val="single" w:sz="8" w:space="0" w:color="FFFFFF"/>
              <w:bottom w:val="single" w:sz="2" w:space="0" w:color="73777A"/>
              <w:right w:val="nil"/>
            </w:tcBorders>
            <w:shd w:val="clear" w:color="auto" w:fill="EDEFF0"/>
            <w:tcMar>
              <w:right w:w="57" w:type="dxa"/>
            </w:tcMar>
          </w:tcPr>
          <w:p w14:paraId="0B79D7E5" w14:textId="77777777" w:rsidR="005B49BC" w:rsidRPr="00CA2CC1" w:rsidRDefault="005B49BC" w:rsidP="003B766D">
            <w:pPr>
              <w:pStyle w:val="TableParagraph"/>
              <w:rPr>
                <w:rFonts w:cs="Calibri"/>
                <w:sz w:val="18"/>
              </w:rPr>
            </w:pPr>
            <w:r w:rsidRPr="00CA2CC1">
              <w:rPr>
                <w:rFonts w:cs="Calibri"/>
                <w:color w:val="414042"/>
                <w:spacing w:val="-2"/>
                <w:sz w:val="18"/>
              </w:rPr>
              <w:t>744,064</w:t>
            </w:r>
          </w:p>
        </w:tc>
      </w:tr>
      <w:tr w:rsidR="005B49BC" w:rsidRPr="00CA2CC1" w14:paraId="3E1474ED" w14:textId="77777777" w:rsidTr="00850934">
        <w:trPr>
          <w:trHeight w:val="283"/>
        </w:trPr>
        <w:tc>
          <w:tcPr>
            <w:tcW w:w="6633" w:type="dxa"/>
            <w:tcBorders>
              <w:top w:val="single" w:sz="2" w:space="0" w:color="73777A"/>
              <w:left w:val="nil"/>
              <w:bottom w:val="single" w:sz="2" w:space="0" w:color="73777A"/>
              <w:right w:val="nil"/>
            </w:tcBorders>
          </w:tcPr>
          <w:p w14:paraId="5717BF32" w14:textId="77777777" w:rsidR="005B49BC" w:rsidRPr="00CA2CC1" w:rsidRDefault="005B49BC" w:rsidP="003B766D">
            <w:pPr>
              <w:pStyle w:val="TableParagraph"/>
              <w:jc w:val="left"/>
              <w:rPr>
                <w:rFonts w:cs="Calibri"/>
                <w:sz w:val="18"/>
              </w:rPr>
            </w:pPr>
            <w:r w:rsidRPr="00CA2CC1">
              <w:rPr>
                <w:rFonts w:cs="Calibri"/>
                <w:color w:val="414042"/>
                <w:sz w:val="18"/>
              </w:rPr>
              <w:t>(Decrease)/increase</w:t>
            </w:r>
            <w:r w:rsidRPr="00CA2CC1">
              <w:rPr>
                <w:rFonts w:cs="Calibri"/>
                <w:color w:val="414042"/>
                <w:spacing w:val="10"/>
                <w:sz w:val="18"/>
              </w:rPr>
              <w:t xml:space="preserve"> </w:t>
            </w:r>
            <w:r w:rsidRPr="00CA2CC1">
              <w:rPr>
                <w:rFonts w:cs="Calibri"/>
                <w:color w:val="414042"/>
                <w:sz w:val="18"/>
              </w:rPr>
              <w:t>in</w:t>
            </w:r>
            <w:r w:rsidRPr="00CA2CC1">
              <w:rPr>
                <w:rFonts w:cs="Calibri"/>
                <w:color w:val="414042"/>
                <w:spacing w:val="11"/>
                <w:sz w:val="18"/>
              </w:rPr>
              <w:t xml:space="preserve"> </w:t>
            </w:r>
            <w:r w:rsidRPr="00CA2CC1">
              <w:rPr>
                <w:rFonts w:cs="Calibri"/>
                <w:color w:val="414042"/>
                <w:spacing w:val="-2"/>
                <w:sz w:val="18"/>
              </w:rPr>
              <w:t>provisions</w:t>
            </w:r>
          </w:p>
        </w:tc>
        <w:tc>
          <w:tcPr>
            <w:tcW w:w="1502" w:type="dxa"/>
            <w:tcBorders>
              <w:top w:val="single" w:sz="2" w:space="0" w:color="73777A"/>
              <w:left w:val="nil"/>
              <w:bottom w:val="single" w:sz="2" w:space="0" w:color="73777A"/>
              <w:right w:val="single" w:sz="8" w:space="0" w:color="FFFFFF"/>
            </w:tcBorders>
            <w:shd w:val="clear" w:color="auto" w:fill="FFF0E7"/>
            <w:tcMar>
              <w:right w:w="57" w:type="dxa"/>
            </w:tcMar>
          </w:tcPr>
          <w:p w14:paraId="450EBCE0" w14:textId="77777777" w:rsidR="005B49BC" w:rsidRPr="00CA2CC1" w:rsidRDefault="005B49BC" w:rsidP="003B766D">
            <w:pPr>
              <w:pStyle w:val="TableParagraph"/>
              <w:rPr>
                <w:rFonts w:cs="Calibri"/>
                <w:sz w:val="18"/>
              </w:rPr>
            </w:pPr>
            <w:r w:rsidRPr="00CA2CC1">
              <w:rPr>
                <w:rFonts w:cs="Calibri"/>
                <w:color w:val="414042"/>
                <w:spacing w:val="-2"/>
                <w:sz w:val="18"/>
              </w:rPr>
              <w:t>227,211</w:t>
            </w:r>
          </w:p>
        </w:tc>
        <w:tc>
          <w:tcPr>
            <w:tcW w:w="1502" w:type="dxa"/>
            <w:tcBorders>
              <w:top w:val="single" w:sz="2" w:space="0" w:color="73777A"/>
              <w:left w:val="single" w:sz="8" w:space="0" w:color="FFFFFF"/>
              <w:bottom w:val="single" w:sz="2" w:space="0" w:color="73777A"/>
              <w:right w:val="nil"/>
            </w:tcBorders>
            <w:shd w:val="clear" w:color="auto" w:fill="EDEFF0"/>
            <w:tcMar>
              <w:right w:w="57" w:type="dxa"/>
            </w:tcMar>
          </w:tcPr>
          <w:p w14:paraId="6170C3CD" w14:textId="77777777" w:rsidR="005B49BC" w:rsidRPr="00CA2CC1" w:rsidRDefault="005B49BC" w:rsidP="003B766D">
            <w:pPr>
              <w:pStyle w:val="TableParagraph"/>
              <w:rPr>
                <w:rFonts w:cs="Calibri"/>
                <w:sz w:val="18"/>
              </w:rPr>
            </w:pPr>
            <w:r w:rsidRPr="00CA2CC1">
              <w:rPr>
                <w:rFonts w:cs="Calibri"/>
                <w:color w:val="414042"/>
                <w:spacing w:val="-2"/>
                <w:sz w:val="18"/>
              </w:rPr>
              <w:t>6,089</w:t>
            </w:r>
          </w:p>
        </w:tc>
      </w:tr>
      <w:tr w:rsidR="005B49BC" w:rsidRPr="00CA2CC1" w14:paraId="5ABFDF34" w14:textId="77777777" w:rsidTr="00850934">
        <w:trPr>
          <w:trHeight w:val="278"/>
        </w:trPr>
        <w:tc>
          <w:tcPr>
            <w:tcW w:w="6633" w:type="dxa"/>
            <w:tcBorders>
              <w:top w:val="single" w:sz="2" w:space="0" w:color="73777A"/>
              <w:left w:val="nil"/>
              <w:bottom w:val="single" w:sz="6" w:space="0" w:color="73777A"/>
              <w:right w:val="nil"/>
            </w:tcBorders>
          </w:tcPr>
          <w:p w14:paraId="31D67FB1" w14:textId="77777777" w:rsidR="005B49BC" w:rsidRPr="00CA2CC1" w:rsidRDefault="005B49BC" w:rsidP="003B766D">
            <w:pPr>
              <w:pStyle w:val="TableParagraph"/>
              <w:jc w:val="left"/>
              <w:rPr>
                <w:rFonts w:cs="Calibri"/>
                <w:sz w:val="18"/>
              </w:rPr>
            </w:pPr>
            <w:r w:rsidRPr="00CA2CC1">
              <w:rPr>
                <w:rFonts w:cs="Calibri"/>
                <w:color w:val="414042"/>
                <w:sz w:val="18"/>
              </w:rPr>
              <w:t>(Decrease)/increase</w:t>
            </w:r>
            <w:r w:rsidRPr="00CA2CC1">
              <w:rPr>
                <w:rFonts w:cs="Calibri"/>
                <w:color w:val="414042"/>
                <w:spacing w:val="9"/>
                <w:sz w:val="18"/>
              </w:rPr>
              <w:t xml:space="preserve"> </w:t>
            </w:r>
            <w:r w:rsidRPr="00CA2CC1">
              <w:rPr>
                <w:rFonts w:cs="Calibri"/>
                <w:color w:val="414042"/>
                <w:sz w:val="18"/>
              </w:rPr>
              <w:t>in</w:t>
            </w:r>
            <w:r w:rsidRPr="00CA2CC1">
              <w:rPr>
                <w:rFonts w:cs="Calibri"/>
                <w:color w:val="414042"/>
                <w:spacing w:val="9"/>
                <w:sz w:val="18"/>
              </w:rPr>
              <w:t xml:space="preserve"> </w:t>
            </w:r>
            <w:r w:rsidRPr="00CA2CC1">
              <w:rPr>
                <w:rFonts w:cs="Calibri"/>
                <w:color w:val="414042"/>
                <w:sz w:val="18"/>
              </w:rPr>
              <w:t>lease</w:t>
            </w:r>
            <w:r w:rsidRPr="00CA2CC1">
              <w:rPr>
                <w:rFonts w:cs="Calibri"/>
                <w:color w:val="414042"/>
                <w:spacing w:val="9"/>
                <w:sz w:val="18"/>
              </w:rPr>
              <w:t xml:space="preserve"> </w:t>
            </w:r>
            <w:r w:rsidRPr="00CA2CC1">
              <w:rPr>
                <w:rFonts w:cs="Calibri"/>
                <w:color w:val="414042"/>
                <w:spacing w:val="-2"/>
                <w:sz w:val="18"/>
              </w:rPr>
              <w:t>incentive</w:t>
            </w:r>
          </w:p>
        </w:tc>
        <w:tc>
          <w:tcPr>
            <w:tcW w:w="1502" w:type="dxa"/>
            <w:tcBorders>
              <w:top w:val="single" w:sz="2" w:space="0" w:color="73777A"/>
              <w:left w:val="nil"/>
              <w:bottom w:val="single" w:sz="6" w:space="0" w:color="73777A"/>
              <w:right w:val="single" w:sz="8" w:space="0" w:color="FFFFFF"/>
            </w:tcBorders>
            <w:shd w:val="clear" w:color="auto" w:fill="FFF0E7"/>
            <w:tcMar>
              <w:right w:w="57" w:type="dxa"/>
            </w:tcMar>
          </w:tcPr>
          <w:p w14:paraId="0CED69BE" w14:textId="77777777" w:rsidR="005B49BC" w:rsidRPr="00CA2CC1" w:rsidRDefault="005B49BC" w:rsidP="003B766D">
            <w:pPr>
              <w:pStyle w:val="TableParagraph"/>
              <w:rPr>
                <w:rFonts w:cs="Calibri"/>
                <w:sz w:val="18"/>
              </w:rPr>
            </w:pPr>
            <w:r w:rsidRPr="00CA2CC1">
              <w:rPr>
                <w:rFonts w:cs="Calibri"/>
                <w:color w:val="414042"/>
                <w:spacing w:val="-2"/>
                <w:sz w:val="18"/>
              </w:rPr>
              <w:t>(5,989)</w:t>
            </w:r>
          </w:p>
        </w:tc>
        <w:tc>
          <w:tcPr>
            <w:tcW w:w="1502" w:type="dxa"/>
            <w:tcBorders>
              <w:top w:val="single" w:sz="2" w:space="0" w:color="73777A"/>
              <w:left w:val="single" w:sz="8" w:space="0" w:color="FFFFFF"/>
              <w:bottom w:val="single" w:sz="6" w:space="0" w:color="73777A"/>
              <w:right w:val="nil"/>
            </w:tcBorders>
            <w:shd w:val="clear" w:color="auto" w:fill="EDEFF0"/>
            <w:tcMar>
              <w:right w:w="57" w:type="dxa"/>
            </w:tcMar>
          </w:tcPr>
          <w:p w14:paraId="0AFE5998" w14:textId="77777777" w:rsidR="005B49BC" w:rsidRPr="00CA2CC1" w:rsidRDefault="005B49BC" w:rsidP="003B766D">
            <w:pPr>
              <w:pStyle w:val="TableParagraph"/>
              <w:rPr>
                <w:rFonts w:cs="Calibri"/>
                <w:sz w:val="18"/>
              </w:rPr>
            </w:pPr>
            <w:r w:rsidRPr="00CA2CC1">
              <w:rPr>
                <w:rFonts w:cs="Calibri"/>
                <w:color w:val="414042"/>
                <w:spacing w:val="-2"/>
                <w:sz w:val="18"/>
              </w:rPr>
              <w:t>(5,986)</w:t>
            </w:r>
          </w:p>
        </w:tc>
      </w:tr>
      <w:tr w:rsidR="005B49BC" w:rsidRPr="00CA2CC1" w14:paraId="3ECBA267" w14:textId="77777777" w:rsidTr="00850934">
        <w:trPr>
          <w:trHeight w:val="258"/>
        </w:trPr>
        <w:tc>
          <w:tcPr>
            <w:tcW w:w="6633" w:type="dxa"/>
            <w:tcBorders>
              <w:top w:val="single" w:sz="6" w:space="0" w:color="73777A"/>
              <w:left w:val="nil"/>
              <w:bottom w:val="double" w:sz="6" w:space="0" w:color="73777A"/>
              <w:right w:val="nil"/>
            </w:tcBorders>
          </w:tcPr>
          <w:p w14:paraId="0DE2B692" w14:textId="77777777" w:rsidR="005B49BC" w:rsidRPr="00CA2CC1" w:rsidRDefault="005B49BC" w:rsidP="003B766D">
            <w:pPr>
              <w:pStyle w:val="TableParagraph"/>
              <w:jc w:val="left"/>
              <w:rPr>
                <w:rFonts w:cs="Calibri"/>
                <w:sz w:val="10"/>
              </w:rPr>
            </w:pPr>
            <w:r w:rsidRPr="00CA2CC1">
              <w:rPr>
                <w:rFonts w:cs="Calibri"/>
                <w:color w:val="414042"/>
                <w:sz w:val="18"/>
              </w:rPr>
              <w:t>Net</w:t>
            </w:r>
            <w:r w:rsidRPr="00CA2CC1">
              <w:rPr>
                <w:rFonts w:cs="Calibri"/>
                <w:color w:val="414042"/>
                <w:spacing w:val="5"/>
                <w:sz w:val="18"/>
              </w:rPr>
              <w:t xml:space="preserve"> </w:t>
            </w:r>
            <w:r w:rsidRPr="00CA2CC1">
              <w:rPr>
                <w:rFonts w:cs="Calibri"/>
                <w:color w:val="414042"/>
                <w:sz w:val="18"/>
              </w:rPr>
              <w:t>cash</w:t>
            </w:r>
            <w:r w:rsidRPr="00CA2CC1">
              <w:rPr>
                <w:rFonts w:cs="Calibri"/>
                <w:color w:val="414042"/>
                <w:spacing w:val="7"/>
                <w:sz w:val="18"/>
              </w:rPr>
              <w:t xml:space="preserve"> </w:t>
            </w:r>
            <w:r w:rsidRPr="00CA2CC1">
              <w:rPr>
                <w:rFonts w:cs="Calibri"/>
                <w:color w:val="414042"/>
                <w:sz w:val="18"/>
              </w:rPr>
              <w:t>flows</w:t>
            </w:r>
            <w:r w:rsidRPr="00CA2CC1">
              <w:rPr>
                <w:rFonts w:cs="Calibri"/>
                <w:color w:val="414042"/>
                <w:spacing w:val="7"/>
                <w:sz w:val="18"/>
              </w:rPr>
              <w:t xml:space="preserve"> </w:t>
            </w:r>
            <w:r w:rsidRPr="00CA2CC1">
              <w:rPr>
                <w:rFonts w:cs="Calibri"/>
                <w:color w:val="414042"/>
                <w:sz w:val="18"/>
              </w:rPr>
              <w:t>from/(used</w:t>
            </w:r>
            <w:r w:rsidRPr="00CA2CC1">
              <w:rPr>
                <w:rFonts w:cs="Calibri"/>
                <w:color w:val="414042"/>
                <w:spacing w:val="7"/>
                <w:sz w:val="18"/>
              </w:rPr>
              <w:t xml:space="preserve"> </w:t>
            </w:r>
            <w:r w:rsidRPr="00CA2CC1">
              <w:rPr>
                <w:rFonts w:cs="Calibri"/>
                <w:color w:val="414042"/>
                <w:sz w:val="18"/>
              </w:rPr>
              <w:t>in)</w:t>
            </w:r>
            <w:r w:rsidRPr="00CA2CC1">
              <w:rPr>
                <w:rFonts w:cs="Calibri"/>
                <w:color w:val="414042"/>
                <w:spacing w:val="7"/>
                <w:sz w:val="18"/>
              </w:rPr>
              <w:t xml:space="preserve"> </w:t>
            </w:r>
            <w:r w:rsidRPr="00CA2CC1">
              <w:rPr>
                <w:rFonts w:cs="Calibri"/>
                <w:color w:val="414042"/>
                <w:sz w:val="18"/>
              </w:rPr>
              <w:t>operating</w:t>
            </w:r>
            <w:r w:rsidRPr="00CA2CC1">
              <w:rPr>
                <w:rFonts w:cs="Calibri"/>
                <w:color w:val="414042"/>
                <w:spacing w:val="7"/>
                <w:sz w:val="18"/>
              </w:rPr>
              <w:t xml:space="preserve"> </w:t>
            </w:r>
            <w:r w:rsidRPr="00CA2CC1">
              <w:rPr>
                <w:rFonts w:cs="Calibri"/>
                <w:color w:val="414042"/>
                <w:sz w:val="18"/>
              </w:rPr>
              <w:t>activities</w:t>
            </w:r>
            <w:r w:rsidRPr="00CA2CC1">
              <w:rPr>
                <w:rFonts w:cs="Calibri"/>
                <w:color w:val="414042"/>
                <w:spacing w:val="8"/>
                <w:sz w:val="18"/>
              </w:rPr>
              <w:t xml:space="preserve"> </w:t>
            </w:r>
            <w:r w:rsidRPr="00CA2CC1">
              <w:rPr>
                <w:rFonts w:cs="Calibri"/>
                <w:color w:val="414042"/>
                <w:spacing w:val="-5"/>
                <w:position w:val="6"/>
                <w:sz w:val="10"/>
              </w:rPr>
              <w:t>(i)</w:t>
            </w:r>
          </w:p>
        </w:tc>
        <w:tc>
          <w:tcPr>
            <w:tcW w:w="1502" w:type="dxa"/>
            <w:tcBorders>
              <w:top w:val="single" w:sz="6" w:space="0" w:color="73777A"/>
              <w:left w:val="nil"/>
              <w:bottom w:val="double" w:sz="4" w:space="0" w:color="73777A"/>
              <w:right w:val="single" w:sz="8" w:space="0" w:color="FFFFFF"/>
            </w:tcBorders>
            <w:shd w:val="clear" w:color="auto" w:fill="FFF0E7"/>
            <w:tcMar>
              <w:right w:w="57" w:type="dxa"/>
            </w:tcMar>
          </w:tcPr>
          <w:p w14:paraId="4D82A900" w14:textId="77777777" w:rsidR="005B49BC" w:rsidRPr="00CA2CC1" w:rsidRDefault="005B49BC" w:rsidP="003B766D">
            <w:pPr>
              <w:pStyle w:val="TableParagraph"/>
              <w:rPr>
                <w:rFonts w:cs="Calibri"/>
                <w:sz w:val="18"/>
              </w:rPr>
            </w:pPr>
            <w:r w:rsidRPr="00CA2CC1">
              <w:rPr>
                <w:rFonts w:cs="Calibri"/>
                <w:color w:val="414042"/>
                <w:spacing w:val="-2"/>
                <w:sz w:val="18"/>
              </w:rPr>
              <w:t>416,668</w:t>
            </w:r>
          </w:p>
        </w:tc>
        <w:tc>
          <w:tcPr>
            <w:tcW w:w="1502" w:type="dxa"/>
            <w:tcBorders>
              <w:top w:val="single" w:sz="6" w:space="0" w:color="73777A"/>
              <w:left w:val="single" w:sz="8" w:space="0" w:color="FFFFFF"/>
              <w:bottom w:val="double" w:sz="4" w:space="0" w:color="73777A"/>
              <w:right w:val="nil"/>
            </w:tcBorders>
            <w:shd w:val="clear" w:color="auto" w:fill="EDEFF0"/>
            <w:tcMar>
              <w:right w:w="57" w:type="dxa"/>
            </w:tcMar>
          </w:tcPr>
          <w:p w14:paraId="289A340D" w14:textId="77777777" w:rsidR="005B49BC" w:rsidRPr="00CA2CC1" w:rsidRDefault="005B49BC" w:rsidP="003B766D">
            <w:pPr>
              <w:pStyle w:val="TableParagraph"/>
              <w:rPr>
                <w:rFonts w:cs="Calibri"/>
                <w:sz w:val="18"/>
              </w:rPr>
            </w:pPr>
            <w:r w:rsidRPr="00CA2CC1">
              <w:rPr>
                <w:rFonts w:cs="Calibri"/>
                <w:color w:val="414042"/>
                <w:spacing w:val="-2"/>
                <w:sz w:val="18"/>
              </w:rPr>
              <w:t>336,038</w:t>
            </w:r>
          </w:p>
        </w:tc>
      </w:tr>
    </w:tbl>
    <w:p w14:paraId="25220E6E" w14:textId="77777777" w:rsidR="005B49BC" w:rsidRPr="00CA2CC1" w:rsidRDefault="005B49BC" w:rsidP="005B49BC">
      <w:pPr>
        <w:pStyle w:val="BodyText"/>
        <w:spacing w:before="3"/>
        <w:rPr>
          <w:rFonts w:cs="Calibri"/>
        </w:rPr>
      </w:pPr>
    </w:p>
    <w:p w14:paraId="2690509A" w14:textId="77777777" w:rsidR="005B49BC" w:rsidRPr="00CA2CC1" w:rsidRDefault="005B49BC" w:rsidP="005B49BC">
      <w:pPr>
        <w:rPr>
          <w:rFonts w:cs="Calibri"/>
          <w:i/>
          <w:color w:val="414042"/>
          <w:sz w:val="16"/>
        </w:rPr>
      </w:pPr>
      <w:r w:rsidRPr="00CA2CC1">
        <w:rPr>
          <w:rFonts w:cs="Calibri"/>
          <w:i/>
          <w:color w:val="414042"/>
          <w:sz w:val="16"/>
        </w:rPr>
        <w:t>(i)</w:t>
      </w:r>
      <w:r w:rsidRPr="00CA2CC1">
        <w:rPr>
          <w:rFonts w:cs="Calibri"/>
          <w:i/>
          <w:color w:val="414042"/>
          <w:spacing w:val="-4"/>
          <w:sz w:val="16"/>
        </w:rPr>
        <w:t xml:space="preserve"> </w:t>
      </w:r>
      <w:r w:rsidRPr="00CA2CC1">
        <w:rPr>
          <w:rFonts w:cs="Calibri"/>
          <w:i/>
          <w:color w:val="414042"/>
          <w:sz w:val="16"/>
        </w:rPr>
        <w:t>The</w:t>
      </w:r>
      <w:r w:rsidRPr="00CA2CC1">
        <w:rPr>
          <w:rFonts w:cs="Calibri"/>
          <w:i/>
          <w:color w:val="414042"/>
          <w:spacing w:val="-4"/>
          <w:sz w:val="16"/>
        </w:rPr>
        <w:t xml:space="preserve"> </w:t>
      </w:r>
      <w:r w:rsidRPr="00CA2CC1">
        <w:rPr>
          <w:rFonts w:cs="Calibri"/>
          <w:i/>
          <w:color w:val="414042"/>
          <w:sz w:val="16"/>
        </w:rPr>
        <w:t>2021-22</w:t>
      </w:r>
      <w:r w:rsidRPr="00CA2CC1">
        <w:rPr>
          <w:rFonts w:cs="Calibri"/>
          <w:i/>
          <w:color w:val="414042"/>
          <w:spacing w:val="-4"/>
          <w:sz w:val="16"/>
        </w:rPr>
        <w:t xml:space="preserve"> </w:t>
      </w:r>
      <w:r w:rsidRPr="00CA2CC1">
        <w:rPr>
          <w:rFonts w:cs="Calibri"/>
          <w:i/>
          <w:color w:val="414042"/>
          <w:sz w:val="16"/>
        </w:rPr>
        <w:t>comparative</w:t>
      </w:r>
      <w:r w:rsidRPr="00CA2CC1">
        <w:rPr>
          <w:rFonts w:cs="Calibri"/>
          <w:i/>
          <w:color w:val="414042"/>
          <w:spacing w:val="-4"/>
          <w:sz w:val="16"/>
        </w:rPr>
        <w:t xml:space="preserve"> </w:t>
      </w:r>
      <w:r w:rsidRPr="00CA2CC1">
        <w:rPr>
          <w:rFonts w:cs="Calibri"/>
          <w:i/>
          <w:color w:val="414042"/>
          <w:sz w:val="16"/>
        </w:rPr>
        <w:t>figures</w:t>
      </w:r>
      <w:r w:rsidRPr="00CA2CC1">
        <w:rPr>
          <w:rFonts w:cs="Calibri"/>
          <w:i/>
          <w:color w:val="414042"/>
          <w:spacing w:val="-4"/>
          <w:sz w:val="16"/>
        </w:rPr>
        <w:t xml:space="preserve"> </w:t>
      </w:r>
      <w:r w:rsidRPr="00CA2CC1">
        <w:rPr>
          <w:rFonts w:cs="Calibri"/>
          <w:i/>
          <w:color w:val="414042"/>
          <w:sz w:val="16"/>
        </w:rPr>
        <w:t>have</w:t>
      </w:r>
      <w:r w:rsidRPr="00CA2CC1">
        <w:rPr>
          <w:rFonts w:cs="Calibri"/>
          <w:i/>
          <w:color w:val="414042"/>
          <w:spacing w:val="-4"/>
          <w:sz w:val="16"/>
        </w:rPr>
        <w:t xml:space="preserve"> </w:t>
      </w:r>
      <w:r w:rsidRPr="00CA2CC1">
        <w:rPr>
          <w:rFonts w:cs="Calibri"/>
          <w:i/>
          <w:color w:val="414042"/>
          <w:sz w:val="16"/>
        </w:rPr>
        <w:t>been</w:t>
      </w:r>
      <w:r w:rsidRPr="00CA2CC1">
        <w:rPr>
          <w:rFonts w:cs="Calibri"/>
          <w:i/>
          <w:color w:val="414042"/>
          <w:spacing w:val="-4"/>
          <w:sz w:val="16"/>
        </w:rPr>
        <w:t xml:space="preserve"> </w:t>
      </w:r>
      <w:r w:rsidRPr="00CA2CC1">
        <w:rPr>
          <w:rFonts w:cs="Calibri"/>
          <w:i/>
          <w:color w:val="414042"/>
          <w:sz w:val="16"/>
        </w:rPr>
        <w:t>adjusted</w:t>
      </w:r>
      <w:r w:rsidRPr="00CA2CC1">
        <w:rPr>
          <w:rFonts w:cs="Calibri"/>
          <w:i/>
          <w:color w:val="414042"/>
          <w:spacing w:val="-4"/>
          <w:sz w:val="16"/>
        </w:rPr>
        <w:t xml:space="preserve"> </w:t>
      </w:r>
      <w:r w:rsidRPr="00CA2CC1">
        <w:rPr>
          <w:rFonts w:cs="Calibri"/>
          <w:i/>
          <w:color w:val="414042"/>
          <w:sz w:val="16"/>
        </w:rPr>
        <w:t>to</w:t>
      </w:r>
      <w:r w:rsidRPr="00CA2CC1">
        <w:rPr>
          <w:rFonts w:cs="Calibri"/>
          <w:i/>
          <w:color w:val="414042"/>
          <w:spacing w:val="-4"/>
          <w:sz w:val="16"/>
        </w:rPr>
        <w:t xml:space="preserve"> </w:t>
      </w:r>
      <w:r w:rsidRPr="00CA2CC1">
        <w:rPr>
          <w:rFonts w:cs="Calibri"/>
          <w:i/>
          <w:color w:val="414042"/>
          <w:sz w:val="16"/>
        </w:rPr>
        <w:t>correct a prior period error. Refer to note 8.5 For more information.</w:t>
      </w:r>
    </w:p>
    <w:p w14:paraId="0970F818" w14:textId="77777777" w:rsidR="005B49BC" w:rsidRPr="00CA2CC1" w:rsidRDefault="005B49BC" w:rsidP="005B49BC">
      <w:pPr>
        <w:rPr>
          <w:rFonts w:cs="Calibri"/>
          <w:i/>
          <w:color w:val="414042"/>
          <w:sz w:val="16"/>
        </w:rPr>
      </w:pPr>
    </w:p>
    <w:p w14:paraId="4DEA6385" w14:textId="77777777" w:rsidR="005B49BC" w:rsidRPr="005B49BC" w:rsidRDefault="005B49BC" w:rsidP="005B49BC">
      <w:pPr>
        <w:pStyle w:val="Heading7"/>
        <w:numPr>
          <w:ilvl w:val="1"/>
          <w:numId w:val="9"/>
        </w:numPr>
        <w:ind w:left="0" w:firstLine="0"/>
        <w:rPr>
          <w:rFonts w:cs="Calibri"/>
          <w:color w:val="000000" w:themeColor="text1"/>
        </w:rPr>
      </w:pPr>
      <w:r w:rsidRPr="005B49BC">
        <w:rPr>
          <w:rFonts w:cs="Calibri"/>
          <w:color w:val="000000" w:themeColor="text1"/>
        </w:rPr>
        <w:t xml:space="preserve">Commitments for </w:t>
      </w:r>
      <w:r w:rsidRPr="005B49BC">
        <w:rPr>
          <w:rFonts w:cs="Calibri"/>
          <w:color w:val="000000" w:themeColor="text1"/>
          <w:spacing w:val="-2"/>
        </w:rPr>
        <w:t>expenditure</w:t>
      </w:r>
    </w:p>
    <w:p w14:paraId="33F8C500" w14:textId="77777777" w:rsidR="005B49BC" w:rsidRPr="00CA2CC1" w:rsidRDefault="005B49BC" w:rsidP="005B49BC">
      <w:pPr>
        <w:pStyle w:val="BodyText"/>
        <w:spacing w:before="6"/>
        <w:rPr>
          <w:rFonts w:cs="Calibri"/>
          <w:sz w:val="9"/>
        </w:rPr>
      </w:pPr>
    </w:p>
    <w:tbl>
      <w:tblPr>
        <w:tblW w:w="9636" w:type="dxa"/>
        <w:tblBorders>
          <w:top w:val="single" w:sz="4" w:space="0" w:color="C48F1B"/>
          <w:left w:val="single" w:sz="4" w:space="0" w:color="C48F1B"/>
          <w:bottom w:val="single" w:sz="4" w:space="0" w:color="C48F1B"/>
          <w:right w:val="single" w:sz="4" w:space="0" w:color="C48F1B"/>
          <w:insideH w:val="single" w:sz="4" w:space="0" w:color="C48F1B"/>
          <w:insideV w:val="single" w:sz="4" w:space="0" w:color="C48F1B"/>
        </w:tblBorders>
        <w:tblLayout w:type="fixed"/>
        <w:tblCellMar>
          <w:left w:w="0" w:type="dxa"/>
          <w:right w:w="0" w:type="dxa"/>
        </w:tblCellMar>
        <w:tblLook w:val="01E0" w:firstRow="1" w:lastRow="1" w:firstColumn="1" w:lastColumn="1" w:noHBand="0" w:noVBand="0"/>
      </w:tblPr>
      <w:tblGrid>
        <w:gridCol w:w="3628"/>
        <w:gridCol w:w="1502"/>
        <w:gridCol w:w="1502"/>
        <w:gridCol w:w="1502"/>
        <w:gridCol w:w="1502"/>
      </w:tblGrid>
      <w:tr w:rsidR="005B49BC" w:rsidRPr="00CA2CC1" w14:paraId="4FA8A459" w14:textId="77777777" w:rsidTr="003F64F5">
        <w:trPr>
          <w:trHeight w:val="744"/>
        </w:trPr>
        <w:tc>
          <w:tcPr>
            <w:tcW w:w="3628" w:type="dxa"/>
            <w:tcBorders>
              <w:top w:val="nil"/>
              <w:left w:val="nil"/>
              <w:right w:val="nil"/>
            </w:tcBorders>
          </w:tcPr>
          <w:p w14:paraId="69AA691D" w14:textId="77777777" w:rsidR="005B49BC" w:rsidRPr="00CA2CC1" w:rsidRDefault="005B49BC" w:rsidP="003B766D">
            <w:pPr>
              <w:pStyle w:val="TableParagraph"/>
              <w:jc w:val="left"/>
              <w:rPr>
                <w:rFonts w:cs="Calibri"/>
                <w:sz w:val="20"/>
              </w:rPr>
            </w:pPr>
          </w:p>
          <w:p w14:paraId="498F6EC0" w14:textId="77777777" w:rsidR="005B49BC" w:rsidRPr="00CA2CC1" w:rsidRDefault="005B49BC" w:rsidP="003B766D">
            <w:pPr>
              <w:pStyle w:val="TableParagraph"/>
              <w:spacing w:before="6"/>
              <w:jc w:val="left"/>
              <w:rPr>
                <w:rFonts w:cs="Calibri"/>
                <w:sz w:val="14"/>
              </w:rPr>
            </w:pPr>
          </w:p>
          <w:p w14:paraId="1E98A733" w14:textId="77777777" w:rsidR="005B49BC" w:rsidRPr="00CA2CC1" w:rsidRDefault="005B49BC" w:rsidP="003B766D">
            <w:pPr>
              <w:pStyle w:val="TableParagraph"/>
              <w:spacing w:before="1"/>
              <w:jc w:val="left"/>
              <w:rPr>
                <w:rFonts w:cs="Calibri"/>
                <w:sz w:val="17"/>
              </w:rPr>
            </w:pPr>
            <w:r w:rsidRPr="00CA2CC1">
              <w:rPr>
                <w:rFonts w:cs="Calibri"/>
                <w:color w:val="F68C59"/>
                <w:sz w:val="17"/>
              </w:rPr>
              <w:t>Nominal</w:t>
            </w:r>
            <w:r w:rsidRPr="00CA2CC1">
              <w:rPr>
                <w:rFonts w:cs="Calibri"/>
                <w:color w:val="F68C59"/>
                <w:spacing w:val="10"/>
                <w:sz w:val="17"/>
              </w:rPr>
              <w:t xml:space="preserve"> </w:t>
            </w:r>
            <w:r w:rsidRPr="00CA2CC1">
              <w:rPr>
                <w:rFonts w:cs="Calibri"/>
                <w:color w:val="F68C59"/>
                <w:spacing w:val="-2"/>
                <w:sz w:val="17"/>
              </w:rPr>
              <w:t>amounts</w:t>
            </w:r>
          </w:p>
        </w:tc>
        <w:tc>
          <w:tcPr>
            <w:tcW w:w="1502" w:type="dxa"/>
            <w:tcBorders>
              <w:top w:val="nil"/>
              <w:left w:val="nil"/>
              <w:right w:val="single" w:sz="8" w:space="0" w:color="FFFFFF"/>
            </w:tcBorders>
            <w:shd w:val="clear" w:color="auto" w:fill="FFF0E7"/>
            <w:tcMar>
              <w:right w:w="57" w:type="dxa"/>
            </w:tcMar>
          </w:tcPr>
          <w:p w14:paraId="61531522" w14:textId="77777777" w:rsidR="005B49BC" w:rsidRPr="00CA2CC1" w:rsidRDefault="005B49BC" w:rsidP="003B766D">
            <w:pPr>
              <w:pStyle w:val="TableParagraph"/>
              <w:spacing w:before="66"/>
              <w:rPr>
                <w:rFonts w:cs="Calibri"/>
                <w:sz w:val="17"/>
              </w:rPr>
            </w:pPr>
            <w:r w:rsidRPr="00CA2CC1">
              <w:rPr>
                <w:rFonts w:cs="Calibri"/>
                <w:color w:val="F68C59"/>
                <w:sz w:val="17"/>
              </w:rPr>
              <w:t>Less</w:t>
            </w:r>
            <w:r w:rsidRPr="00CA2CC1">
              <w:rPr>
                <w:rFonts w:cs="Calibri"/>
                <w:color w:val="F68C59"/>
                <w:spacing w:val="-12"/>
                <w:sz w:val="17"/>
              </w:rPr>
              <w:t xml:space="preserve"> </w:t>
            </w:r>
            <w:r w:rsidRPr="00CA2CC1">
              <w:rPr>
                <w:rFonts w:cs="Calibri"/>
                <w:color w:val="F68C59"/>
                <w:sz w:val="17"/>
              </w:rPr>
              <w:t>than one</w:t>
            </w:r>
            <w:r w:rsidRPr="00CA2CC1">
              <w:rPr>
                <w:rFonts w:cs="Calibri"/>
                <w:color w:val="F68C59"/>
                <w:spacing w:val="4"/>
                <w:sz w:val="17"/>
              </w:rPr>
              <w:t xml:space="preserve"> </w:t>
            </w:r>
            <w:r w:rsidRPr="00CA2CC1">
              <w:rPr>
                <w:rFonts w:cs="Calibri"/>
                <w:color w:val="F68C59"/>
                <w:spacing w:val="-4"/>
                <w:sz w:val="17"/>
              </w:rPr>
              <w:t>year</w:t>
            </w:r>
          </w:p>
          <w:p w14:paraId="4B5EAFBD" w14:textId="77777777" w:rsidR="005B49BC" w:rsidRPr="00CA2CC1" w:rsidRDefault="005B49BC" w:rsidP="003B766D">
            <w:pPr>
              <w:pStyle w:val="TableParagraph"/>
              <w:spacing w:before="6"/>
              <w:rPr>
                <w:rFonts w:cs="Calibri"/>
                <w:sz w:val="17"/>
              </w:rPr>
            </w:pPr>
            <w:r w:rsidRPr="00CA2CC1">
              <w:rPr>
                <w:rFonts w:cs="Calibri"/>
                <w:color w:val="F68C59"/>
                <w:sz w:val="17"/>
              </w:rPr>
              <w:t>$</w:t>
            </w:r>
          </w:p>
        </w:tc>
        <w:tc>
          <w:tcPr>
            <w:tcW w:w="1502" w:type="dxa"/>
            <w:tcBorders>
              <w:top w:val="nil"/>
              <w:left w:val="single" w:sz="8" w:space="0" w:color="FFFFFF"/>
              <w:right w:val="single" w:sz="8" w:space="0" w:color="FFFFFF"/>
            </w:tcBorders>
            <w:shd w:val="clear" w:color="auto" w:fill="EDEFF0"/>
            <w:tcMar>
              <w:right w:w="57" w:type="dxa"/>
            </w:tcMar>
          </w:tcPr>
          <w:p w14:paraId="0A88BF34" w14:textId="77777777" w:rsidR="005B49BC" w:rsidRPr="00CA2CC1" w:rsidRDefault="005B49BC" w:rsidP="003B766D">
            <w:pPr>
              <w:pStyle w:val="TableParagraph"/>
              <w:spacing w:before="5"/>
              <w:jc w:val="left"/>
              <w:rPr>
                <w:rFonts w:cs="Calibri"/>
                <w:sz w:val="17"/>
              </w:rPr>
            </w:pPr>
          </w:p>
          <w:p w14:paraId="3B1BE3B1" w14:textId="77777777" w:rsidR="005B49BC" w:rsidRPr="00CA2CC1" w:rsidRDefault="005B49BC" w:rsidP="003B766D">
            <w:pPr>
              <w:pStyle w:val="TableParagraph"/>
              <w:rPr>
                <w:rFonts w:cs="Calibri"/>
                <w:sz w:val="17"/>
              </w:rPr>
            </w:pPr>
            <w:r w:rsidRPr="00CA2CC1">
              <w:rPr>
                <w:rFonts w:cs="Calibri"/>
                <w:color w:val="F68C59"/>
                <w:sz w:val="17"/>
              </w:rPr>
              <w:t>1-5</w:t>
            </w:r>
            <w:r w:rsidRPr="00CA2CC1">
              <w:rPr>
                <w:rFonts w:cs="Calibri"/>
                <w:color w:val="F68C59"/>
                <w:spacing w:val="-4"/>
                <w:sz w:val="17"/>
              </w:rPr>
              <w:t xml:space="preserve"> </w:t>
            </w:r>
            <w:r w:rsidRPr="00CA2CC1">
              <w:rPr>
                <w:rFonts w:cs="Calibri"/>
                <w:color w:val="F68C59"/>
                <w:spacing w:val="-2"/>
                <w:sz w:val="17"/>
              </w:rPr>
              <w:t>years</w:t>
            </w:r>
          </w:p>
          <w:p w14:paraId="37FAC0D0" w14:textId="77777777" w:rsidR="005B49BC" w:rsidRPr="00CA2CC1" w:rsidRDefault="005B49BC" w:rsidP="003B766D">
            <w:pPr>
              <w:pStyle w:val="TableParagraph"/>
              <w:spacing w:before="2"/>
              <w:rPr>
                <w:rFonts w:cs="Calibri"/>
                <w:sz w:val="17"/>
              </w:rPr>
            </w:pPr>
            <w:r w:rsidRPr="00CA2CC1">
              <w:rPr>
                <w:rFonts w:cs="Calibri"/>
                <w:color w:val="F68C59"/>
                <w:sz w:val="17"/>
              </w:rPr>
              <w:t>$</w:t>
            </w:r>
          </w:p>
        </w:tc>
        <w:tc>
          <w:tcPr>
            <w:tcW w:w="1502" w:type="dxa"/>
            <w:tcBorders>
              <w:top w:val="nil"/>
              <w:left w:val="single" w:sz="8" w:space="0" w:color="FFFFFF"/>
              <w:right w:val="single" w:sz="8" w:space="0" w:color="FFFFFF"/>
            </w:tcBorders>
            <w:shd w:val="clear" w:color="auto" w:fill="FFF0E7"/>
            <w:tcMar>
              <w:right w:w="57" w:type="dxa"/>
            </w:tcMar>
          </w:tcPr>
          <w:p w14:paraId="29C3B84A" w14:textId="77777777" w:rsidR="005B49BC" w:rsidRPr="00CA2CC1" w:rsidRDefault="005B49BC" w:rsidP="003B766D">
            <w:pPr>
              <w:pStyle w:val="TableParagraph"/>
              <w:spacing w:before="39"/>
              <w:rPr>
                <w:rFonts w:cs="Calibri"/>
                <w:sz w:val="17"/>
              </w:rPr>
            </w:pPr>
            <w:r w:rsidRPr="00CA2CC1">
              <w:rPr>
                <w:rFonts w:cs="Calibri"/>
                <w:color w:val="F68C59"/>
                <w:sz w:val="17"/>
              </w:rPr>
              <w:t>Greater</w:t>
            </w:r>
            <w:r w:rsidRPr="00CA2CC1">
              <w:rPr>
                <w:rFonts w:cs="Calibri"/>
                <w:color w:val="F68C59"/>
                <w:spacing w:val="12"/>
                <w:sz w:val="17"/>
              </w:rPr>
              <w:t xml:space="preserve"> </w:t>
            </w:r>
            <w:r w:rsidRPr="00CA2CC1">
              <w:rPr>
                <w:rFonts w:cs="Calibri"/>
                <w:color w:val="F68C59"/>
                <w:spacing w:val="-4"/>
                <w:sz w:val="17"/>
              </w:rPr>
              <w:t>than</w:t>
            </w:r>
          </w:p>
          <w:p w14:paraId="5481C8B9" w14:textId="77777777" w:rsidR="005B49BC" w:rsidRPr="00CA2CC1" w:rsidRDefault="005B49BC" w:rsidP="003B766D">
            <w:pPr>
              <w:pStyle w:val="TableParagraph"/>
              <w:rPr>
                <w:rFonts w:cs="Calibri"/>
                <w:sz w:val="17"/>
              </w:rPr>
            </w:pPr>
            <w:r w:rsidRPr="00CA2CC1">
              <w:rPr>
                <w:rFonts w:cs="Calibri"/>
                <w:color w:val="F68C59"/>
                <w:sz w:val="17"/>
              </w:rPr>
              <w:t>5</w:t>
            </w:r>
            <w:r w:rsidRPr="00CA2CC1">
              <w:rPr>
                <w:rFonts w:cs="Calibri"/>
                <w:color w:val="F68C59"/>
                <w:spacing w:val="-2"/>
                <w:sz w:val="17"/>
              </w:rPr>
              <w:t xml:space="preserve"> years</w:t>
            </w:r>
          </w:p>
          <w:p w14:paraId="11FE32E2" w14:textId="77777777" w:rsidR="005B49BC" w:rsidRPr="00CA2CC1" w:rsidRDefault="005B49BC" w:rsidP="003B766D">
            <w:pPr>
              <w:pStyle w:val="TableParagraph"/>
              <w:spacing w:before="1"/>
              <w:rPr>
                <w:rFonts w:cs="Calibri"/>
                <w:sz w:val="17"/>
              </w:rPr>
            </w:pPr>
            <w:r w:rsidRPr="00CA2CC1">
              <w:rPr>
                <w:rFonts w:cs="Calibri"/>
                <w:color w:val="F68C59"/>
                <w:sz w:val="17"/>
              </w:rPr>
              <w:t>$</w:t>
            </w:r>
          </w:p>
        </w:tc>
        <w:tc>
          <w:tcPr>
            <w:tcW w:w="1502" w:type="dxa"/>
            <w:tcBorders>
              <w:top w:val="nil"/>
              <w:left w:val="single" w:sz="8" w:space="0" w:color="FFFFFF"/>
              <w:right w:val="nil"/>
            </w:tcBorders>
            <w:shd w:val="clear" w:color="auto" w:fill="EDEFF0"/>
            <w:tcMar>
              <w:right w:w="57" w:type="dxa"/>
            </w:tcMar>
          </w:tcPr>
          <w:p w14:paraId="5FF2BB20" w14:textId="77777777" w:rsidR="005B49BC" w:rsidRPr="00CA2CC1" w:rsidRDefault="005B49BC" w:rsidP="003B766D">
            <w:pPr>
              <w:pStyle w:val="TableParagraph"/>
              <w:spacing w:before="5"/>
              <w:jc w:val="left"/>
              <w:rPr>
                <w:rFonts w:cs="Calibri"/>
                <w:sz w:val="17"/>
              </w:rPr>
            </w:pPr>
          </w:p>
          <w:p w14:paraId="7E01AF36" w14:textId="77777777" w:rsidR="005B49BC" w:rsidRPr="00CA2CC1" w:rsidRDefault="005B49BC" w:rsidP="003B766D">
            <w:pPr>
              <w:pStyle w:val="TableParagraph"/>
              <w:rPr>
                <w:rFonts w:cs="Calibri"/>
                <w:sz w:val="17"/>
              </w:rPr>
            </w:pPr>
            <w:r w:rsidRPr="00CA2CC1">
              <w:rPr>
                <w:rFonts w:cs="Calibri"/>
                <w:color w:val="F68C59"/>
                <w:spacing w:val="-2"/>
                <w:sz w:val="17"/>
              </w:rPr>
              <w:t>Total</w:t>
            </w:r>
          </w:p>
          <w:p w14:paraId="21AB9CBC" w14:textId="77777777" w:rsidR="005B49BC" w:rsidRPr="00CA2CC1" w:rsidRDefault="005B49BC" w:rsidP="003B766D">
            <w:pPr>
              <w:pStyle w:val="TableParagraph"/>
              <w:spacing w:before="2"/>
              <w:rPr>
                <w:rFonts w:cs="Calibri"/>
                <w:sz w:val="17"/>
              </w:rPr>
            </w:pPr>
            <w:r w:rsidRPr="00CA2CC1">
              <w:rPr>
                <w:rFonts w:cs="Calibri"/>
                <w:color w:val="F68C59"/>
                <w:sz w:val="17"/>
              </w:rPr>
              <w:t>$</w:t>
            </w:r>
          </w:p>
        </w:tc>
      </w:tr>
      <w:tr w:rsidR="005B49BC" w:rsidRPr="00CA2CC1" w14:paraId="2AFB4D81" w14:textId="77777777" w:rsidTr="003F64F5">
        <w:trPr>
          <w:trHeight w:val="614"/>
        </w:trPr>
        <w:tc>
          <w:tcPr>
            <w:tcW w:w="3628" w:type="dxa"/>
            <w:tcBorders>
              <w:left w:val="nil"/>
              <w:bottom w:val="single" w:sz="2" w:space="0" w:color="73777A"/>
              <w:right w:val="nil"/>
            </w:tcBorders>
          </w:tcPr>
          <w:p w14:paraId="13B5D230" w14:textId="77777777" w:rsidR="005B49BC" w:rsidRPr="00CA2CC1" w:rsidRDefault="005B49BC" w:rsidP="003B766D">
            <w:pPr>
              <w:pStyle w:val="TableParagraph"/>
              <w:jc w:val="left"/>
              <w:rPr>
                <w:rFonts w:cs="Calibri"/>
                <w:sz w:val="24"/>
              </w:rPr>
            </w:pPr>
          </w:p>
          <w:p w14:paraId="414D2579" w14:textId="77777777" w:rsidR="005B49BC" w:rsidRPr="00CA2CC1" w:rsidRDefault="005B49BC" w:rsidP="003B766D">
            <w:pPr>
              <w:pStyle w:val="TableParagraph"/>
              <w:jc w:val="left"/>
              <w:rPr>
                <w:rFonts w:cs="Calibri"/>
                <w:sz w:val="18"/>
              </w:rPr>
            </w:pPr>
            <w:r w:rsidRPr="00CA2CC1">
              <w:rPr>
                <w:rFonts w:cs="Calibri"/>
                <w:color w:val="F68C59"/>
                <w:spacing w:val="-4"/>
                <w:sz w:val="18"/>
              </w:rPr>
              <w:t>2023</w:t>
            </w:r>
          </w:p>
        </w:tc>
        <w:tc>
          <w:tcPr>
            <w:tcW w:w="1502" w:type="dxa"/>
            <w:tcBorders>
              <w:left w:val="nil"/>
              <w:bottom w:val="single" w:sz="2" w:space="0" w:color="73777A"/>
              <w:right w:val="single" w:sz="8" w:space="0" w:color="FFFFFF"/>
            </w:tcBorders>
            <w:shd w:val="clear" w:color="auto" w:fill="FFF0E7"/>
            <w:tcMar>
              <w:right w:w="57" w:type="dxa"/>
            </w:tcMar>
          </w:tcPr>
          <w:p w14:paraId="47A368F9" w14:textId="77777777" w:rsidR="005B49BC" w:rsidRPr="00CA2CC1" w:rsidRDefault="005B49BC" w:rsidP="003B766D">
            <w:pPr>
              <w:pStyle w:val="TableParagraph"/>
              <w:jc w:val="left"/>
              <w:rPr>
                <w:rFonts w:cs="Calibri"/>
                <w:sz w:val="16"/>
              </w:rPr>
            </w:pPr>
          </w:p>
        </w:tc>
        <w:tc>
          <w:tcPr>
            <w:tcW w:w="1502" w:type="dxa"/>
            <w:tcBorders>
              <w:left w:val="single" w:sz="8" w:space="0" w:color="FFFFFF"/>
              <w:bottom w:val="single" w:sz="2" w:space="0" w:color="73777A"/>
              <w:right w:val="single" w:sz="8" w:space="0" w:color="FFFFFF"/>
            </w:tcBorders>
            <w:shd w:val="clear" w:color="auto" w:fill="EDEFF0"/>
            <w:tcMar>
              <w:right w:w="57" w:type="dxa"/>
            </w:tcMar>
          </w:tcPr>
          <w:p w14:paraId="62FF0660" w14:textId="77777777" w:rsidR="005B49BC" w:rsidRPr="00CA2CC1" w:rsidRDefault="005B49BC" w:rsidP="003B766D">
            <w:pPr>
              <w:pStyle w:val="TableParagraph"/>
              <w:jc w:val="left"/>
              <w:rPr>
                <w:rFonts w:cs="Calibri"/>
                <w:sz w:val="16"/>
              </w:rPr>
            </w:pPr>
          </w:p>
        </w:tc>
        <w:tc>
          <w:tcPr>
            <w:tcW w:w="1502" w:type="dxa"/>
            <w:tcBorders>
              <w:left w:val="single" w:sz="8" w:space="0" w:color="FFFFFF"/>
              <w:bottom w:val="single" w:sz="2" w:space="0" w:color="73777A"/>
              <w:right w:val="single" w:sz="8" w:space="0" w:color="FFFFFF"/>
            </w:tcBorders>
            <w:shd w:val="clear" w:color="auto" w:fill="FFF0E7"/>
            <w:tcMar>
              <w:right w:w="57" w:type="dxa"/>
            </w:tcMar>
          </w:tcPr>
          <w:p w14:paraId="6CA47C9F" w14:textId="77777777" w:rsidR="005B49BC" w:rsidRPr="00CA2CC1" w:rsidRDefault="005B49BC" w:rsidP="003B766D">
            <w:pPr>
              <w:pStyle w:val="TableParagraph"/>
              <w:jc w:val="left"/>
              <w:rPr>
                <w:rFonts w:cs="Calibri"/>
                <w:sz w:val="16"/>
              </w:rPr>
            </w:pPr>
          </w:p>
        </w:tc>
        <w:tc>
          <w:tcPr>
            <w:tcW w:w="1502" w:type="dxa"/>
            <w:tcBorders>
              <w:left w:val="single" w:sz="8" w:space="0" w:color="FFFFFF"/>
              <w:bottom w:val="single" w:sz="2" w:space="0" w:color="73777A"/>
              <w:right w:val="nil"/>
            </w:tcBorders>
            <w:shd w:val="clear" w:color="auto" w:fill="EDEFF0"/>
            <w:tcMar>
              <w:right w:w="57" w:type="dxa"/>
            </w:tcMar>
          </w:tcPr>
          <w:p w14:paraId="7D4DC13D" w14:textId="77777777" w:rsidR="005B49BC" w:rsidRPr="00CA2CC1" w:rsidRDefault="005B49BC" w:rsidP="003B766D">
            <w:pPr>
              <w:pStyle w:val="TableParagraph"/>
              <w:jc w:val="left"/>
              <w:rPr>
                <w:rFonts w:cs="Calibri"/>
                <w:sz w:val="16"/>
              </w:rPr>
            </w:pPr>
          </w:p>
        </w:tc>
      </w:tr>
      <w:tr w:rsidR="005B49BC" w:rsidRPr="00CA2CC1" w14:paraId="2E974026" w14:textId="77777777" w:rsidTr="003F64F5">
        <w:trPr>
          <w:trHeight w:val="283"/>
        </w:trPr>
        <w:tc>
          <w:tcPr>
            <w:tcW w:w="3628" w:type="dxa"/>
            <w:tcBorders>
              <w:top w:val="single" w:sz="2" w:space="0" w:color="73777A"/>
              <w:left w:val="nil"/>
              <w:bottom w:val="single" w:sz="2" w:space="0" w:color="73777A"/>
              <w:right w:val="nil"/>
            </w:tcBorders>
          </w:tcPr>
          <w:p w14:paraId="05D90996" w14:textId="77777777" w:rsidR="005B49BC" w:rsidRPr="00CA2CC1" w:rsidRDefault="005B49BC" w:rsidP="003B766D">
            <w:pPr>
              <w:pStyle w:val="TableParagraph"/>
              <w:jc w:val="left"/>
              <w:rPr>
                <w:rFonts w:cs="Calibri"/>
                <w:sz w:val="18"/>
              </w:rPr>
            </w:pPr>
            <w:r w:rsidRPr="00CA2CC1">
              <w:rPr>
                <w:rFonts w:cs="Calibri"/>
                <w:color w:val="414042"/>
                <w:sz w:val="18"/>
              </w:rPr>
              <w:t>Other</w:t>
            </w:r>
            <w:r w:rsidRPr="00CA2CC1">
              <w:rPr>
                <w:rFonts w:cs="Calibri"/>
                <w:color w:val="414042"/>
                <w:spacing w:val="8"/>
                <w:sz w:val="18"/>
              </w:rPr>
              <w:t xml:space="preserve"> </w:t>
            </w:r>
            <w:r w:rsidRPr="00CA2CC1">
              <w:rPr>
                <w:rFonts w:cs="Calibri"/>
                <w:color w:val="414042"/>
                <w:sz w:val="18"/>
              </w:rPr>
              <w:t>commitments</w:t>
            </w:r>
            <w:r w:rsidRPr="00CA2CC1">
              <w:rPr>
                <w:rFonts w:cs="Calibri"/>
                <w:color w:val="414042"/>
                <w:spacing w:val="8"/>
                <w:sz w:val="18"/>
              </w:rPr>
              <w:t xml:space="preserve"> </w:t>
            </w:r>
            <w:r w:rsidRPr="00CA2CC1">
              <w:rPr>
                <w:rFonts w:cs="Calibri"/>
                <w:color w:val="414042"/>
                <w:spacing w:val="-2"/>
                <w:sz w:val="18"/>
              </w:rPr>
              <w:t>payable</w:t>
            </w:r>
          </w:p>
        </w:tc>
        <w:tc>
          <w:tcPr>
            <w:tcW w:w="1502" w:type="dxa"/>
            <w:tcBorders>
              <w:top w:val="single" w:sz="2" w:space="0" w:color="73777A"/>
              <w:left w:val="nil"/>
              <w:bottom w:val="single" w:sz="2" w:space="0" w:color="73777A"/>
              <w:right w:val="single" w:sz="8" w:space="0" w:color="FFFFFF"/>
            </w:tcBorders>
            <w:shd w:val="clear" w:color="auto" w:fill="FFF0E7"/>
            <w:tcMar>
              <w:right w:w="57" w:type="dxa"/>
            </w:tcMar>
          </w:tcPr>
          <w:p w14:paraId="72516A0C" w14:textId="77777777" w:rsidR="005B49BC" w:rsidRPr="00CA2CC1" w:rsidRDefault="005B49BC" w:rsidP="003B766D">
            <w:pPr>
              <w:pStyle w:val="TableParagraph"/>
              <w:rPr>
                <w:rFonts w:cs="Calibri"/>
                <w:sz w:val="18"/>
              </w:rPr>
            </w:pPr>
            <w:r w:rsidRPr="00CA2CC1">
              <w:rPr>
                <w:rFonts w:cs="Calibri"/>
                <w:color w:val="414042"/>
                <w:spacing w:val="-2"/>
                <w:sz w:val="18"/>
              </w:rPr>
              <w:t>193,522</w:t>
            </w:r>
          </w:p>
        </w:tc>
        <w:tc>
          <w:tcPr>
            <w:tcW w:w="1502" w:type="dxa"/>
            <w:tcBorders>
              <w:top w:val="single" w:sz="2" w:space="0" w:color="73777A"/>
              <w:left w:val="single" w:sz="8" w:space="0" w:color="FFFFFF"/>
              <w:bottom w:val="single" w:sz="2" w:space="0" w:color="73777A"/>
              <w:right w:val="single" w:sz="8" w:space="0" w:color="FFFFFF"/>
            </w:tcBorders>
            <w:shd w:val="clear" w:color="auto" w:fill="EDEFF0"/>
            <w:tcMar>
              <w:right w:w="57" w:type="dxa"/>
            </w:tcMar>
          </w:tcPr>
          <w:p w14:paraId="385E5528" w14:textId="77777777" w:rsidR="005B49BC" w:rsidRPr="00CA2CC1" w:rsidRDefault="005B49BC" w:rsidP="003B766D">
            <w:pPr>
              <w:pStyle w:val="TableParagraph"/>
              <w:rPr>
                <w:rFonts w:cs="Calibri"/>
                <w:sz w:val="18"/>
              </w:rPr>
            </w:pPr>
            <w:r w:rsidRPr="00CA2CC1">
              <w:rPr>
                <w:rFonts w:cs="Calibri"/>
                <w:color w:val="414042"/>
                <w:sz w:val="18"/>
              </w:rPr>
              <w:t>-</w:t>
            </w:r>
          </w:p>
        </w:tc>
        <w:tc>
          <w:tcPr>
            <w:tcW w:w="1502" w:type="dxa"/>
            <w:tcBorders>
              <w:top w:val="single" w:sz="2" w:space="0" w:color="73777A"/>
              <w:left w:val="single" w:sz="8" w:space="0" w:color="FFFFFF"/>
              <w:bottom w:val="single" w:sz="2" w:space="0" w:color="73777A"/>
              <w:right w:val="single" w:sz="8" w:space="0" w:color="FFFFFF"/>
            </w:tcBorders>
            <w:shd w:val="clear" w:color="auto" w:fill="FFF0E7"/>
            <w:tcMar>
              <w:right w:w="57" w:type="dxa"/>
            </w:tcMar>
          </w:tcPr>
          <w:p w14:paraId="15F5B0AE" w14:textId="77777777" w:rsidR="005B49BC" w:rsidRPr="00CA2CC1" w:rsidRDefault="005B49BC" w:rsidP="003B766D">
            <w:pPr>
              <w:pStyle w:val="TableParagraph"/>
              <w:rPr>
                <w:rFonts w:cs="Calibri"/>
                <w:sz w:val="18"/>
              </w:rPr>
            </w:pPr>
            <w:r w:rsidRPr="00CA2CC1">
              <w:rPr>
                <w:rFonts w:cs="Calibri"/>
                <w:color w:val="414042"/>
                <w:sz w:val="18"/>
              </w:rPr>
              <w:t>-</w:t>
            </w:r>
          </w:p>
        </w:tc>
        <w:tc>
          <w:tcPr>
            <w:tcW w:w="1502" w:type="dxa"/>
            <w:tcBorders>
              <w:top w:val="single" w:sz="2" w:space="0" w:color="73777A"/>
              <w:left w:val="single" w:sz="8" w:space="0" w:color="FFFFFF"/>
              <w:bottom w:val="single" w:sz="2" w:space="0" w:color="73777A"/>
              <w:right w:val="nil"/>
            </w:tcBorders>
            <w:shd w:val="clear" w:color="auto" w:fill="EDEFF0"/>
            <w:tcMar>
              <w:right w:w="57" w:type="dxa"/>
            </w:tcMar>
          </w:tcPr>
          <w:p w14:paraId="0D87D230" w14:textId="77777777" w:rsidR="005B49BC" w:rsidRPr="00CA2CC1" w:rsidRDefault="005B49BC" w:rsidP="003B766D">
            <w:pPr>
              <w:pStyle w:val="TableParagraph"/>
              <w:rPr>
                <w:rFonts w:cs="Calibri"/>
                <w:sz w:val="18"/>
              </w:rPr>
            </w:pPr>
            <w:r w:rsidRPr="00CA2CC1">
              <w:rPr>
                <w:rFonts w:cs="Calibri"/>
                <w:color w:val="414042"/>
                <w:spacing w:val="-2"/>
                <w:sz w:val="18"/>
              </w:rPr>
              <w:t>193,522</w:t>
            </w:r>
          </w:p>
        </w:tc>
      </w:tr>
      <w:tr w:rsidR="005B49BC" w:rsidRPr="00CA2CC1" w14:paraId="7E37B0D2" w14:textId="77777777" w:rsidTr="003F64F5">
        <w:trPr>
          <w:trHeight w:val="278"/>
        </w:trPr>
        <w:tc>
          <w:tcPr>
            <w:tcW w:w="3628" w:type="dxa"/>
            <w:tcBorders>
              <w:top w:val="single" w:sz="2" w:space="0" w:color="73777A"/>
              <w:left w:val="nil"/>
              <w:bottom w:val="single" w:sz="6" w:space="0" w:color="73777A"/>
              <w:right w:val="nil"/>
            </w:tcBorders>
          </w:tcPr>
          <w:p w14:paraId="7B84BAEE" w14:textId="77777777" w:rsidR="005B49BC" w:rsidRPr="00CA2CC1" w:rsidRDefault="005B49BC" w:rsidP="003B766D">
            <w:pPr>
              <w:pStyle w:val="TableParagraph"/>
              <w:jc w:val="left"/>
              <w:rPr>
                <w:rFonts w:cs="Calibri"/>
                <w:sz w:val="18"/>
              </w:rPr>
            </w:pPr>
            <w:r w:rsidRPr="00CA2CC1">
              <w:rPr>
                <w:rFonts w:cs="Calibri"/>
                <w:color w:val="414042"/>
                <w:sz w:val="18"/>
              </w:rPr>
              <w:t>Total</w:t>
            </w:r>
            <w:r w:rsidRPr="00CA2CC1">
              <w:rPr>
                <w:rFonts w:cs="Calibri"/>
                <w:color w:val="414042"/>
                <w:spacing w:val="2"/>
                <w:sz w:val="18"/>
              </w:rPr>
              <w:t xml:space="preserve"> </w:t>
            </w:r>
            <w:r w:rsidRPr="00CA2CC1">
              <w:rPr>
                <w:rFonts w:cs="Calibri"/>
                <w:color w:val="414042"/>
                <w:sz w:val="18"/>
              </w:rPr>
              <w:t>commitments</w:t>
            </w:r>
            <w:r w:rsidRPr="00CA2CC1">
              <w:rPr>
                <w:rFonts w:cs="Calibri"/>
                <w:color w:val="414042"/>
                <w:spacing w:val="4"/>
                <w:sz w:val="18"/>
              </w:rPr>
              <w:t xml:space="preserve"> </w:t>
            </w:r>
            <w:r w:rsidRPr="00CA2CC1">
              <w:rPr>
                <w:rFonts w:cs="Calibri"/>
                <w:color w:val="414042"/>
                <w:sz w:val="18"/>
              </w:rPr>
              <w:t>(inclusive</w:t>
            </w:r>
            <w:r w:rsidRPr="00CA2CC1">
              <w:rPr>
                <w:rFonts w:cs="Calibri"/>
                <w:color w:val="414042"/>
                <w:spacing w:val="4"/>
                <w:sz w:val="18"/>
              </w:rPr>
              <w:t xml:space="preserve"> </w:t>
            </w:r>
            <w:r w:rsidRPr="00CA2CC1">
              <w:rPr>
                <w:rFonts w:cs="Calibri"/>
                <w:color w:val="414042"/>
                <w:sz w:val="18"/>
              </w:rPr>
              <w:t>of</w:t>
            </w:r>
            <w:r w:rsidRPr="00CA2CC1">
              <w:rPr>
                <w:rFonts w:cs="Calibri"/>
                <w:color w:val="414042"/>
                <w:spacing w:val="5"/>
                <w:sz w:val="18"/>
              </w:rPr>
              <w:t xml:space="preserve"> </w:t>
            </w:r>
            <w:r w:rsidRPr="00CA2CC1">
              <w:rPr>
                <w:rFonts w:cs="Calibri"/>
                <w:color w:val="414042"/>
                <w:spacing w:val="-4"/>
                <w:sz w:val="18"/>
              </w:rPr>
              <w:t>GST)</w:t>
            </w:r>
          </w:p>
        </w:tc>
        <w:tc>
          <w:tcPr>
            <w:tcW w:w="1502" w:type="dxa"/>
            <w:tcBorders>
              <w:top w:val="single" w:sz="2" w:space="0" w:color="73777A"/>
              <w:left w:val="nil"/>
              <w:bottom w:val="single" w:sz="6" w:space="0" w:color="73777A"/>
              <w:right w:val="single" w:sz="8" w:space="0" w:color="FFFFFF"/>
            </w:tcBorders>
            <w:shd w:val="clear" w:color="auto" w:fill="FFF0E7"/>
            <w:tcMar>
              <w:right w:w="57" w:type="dxa"/>
            </w:tcMar>
          </w:tcPr>
          <w:p w14:paraId="2E044774" w14:textId="77777777" w:rsidR="005B49BC" w:rsidRPr="00CA2CC1" w:rsidRDefault="005B49BC" w:rsidP="003B766D">
            <w:pPr>
              <w:pStyle w:val="TableParagraph"/>
              <w:rPr>
                <w:rFonts w:cs="Calibri"/>
                <w:sz w:val="18"/>
              </w:rPr>
            </w:pPr>
            <w:r w:rsidRPr="00CA2CC1">
              <w:rPr>
                <w:rFonts w:cs="Calibri"/>
                <w:color w:val="414042"/>
                <w:spacing w:val="-2"/>
                <w:sz w:val="18"/>
              </w:rPr>
              <w:t>193,522</w:t>
            </w:r>
          </w:p>
        </w:tc>
        <w:tc>
          <w:tcPr>
            <w:tcW w:w="1502" w:type="dxa"/>
            <w:tcBorders>
              <w:top w:val="single" w:sz="2" w:space="0" w:color="73777A"/>
              <w:left w:val="single" w:sz="8" w:space="0" w:color="FFFFFF"/>
              <w:bottom w:val="single" w:sz="6" w:space="0" w:color="73777A"/>
              <w:right w:val="single" w:sz="8" w:space="0" w:color="FFFFFF"/>
            </w:tcBorders>
            <w:shd w:val="clear" w:color="auto" w:fill="EDEFF0"/>
            <w:tcMar>
              <w:right w:w="57" w:type="dxa"/>
            </w:tcMar>
          </w:tcPr>
          <w:p w14:paraId="753604E1" w14:textId="77777777" w:rsidR="005B49BC" w:rsidRPr="00CA2CC1" w:rsidRDefault="005B49BC" w:rsidP="003B766D">
            <w:pPr>
              <w:pStyle w:val="TableParagraph"/>
              <w:rPr>
                <w:rFonts w:cs="Calibri"/>
                <w:sz w:val="18"/>
              </w:rPr>
            </w:pPr>
            <w:r w:rsidRPr="00CA2CC1">
              <w:rPr>
                <w:rFonts w:cs="Calibri"/>
                <w:color w:val="414042"/>
                <w:sz w:val="18"/>
              </w:rPr>
              <w:t>-</w:t>
            </w:r>
          </w:p>
        </w:tc>
        <w:tc>
          <w:tcPr>
            <w:tcW w:w="1502" w:type="dxa"/>
            <w:tcBorders>
              <w:top w:val="single" w:sz="2" w:space="0" w:color="73777A"/>
              <w:left w:val="single" w:sz="8" w:space="0" w:color="FFFFFF"/>
              <w:bottom w:val="single" w:sz="6" w:space="0" w:color="73777A"/>
              <w:right w:val="single" w:sz="8" w:space="0" w:color="FFFFFF"/>
            </w:tcBorders>
            <w:shd w:val="clear" w:color="auto" w:fill="FFF0E7"/>
            <w:tcMar>
              <w:right w:w="57" w:type="dxa"/>
            </w:tcMar>
          </w:tcPr>
          <w:p w14:paraId="3466207A" w14:textId="77777777" w:rsidR="005B49BC" w:rsidRPr="00CA2CC1" w:rsidRDefault="005B49BC" w:rsidP="003B766D">
            <w:pPr>
              <w:pStyle w:val="TableParagraph"/>
              <w:rPr>
                <w:rFonts w:cs="Calibri"/>
                <w:sz w:val="18"/>
              </w:rPr>
            </w:pPr>
            <w:r w:rsidRPr="00CA2CC1">
              <w:rPr>
                <w:rFonts w:cs="Calibri"/>
                <w:color w:val="414042"/>
                <w:sz w:val="18"/>
              </w:rPr>
              <w:t>-</w:t>
            </w:r>
          </w:p>
        </w:tc>
        <w:tc>
          <w:tcPr>
            <w:tcW w:w="1502" w:type="dxa"/>
            <w:tcBorders>
              <w:top w:val="single" w:sz="2" w:space="0" w:color="73777A"/>
              <w:left w:val="single" w:sz="8" w:space="0" w:color="FFFFFF"/>
              <w:bottom w:val="single" w:sz="6" w:space="0" w:color="73777A"/>
              <w:right w:val="nil"/>
            </w:tcBorders>
            <w:shd w:val="clear" w:color="auto" w:fill="EDEFF0"/>
            <w:tcMar>
              <w:right w:w="57" w:type="dxa"/>
            </w:tcMar>
          </w:tcPr>
          <w:p w14:paraId="4CF8C202" w14:textId="77777777" w:rsidR="005B49BC" w:rsidRPr="00CA2CC1" w:rsidRDefault="005B49BC" w:rsidP="003B766D">
            <w:pPr>
              <w:pStyle w:val="TableParagraph"/>
              <w:rPr>
                <w:rFonts w:cs="Calibri"/>
                <w:sz w:val="18"/>
              </w:rPr>
            </w:pPr>
            <w:r w:rsidRPr="00CA2CC1">
              <w:rPr>
                <w:rFonts w:cs="Calibri"/>
                <w:color w:val="414042"/>
                <w:spacing w:val="-2"/>
                <w:sz w:val="18"/>
              </w:rPr>
              <w:t>193,522</w:t>
            </w:r>
          </w:p>
        </w:tc>
      </w:tr>
      <w:tr w:rsidR="005B49BC" w:rsidRPr="00CA2CC1" w14:paraId="04443F4C" w14:textId="77777777" w:rsidTr="003F64F5">
        <w:trPr>
          <w:trHeight w:val="273"/>
        </w:trPr>
        <w:tc>
          <w:tcPr>
            <w:tcW w:w="3628" w:type="dxa"/>
            <w:tcBorders>
              <w:top w:val="single" w:sz="6" w:space="0" w:color="73777A"/>
              <w:left w:val="nil"/>
              <w:bottom w:val="single" w:sz="6" w:space="0" w:color="73777A"/>
              <w:right w:val="nil"/>
            </w:tcBorders>
          </w:tcPr>
          <w:p w14:paraId="39877049" w14:textId="77777777" w:rsidR="005B49BC" w:rsidRPr="00CA2CC1" w:rsidRDefault="005B49BC" w:rsidP="003B766D">
            <w:pPr>
              <w:pStyle w:val="TableParagraph"/>
              <w:jc w:val="left"/>
              <w:rPr>
                <w:rFonts w:cs="Calibri"/>
                <w:i/>
                <w:sz w:val="18"/>
              </w:rPr>
            </w:pPr>
            <w:r w:rsidRPr="00CA2CC1">
              <w:rPr>
                <w:rFonts w:cs="Calibri"/>
                <w:i/>
                <w:color w:val="414042"/>
                <w:sz w:val="18"/>
              </w:rPr>
              <w:t>Less</w:t>
            </w:r>
            <w:r w:rsidRPr="00CA2CC1">
              <w:rPr>
                <w:rFonts w:cs="Calibri"/>
                <w:i/>
                <w:color w:val="414042"/>
                <w:spacing w:val="-5"/>
                <w:sz w:val="18"/>
              </w:rPr>
              <w:t xml:space="preserve"> </w:t>
            </w:r>
            <w:r w:rsidRPr="00CA2CC1">
              <w:rPr>
                <w:rFonts w:cs="Calibri"/>
                <w:i/>
                <w:color w:val="414042"/>
                <w:sz w:val="18"/>
              </w:rPr>
              <w:t>GST</w:t>
            </w:r>
            <w:r w:rsidRPr="00CA2CC1">
              <w:rPr>
                <w:rFonts w:cs="Calibri"/>
                <w:i/>
                <w:color w:val="414042"/>
                <w:spacing w:val="-2"/>
                <w:sz w:val="18"/>
              </w:rPr>
              <w:t xml:space="preserve"> recoverable</w:t>
            </w:r>
          </w:p>
        </w:tc>
        <w:tc>
          <w:tcPr>
            <w:tcW w:w="1502" w:type="dxa"/>
            <w:tcBorders>
              <w:top w:val="single" w:sz="6" w:space="0" w:color="73777A"/>
              <w:left w:val="nil"/>
              <w:bottom w:val="single" w:sz="6" w:space="0" w:color="73777A"/>
              <w:right w:val="single" w:sz="8" w:space="0" w:color="FFFFFF"/>
            </w:tcBorders>
            <w:shd w:val="clear" w:color="auto" w:fill="FFF0E7"/>
            <w:tcMar>
              <w:right w:w="57" w:type="dxa"/>
            </w:tcMar>
          </w:tcPr>
          <w:p w14:paraId="1BEB6E13" w14:textId="77777777" w:rsidR="005B49BC" w:rsidRPr="00CA2CC1" w:rsidRDefault="005B49BC" w:rsidP="003B766D">
            <w:pPr>
              <w:pStyle w:val="TableParagraph"/>
              <w:rPr>
                <w:rFonts w:cs="Calibri"/>
                <w:sz w:val="18"/>
              </w:rPr>
            </w:pPr>
            <w:r w:rsidRPr="00CA2CC1">
              <w:rPr>
                <w:rFonts w:cs="Calibri"/>
                <w:color w:val="414042"/>
                <w:spacing w:val="-2"/>
                <w:sz w:val="18"/>
              </w:rPr>
              <w:t>(17,593)</w:t>
            </w:r>
          </w:p>
        </w:tc>
        <w:tc>
          <w:tcPr>
            <w:tcW w:w="1502" w:type="dxa"/>
            <w:tcBorders>
              <w:top w:val="single" w:sz="6" w:space="0" w:color="73777A"/>
              <w:left w:val="single" w:sz="8" w:space="0" w:color="FFFFFF"/>
              <w:bottom w:val="single" w:sz="6" w:space="0" w:color="73777A"/>
              <w:right w:val="single" w:sz="8" w:space="0" w:color="FFFFFF"/>
            </w:tcBorders>
            <w:shd w:val="clear" w:color="auto" w:fill="EDEFF0"/>
            <w:tcMar>
              <w:right w:w="57" w:type="dxa"/>
            </w:tcMar>
          </w:tcPr>
          <w:p w14:paraId="31EA824E" w14:textId="77777777" w:rsidR="005B49BC" w:rsidRPr="00CA2CC1" w:rsidRDefault="005B49BC" w:rsidP="003B766D">
            <w:pPr>
              <w:pStyle w:val="TableParagraph"/>
              <w:rPr>
                <w:rFonts w:cs="Calibri"/>
                <w:sz w:val="18"/>
              </w:rPr>
            </w:pPr>
            <w:r w:rsidRPr="00CA2CC1">
              <w:rPr>
                <w:rFonts w:cs="Calibri"/>
                <w:color w:val="414042"/>
                <w:sz w:val="18"/>
              </w:rPr>
              <w:t>-</w:t>
            </w:r>
          </w:p>
        </w:tc>
        <w:tc>
          <w:tcPr>
            <w:tcW w:w="1502" w:type="dxa"/>
            <w:tcBorders>
              <w:top w:val="single" w:sz="6" w:space="0" w:color="73777A"/>
              <w:left w:val="single" w:sz="8" w:space="0" w:color="FFFFFF"/>
              <w:bottom w:val="single" w:sz="6" w:space="0" w:color="73777A"/>
              <w:right w:val="single" w:sz="8" w:space="0" w:color="FFFFFF"/>
            </w:tcBorders>
            <w:shd w:val="clear" w:color="auto" w:fill="FFF0E7"/>
            <w:tcMar>
              <w:right w:w="57" w:type="dxa"/>
            </w:tcMar>
          </w:tcPr>
          <w:p w14:paraId="0C95B50B" w14:textId="77777777" w:rsidR="005B49BC" w:rsidRPr="00CA2CC1" w:rsidRDefault="005B49BC" w:rsidP="003B766D">
            <w:pPr>
              <w:pStyle w:val="TableParagraph"/>
              <w:rPr>
                <w:rFonts w:cs="Calibri"/>
                <w:sz w:val="18"/>
              </w:rPr>
            </w:pPr>
            <w:r w:rsidRPr="00CA2CC1">
              <w:rPr>
                <w:rFonts w:cs="Calibri"/>
                <w:color w:val="414042"/>
                <w:sz w:val="18"/>
              </w:rPr>
              <w:t>-</w:t>
            </w:r>
          </w:p>
        </w:tc>
        <w:tc>
          <w:tcPr>
            <w:tcW w:w="1502" w:type="dxa"/>
            <w:tcBorders>
              <w:top w:val="single" w:sz="6" w:space="0" w:color="73777A"/>
              <w:left w:val="single" w:sz="8" w:space="0" w:color="FFFFFF"/>
              <w:bottom w:val="single" w:sz="6" w:space="0" w:color="73777A"/>
              <w:right w:val="nil"/>
            </w:tcBorders>
            <w:shd w:val="clear" w:color="auto" w:fill="EDEFF0"/>
            <w:tcMar>
              <w:right w:w="57" w:type="dxa"/>
            </w:tcMar>
          </w:tcPr>
          <w:p w14:paraId="664F1E24" w14:textId="77777777" w:rsidR="005B49BC" w:rsidRPr="00CA2CC1" w:rsidRDefault="005B49BC" w:rsidP="003B766D">
            <w:pPr>
              <w:pStyle w:val="TableParagraph"/>
              <w:rPr>
                <w:rFonts w:cs="Calibri"/>
                <w:sz w:val="18"/>
              </w:rPr>
            </w:pPr>
            <w:r w:rsidRPr="00CA2CC1">
              <w:rPr>
                <w:rFonts w:cs="Calibri"/>
                <w:color w:val="414042"/>
                <w:spacing w:val="-2"/>
                <w:sz w:val="18"/>
              </w:rPr>
              <w:t>(17,593)</w:t>
            </w:r>
          </w:p>
        </w:tc>
      </w:tr>
      <w:tr w:rsidR="005B49BC" w:rsidRPr="00CA2CC1" w14:paraId="2318C991" w14:textId="77777777" w:rsidTr="003F64F5">
        <w:trPr>
          <w:trHeight w:val="258"/>
        </w:trPr>
        <w:tc>
          <w:tcPr>
            <w:tcW w:w="3628" w:type="dxa"/>
            <w:tcBorders>
              <w:top w:val="single" w:sz="6" w:space="0" w:color="73777A"/>
              <w:left w:val="nil"/>
              <w:bottom w:val="double" w:sz="6" w:space="0" w:color="73777A"/>
              <w:right w:val="nil"/>
            </w:tcBorders>
          </w:tcPr>
          <w:p w14:paraId="493CEF85" w14:textId="77777777" w:rsidR="005B49BC" w:rsidRPr="00CA2CC1" w:rsidRDefault="005B49BC" w:rsidP="003B766D">
            <w:pPr>
              <w:pStyle w:val="TableParagraph"/>
              <w:jc w:val="left"/>
              <w:rPr>
                <w:rFonts w:cs="Calibri"/>
                <w:sz w:val="18"/>
              </w:rPr>
            </w:pPr>
            <w:r w:rsidRPr="00CA2CC1">
              <w:rPr>
                <w:rFonts w:cs="Calibri"/>
                <w:color w:val="414042"/>
                <w:sz w:val="18"/>
              </w:rPr>
              <w:t>Total</w:t>
            </w:r>
            <w:r w:rsidRPr="00CA2CC1">
              <w:rPr>
                <w:rFonts w:cs="Calibri"/>
                <w:color w:val="414042"/>
                <w:spacing w:val="-2"/>
                <w:sz w:val="18"/>
              </w:rPr>
              <w:t xml:space="preserve"> </w:t>
            </w:r>
            <w:r w:rsidRPr="00CA2CC1">
              <w:rPr>
                <w:rFonts w:cs="Calibri"/>
                <w:color w:val="414042"/>
                <w:sz w:val="18"/>
              </w:rPr>
              <w:t>commitments</w:t>
            </w:r>
            <w:r w:rsidRPr="00CA2CC1">
              <w:rPr>
                <w:rFonts w:cs="Calibri"/>
                <w:color w:val="414042"/>
                <w:spacing w:val="1"/>
                <w:sz w:val="18"/>
              </w:rPr>
              <w:t xml:space="preserve"> </w:t>
            </w:r>
            <w:r w:rsidRPr="00CA2CC1">
              <w:rPr>
                <w:rFonts w:cs="Calibri"/>
                <w:color w:val="414042"/>
                <w:sz w:val="18"/>
              </w:rPr>
              <w:t>(exclusive</w:t>
            </w:r>
            <w:r w:rsidRPr="00CA2CC1">
              <w:rPr>
                <w:rFonts w:cs="Calibri"/>
                <w:color w:val="414042"/>
                <w:spacing w:val="1"/>
                <w:sz w:val="18"/>
              </w:rPr>
              <w:t xml:space="preserve"> </w:t>
            </w:r>
            <w:r w:rsidRPr="00CA2CC1">
              <w:rPr>
                <w:rFonts w:cs="Calibri"/>
                <w:color w:val="414042"/>
                <w:sz w:val="18"/>
              </w:rPr>
              <w:t>of</w:t>
            </w:r>
            <w:r w:rsidRPr="00CA2CC1">
              <w:rPr>
                <w:rFonts w:cs="Calibri"/>
                <w:color w:val="414042"/>
                <w:spacing w:val="2"/>
                <w:sz w:val="18"/>
              </w:rPr>
              <w:t xml:space="preserve"> </w:t>
            </w:r>
            <w:r w:rsidRPr="00CA2CC1">
              <w:rPr>
                <w:rFonts w:cs="Calibri"/>
                <w:color w:val="414042"/>
                <w:spacing w:val="-4"/>
                <w:sz w:val="18"/>
              </w:rPr>
              <w:t>GST)</w:t>
            </w:r>
          </w:p>
        </w:tc>
        <w:tc>
          <w:tcPr>
            <w:tcW w:w="1502" w:type="dxa"/>
            <w:tcBorders>
              <w:top w:val="single" w:sz="6" w:space="0" w:color="73777A"/>
              <w:left w:val="nil"/>
              <w:bottom w:val="double" w:sz="4" w:space="0" w:color="73777A"/>
              <w:right w:val="single" w:sz="8" w:space="0" w:color="FFFFFF"/>
            </w:tcBorders>
            <w:shd w:val="clear" w:color="auto" w:fill="FFF0E7"/>
            <w:tcMar>
              <w:right w:w="57" w:type="dxa"/>
            </w:tcMar>
          </w:tcPr>
          <w:p w14:paraId="41BDA1E6" w14:textId="77777777" w:rsidR="005B49BC" w:rsidRPr="00CA2CC1" w:rsidRDefault="005B49BC" w:rsidP="003B766D">
            <w:pPr>
              <w:pStyle w:val="TableParagraph"/>
              <w:rPr>
                <w:rFonts w:cs="Calibri"/>
                <w:sz w:val="18"/>
              </w:rPr>
            </w:pPr>
            <w:r w:rsidRPr="00CA2CC1">
              <w:rPr>
                <w:rFonts w:cs="Calibri"/>
                <w:color w:val="414042"/>
                <w:spacing w:val="-2"/>
                <w:sz w:val="18"/>
              </w:rPr>
              <w:t>175,929</w:t>
            </w:r>
          </w:p>
        </w:tc>
        <w:tc>
          <w:tcPr>
            <w:tcW w:w="1502" w:type="dxa"/>
            <w:tcBorders>
              <w:top w:val="single" w:sz="6" w:space="0" w:color="73777A"/>
              <w:left w:val="single" w:sz="8" w:space="0" w:color="FFFFFF"/>
              <w:bottom w:val="double" w:sz="4" w:space="0" w:color="73777A"/>
              <w:right w:val="single" w:sz="8" w:space="0" w:color="FFFFFF"/>
            </w:tcBorders>
            <w:shd w:val="clear" w:color="auto" w:fill="EDEFF0"/>
            <w:tcMar>
              <w:right w:w="57" w:type="dxa"/>
            </w:tcMar>
          </w:tcPr>
          <w:p w14:paraId="22F8D391" w14:textId="77777777" w:rsidR="005B49BC" w:rsidRPr="00CA2CC1" w:rsidRDefault="005B49BC" w:rsidP="003B766D">
            <w:pPr>
              <w:pStyle w:val="TableParagraph"/>
              <w:rPr>
                <w:rFonts w:cs="Calibri"/>
                <w:sz w:val="18"/>
              </w:rPr>
            </w:pPr>
            <w:r w:rsidRPr="00CA2CC1">
              <w:rPr>
                <w:rFonts w:cs="Calibri"/>
                <w:color w:val="414042"/>
                <w:sz w:val="18"/>
              </w:rPr>
              <w:t>-</w:t>
            </w:r>
          </w:p>
        </w:tc>
        <w:tc>
          <w:tcPr>
            <w:tcW w:w="1502" w:type="dxa"/>
            <w:tcBorders>
              <w:top w:val="single" w:sz="6" w:space="0" w:color="73777A"/>
              <w:left w:val="single" w:sz="8" w:space="0" w:color="FFFFFF"/>
              <w:bottom w:val="double" w:sz="4" w:space="0" w:color="73777A"/>
              <w:right w:val="single" w:sz="8" w:space="0" w:color="FFFFFF"/>
            </w:tcBorders>
            <w:shd w:val="clear" w:color="auto" w:fill="FFF0E7"/>
            <w:tcMar>
              <w:right w:w="57" w:type="dxa"/>
            </w:tcMar>
          </w:tcPr>
          <w:p w14:paraId="3ED92171" w14:textId="77777777" w:rsidR="005B49BC" w:rsidRPr="00CA2CC1" w:rsidRDefault="005B49BC" w:rsidP="003B766D">
            <w:pPr>
              <w:pStyle w:val="TableParagraph"/>
              <w:rPr>
                <w:rFonts w:cs="Calibri"/>
                <w:sz w:val="18"/>
              </w:rPr>
            </w:pPr>
            <w:r w:rsidRPr="00CA2CC1">
              <w:rPr>
                <w:rFonts w:cs="Calibri"/>
                <w:color w:val="414042"/>
                <w:sz w:val="18"/>
              </w:rPr>
              <w:t>-</w:t>
            </w:r>
          </w:p>
        </w:tc>
        <w:tc>
          <w:tcPr>
            <w:tcW w:w="1502" w:type="dxa"/>
            <w:tcBorders>
              <w:top w:val="single" w:sz="6" w:space="0" w:color="73777A"/>
              <w:left w:val="single" w:sz="8" w:space="0" w:color="FFFFFF"/>
              <w:bottom w:val="double" w:sz="4" w:space="0" w:color="73777A"/>
              <w:right w:val="nil"/>
            </w:tcBorders>
            <w:shd w:val="clear" w:color="auto" w:fill="EDEFF0"/>
            <w:tcMar>
              <w:right w:w="57" w:type="dxa"/>
            </w:tcMar>
          </w:tcPr>
          <w:p w14:paraId="2AE4B5A2" w14:textId="77777777" w:rsidR="005B49BC" w:rsidRPr="00CA2CC1" w:rsidRDefault="005B49BC" w:rsidP="003B766D">
            <w:pPr>
              <w:pStyle w:val="TableParagraph"/>
              <w:rPr>
                <w:rFonts w:cs="Calibri"/>
                <w:sz w:val="18"/>
              </w:rPr>
            </w:pPr>
            <w:r w:rsidRPr="00CA2CC1">
              <w:rPr>
                <w:rFonts w:cs="Calibri"/>
                <w:color w:val="414042"/>
                <w:spacing w:val="-2"/>
                <w:sz w:val="18"/>
              </w:rPr>
              <w:t>175,929</w:t>
            </w:r>
          </w:p>
        </w:tc>
      </w:tr>
      <w:tr w:rsidR="005B49BC" w:rsidRPr="00CA2CC1" w14:paraId="3068CEB0" w14:textId="77777777" w:rsidTr="003F64F5">
        <w:trPr>
          <w:trHeight w:val="552"/>
        </w:trPr>
        <w:tc>
          <w:tcPr>
            <w:tcW w:w="3628" w:type="dxa"/>
            <w:tcBorders>
              <w:top w:val="double" w:sz="6" w:space="0" w:color="73777A"/>
              <w:left w:val="nil"/>
              <w:bottom w:val="single" w:sz="2" w:space="0" w:color="73777A"/>
              <w:right w:val="nil"/>
            </w:tcBorders>
          </w:tcPr>
          <w:p w14:paraId="08F97E9F" w14:textId="77777777" w:rsidR="005B49BC" w:rsidRPr="00CA2CC1" w:rsidRDefault="005B49BC" w:rsidP="003B766D">
            <w:pPr>
              <w:pStyle w:val="TableParagraph"/>
              <w:spacing w:before="6"/>
              <w:jc w:val="left"/>
              <w:rPr>
                <w:rFonts w:cs="Calibri"/>
                <w:sz w:val="19"/>
              </w:rPr>
            </w:pPr>
          </w:p>
          <w:p w14:paraId="667B3D0D" w14:textId="77777777" w:rsidR="005B49BC" w:rsidRPr="00CA2CC1" w:rsidRDefault="005B49BC" w:rsidP="003B766D">
            <w:pPr>
              <w:pStyle w:val="TableParagraph"/>
              <w:jc w:val="left"/>
              <w:rPr>
                <w:rFonts w:cs="Calibri"/>
                <w:sz w:val="18"/>
              </w:rPr>
            </w:pPr>
            <w:r w:rsidRPr="00CA2CC1">
              <w:rPr>
                <w:rFonts w:cs="Calibri"/>
                <w:color w:val="F68C59"/>
                <w:spacing w:val="-4"/>
                <w:sz w:val="18"/>
              </w:rPr>
              <w:t>2022</w:t>
            </w:r>
          </w:p>
        </w:tc>
        <w:tc>
          <w:tcPr>
            <w:tcW w:w="1502" w:type="dxa"/>
            <w:tcBorders>
              <w:top w:val="double" w:sz="4" w:space="0" w:color="73777A"/>
              <w:left w:val="nil"/>
              <w:bottom w:val="single" w:sz="2" w:space="0" w:color="73777A"/>
              <w:right w:val="single" w:sz="8" w:space="0" w:color="FFFFFF"/>
            </w:tcBorders>
            <w:shd w:val="clear" w:color="auto" w:fill="FFF0E7"/>
            <w:tcMar>
              <w:right w:w="57" w:type="dxa"/>
            </w:tcMar>
          </w:tcPr>
          <w:p w14:paraId="20E20AC5" w14:textId="77777777" w:rsidR="005B49BC" w:rsidRPr="00CA2CC1" w:rsidRDefault="005B49BC" w:rsidP="003B766D">
            <w:pPr>
              <w:pStyle w:val="TableParagraph"/>
              <w:jc w:val="left"/>
              <w:rPr>
                <w:rFonts w:cs="Calibri"/>
                <w:sz w:val="16"/>
              </w:rPr>
            </w:pPr>
          </w:p>
        </w:tc>
        <w:tc>
          <w:tcPr>
            <w:tcW w:w="1502" w:type="dxa"/>
            <w:tcBorders>
              <w:top w:val="double" w:sz="4" w:space="0" w:color="73777A"/>
              <w:left w:val="single" w:sz="8" w:space="0" w:color="FFFFFF"/>
              <w:bottom w:val="single" w:sz="2" w:space="0" w:color="73777A"/>
              <w:right w:val="single" w:sz="8" w:space="0" w:color="FFFFFF"/>
            </w:tcBorders>
            <w:shd w:val="clear" w:color="auto" w:fill="EDEFF0"/>
            <w:tcMar>
              <w:right w:w="57" w:type="dxa"/>
            </w:tcMar>
          </w:tcPr>
          <w:p w14:paraId="1AC3E263" w14:textId="77777777" w:rsidR="005B49BC" w:rsidRPr="00CA2CC1" w:rsidRDefault="005B49BC" w:rsidP="003B766D">
            <w:pPr>
              <w:pStyle w:val="TableParagraph"/>
              <w:jc w:val="left"/>
              <w:rPr>
                <w:rFonts w:cs="Calibri"/>
                <w:sz w:val="16"/>
              </w:rPr>
            </w:pPr>
          </w:p>
        </w:tc>
        <w:tc>
          <w:tcPr>
            <w:tcW w:w="1502" w:type="dxa"/>
            <w:tcBorders>
              <w:top w:val="double" w:sz="4" w:space="0" w:color="73777A"/>
              <w:left w:val="single" w:sz="8" w:space="0" w:color="FFFFFF"/>
              <w:bottom w:val="single" w:sz="2" w:space="0" w:color="73777A"/>
              <w:right w:val="single" w:sz="8" w:space="0" w:color="FFFFFF"/>
            </w:tcBorders>
            <w:shd w:val="clear" w:color="auto" w:fill="FFF0E7"/>
            <w:tcMar>
              <w:right w:w="57" w:type="dxa"/>
            </w:tcMar>
          </w:tcPr>
          <w:p w14:paraId="67D0B9FE" w14:textId="77777777" w:rsidR="005B49BC" w:rsidRPr="00CA2CC1" w:rsidRDefault="005B49BC" w:rsidP="003B766D">
            <w:pPr>
              <w:pStyle w:val="TableParagraph"/>
              <w:jc w:val="left"/>
              <w:rPr>
                <w:rFonts w:cs="Calibri"/>
                <w:sz w:val="16"/>
              </w:rPr>
            </w:pPr>
          </w:p>
        </w:tc>
        <w:tc>
          <w:tcPr>
            <w:tcW w:w="1502" w:type="dxa"/>
            <w:tcBorders>
              <w:top w:val="double" w:sz="4" w:space="0" w:color="73777A"/>
              <w:left w:val="single" w:sz="8" w:space="0" w:color="FFFFFF"/>
              <w:bottom w:val="single" w:sz="2" w:space="0" w:color="73777A"/>
              <w:right w:val="nil"/>
            </w:tcBorders>
            <w:shd w:val="clear" w:color="auto" w:fill="EDEFF0"/>
            <w:tcMar>
              <w:right w:w="57" w:type="dxa"/>
            </w:tcMar>
          </w:tcPr>
          <w:p w14:paraId="4D7C30CC" w14:textId="77777777" w:rsidR="005B49BC" w:rsidRPr="00CA2CC1" w:rsidRDefault="005B49BC" w:rsidP="003B766D">
            <w:pPr>
              <w:pStyle w:val="TableParagraph"/>
              <w:jc w:val="left"/>
              <w:rPr>
                <w:rFonts w:cs="Calibri"/>
                <w:sz w:val="16"/>
              </w:rPr>
            </w:pPr>
          </w:p>
        </w:tc>
      </w:tr>
      <w:tr w:rsidR="005B49BC" w:rsidRPr="00CA2CC1" w14:paraId="68AC17A3" w14:textId="77777777" w:rsidTr="003F64F5">
        <w:trPr>
          <w:trHeight w:val="283"/>
        </w:trPr>
        <w:tc>
          <w:tcPr>
            <w:tcW w:w="3628" w:type="dxa"/>
            <w:tcBorders>
              <w:top w:val="single" w:sz="2" w:space="0" w:color="73777A"/>
              <w:left w:val="nil"/>
              <w:bottom w:val="single" w:sz="2" w:space="0" w:color="73777A"/>
              <w:right w:val="nil"/>
            </w:tcBorders>
          </w:tcPr>
          <w:p w14:paraId="3FCE01D7" w14:textId="77777777" w:rsidR="005B49BC" w:rsidRPr="00CA2CC1" w:rsidRDefault="005B49BC" w:rsidP="003B766D">
            <w:pPr>
              <w:pStyle w:val="TableParagraph"/>
              <w:jc w:val="left"/>
              <w:rPr>
                <w:rFonts w:cs="Calibri"/>
                <w:sz w:val="18"/>
              </w:rPr>
            </w:pPr>
            <w:r w:rsidRPr="00CA2CC1">
              <w:rPr>
                <w:rFonts w:cs="Calibri"/>
                <w:color w:val="414042"/>
                <w:sz w:val="18"/>
              </w:rPr>
              <w:t>Other</w:t>
            </w:r>
            <w:r w:rsidRPr="00CA2CC1">
              <w:rPr>
                <w:rFonts w:cs="Calibri"/>
                <w:color w:val="414042"/>
                <w:spacing w:val="6"/>
                <w:sz w:val="18"/>
              </w:rPr>
              <w:t xml:space="preserve"> </w:t>
            </w:r>
            <w:r w:rsidRPr="00CA2CC1">
              <w:rPr>
                <w:rFonts w:cs="Calibri"/>
                <w:color w:val="414042"/>
                <w:sz w:val="18"/>
              </w:rPr>
              <w:t>commitments</w:t>
            </w:r>
            <w:r w:rsidRPr="00CA2CC1">
              <w:rPr>
                <w:rFonts w:cs="Calibri"/>
                <w:color w:val="414042"/>
                <w:spacing w:val="8"/>
                <w:sz w:val="18"/>
              </w:rPr>
              <w:t xml:space="preserve"> </w:t>
            </w:r>
            <w:r w:rsidRPr="00CA2CC1">
              <w:rPr>
                <w:rFonts w:cs="Calibri"/>
                <w:color w:val="414042"/>
                <w:spacing w:val="-2"/>
                <w:sz w:val="18"/>
              </w:rPr>
              <w:t>payable</w:t>
            </w:r>
          </w:p>
        </w:tc>
        <w:tc>
          <w:tcPr>
            <w:tcW w:w="1502" w:type="dxa"/>
            <w:tcBorders>
              <w:top w:val="single" w:sz="2" w:space="0" w:color="73777A"/>
              <w:left w:val="nil"/>
              <w:bottom w:val="single" w:sz="2" w:space="0" w:color="73777A"/>
              <w:right w:val="single" w:sz="8" w:space="0" w:color="FFFFFF"/>
            </w:tcBorders>
            <w:shd w:val="clear" w:color="auto" w:fill="FFF0E7"/>
            <w:tcMar>
              <w:right w:w="57" w:type="dxa"/>
            </w:tcMar>
          </w:tcPr>
          <w:p w14:paraId="5D296F05" w14:textId="77777777" w:rsidR="005B49BC" w:rsidRPr="00CA2CC1" w:rsidRDefault="005B49BC" w:rsidP="003B766D">
            <w:pPr>
              <w:pStyle w:val="TableParagraph"/>
              <w:rPr>
                <w:rFonts w:cs="Calibri"/>
                <w:sz w:val="18"/>
              </w:rPr>
            </w:pPr>
            <w:r w:rsidRPr="00CA2CC1">
              <w:rPr>
                <w:rFonts w:cs="Calibri"/>
                <w:color w:val="414042"/>
                <w:spacing w:val="-2"/>
                <w:sz w:val="18"/>
              </w:rPr>
              <w:t>331,970</w:t>
            </w:r>
          </w:p>
        </w:tc>
        <w:tc>
          <w:tcPr>
            <w:tcW w:w="1502" w:type="dxa"/>
            <w:tcBorders>
              <w:top w:val="single" w:sz="2" w:space="0" w:color="73777A"/>
              <w:left w:val="single" w:sz="8" w:space="0" w:color="FFFFFF"/>
              <w:bottom w:val="single" w:sz="2" w:space="0" w:color="73777A"/>
              <w:right w:val="single" w:sz="8" w:space="0" w:color="FFFFFF"/>
            </w:tcBorders>
            <w:shd w:val="clear" w:color="auto" w:fill="EDEFF0"/>
            <w:tcMar>
              <w:right w:w="57" w:type="dxa"/>
            </w:tcMar>
          </w:tcPr>
          <w:p w14:paraId="1994EB76" w14:textId="77777777" w:rsidR="005B49BC" w:rsidRPr="00CA2CC1" w:rsidRDefault="005B49BC" w:rsidP="003B766D">
            <w:pPr>
              <w:pStyle w:val="TableParagraph"/>
              <w:jc w:val="left"/>
              <w:rPr>
                <w:rFonts w:cs="Calibri"/>
                <w:sz w:val="16"/>
              </w:rPr>
            </w:pPr>
          </w:p>
        </w:tc>
        <w:tc>
          <w:tcPr>
            <w:tcW w:w="1502" w:type="dxa"/>
            <w:tcBorders>
              <w:top w:val="single" w:sz="2" w:space="0" w:color="73777A"/>
              <w:left w:val="single" w:sz="8" w:space="0" w:color="FFFFFF"/>
              <w:bottom w:val="single" w:sz="2" w:space="0" w:color="73777A"/>
              <w:right w:val="single" w:sz="8" w:space="0" w:color="FFFFFF"/>
            </w:tcBorders>
            <w:shd w:val="clear" w:color="auto" w:fill="FFF0E7"/>
            <w:tcMar>
              <w:right w:w="57" w:type="dxa"/>
            </w:tcMar>
          </w:tcPr>
          <w:p w14:paraId="0119BCC7" w14:textId="77777777" w:rsidR="005B49BC" w:rsidRPr="00CA2CC1" w:rsidRDefault="005B49BC" w:rsidP="003B766D">
            <w:pPr>
              <w:pStyle w:val="TableParagraph"/>
              <w:jc w:val="left"/>
              <w:rPr>
                <w:rFonts w:cs="Calibri"/>
                <w:sz w:val="16"/>
              </w:rPr>
            </w:pPr>
          </w:p>
        </w:tc>
        <w:tc>
          <w:tcPr>
            <w:tcW w:w="1502" w:type="dxa"/>
            <w:tcBorders>
              <w:top w:val="single" w:sz="2" w:space="0" w:color="73777A"/>
              <w:left w:val="single" w:sz="8" w:space="0" w:color="FFFFFF"/>
              <w:bottom w:val="single" w:sz="2" w:space="0" w:color="73777A"/>
              <w:right w:val="nil"/>
            </w:tcBorders>
            <w:shd w:val="clear" w:color="auto" w:fill="EDEFF0"/>
            <w:tcMar>
              <w:right w:w="57" w:type="dxa"/>
            </w:tcMar>
          </w:tcPr>
          <w:p w14:paraId="536BC687" w14:textId="77777777" w:rsidR="005B49BC" w:rsidRPr="00CA2CC1" w:rsidRDefault="005B49BC" w:rsidP="003B766D">
            <w:pPr>
              <w:pStyle w:val="TableParagraph"/>
              <w:rPr>
                <w:rFonts w:cs="Calibri"/>
                <w:sz w:val="18"/>
              </w:rPr>
            </w:pPr>
            <w:r w:rsidRPr="00CA2CC1">
              <w:rPr>
                <w:rFonts w:cs="Calibri"/>
                <w:color w:val="414042"/>
                <w:spacing w:val="-2"/>
                <w:sz w:val="18"/>
              </w:rPr>
              <w:t>331,970</w:t>
            </w:r>
          </w:p>
        </w:tc>
      </w:tr>
      <w:tr w:rsidR="005B49BC" w:rsidRPr="00CA2CC1" w14:paraId="30F2D7CA" w14:textId="77777777" w:rsidTr="003F64F5">
        <w:trPr>
          <w:trHeight w:val="278"/>
        </w:trPr>
        <w:tc>
          <w:tcPr>
            <w:tcW w:w="3628" w:type="dxa"/>
            <w:tcBorders>
              <w:top w:val="single" w:sz="2" w:space="0" w:color="73777A"/>
              <w:left w:val="nil"/>
              <w:bottom w:val="single" w:sz="6" w:space="0" w:color="73777A"/>
              <w:right w:val="nil"/>
            </w:tcBorders>
          </w:tcPr>
          <w:p w14:paraId="2D13B16A" w14:textId="77777777" w:rsidR="005B49BC" w:rsidRPr="00CA2CC1" w:rsidRDefault="005B49BC" w:rsidP="003B766D">
            <w:pPr>
              <w:pStyle w:val="TableParagraph"/>
              <w:jc w:val="left"/>
              <w:rPr>
                <w:rFonts w:cs="Calibri"/>
                <w:sz w:val="18"/>
              </w:rPr>
            </w:pPr>
            <w:r w:rsidRPr="00CA2CC1">
              <w:rPr>
                <w:rFonts w:cs="Calibri"/>
                <w:color w:val="414042"/>
                <w:sz w:val="18"/>
              </w:rPr>
              <w:t>Total</w:t>
            </w:r>
            <w:r w:rsidRPr="00CA2CC1">
              <w:rPr>
                <w:rFonts w:cs="Calibri"/>
                <w:color w:val="414042"/>
                <w:spacing w:val="2"/>
                <w:sz w:val="18"/>
              </w:rPr>
              <w:t xml:space="preserve"> </w:t>
            </w:r>
            <w:r w:rsidRPr="00CA2CC1">
              <w:rPr>
                <w:rFonts w:cs="Calibri"/>
                <w:color w:val="414042"/>
                <w:sz w:val="18"/>
              </w:rPr>
              <w:t>commitments</w:t>
            </w:r>
            <w:r w:rsidRPr="00CA2CC1">
              <w:rPr>
                <w:rFonts w:cs="Calibri"/>
                <w:color w:val="414042"/>
                <w:spacing w:val="4"/>
                <w:sz w:val="18"/>
              </w:rPr>
              <w:t xml:space="preserve"> </w:t>
            </w:r>
            <w:r w:rsidRPr="00CA2CC1">
              <w:rPr>
                <w:rFonts w:cs="Calibri"/>
                <w:color w:val="414042"/>
                <w:sz w:val="18"/>
              </w:rPr>
              <w:t>(inclusive</w:t>
            </w:r>
            <w:r w:rsidRPr="00CA2CC1">
              <w:rPr>
                <w:rFonts w:cs="Calibri"/>
                <w:color w:val="414042"/>
                <w:spacing w:val="4"/>
                <w:sz w:val="18"/>
              </w:rPr>
              <w:t xml:space="preserve"> </w:t>
            </w:r>
            <w:r w:rsidRPr="00CA2CC1">
              <w:rPr>
                <w:rFonts w:cs="Calibri"/>
                <w:color w:val="414042"/>
                <w:sz w:val="18"/>
              </w:rPr>
              <w:t>of</w:t>
            </w:r>
            <w:r w:rsidRPr="00CA2CC1">
              <w:rPr>
                <w:rFonts w:cs="Calibri"/>
                <w:color w:val="414042"/>
                <w:spacing w:val="5"/>
                <w:sz w:val="18"/>
              </w:rPr>
              <w:t xml:space="preserve"> </w:t>
            </w:r>
            <w:r w:rsidRPr="00CA2CC1">
              <w:rPr>
                <w:rFonts w:cs="Calibri"/>
                <w:color w:val="414042"/>
                <w:spacing w:val="-4"/>
                <w:sz w:val="18"/>
              </w:rPr>
              <w:t>GST)</w:t>
            </w:r>
          </w:p>
        </w:tc>
        <w:tc>
          <w:tcPr>
            <w:tcW w:w="1502" w:type="dxa"/>
            <w:tcBorders>
              <w:top w:val="single" w:sz="2" w:space="0" w:color="73777A"/>
              <w:left w:val="nil"/>
              <w:bottom w:val="single" w:sz="6" w:space="0" w:color="73777A"/>
              <w:right w:val="single" w:sz="8" w:space="0" w:color="FFFFFF"/>
            </w:tcBorders>
            <w:shd w:val="clear" w:color="auto" w:fill="FFF0E7"/>
            <w:tcMar>
              <w:right w:w="57" w:type="dxa"/>
            </w:tcMar>
          </w:tcPr>
          <w:p w14:paraId="678A0A3E" w14:textId="77777777" w:rsidR="005B49BC" w:rsidRPr="00CA2CC1" w:rsidRDefault="005B49BC" w:rsidP="003B766D">
            <w:pPr>
              <w:pStyle w:val="TableParagraph"/>
              <w:rPr>
                <w:rFonts w:cs="Calibri"/>
                <w:sz w:val="18"/>
              </w:rPr>
            </w:pPr>
            <w:r w:rsidRPr="00CA2CC1">
              <w:rPr>
                <w:rFonts w:cs="Calibri"/>
                <w:color w:val="414042"/>
                <w:spacing w:val="-2"/>
                <w:sz w:val="18"/>
              </w:rPr>
              <w:t>331,970</w:t>
            </w:r>
          </w:p>
        </w:tc>
        <w:tc>
          <w:tcPr>
            <w:tcW w:w="1502" w:type="dxa"/>
            <w:tcBorders>
              <w:top w:val="single" w:sz="2" w:space="0" w:color="73777A"/>
              <w:left w:val="single" w:sz="8" w:space="0" w:color="FFFFFF"/>
              <w:bottom w:val="single" w:sz="6" w:space="0" w:color="73777A"/>
              <w:right w:val="single" w:sz="8" w:space="0" w:color="FFFFFF"/>
            </w:tcBorders>
            <w:shd w:val="clear" w:color="auto" w:fill="EDEFF0"/>
            <w:tcMar>
              <w:right w:w="57" w:type="dxa"/>
            </w:tcMar>
          </w:tcPr>
          <w:p w14:paraId="35B7EB74" w14:textId="77777777" w:rsidR="005B49BC" w:rsidRPr="00CA2CC1" w:rsidRDefault="005B49BC" w:rsidP="003B766D">
            <w:pPr>
              <w:pStyle w:val="TableParagraph"/>
              <w:rPr>
                <w:rFonts w:cs="Calibri"/>
                <w:sz w:val="18"/>
              </w:rPr>
            </w:pPr>
            <w:r w:rsidRPr="00CA2CC1">
              <w:rPr>
                <w:rFonts w:cs="Calibri"/>
                <w:color w:val="414042"/>
                <w:sz w:val="18"/>
              </w:rPr>
              <w:t>-</w:t>
            </w:r>
          </w:p>
        </w:tc>
        <w:tc>
          <w:tcPr>
            <w:tcW w:w="1502" w:type="dxa"/>
            <w:tcBorders>
              <w:top w:val="single" w:sz="2" w:space="0" w:color="73777A"/>
              <w:left w:val="single" w:sz="8" w:space="0" w:color="FFFFFF"/>
              <w:bottom w:val="single" w:sz="6" w:space="0" w:color="73777A"/>
              <w:right w:val="single" w:sz="8" w:space="0" w:color="FFFFFF"/>
            </w:tcBorders>
            <w:shd w:val="clear" w:color="auto" w:fill="FFF0E7"/>
            <w:tcMar>
              <w:right w:w="57" w:type="dxa"/>
            </w:tcMar>
          </w:tcPr>
          <w:p w14:paraId="6BD08F70" w14:textId="77777777" w:rsidR="005B49BC" w:rsidRPr="00CA2CC1" w:rsidRDefault="005B49BC" w:rsidP="003B766D">
            <w:pPr>
              <w:pStyle w:val="TableParagraph"/>
              <w:rPr>
                <w:rFonts w:cs="Calibri"/>
                <w:sz w:val="18"/>
              </w:rPr>
            </w:pPr>
            <w:r w:rsidRPr="00CA2CC1">
              <w:rPr>
                <w:rFonts w:cs="Calibri"/>
                <w:color w:val="414042"/>
                <w:sz w:val="18"/>
              </w:rPr>
              <w:t>-</w:t>
            </w:r>
          </w:p>
        </w:tc>
        <w:tc>
          <w:tcPr>
            <w:tcW w:w="1502" w:type="dxa"/>
            <w:tcBorders>
              <w:top w:val="single" w:sz="2" w:space="0" w:color="73777A"/>
              <w:left w:val="single" w:sz="8" w:space="0" w:color="FFFFFF"/>
              <w:bottom w:val="single" w:sz="6" w:space="0" w:color="73777A"/>
              <w:right w:val="nil"/>
            </w:tcBorders>
            <w:shd w:val="clear" w:color="auto" w:fill="EDEFF0"/>
            <w:tcMar>
              <w:right w:w="57" w:type="dxa"/>
            </w:tcMar>
          </w:tcPr>
          <w:p w14:paraId="3B1BB4C6" w14:textId="77777777" w:rsidR="005B49BC" w:rsidRPr="00CA2CC1" w:rsidRDefault="005B49BC" w:rsidP="003B766D">
            <w:pPr>
              <w:pStyle w:val="TableParagraph"/>
              <w:rPr>
                <w:rFonts w:cs="Calibri"/>
                <w:sz w:val="18"/>
              </w:rPr>
            </w:pPr>
            <w:r w:rsidRPr="00CA2CC1">
              <w:rPr>
                <w:rFonts w:cs="Calibri"/>
                <w:color w:val="414042"/>
                <w:spacing w:val="-2"/>
                <w:sz w:val="18"/>
              </w:rPr>
              <w:t>331,970</w:t>
            </w:r>
          </w:p>
        </w:tc>
      </w:tr>
      <w:tr w:rsidR="005B49BC" w:rsidRPr="00CA2CC1" w14:paraId="4EF38182" w14:textId="77777777" w:rsidTr="003F64F5">
        <w:trPr>
          <w:trHeight w:val="273"/>
        </w:trPr>
        <w:tc>
          <w:tcPr>
            <w:tcW w:w="3628" w:type="dxa"/>
            <w:tcBorders>
              <w:top w:val="single" w:sz="6" w:space="0" w:color="73777A"/>
              <w:left w:val="nil"/>
              <w:bottom w:val="single" w:sz="6" w:space="0" w:color="73777A"/>
              <w:right w:val="nil"/>
            </w:tcBorders>
          </w:tcPr>
          <w:p w14:paraId="6F4D1B46" w14:textId="77777777" w:rsidR="005B49BC" w:rsidRPr="00CA2CC1" w:rsidRDefault="005B49BC" w:rsidP="003B766D">
            <w:pPr>
              <w:pStyle w:val="TableParagraph"/>
              <w:jc w:val="left"/>
              <w:rPr>
                <w:rFonts w:cs="Calibri"/>
                <w:i/>
                <w:sz w:val="18"/>
              </w:rPr>
            </w:pPr>
            <w:r w:rsidRPr="00CA2CC1">
              <w:rPr>
                <w:rFonts w:cs="Calibri"/>
                <w:i/>
                <w:color w:val="414042"/>
                <w:sz w:val="18"/>
              </w:rPr>
              <w:t>Less</w:t>
            </w:r>
            <w:r w:rsidRPr="00CA2CC1">
              <w:rPr>
                <w:rFonts w:cs="Calibri"/>
                <w:i/>
                <w:color w:val="414042"/>
                <w:spacing w:val="-5"/>
                <w:sz w:val="18"/>
              </w:rPr>
              <w:t xml:space="preserve"> </w:t>
            </w:r>
            <w:r w:rsidRPr="00CA2CC1">
              <w:rPr>
                <w:rFonts w:cs="Calibri"/>
                <w:i/>
                <w:color w:val="414042"/>
                <w:sz w:val="18"/>
              </w:rPr>
              <w:t>GST</w:t>
            </w:r>
            <w:r w:rsidRPr="00CA2CC1">
              <w:rPr>
                <w:rFonts w:cs="Calibri"/>
                <w:i/>
                <w:color w:val="414042"/>
                <w:spacing w:val="-2"/>
                <w:sz w:val="18"/>
              </w:rPr>
              <w:t xml:space="preserve"> recoverable</w:t>
            </w:r>
          </w:p>
        </w:tc>
        <w:tc>
          <w:tcPr>
            <w:tcW w:w="1502" w:type="dxa"/>
            <w:tcBorders>
              <w:top w:val="single" w:sz="6" w:space="0" w:color="73777A"/>
              <w:left w:val="nil"/>
              <w:bottom w:val="single" w:sz="6" w:space="0" w:color="73777A"/>
              <w:right w:val="single" w:sz="8" w:space="0" w:color="FFFFFF"/>
            </w:tcBorders>
            <w:shd w:val="clear" w:color="auto" w:fill="FFF0E7"/>
            <w:tcMar>
              <w:right w:w="57" w:type="dxa"/>
            </w:tcMar>
          </w:tcPr>
          <w:p w14:paraId="7C1C43CA" w14:textId="77777777" w:rsidR="005B49BC" w:rsidRPr="00CA2CC1" w:rsidRDefault="005B49BC" w:rsidP="003B766D">
            <w:pPr>
              <w:pStyle w:val="TableParagraph"/>
              <w:rPr>
                <w:rFonts w:cs="Calibri"/>
                <w:sz w:val="18"/>
              </w:rPr>
            </w:pPr>
            <w:r w:rsidRPr="00CA2CC1">
              <w:rPr>
                <w:rFonts w:cs="Calibri"/>
                <w:color w:val="414042"/>
                <w:spacing w:val="-2"/>
                <w:sz w:val="18"/>
              </w:rPr>
              <w:t>(30,179)</w:t>
            </w:r>
          </w:p>
        </w:tc>
        <w:tc>
          <w:tcPr>
            <w:tcW w:w="1502" w:type="dxa"/>
            <w:tcBorders>
              <w:top w:val="single" w:sz="6" w:space="0" w:color="73777A"/>
              <w:left w:val="single" w:sz="8" w:space="0" w:color="FFFFFF"/>
              <w:bottom w:val="single" w:sz="6" w:space="0" w:color="73777A"/>
              <w:right w:val="single" w:sz="8" w:space="0" w:color="FFFFFF"/>
            </w:tcBorders>
            <w:shd w:val="clear" w:color="auto" w:fill="EDEFF0"/>
            <w:tcMar>
              <w:right w:w="57" w:type="dxa"/>
            </w:tcMar>
          </w:tcPr>
          <w:p w14:paraId="636183DB" w14:textId="77777777" w:rsidR="005B49BC" w:rsidRPr="00CA2CC1" w:rsidRDefault="005B49BC" w:rsidP="003B766D">
            <w:pPr>
              <w:pStyle w:val="TableParagraph"/>
              <w:rPr>
                <w:rFonts w:cs="Calibri"/>
                <w:sz w:val="18"/>
              </w:rPr>
            </w:pPr>
            <w:r w:rsidRPr="00CA2CC1">
              <w:rPr>
                <w:rFonts w:cs="Calibri"/>
                <w:color w:val="414042"/>
                <w:sz w:val="18"/>
              </w:rPr>
              <w:t>-</w:t>
            </w:r>
          </w:p>
        </w:tc>
        <w:tc>
          <w:tcPr>
            <w:tcW w:w="1502" w:type="dxa"/>
            <w:tcBorders>
              <w:top w:val="single" w:sz="6" w:space="0" w:color="73777A"/>
              <w:left w:val="single" w:sz="8" w:space="0" w:color="FFFFFF"/>
              <w:bottom w:val="single" w:sz="6" w:space="0" w:color="73777A"/>
              <w:right w:val="single" w:sz="8" w:space="0" w:color="FFFFFF"/>
            </w:tcBorders>
            <w:shd w:val="clear" w:color="auto" w:fill="FFF0E7"/>
            <w:tcMar>
              <w:right w:w="57" w:type="dxa"/>
            </w:tcMar>
          </w:tcPr>
          <w:p w14:paraId="2F0C62EB" w14:textId="77777777" w:rsidR="005B49BC" w:rsidRPr="00CA2CC1" w:rsidRDefault="005B49BC" w:rsidP="003B766D">
            <w:pPr>
              <w:pStyle w:val="TableParagraph"/>
              <w:rPr>
                <w:rFonts w:cs="Calibri"/>
                <w:sz w:val="18"/>
              </w:rPr>
            </w:pPr>
            <w:r w:rsidRPr="00CA2CC1">
              <w:rPr>
                <w:rFonts w:cs="Calibri"/>
                <w:color w:val="414042"/>
                <w:sz w:val="18"/>
              </w:rPr>
              <w:t>-</w:t>
            </w:r>
          </w:p>
        </w:tc>
        <w:tc>
          <w:tcPr>
            <w:tcW w:w="1502" w:type="dxa"/>
            <w:tcBorders>
              <w:top w:val="single" w:sz="6" w:space="0" w:color="73777A"/>
              <w:left w:val="single" w:sz="8" w:space="0" w:color="FFFFFF"/>
              <w:bottom w:val="single" w:sz="6" w:space="0" w:color="73777A"/>
              <w:right w:val="nil"/>
            </w:tcBorders>
            <w:shd w:val="clear" w:color="auto" w:fill="EDEFF0"/>
            <w:tcMar>
              <w:right w:w="57" w:type="dxa"/>
            </w:tcMar>
          </w:tcPr>
          <w:p w14:paraId="093B9C9A" w14:textId="77777777" w:rsidR="005B49BC" w:rsidRPr="00CA2CC1" w:rsidRDefault="005B49BC" w:rsidP="003B766D">
            <w:pPr>
              <w:pStyle w:val="TableParagraph"/>
              <w:rPr>
                <w:rFonts w:cs="Calibri"/>
                <w:sz w:val="18"/>
              </w:rPr>
            </w:pPr>
            <w:r w:rsidRPr="00CA2CC1">
              <w:rPr>
                <w:rFonts w:cs="Calibri"/>
                <w:color w:val="414042"/>
                <w:spacing w:val="-2"/>
                <w:sz w:val="18"/>
              </w:rPr>
              <w:t>(30,179)</w:t>
            </w:r>
          </w:p>
        </w:tc>
      </w:tr>
      <w:tr w:rsidR="005B49BC" w:rsidRPr="00CA2CC1" w14:paraId="1D067B09" w14:textId="77777777" w:rsidTr="003F64F5">
        <w:trPr>
          <w:trHeight w:val="258"/>
        </w:trPr>
        <w:tc>
          <w:tcPr>
            <w:tcW w:w="3628" w:type="dxa"/>
            <w:tcBorders>
              <w:top w:val="single" w:sz="6" w:space="0" w:color="73777A"/>
              <w:left w:val="nil"/>
              <w:bottom w:val="double" w:sz="6" w:space="0" w:color="73777A"/>
              <w:right w:val="nil"/>
            </w:tcBorders>
          </w:tcPr>
          <w:p w14:paraId="6EBC2F97" w14:textId="77777777" w:rsidR="005B49BC" w:rsidRPr="00CA2CC1" w:rsidRDefault="005B49BC" w:rsidP="003B766D">
            <w:pPr>
              <w:pStyle w:val="TableParagraph"/>
              <w:jc w:val="left"/>
              <w:rPr>
                <w:rFonts w:cs="Calibri"/>
                <w:sz w:val="18"/>
              </w:rPr>
            </w:pPr>
            <w:r w:rsidRPr="00CA2CC1">
              <w:rPr>
                <w:rFonts w:cs="Calibri"/>
                <w:color w:val="414042"/>
                <w:sz w:val="18"/>
              </w:rPr>
              <w:t>Total</w:t>
            </w:r>
            <w:r w:rsidRPr="00CA2CC1">
              <w:rPr>
                <w:rFonts w:cs="Calibri"/>
                <w:color w:val="414042"/>
                <w:spacing w:val="-2"/>
                <w:sz w:val="18"/>
              </w:rPr>
              <w:t xml:space="preserve"> </w:t>
            </w:r>
            <w:r w:rsidRPr="00CA2CC1">
              <w:rPr>
                <w:rFonts w:cs="Calibri"/>
                <w:color w:val="414042"/>
                <w:sz w:val="18"/>
              </w:rPr>
              <w:t>commitments</w:t>
            </w:r>
            <w:r w:rsidRPr="00CA2CC1">
              <w:rPr>
                <w:rFonts w:cs="Calibri"/>
                <w:color w:val="414042"/>
                <w:spacing w:val="1"/>
                <w:sz w:val="18"/>
              </w:rPr>
              <w:t xml:space="preserve"> </w:t>
            </w:r>
            <w:r w:rsidRPr="00CA2CC1">
              <w:rPr>
                <w:rFonts w:cs="Calibri"/>
                <w:color w:val="414042"/>
                <w:sz w:val="18"/>
              </w:rPr>
              <w:t>(exclusive</w:t>
            </w:r>
            <w:r w:rsidRPr="00CA2CC1">
              <w:rPr>
                <w:rFonts w:cs="Calibri"/>
                <w:color w:val="414042"/>
                <w:spacing w:val="1"/>
                <w:sz w:val="18"/>
              </w:rPr>
              <w:t xml:space="preserve"> </w:t>
            </w:r>
            <w:r w:rsidRPr="00CA2CC1">
              <w:rPr>
                <w:rFonts w:cs="Calibri"/>
                <w:color w:val="414042"/>
                <w:sz w:val="18"/>
              </w:rPr>
              <w:t>of</w:t>
            </w:r>
            <w:r w:rsidRPr="00CA2CC1">
              <w:rPr>
                <w:rFonts w:cs="Calibri"/>
                <w:color w:val="414042"/>
                <w:spacing w:val="2"/>
                <w:sz w:val="18"/>
              </w:rPr>
              <w:t xml:space="preserve"> </w:t>
            </w:r>
            <w:r w:rsidRPr="00CA2CC1">
              <w:rPr>
                <w:rFonts w:cs="Calibri"/>
                <w:color w:val="414042"/>
                <w:spacing w:val="-4"/>
                <w:sz w:val="18"/>
              </w:rPr>
              <w:t>GST)</w:t>
            </w:r>
          </w:p>
        </w:tc>
        <w:tc>
          <w:tcPr>
            <w:tcW w:w="1502" w:type="dxa"/>
            <w:tcBorders>
              <w:top w:val="single" w:sz="6" w:space="0" w:color="73777A"/>
              <w:left w:val="nil"/>
              <w:bottom w:val="double" w:sz="4" w:space="0" w:color="73777A"/>
              <w:right w:val="single" w:sz="8" w:space="0" w:color="FFFFFF"/>
            </w:tcBorders>
            <w:shd w:val="clear" w:color="auto" w:fill="FFF0E7"/>
            <w:tcMar>
              <w:right w:w="57" w:type="dxa"/>
            </w:tcMar>
          </w:tcPr>
          <w:p w14:paraId="447AAC1E" w14:textId="77777777" w:rsidR="005B49BC" w:rsidRPr="00CA2CC1" w:rsidRDefault="005B49BC" w:rsidP="003B766D">
            <w:pPr>
              <w:pStyle w:val="TableParagraph"/>
              <w:rPr>
                <w:rFonts w:cs="Calibri"/>
                <w:sz w:val="18"/>
              </w:rPr>
            </w:pPr>
            <w:r w:rsidRPr="00CA2CC1">
              <w:rPr>
                <w:rFonts w:cs="Calibri"/>
                <w:color w:val="414042"/>
                <w:spacing w:val="-2"/>
                <w:sz w:val="18"/>
              </w:rPr>
              <w:t>301,791</w:t>
            </w:r>
          </w:p>
        </w:tc>
        <w:tc>
          <w:tcPr>
            <w:tcW w:w="1502" w:type="dxa"/>
            <w:tcBorders>
              <w:top w:val="single" w:sz="6" w:space="0" w:color="73777A"/>
              <w:left w:val="single" w:sz="8" w:space="0" w:color="FFFFFF"/>
              <w:bottom w:val="double" w:sz="4" w:space="0" w:color="73777A"/>
              <w:right w:val="single" w:sz="8" w:space="0" w:color="FFFFFF"/>
            </w:tcBorders>
            <w:shd w:val="clear" w:color="auto" w:fill="EDEFF0"/>
            <w:tcMar>
              <w:right w:w="57" w:type="dxa"/>
            </w:tcMar>
          </w:tcPr>
          <w:p w14:paraId="3129C2E8" w14:textId="77777777" w:rsidR="005B49BC" w:rsidRPr="00CA2CC1" w:rsidRDefault="005B49BC" w:rsidP="003B766D">
            <w:pPr>
              <w:pStyle w:val="TableParagraph"/>
              <w:rPr>
                <w:rFonts w:cs="Calibri"/>
                <w:sz w:val="18"/>
              </w:rPr>
            </w:pPr>
            <w:r w:rsidRPr="00CA2CC1">
              <w:rPr>
                <w:rFonts w:cs="Calibri"/>
                <w:color w:val="414042"/>
                <w:sz w:val="18"/>
              </w:rPr>
              <w:t>-</w:t>
            </w:r>
          </w:p>
        </w:tc>
        <w:tc>
          <w:tcPr>
            <w:tcW w:w="1502" w:type="dxa"/>
            <w:tcBorders>
              <w:top w:val="single" w:sz="6" w:space="0" w:color="73777A"/>
              <w:left w:val="single" w:sz="8" w:space="0" w:color="FFFFFF"/>
              <w:bottom w:val="double" w:sz="4" w:space="0" w:color="73777A"/>
              <w:right w:val="single" w:sz="8" w:space="0" w:color="FFFFFF"/>
            </w:tcBorders>
            <w:shd w:val="clear" w:color="auto" w:fill="FFF0E7"/>
            <w:tcMar>
              <w:right w:w="57" w:type="dxa"/>
            </w:tcMar>
          </w:tcPr>
          <w:p w14:paraId="2A27071D" w14:textId="77777777" w:rsidR="005B49BC" w:rsidRPr="00CA2CC1" w:rsidRDefault="005B49BC" w:rsidP="003B766D">
            <w:pPr>
              <w:pStyle w:val="TableParagraph"/>
              <w:rPr>
                <w:rFonts w:cs="Calibri"/>
                <w:sz w:val="18"/>
              </w:rPr>
            </w:pPr>
            <w:r w:rsidRPr="00CA2CC1">
              <w:rPr>
                <w:rFonts w:cs="Calibri"/>
                <w:color w:val="414042"/>
                <w:sz w:val="18"/>
              </w:rPr>
              <w:t>-</w:t>
            </w:r>
          </w:p>
        </w:tc>
        <w:tc>
          <w:tcPr>
            <w:tcW w:w="1502" w:type="dxa"/>
            <w:tcBorders>
              <w:top w:val="single" w:sz="6" w:space="0" w:color="73777A"/>
              <w:left w:val="single" w:sz="8" w:space="0" w:color="FFFFFF"/>
              <w:bottom w:val="double" w:sz="4" w:space="0" w:color="73777A"/>
              <w:right w:val="nil"/>
            </w:tcBorders>
            <w:shd w:val="clear" w:color="auto" w:fill="EDEFF0"/>
            <w:tcMar>
              <w:right w:w="57" w:type="dxa"/>
            </w:tcMar>
          </w:tcPr>
          <w:p w14:paraId="3648AC4B" w14:textId="77777777" w:rsidR="005B49BC" w:rsidRPr="00CA2CC1" w:rsidRDefault="005B49BC" w:rsidP="003B766D">
            <w:pPr>
              <w:pStyle w:val="TableParagraph"/>
              <w:rPr>
                <w:rFonts w:cs="Calibri"/>
                <w:sz w:val="18"/>
              </w:rPr>
            </w:pPr>
            <w:r w:rsidRPr="00CA2CC1">
              <w:rPr>
                <w:rFonts w:cs="Calibri"/>
                <w:color w:val="414042"/>
                <w:spacing w:val="-2"/>
                <w:sz w:val="18"/>
              </w:rPr>
              <w:t>301,791</w:t>
            </w:r>
          </w:p>
        </w:tc>
      </w:tr>
    </w:tbl>
    <w:p w14:paraId="1CAACE2E" w14:textId="77777777" w:rsidR="005B49BC" w:rsidRPr="00CA2CC1" w:rsidRDefault="005B49BC" w:rsidP="005B49BC">
      <w:pPr>
        <w:pStyle w:val="BodyText"/>
        <w:spacing w:before="149"/>
        <w:rPr>
          <w:rFonts w:cs="Calibri"/>
        </w:rPr>
      </w:pPr>
      <w:r w:rsidRPr="00CA2CC1">
        <w:rPr>
          <w:rFonts w:cs="Calibri"/>
          <w:color w:val="414042"/>
        </w:rPr>
        <w:t>Commitments for future expenditure include operating and</w:t>
      </w:r>
      <w:r w:rsidRPr="00CA2CC1">
        <w:rPr>
          <w:rFonts w:cs="Calibri"/>
          <w:color w:val="414042"/>
          <w:spacing w:val="-5"/>
        </w:rPr>
        <w:t xml:space="preserve"> </w:t>
      </w:r>
      <w:r w:rsidRPr="00CA2CC1">
        <w:rPr>
          <w:rFonts w:cs="Calibri"/>
          <w:color w:val="414042"/>
        </w:rPr>
        <w:t>capital</w:t>
      </w:r>
      <w:r w:rsidRPr="00CA2CC1">
        <w:rPr>
          <w:rFonts w:cs="Calibri"/>
          <w:color w:val="414042"/>
          <w:spacing w:val="-5"/>
        </w:rPr>
        <w:t xml:space="preserve"> </w:t>
      </w:r>
      <w:r w:rsidRPr="00CA2CC1">
        <w:rPr>
          <w:rFonts w:cs="Calibri"/>
          <w:color w:val="414042"/>
        </w:rPr>
        <w:t>commitments</w:t>
      </w:r>
      <w:r w:rsidRPr="00CA2CC1">
        <w:rPr>
          <w:rFonts w:cs="Calibri"/>
          <w:color w:val="414042"/>
          <w:spacing w:val="-5"/>
        </w:rPr>
        <w:t xml:space="preserve"> </w:t>
      </w:r>
      <w:r w:rsidRPr="00CA2CC1">
        <w:rPr>
          <w:rFonts w:cs="Calibri"/>
          <w:color w:val="414042"/>
        </w:rPr>
        <w:t>arising</w:t>
      </w:r>
      <w:r w:rsidRPr="00CA2CC1">
        <w:rPr>
          <w:rFonts w:cs="Calibri"/>
          <w:color w:val="414042"/>
          <w:spacing w:val="-5"/>
        </w:rPr>
        <w:t xml:space="preserve"> </w:t>
      </w:r>
      <w:r w:rsidRPr="00CA2CC1">
        <w:rPr>
          <w:rFonts w:cs="Calibri"/>
          <w:color w:val="414042"/>
        </w:rPr>
        <w:t>from</w:t>
      </w:r>
      <w:r w:rsidRPr="00CA2CC1">
        <w:rPr>
          <w:rFonts w:cs="Calibri"/>
          <w:color w:val="414042"/>
          <w:spacing w:val="-5"/>
        </w:rPr>
        <w:t xml:space="preserve"> </w:t>
      </w:r>
      <w:r w:rsidRPr="00CA2CC1">
        <w:rPr>
          <w:rFonts w:cs="Calibri"/>
          <w:color w:val="414042"/>
        </w:rPr>
        <w:t>contracts.</w:t>
      </w:r>
      <w:r w:rsidRPr="00CA2CC1">
        <w:rPr>
          <w:rFonts w:cs="Calibri"/>
          <w:color w:val="414042"/>
          <w:spacing w:val="-5"/>
        </w:rPr>
        <w:t xml:space="preserve"> </w:t>
      </w:r>
      <w:r w:rsidRPr="00CA2CC1">
        <w:rPr>
          <w:rFonts w:cs="Calibri"/>
          <w:color w:val="414042"/>
        </w:rPr>
        <w:t>These commitments</w:t>
      </w:r>
      <w:r w:rsidRPr="00CA2CC1">
        <w:rPr>
          <w:rFonts w:cs="Calibri"/>
          <w:color w:val="414042"/>
          <w:spacing w:val="-6"/>
        </w:rPr>
        <w:t xml:space="preserve"> </w:t>
      </w:r>
      <w:r w:rsidRPr="00CA2CC1">
        <w:rPr>
          <w:rFonts w:cs="Calibri"/>
          <w:color w:val="414042"/>
        </w:rPr>
        <w:t>are</w:t>
      </w:r>
      <w:r w:rsidRPr="00CA2CC1">
        <w:rPr>
          <w:rFonts w:cs="Calibri"/>
          <w:color w:val="414042"/>
          <w:spacing w:val="-6"/>
        </w:rPr>
        <w:t xml:space="preserve"> </w:t>
      </w:r>
      <w:r w:rsidRPr="00CA2CC1">
        <w:rPr>
          <w:rFonts w:cs="Calibri"/>
          <w:color w:val="414042"/>
        </w:rPr>
        <w:t>reported</w:t>
      </w:r>
      <w:r w:rsidRPr="00CA2CC1">
        <w:rPr>
          <w:rFonts w:cs="Calibri"/>
          <w:color w:val="414042"/>
          <w:spacing w:val="-6"/>
        </w:rPr>
        <w:t xml:space="preserve"> </w:t>
      </w:r>
      <w:r w:rsidRPr="00CA2CC1">
        <w:rPr>
          <w:rFonts w:cs="Calibri"/>
          <w:color w:val="414042"/>
        </w:rPr>
        <w:t>above</w:t>
      </w:r>
      <w:r w:rsidRPr="00CA2CC1">
        <w:rPr>
          <w:rFonts w:cs="Calibri"/>
          <w:color w:val="414042"/>
          <w:spacing w:val="-6"/>
        </w:rPr>
        <w:t xml:space="preserve"> </w:t>
      </w:r>
      <w:r w:rsidRPr="00CA2CC1">
        <w:rPr>
          <w:rFonts w:cs="Calibri"/>
          <w:color w:val="414042"/>
        </w:rPr>
        <w:t>at</w:t>
      </w:r>
      <w:r w:rsidRPr="00CA2CC1">
        <w:rPr>
          <w:rFonts w:cs="Calibri"/>
          <w:color w:val="414042"/>
          <w:spacing w:val="-6"/>
        </w:rPr>
        <w:t xml:space="preserve"> </w:t>
      </w:r>
      <w:r w:rsidRPr="00CA2CC1">
        <w:rPr>
          <w:rFonts w:cs="Calibri"/>
          <w:color w:val="414042"/>
        </w:rPr>
        <w:t>their</w:t>
      </w:r>
      <w:r w:rsidRPr="00CA2CC1">
        <w:rPr>
          <w:rFonts w:cs="Calibri"/>
          <w:color w:val="414042"/>
          <w:spacing w:val="-6"/>
        </w:rPr>
        <w:t xml:space="preserve"> </w:t>
      </w:r>
      <w:r w:rsidRPr="00CA2CC1">
        <w:rPr>
          <w:rFonts w:cs="Calibri"/>
          <w:color w:val="414042"/>
        </w:rPr>
        <w:t>nominal</w:t>
      </w:r>
      <w:r w:rsidRPr="00CA2CC1">
        <w:rPr>
          <w:rFonts w:cs="Calibri"/>
          <w:color w:val="414042"/>
          <w:spacing w:val="-6"/>
        </w:rPr>
        <w:t xml:space="preserve"> </w:t>
      </w:r>
      <w:r w:rsidRPr="00CA2CC1">
        <w:rPr>
          <w:rFonts w:cs="Calibri"/>
          <w:color w:val="414042"/>
        </w:rPr>
        <w:t>value and inclusive of GST.</w:t>
      </w:r>
    </w:p>
    <w:p w14:paraId="5FB4803E" w14:textId="77777777" w:rsidR="005B49BC" w:rsidRPr="00CA2CC1" w:rsidRDefault="005B49BC" w:rsidP="005B49BC">
      <w:pPr>
        <w:rPr>
          <w:rFonts w:cs="Calibri"/>
          <w:color w:val="000000" w:themeColor="text1"/>
          <w:szCs w:val="18"/>
        </w:rPr>
      </w:pPr>
      <w:bookmarkStart w:id="129" w:name="_bookmark77"/>
      <w:bookmarkEnd w:id="129"/>
      <w:r w:rsidRPr="00CA2CC1">
        <w:rPr>
          <w:rFonts w:cs="Calibri"/>
        </w:rPr>
        <w:br w:type="page"/>
      </w:r>
    </w:p>
    <w:p w14:paraId="607151FB" w14:textId="77777777" w:rsidR="005B49BC" w:rsidRPr="00CA2CC1" w:rsidRDefault="005B49BC" w:rsidP="0043303B">
      <w:pPr>
        <w:pStyle w:val="BodyText"/>
        <w:rPr>
          <w:rFonts w:cs="Calibri"/>
        </w:rPr>
        <w:sectPr w:rsidR="005B49BC" w:rsidRPr="00CA2CC1" w:rsidSect="00405B9A">
          <w:type w:val="continuous"/>
          <w:pgSz w:w="11910" w:h="16840"/>
          <w:pgMar w:top="1134" w:right="1278" w:bottom="1134" w:left="1134" w:header="720" w:footer="720" w:gutter="0"/>
          <w:cols w:space="720"/>
        </w:sectPr>
      </w:pPr>
    </w:p>
    <w:p w14:paraId="3098DA20" w14:textId="77777777" w:rsidR="00FA4226" w:rsidRPr="005B49BC" w:rsidRDefault="00000000" w:rsidP="0043303B">
      <w:pPr>
        <w:pStyle w:val="Heading3"/>
        <w:numPr>
          <w:ilvl w:val="0"/>
          <w:numId w:val="15"/>
        </w:numPr>
        <w:spacing w:before="36"/>
        <w:ind w:left="0" w:firstLine="0"/>
        <w:rPr>
          <w:rFonts w:cs="Calibri"/>
          <w:color w:val="000000" w:themeColor="text1"/>
        </w:rPr>
      </w:pPr>
      <w:r w:rsidRPr="005B49BC">
        <w:rPr>
          <w:rFonts w:cs="Calibri"/>
          <w:color w:val="000000" w:themeColor="text1"/>
        </w:rPr>
        <w:t xml:space="preserve">Risks, contingencies and valuation </w:t>
      </w:r>
      <w:r w:rsidRPr="005B49BC">
        <w:rPr>
          <w:rFonts w:cs="Calibri"/>
          <w:color w:val="000000" w:themeColor="text1"/>
          <w:spacing w:val="-2"/>
        </w:rPr>
        <w:t>judgements</w:t>
      </w:r>
    </w:p>
    <w:p w14:paraId="71775009" w14:textId="165466AF" w:rsidR="00FA4226" w:rsidRPr="005B49BC" w:rsidRDefault="00FA4226" w:rsidP="0043303B">
      <w:pPr>
        <w:pStyle w:val="BodyText"/>
        <w:spacing w:before="6"/>
        <w:rPr>
          <w:rFonts w:cs="Calibri"/>
        </w:rPr>
        <w:sectPr w:rsidR="00FA4226" w:rsidRPr="005B49BC" w:rsidSect="00E941A5">
          <w:pgSz w:w="11910" w:h="16840"/>
          <w:pgMar w:top="1134" w:right="1278" w:bottom="1134" w:left="1134" w:header="720" w:footer="720" w:gutter="0"/>
          <w:cols w:space="720"/>
        </w:sectPr>
      </w:pPr>
    </w:p>
    <w:p w14:paraId="3106F1B5" w14:textId="01BC9D58" w:rsidR="00FF4142" w:rsidRPr="005B49BC" w:rsidRDefault="00FF4142" w:rsidP="0043303B">
      <w:pPr>
        <w:pStyle w:val="BodyText"/>
        <w:spacing w:before="87"/>
        <w:rPr>
          <w:rFonts w:cs="Calibri"/>
        </w:rPr>
      </w:pPr>
      <w:r w:rsidRPr="005B49BC">
        <w:rPr>
          <w:rFonts w:cs="Calibri"/>
        </w:rPr>
        <w:t>Introduction</w:t>
      </w:r>
    </w:p>
    <w:p w14:paraId="6D269A41" w14:textId="0C0979A7" w:rsidR="00FA4226" w:rsidRPr="005B49BC" w:rsidRDefault="00000000" w:rsidP="0043303B">
      <w:pPr>
        <w:pStyle w:val="BodyText"/>
        <w:spacing w:before="87"/>
        <w:rPr>
          <w:rFonts w:cs="Calibri"/>
        </w:rPr>
      </w:pPr>
      <w:r w:rsidRPr="005B49BC">
        <w:rPr>
          <w:rFonts w:cs="Calibri"/>
        </w:rPr>
        <w:t>Infrastructure Victoria is exposed to risk from its activities and outside factors. In addition, it is often necessary</w:t>
      </w:r>
      <w:r w:rsidR="00FF4142" w:rsidRPr="005B49BC">
        <w:rPr>
          <w:rFonts w:cs="Calibri"/>
        </w:rPr>
        <w:t xml:space="preserve"> </w:t>
      </w:r>
      <w:r w:rsidRPr="005B49BC">
        <w:rPr>
          <w:rFonts w:cs="Calibri"/>
        </w:rPr>
        <w:t>to make judgements and estimates associated with recognition and measurement of items in the financial statements. This section sets out financial instrument specific information (including exposures to financial risks) as well as those items that are contingent in nature or require a higher level of judgement to be applied.</w:t>
      </w:r>
    </w:p>
    <w:p w14:paraId="034E750B" w14:textId="1ABA25F4" w:rsidR="00184E8E" w:rsidRPr="005B49BC" w:rsidRDefault="00184E8E" w:rsidP="0043303B">
      <w:pPr>
        <w:pStyle w:val="BodyText"/>
        <w:spacing w:before="87"/>
        <w:rPr>
          <w:rFonts w:cs="Calibri"/>
        </w:rPr>
      </w:pPr>
      <w:r w:rsidRPr="005B49BC">
        <w:rPr>
          <w:rFonts w:cs="Calibri"/>
        </w:rPr>
        <w:t>Structure</w:t>
      </w:r>
    </w:p>
    <w:p w14:paraId="59F4FE27" w14:textId="77777777" w:rsidR="0061713D" w:rsidRPr="005B49BC" w:rsidRDefault="0061713D" w:rsidP="0043303B">
      <w:pPr>
        <w:pStyle w:val="ListParagraph"/>
        <w:numPr>
          <w:ilvl w:val="1"/>
          <w:numId w:val="15"/>
        </w:numPr>
        <w:tabs>
          <w:tab w:val="left" w:pos="523"/>
        </w:tabs>
        <w:spacing w:before="64"/>
        <w:ind w:left="0" w:firstLine="0"/>
        <w:rPr>
          <w:rFonts w:cs="Calibri"/>
          <w:szCs w:val="22"/>
        </w:rPr>
      </w:pPr>
      <w:r w:rsidRPr="005B49BC">
        <w:rPr>
          <w:rFonts w:cs="Calibri"/>
          <w:szCs w:val="22"/>
        </w:rPr>
        <w:t>Financial</w:t>
      </w:r>
      <w:r w:rsidRPr="005B49BC">
        <w:rPr>
          <w:rFonts w:cs="Calibri"/>
          <w:spacing w:val="10"/>
          <w:szCs w:val="22"/>
        </w:rPr>
        <w:t xml:space="preserve"> </w:t>
      </w:r>
      <w:r w:rsidRPr="005B49BC">
        <w:rPr>
          <w:rFonts w:cs="Calibri"/>
          <w:szCs w:val="22"/>
        </w:rPr>
        <w:t>instruments</w:t>
      </w:r>
      <w:r w:rsidRPr="005B49BC">
        <w:rPr>
          <w:rFonts w:cs="Calibri"/>
          <w:spacing w:val="10"/>
          <w:szCs w:val="22"/>
        </w:rPr>
        <w:t xml:space="preserve"> </w:t>
      </w:r>
      <w:r w:rsidRPr="005B49BC">
        <w:rPr>
          <w:rFonts w:cs="Calibri"/>
          <w:szCs w:val="22"/>
        </w:rPr>
        <w:t>specific</w:t>
      </w:r>
      <w:r w:rsidRPr="005B49BC">
        <w:rPr>
          <w:rFonts w:cs="Calibri"/>
          <w:spacing w:val="10"/>
          <w:szCs w:val="22"/>
        </w:rPr>
        <w:t xml:space="preserve"> </w:t>
      </w:r>
      <w:r w:rsidRPr="005B49BC">
        <w:rPr>
          <w:rFonts w:cs="Calibri"/>
          <w:spacing w:val="-2"/>
          <w:szCs w:val="22"/>
        </w:rPr>
        <w:t>disclosures</w:t>
      </w:r>
    </w:p>
    <w:p w14:paraId="26C6FA8E" w14:textId="77777777" w:rsidR="0061713D" w:rsidRPr="005B49BC" w:rsidRDefault="0061713D" w:rsidP="0043303B">
      <w:pPr>
        <w:pStyle w:val="ListParagraph"/>
        <w:numPr>
          <w:ilvl w:val="1"/>
          <w:numId w:val="15"/>
        </w:numPr>
        <w:tabs>
          <w:tab w:val="left" w:pos="543"/>
        </w:tabs>
        <w:spacing w:before="85"/>
        <w:ind w:left="0" w:firstLine="0"/>
        <w:rPr>
          <w:rFonts w:cs="Calibri"/>
          <w:szCs w:val="22"/>
        </w:rPr>
        <w:sectPr w:rsidR="0061713D" w:rsidRPr="005B49BC" w:rsidSect="00E941A5">
          <w:type w:val="continuous"/>
          <w:pgSz w:w="11910" w:h="16840"/>
          <w:pgMar w:top="1134" w:right="1278" w:bottom="1134" w:left="1134" w:header="720" w:footer="720" w:gutter="0"/>
          <w:cols w:space="720"/>
        </w:sectPr>
      </w:pPr>
      <w:r w:rsidRPr="005B49BC">
        <w:rPr>
          <w:rFonts w:cs="Calibri"/>
          <w:szCs w:val="22"/>
        </w:rPr>
        <w:t>Contingent</w:t>
      </w:r>
      <w:r w:rsidRPr="005B49BC">
        <w:rPr>
          <w:rFonts w:cs="Calibri"/>
          <w:spacing w:val="4"/>
          <w:szCs w:val="22"/>
        </w:rPr>
        <w:t xml:space="preserve"> </w:t>
      </w:r>
      <w:r w:rsidRPr="005B49BC">
        <w:rPr>
          <w:rFonts w:cs="Calibri"/>
          <w:szCs w:val="22"/>
        </w:rPr>
        <w:t>assets</w:t>
      </w:r>
      <w:r w:rsidRPr="005B49BC">
        <w:rPr>
          <w:rFonts w:cs="Calibri"/>
          <w:spacing w:val="7"/>
          <w:szCs w:val="22"/>
        </w:rPr>
        <w:t xml:space="preserve"> </w:t>
      </w:r>
      <w:r w:rsidRPr="005B49BC">
        <w:rPr>
          <w:rFonts w:cs="Calibri"/>
          <w:szCs w:val="22"/>
        </w:rPr>
        <w:t>and</w:t>
      </w:r>
      <w:r w:rsidRPr="005B49BC">
        <w:rPr>
          <w:rFonts w:cs="Calibri"/>
          <w:spacing w:val="6"/>
          <w:szCs w:val="22"/>
        </w:rPr>
        <w:t xml:space="preserve"> </w:t>
      </w:r>
      <w:r w:rsidRPr="005B49BC">
        <w:rPr>
          <w:rFonts w:cs="Calibri"/>
          <w:szCs w:val="22"/>
        </w:rPr>
        <w:t>contingent</w:t>
      </w:r>
      <w:r w:rsidRPr="005B49BC">
        <w:rPr>
          <w:rFonts w:cs="Calibri"/>
          <w:spacing w:val="7"/>
          <w:szCs w:val="22"/>
        </w:rPr>
        <w:t xml:space="preserve"> </w:t>
      </w:r>
      <w:r w:rsidRPr="005B49BC">
        <w:rPr>
          <w:rFonts w:cs="Calibri"/>
          <w:spacing w:val="-2"/>
          <w:szCs w:val="22"/>
        </w:rPr>
        <w:t>liabilities</w:t>
      </w:r>
    </w:p>
    <w:p w14:paraId="6E68209C" w14:textId="286AFFA3" w:rsidR="00FA4226" w:rsidRPr="005B49BC" w:rsidRDefault="00FA4226" w:rsidP="0043303B">
      <w:pPr>
        <w:pStyle w:val="ListParagraph"/>
        <w:tabs>
          <w:tab w:val="left" w:pos="523"/>
        </w:tabs>
        <w:spacing w:before="12"/>
        <w:ind w:left="0" w:firstLine="0"/>
        <w:rPr>
          <w:rFonts w:cs="Calibri"/>
          <w:sz w:val="15"/>
        </w:rPr>
      </w:pPr>
    </w:p>
    <w:p w14:paraId="2BB7F03E" w14:textId="77777777" w:rsidR="00FA4226" w:rsidRPr="005B49BC" w:rsidRDefault="00FA4226" w:rsidP="0043303B">
      <w:pPr>
        <w:rPr>
          <w:rFonts w:cs="Calibri"/>
          <w:color w:val="000000" w:themeColor="text1"/>
          <w:sz w:val="15"/>
        </w:rPr>
        <w:sectPr w:rsidR="00FA4226" w:rsidRPr="005B49BC" w:rsidSect="00E941A5">
          <w:type w:val="continuous"/>
          <w:pgSz w:w="11910" w:h="16840"/>
          <w:pgMar w:top="1134" w:right="1278" w:bottom="1134" w:left="1134" w:header="720" w:footer="720" w:gutter="0"/>
          <w:cols w:space="720"/>
        </w:sectPr>
      </w:pPr>
    </w:p>
    <w:p w14:paraId="4A883FD5" w14:textId="77777777" w:rsidR="00FA4226" w:rsidRPr="005B49BC" w:rsidRDefault="00000000" w:rsidP="0043303B">
      <w:pPr>
        <w:pStyle w:val="Heading7"/>
        <w:numPr>
          <w:ilvl w:val="1"/>
          <w:numId w:val="7"/>
        </w:numPr>
        <w:spacing w:before="60"/>
        <w:ind w:left="0" w:firstLine="0"/>
        <w:rPr>
          <w:rFonts w:cs="Calibri"/>
          <w:color w:val="000000" w:themeColor="text1"/>
        </w:rPr>
      </w:pPr>
      <w:r w:rsidRPr="005B49BC">
        <w:rPr>
          <w:rFonts w:cs="Calibri"/>
          <w:color w:val="000000" w:themeColor="text1"/>
        </w:rPr>
        <w:t xml:space="preserve">Financial instruments specific </w:t>
      </w:r>
      <w:r w:rsidRPr="005B49BC">
        <w:rPr>
          <w:rFonts w:cs="Calibri"/>
          <w:color w:val="000000" w:themeColor="text1"/>
          <w:spacing w:val="-2"/>
        </w:rPr>
        <w:t>disclosures</w:t>
      </w:r>
    </w:p>
    <w:p w14:paraId="6805A8E4" w14:textId="77777777" w:rsidR="00FA4226" w:rsidRPr="005B49BC" w:rsidRDefault="00000000" w:rsidP="0043303B">
      <w:pPr>
        <w:pStyle w:val="BodyText"/>
        <w:spacing w:before="109"/>
        <w:rPr>
          <w:rFonts w:cs="Calibri"/>
        </w:rPr>
      </w:pPr>
      <w:r w:rsidRPr="005B49BC">
        <w:rPr>
          <w:rFonts w:cs="Calibri"/>
          <w:spacing w:val="-2"/>
        </w:rPr>
        <w:t>Introduction</w:t>
      </w:r>
    </w:p>
    <w:p w14:paraId="29B8B1DC" w14:textId="5005CC11" w:rsidR="00FA4226" w:rsidRPr="005B49BC" w:rsidRDefault="00000000" w:rsidP="0043303B">
      <w:pPr>
        <w:pStyle w:val="BodyText"/>
        <w:spacing w:before="116"/>
        <w:rPr>
          <w:rFonts w:cs="Calibri"/>
        </w:rPr>
      </w:pPr>
      <w:r w:rsidRPr="005B49BC">
        <w:rPr>
          <w:rFonts w:cs="Calibri"/>
        </w:rPr>
        <w:t>Financial</w:t>
      </w:r>
      <w:r w:rsidRPr="005B49BC">
        <w:rPr>
          <w:rFonts w:cs="Calibri"/>
          <w:spacing w:val="-7"/>
        </w:rPr>
        <w:t xml:space="preserve"> </w:t>
      </w:r>
      <w:r w:rsidRPr="005B49BC">
        <w:rPr>
          <w:rFonts w:cs="Calibri"/>
        </w:rPr>
        <w:t>instruments</w:t>
      </w:r>
      <w:r w:rsidRPr="005B49BC">
        <w:rPr>
          <w:rFonts w:cs="Calibri"/>
          <w:spacing w:val="-7"/>
        </w:rPr>
        <w:t xml:space="preserve"> </w:t>
      </w:r>
      <w:r w:rsidRPr="005B49BC">
        <w:rPr>
          <w:rFonts w:cs="Calibri"/>
        </w:rPr>
        <w:t>arise</w:t>
      </w:r>
      <w:r w:rsidRPr="005B49BC">
        <w:rPr>
          <w:rFonts w:cs="Calibri"/>
          <w:spacing w:val="-7"/>
        </w:rPr>
        <w:t xml:space="preserve"> </w:t>
      </w:r>
      <w:r w:rsidRPr="005B49BC">
        <w:rPr>
          <w:rFonts w:cs="Calibri"/>
        </w:rPr>
        <w:t>out</w:t>
      </w:r>
      <w:r w:rsidRPr="005B49BC">
        <w:rPr>
          <w:rFonts w:cs="Calibri"/>
          <w:spacing w:val="-7"/>
        </w:rPr>
        <w:t xml:space="preserve"> </w:t>
      </w:r>
      <w:r w:rsidRPr="005B49BC">
        <w:rPr>
          <w:rFonts w:cs="Calibri"/>
        </w:rPr>
        <w:t>of</w:t>
      </w:r>
      <w:r w:rsidRPr="005B49BC">
        <w:rPr>
          <w:rFonts w:cs="Calibri"/>
          <w:spacing w:val="-7"/>
        </w:rPr>
        <w:t xml:space="preserve"> </w:t>
      </w:r>
      <w:r w:rsidRPr="005B49BC">
        <w:rPr>
          <w:rFonts w:cs="Calibri"/>
        </w:rPr>
        <w:t>contractual</w:t>
      </w:r>
      <w:r w:rsidRPr="005B49BC">
        <w:rPr>
          <w:rFonts w:cs="Calibri"/>
          <w:spacing w:val="-7"/>
        </w:rPr>
        <w:t xml:space="preserve"> </w:t>
      </w:r>
      <w:r w:rsidRPr="005B49BC">
        <w:rPr>
          <w:rFonts w:cs="Calibri"/>
        </w:rPr>
        <w:t>agreements between entities that give rise to a financial asset of</w:t>
      </w:r>
      <w:r w:rsidR="00C80756" w:rsidRPr="005B49BC">
        <w:rPr>
          <w:rFonts w:cs="Calibri"/>
        </w:rPr>
        <w:t xml:space="preserve"> </w:t>
      </w:r>
      <w:r w:rsidRPr="005B49BC">
        <w:rPr>
          <w:rFonts w:cs="Calibri"/>
        </w:rPr>
        <w:t>one entity and a financial liability or equity instrument of another</w:t>
      </w:r>
      <w:r w:rsidRPr="005B49BC">
        <w:rPr>
          <w:rFonts w:cs="Calibri"/>
          <w:spacing w:val="-10"/>
        </w:rPr>
        <w:t xml:space="preserve"> </w:t>
      </w:r>
      <w:r w:rsidRPr="005B49BC">
        <w:rPr>
          <w:rFonts w:cs="Calibri"/>
        </w:rPr>
        <w:t>entity.</w:t>
      </w:r>
      <w:r w:rsidRPr="005B49BC">
        <w:rPr>
          <w:rFonts w:cs="Calibri"/>
          <w:spacing w:val="-10"/>
        </w:rPr>
        <w:t xml:space="preserve"> </w:t>
      </w:r>
      <w:r w:rsidRPr="005B49BC">
        <w:rPr>
          <w:rFonts w:cs="Calibri"/>
        </w:rPr>
        <w:t>Due</w:t>
      </w:r>
      <w:r w:rsidRPr="005B49BC">
        <w:rPr>
          <w:rFonts w:cs="Calibri"/>
          <w:spacing w:val="-10"/>
        </w:rPr>
        <w:t xml:space="preserve"> </w:t>
      </w:r>
      <w:r w:rsidRPr="005B49BC">
        <w:rPr>
          <w:rFonts w:cs="Calibri"/>
        </w:rPr>
        <w:t>to</w:t>
      </w:r>
      <w:r w:rsidRPr="005B49BC">
        <w:rPr>
          <w:rFonts w:cs="Calibri"/>
          <w:spacing w:val="-10"/>
        </w:rPr>
        <w:t xml:space="preserve"> </w:t>
      </w:r>
      <w:r w:rsidRPr="005B49BC">
        <w:rPr>
          <w:rFonts w:cs="Calibri"/>
        </w:rPr>
        <w:t>the</w:t>
      </w:r>
      <w:r w:rsidRPr="005B49BC">
        <w:rPr>
          <w:rFonts w:cs="Calibri"/>
          <w:spacing w:val="-10"/>
        </w:rPr>
        <w:t xml:space="preserve"> </w:t>
      </w:r>
      <w:r w:rsidRPr="005B49BC">
        <w:rPr>
          <w:rFonts w:cs="Calibri"/>
        </w:rPr>
        <w:t>nature</w:t>
      </w:r>
      <w:r w:rsidRPr="005B49BC">
        <w:rPr>
          <w:rFonts w:cs="Calibri"/>
          <w:spacing w:val="-10"/>
        </w:rPr>
        <w:t xml:space="preserve"> </w:t>
      </w:r>
      <w:r w:rsidRPr="005B49BC">
        <w:rPr>
          <w:rFonts w:cs="Calibri"/>
        </w:rPr>
        <w:t>of</w:t>
      </w:r>
      <w:r w:rsidRPr="005B49BC">
        <w:rPr>
          <w:rFonts w:cs="Calibri"/>
          <w:spacing w:val="-10"/>
        </w:rPr>
        <w:t xml:space="preserve"> </w:t>
      </w:r>
      <w:r w:rsidRPr="005B49BC">
        <w:rPr>
          <w:rFonts w:cs="Calibri"/>
        </w:rPr>
        <w:t>Infrastructure</w:t>
      </w:r>
      <w:r w:rsidRPr="005B49BC">
        <w:rPr>
          <w:rFonts w:cs="Calibri"/>
          <w:spacing w:val="-10"/>
        </w:rPr>
        <w:t xml:space="preserve"> </w:t>
      </w:r>
      <w:r w:rsidRPr="005B49BC">
        <w:rPr>
          <w:rFonts w:cs="Calibri"/>
        </w:rPr>
        <w:t xml:space="preserve">Victoria’s activities, certain financial assets and financial liabilities arise under statute rather than a contract. Such financial assets and financial liabilities do not meet the definition of financial instruments in AASB 132 </w:t>
      </w:r>
      <w:r w:rsidRPr="005B49BC">
        <w:rPr>
          <w:rFonts w:cs="Calibri"/>
          <w:i/>
        </w:rPr>
        <w:t>Financial Instruments: Presentation</w:t>
      </w:r>
      <w:r w:rsidRPr="005B49BC">
        <w:rPr>
          <w:rFonts w:cs="Calibri"/>
        </w:rPr>
        <w:t>. For example, statutory receivables do not meet the definition of financial instruments as they do not arise under contract. Infrastructure Victoria’s statutory receivables are disclosed in note 5.1.</w:t>
      </w:r>
    </w:p>
    <w:p w14:paraId="2D8C1685" w14:textId="77777777" w:rsidR="00FA4226" w:rsidRPr="005B49BC" w:rsidRDefault="00000000" w:rsidP="0043303B">
      <w:pPr>
        <w:pStyle w:val="BodyText"/>
        <w:spacing w:before="103"/>
        <w:rPr>
          <w:rFonts w:cs="Calibri"/>
        </w:rPr>
      </w:pPr>
      <w:r w:rsidRPr="005B49BC">
        <w:rPr>
          <w:rFonts w:cs="Calibri"/>
        </w:rPr>
        <w:t xml:space="preserve">Categories of financial </w:t>
      </w:r>
      <w:r w:rsidRPr="005B49BC">
        <w:rPr>
          <w:rFonts w:cs="Calibri"/>
          <w:spacing w:val="-2"/>
        </w:rPr>
        <w:t>assets</w:t>
      </w:r>
    </w:p>
    <w:p w14:paraId="7248BEBC" w14:textId="77777777" w:rsidR="00FA4226" w:rsidRPr="005B49BC" w:rsidRDefault="00000000" w:rsidP="0043303B">
      <w:pPr>
        <w:spacing w:before="139"/>
        <w:rPr>
          <w:rFonts w:cs="Calibri"/>
          <w:i/>
          <w:color w:val="000000" w:themeColor="text1"/>
        </w:rPr>
      </w:pPr>
      <w:r w:rsidRPr="005B49BC">
        <w:rPr>
          <w:rFonts w:cs="Calibri"/>
          <w:i/>
          <w:color w:val="000000" w:themeColor="text1"/>
        </w:rPr>
        <w:t xml:space="preserve">Financial assets at amortised </w:t>
      </w:r>
      <w:r w:rsidRPr="005B49BC">
        <w:rPr>
          <w:rFonts w:cs="Calibri"/>
          <w:i/>
          <w:color w:val="000000" w:themeColor="text1"/>
          <w:spacing w:val="-4"/>
        </w:rPr>
        <w:t>cost</w:t>
      </w:r>
    </w:p>
    <w:p w14:paraId="6BCA2B01" w14:textId="77777777" w:rsidR="00FA4226" w:rsidRPr="005B49BC" w:rsidRDefault="00000000" w:rsidP="0043303B">
      <w:pPr>
        <w:pStyle w:val="BodyText"/>
        <w:spacing w:before="118"/>
        <w:rPr>
          <w:rFonts w:cs="Calibri"/>
          <w:szCs w:val="22"/>
        </w:rPr>
      </w:pPr>
      <w:r w:rsidRPr="005B49BC">
        <w:rPr>
          <w:rFonts w:cs="Calibri"/>
          <w:szCs w:val="22"/>
        </w:rPr>
        <w:t>Financial assets at amortised cost are initially recognised at</w:t>
      </w:r>
      <w:r w:rsidRPr="005B49BC">
        <w:rPr>
          <w:rFonts w:cs="Calibri"/>
          <w:spacing w:val="-5"/>
          <w:szCs w:val="22"/>
        </w:rPr>
        <w:t xml:space="preserve"> </w:t>
      </w:r>
      <w:r w:rsidRPr="005B49BC">
        <w:rPr>
          <w:rFonts w:cs="Calibri"/>
          <w:szCs w:val="22"/>
        </w:rPr>
        <w:t>fair</w:t>
      </w:r>
      <w:r w:rsidRPr="005B49BC">
        <w:rPr>
          <w:rFonts w:cs="Calibri"/>
          <w:spacing w:val="-5"/>
          <w:szCs w:val="22"/>
        </w:rPr>
        <w:t xml:space="preserve"> </w:t>
      </w:r>
      <w:r w:rsidRPr="005B49BC">
        <w:rPr>
          <w:rFonts w:cs="Calibri"/>
          <w:szCs w:val="22"/>
        </w:rPr>
        <w:t>value</w:t>
      </w:r>
      <w:r w:rsidRPr="005B49BC">
        <w:rPr>
          <w:rFonts w:cs="Calibri"/>
          <w:spacing w:val="-5"/>
          <w:szCs w:val="22"/>
        </w:rPr>
        <w:t xml:space="preserve"> </w:t>
      </w:r>
      <w:r w:rsidRPr="005B49BC">
        <w:rPr>
          <w:rFonts w:cs="Calibri"/>
          <w:szCs w:val="22"/>
        </w:rPr>
        <w:t>plus</w:t>
      </w:r>
      <w:r w:rsidRPr="005B49BC">
        <w:rPr>
          <w:rFonts w:cs="Calibri"/>
          <w:spacing w:val="-5"/>
          <w:szCs w:val="22"/>
        </w:rPr>
        <w:t xml:space="preserve"> </w:t>
      </w:r>
      <w:r w:rsidRPr="005B49BC">
        <w:rPr>
          <w:rFonts w:cs="Calibri"/>
          <w:szCs w:val="22"/>
        </w:rPr>
        <w:t>any</w:t>
      </w:r>
      <w:r w:rsidRPr="005B49BC">
        <w:rPr>
          <w:rFonts w:cs="Calibri"/>
          <w:spacing w:val="-5"/>
          <w:szCs w:val="22"/>
        </w:rPr>
        <w:t xml:space="preserve"> </w:t>
      </w:r>
      <w:r w:rsidRPr="005B49BC">
        <w:rPr>
          <w:rFonts w:cs="Calibri"/>
          <w:szCs w:val="22"/>
        </w:rPr>
        <w:t>directly</w:t>
      </w:r>
      <w:r w:rsidRPr="005B49BC">
        <w:rPr>
          <w:rFonts w:cs="Calibri"/>
          <w:spacing w:val="-5"/>
          <w:szCs w:val="22"/>
        </w:rPr>
        <w:t xml:space="preserve"> </w:t>
      </w:r>
      <w:r w:rsidRPr="005B49BC">
        <w:rPr>
          <w:rFonts w:cs="Calibri"/>
          <w:szCs w:val="22"/>
        </w:rPr>
        <w:t>attributable</w:t>
      </w:r>
      <w:r w:rsidRPr="005B49BC">
        <w:rPr>
          <w:rFonts w:cs="Calibri"/>
          <w:spacing w:val="-5"/>
          <w:szCs w:val="22"/>
        </w:rPr>
        <w:t xml:space="preserve"> </w:t>
      </w:r>
      <w:r w:rsidRPr="005B49BC">
        <w:rPr>
          <w:rFonts w:cs="Calibri"/>
          <w:szCs w:val="22"/>
        </w:rPr>
        <w:t>transaction</w:t>
      </w:r>
      <w:r w:rsidRPr="005B49BC">
        <w:rPr>
          <w:rFonts w:cs="Calibri"/>
          <w:spacing w:val="-5"/>
          <w:szCs w:val="22"/>
        </w:rPr>
        <w:t xml:space="preserve"> </w:t>
      </w:r>
      <w:r w:rsidRPr="005B49BC">
        <w:rPr>
          <w:rFonts w:cs="Calibri"/>
          <w:szCs w:val="22"/>
        </w:rPr>
        <w:t>costs and subsequently measured at amortised cost using the effective interest method less any impairment.</w:t>
      </w:r>
    </w:p>
    <w:p w14:paraId="45E0B72E" w14:textId="77777777" w:rsidR="00FA4226" w:rsidRPr="005B49BC" w:rsidRDefault="00000000" w:rsidP="0043303B">
      <w:pPr>
        <w:pStyle w:val="BodyText"/>
        <w:spacing w:before="112"/>
        <w:rPr>
          <w:rFonts w:cs="Calibri"/>
          <w:szCs w:val="22"/>
        </w:rPr>
      </w:pPr>
      <w:r w:rsidRPr="005B49BC">
        <w:rPr>
          <w:rFonts w:cs="Calibri"/>
          <w:szCs w:val="22"/>
        </w:rPr>
        <w:t xml:space="preserve">Categories of financial </w:t>
      </w:r>
      <w:r w:rsidRPr="005B49BC">
        <w:rPr>
          <w:rFonts w:cs="Calibri"/>
          <w:spacing w:val="-2"/>
          <w:szCs w:val="22"/>
        </w:rPr>
        <w:t>liabilities</w:t>
      </w:r>
    </w:p>
    <w:p w14:paraId="58E03640" w14:textId="77777777" w:rsidR="00FA4226" w:rsidRPr="005B49BC" w:rsidRDefault="00000000" w:rsidP="0043303B">
      <w:pPr>
        <w:spacing w:before="139"/>
        <w:rPr>
          <w:rFonts w:cs="Calibri"/>
          <w:i/>
          <w:color w:val="000000" w:themeColor="text1"/>
        </w:rPr>
      </w:pPr>
      <w:r w:rsidRPr="005B49BC">
        <w:rPr>
          <w:rFonts w:cs="Calibri"/>
          <w:i/>
          <w:color w:val="000000" w:themeColor="text1"/>
        </w:rPr>
        <w:t xml:space="preserve">Financial liabilities at amortised </w:t>
      </w:r>
      <w:r w:rsidRPr="005B49BC">
        <w:rPr>
          <w:rFonts w:cs="Calibri"/>
          <w:i/>
          <w:color w:val="000000" w:themeColor="text1"/>
          <w:spacing w:val="-4"/>
        </w:rPr>
        <w:t>cost</w:t>
      </w:r>
    </w:p>
    <w:p w14:paraId="2C8E2D96" w14:textId="77777777" w:rsidR="00FA4226" w:rsidRPr="005B49BC" w:rsidRDefault="00000000" w:rsidP="0043303B">
      <w:pPr>
        <w:pStyle w:val="BodyText"/>
        <w:spacing w:before="117"/>
        <w:rPr>
          <w:rFonts w:cs="Calibri"/>
          <w:szCs w:val="22"/>
        </w:rPr>
      </w:pPr>
      <w:r w:rsidRPr="005B49BC">
        <w:rPr>
          <w:rFonts w:cs="Calibri"/>
          <w:szCs w:val="22"/>
        </w:rPr>
        <w:t>Financial</w:t>
      </w:r>
      <w:r w:rsidRPr="005B49BC">
        <w:rPr>
          <w:rFonts w:cs="Calibri"/>
          <w:spacing w:val="-6"/>
          <w:szCs w:val="22"/>
        </w:rPr>
        <w:t xml:space="preserve"> </w:t>
      </w:r>
      <w:r w:rsidRPr="005B49BC">
        <w:rPr>
          <w:rFonts w:cs="Calibri"/>
          <w:szCs w:val="22"/>
        </w:rPr>
        <w:t>liabilities</w:t>
      </w:r>
      <w:r w:rsidRPr="005B49BC">
        <w:rPr>
          <w:rFonts w:cs="Calibri"/>
          <w:spacing w:val="-6"/>
          <w:szCs w:val="22"/>
        </w:rPr>
        <w:t xml:space="preserve"> </w:t>
      </w:r>
      <w:r w:rsidRPr="005B49BC">
        <w:rPr>
          <w:rFonts w:cs="Calibri"/>
          <w:szCs w:val="22"/>
        </w:rPr>
        <w:t>at</w:t>
      </w:r>
      <w:r w:rsidRPr="005B49BC">
        <w:rPr>
          <w:rFonts w:cs="Calibri"/>
          <w:spacing w:val="-6"/>
          <w:szCs w:val="22"/>
        </w:rPr>
        <w:t xml:space="preserve"> </w:t>
      </w:r>
      <w:r w:rsidRPr="005B49BC">
        <w:rPr>
          <w:rFonts w:cs="Calibri"/>
          <w:szCs w:val="22"/>
        </w:rPr>
        <w:t>amortised</w:t>
      </w:r>
      <w:r w:rsidRPr="005B49BC">
        <w:rPr>
          <w:rFonts w:cs="Calibri"/>
          <w:spacing w:val="-6"/>
          <w:szCs w:val="22"/>
        </w:rPr>
        <w:t xml:space="preserve"> </w:t>
      </w:r>
      <w:r w:rsidRPr="005B49BC">
        <w:rPr>
          <w:rFonts w:cs="Calibri"/>
          <w:szCs w:val="22"/>
        </w:rPr>
        <w:t>cost</w:t>
      </w:r>
      <w:r w:rsidRPr="005B49BC">
        <w:rPr>
          <w:rFonts w:cs="Calibri"/>
          <w:spacing w:val="-6"/>
          <w:szCs w:val="22"/>
        </w:rPr>
        <w:t xml:space="preserve"> </w:t>
      </w:r>
      <w:r w:rsidRPr="005B49BC">
        <w:rPr>
          <w:rFonts w:cs="Calibri"/>
          <w:szCs w:val="22"/>
        </w:rPr>
        <w:t>are</w:t>
      </w:r>
      <w:r w:rsidRPr="005B49BC">
        <w:rPr>
          <w:rFonts w:cs="Calibri"/>
          <w:spacing w:val="-6"/>
          <w:szCs w:val="22"/>
        </w:rPr>
        <w:t xml:space="preserve"> </w:t>
      </w:r>
      <w:r w:rsidRPr="005B49BC">
        <w:rPr>
          <w:rFonts w:cs="Calibri"/>
          <w:szCs w:val="22"/>
        </w:rPr>
        <w:t>initially</w:t>
      </w:r>
      <w:r w:rsidRPr="005B49BC">
        <w:rPr>
          <w:rFonts w:cs="Calibri"/>
          <w:spacing w:val="-6"/>
          <w:szCs w:val="22"/>
        </w:rPr>
        <w:t xml:space="preserve"> </w:t>
      </w:r>
      <w:r w:rsidRPr="005B49BC">
        <w:rPr>
          <w:rFonts w:cs="Calibri"/>
          <w:szCs w:val="22"/>
        </w:rPr>
        <w:t>recognised on</w:t>
      </w:r>
      <w:r w:rsidRPr="005B49BC">
        <w:rPr>
          <w:rFonts w:cs="Calibri"/>
          <w:spacing w:val="-6"/>
          <w:szCs w:val="22"/>
        </w:rPr>
        <w:t xml:space="preserve"> </w:t>
      </w:r>
      <w:r w:rsidRPr="005B49BC">
        <w:rPr>
          <w:rFonts w:cs="Calibri"/>
          <w:szCs w:val="22"/>
        </w:rPr>
        <w:t>the</w:t>
      </w:r>
      <w:r w:rsidRPr="005B49BC">
        <w:rPr>
          <w:rFonts w:cs="Calibri"/>
          <w:spacing w:val="-6"/>
          <w:szCs w:val="22"/>
        </w:rPr>
        <w:t xml:space="preserve"> </w:t>
      </w:r>
      <w:r w:rsidRPr="005B49BC">
        <w:rPr>
          <w:rFonts w:cs="Calibri"/>
          <w:szCs w:val="22"/>
        </w:rPr>
        <w:t>date</w:t>
      </w:r>
      <w:r w:rsidRPr="005B49BC">
        <w:rPr>
          <w:rFonts w:cs="Calibri"/>
          <w:spacing w:val="-6"/>
          <w:szCs w:val="22"/>
        </w:rPr>
        <w:t xml:space="preserve"> </w:t>
      </w:r>
      <w:r w:rsidRPr="005B49BC">
        <w:rPr>
          <w:rFonts w:cs="Calibri"/>
          <w:szCs w:val="22"/>
        </w:rPr>
        <w:t>they</w:t>
      </w:r>
      <w:r w:rsidRPr="005B49BC">
        <w:rPr>
          <w:rFonts w:cs="Calibri"/>
          <w:spacing w:val="-6"/>
          <w:szCs w:val="22"/>
        </w:rPr>
        <w:t xml:space="preserve"> </w:t>
      </w:r>
      <w:r w:rsidRPr="005B49BC">
        <w:rPr>
          <w:rFonts w:cs="Calibri"/>
          <w:szCs w:val="22"/>
        </w:rPr>
        <w:t>are</w:t>
      </w:r>
      <w:r w:rsidRPr="005B49BC">
        <w:rPr>
          <w:rFonts w:cs="Calibri"/>
          <w:spacing w:val="-6"/>
          <w:szCs w:val="22"/>
        </w:rPr>
        <w:t xml:space="preserve"> </w:t>
      </w:r>
      <w:r w:rsidRPr="005B49BC">
        <w:rPr>
          <w:rFonts w:cs="Calibri"/>
          <w:szCs w:val="22"/>
        </w:rPr>
        <w:t>originated.</w:t>
      </w:r>
      <w:r w:rsidRPr="005B49BC">
        <w:rPr>
          <w:rFonts w:cs="Calibri"/>
          <w:spacing w:val="-6"/>
          <w:szCs w:val="22"/>
        </w:rPr>
        <w:t xml:space="preserve"> </w:t>
      </w:r>
      <w:r w:rsidRPr="005B49BC">
        <w:rPr>
          <w:rFonts w:cs="Calibri"/>
          <w:szCs w:val="22"/>
        </w:rPr>
        <w:t>They</w:t>
      </w:r>
      <w:r w:rsidRPr="005B49BC">
        <w:rPr>
          <w:rFonts w:cs="Calibri"/>
          <w:spacing w:val="-6"/>
          <w:szCs w:val="22"/>
        </w:rPr>
        <w:t xml:space="preserve"> </w:t>
      </w:r>
      <w:r w:rsidRPr="005B49BC">
        <w:rPr>
          <w:rFonts w:cs="Calibri"/>
          <w:szCs w:val="22"/>
        </w:rPr>
        <w:t>are</w:t>
      </w:r>
      <w:r w:rsidRPr="005B49BC">
        <w:rPr>
          <w:rFonts w:cs="Calibri"/>
          <w:spacing w:val="-6"/>
          <w:szCs w:val="22"/>
        </w:rPr>
        <w:t xml:space="preserve"> </w:t>
      </w:r>
      <w:r w:rsidRPr="005B49BC">
        <w:rPr>
          <w:rFonts w:cs="Calibri"/>
          <w:szCs w:val="22"/>
        </w:rPr>
        <w:t>initially</w:t>
      </w:r>
      <w:r w:rsidRPr="005B49BC">
        <w:rPr>
          <w:rFonts w:cs="Calibri"/>
          <w:spacing w:val="-6"/>
          <w:szCs w:val="22"/>
        </w:rPr>
        <w:t xml:space="preserve"> </w:t>
      </w:r>
      <w:r w:rsidRPr="005B49BC">
        <w:rPr>
          <w:rFonts w:cs="Calibri"/>
          <w:szCs w:val="22"/>
        </w:rPr>
        <w:t>measured at</w:t>
      </w:r>
      <w:r w:rsidRPr="005B49BC">
        <w:rPr>
          <w:rFonts w:cs="Calibri"/>
          <w:spacing w:val="-2"/>
          <w:szCs w:val="22"/>
        </w:rPr>
        <w:t xml:space="preserve"> </w:t>
      </w:r>
      <w:r w:rsidRPr="005B49BC">
        <w:rPr>
          <w:rFonts w:cs="Calibri"/>
          <w:szCs w:val="22"/>
        </w:rPr>
        <w:t>fair</w:t>
      </w:r>
      <w:r w:rsidRPr="005B49BC">
        <w:rPr>
          <w:rFonts w:cs="Calibri"/>
          <w:spacing w:val="-2"/>
          <w:szCs w:val="22"/>
        </w:rPr>
        <w:t xml:space="preserve"> </w:t>
      </w:r>
      <w:r w:rsidRPr="005B49BC">
        <w:rPr>
          <w:rFonts w:cs="Calibri"/>
          <w:szCs w:val="22"/>
        </w:rPr>
        <w:t>value</w:t>
      </w:r>
      <w:r w:rsidRPr="005B49BC">
        <w:rPr>
          <w:rFonts w:cs="Calibri"/>
          <w:spacing w:val="-2"/>
          <w:szCs w:val="22"/>
        </w:rPr>
        <w:t xml:space="preserve"> </w:t>
      </w:r>
      <w:r w:rsidRPr="005B49BC">
        <w:rPr>
          <w:rFonts w:cs="Calibri"/>
          <w:szCs w:val="22"/>
        </w:rPr>
        <w:t>plus</w:t>
      </w:r>
      <w:r w:rsidRPr="005B49BC">
        <w:rPr>
          <w:rFonts w:cs="Calibri"/>
          <w:spacing w:val="-2"/>
          <w:szCs w:val="22"/>
        </w:rPr>
        <w:t xml:space="preserve"> </w:t>
      </w:r>
      <w:r w:rsidRPr="005B49BC">
        <w:rPr>
          <w:rFonts w:cs="Calibri"/>
          <w:szCs w:val="22"/>
        </w:rPr>
        <w:t>any</w:t>
      </w:r>
      <w:r w:rsidRPr="005B49BC">
        <w:rPr>
          <w:rFonts w:cs="Calibri"/>
          <w:spacing w:val="-2"/>
          <w:szCs w:val="22"/>
        </w:rPr>
        <w:t xml:space="preserve"> </w:t>
      </w:r>
      <w:r w:rsidRPr="005B49BC">
        <w:rPr>
          <w:rFonts w:cs="Calibri"/>
          <w:szCs w:val="22"/>
        </w:rPr>
        <w:t>directly</w:t>
      </w:r>
      <w:r w:rsidRPr="005B49BC">
        <w:rPr>
          <w:rFonts w:cs="Calibri"/>
          <w:spacing w:val="-2"/>
          <w:szCs w:val="22"/>
        </w:rPr>
        <w:t xml:space="preserve"> </w:t>
      </w:r>
      <w:r w:rsidRPr="005B49BC">
        <w:rPr>
          <w:rFonts w:cs="Calibri"/>
          <w:szCs w:val="22"/>
        </w:rPr>
        <w:t>attributable</w:t>
      </w:r>
      <w:r w:rsidRPr="005B49BC">
        <w:rPr>
          <w:rFonts w:cs="Calibri"/>
          <w:spacing w:val="-2"/>
          <w:szCs w:val="22"/>
        </w:rPr>
        <w:t xml:space="preserve"> </w:t>
      </w:r>
      <w:r w:rsidRPr="005B49BC">
        <w:rPr>
          <w:rFonts w:cs="Calibri"/>
          <w:szCs w:val="22"/>
        </w:rPr>
        <w:t>transaction</w:t>
      </w:r>
      <w:r w:rsidRPr="005B49BC">
        <w:rPr>
          <w:rFonts w:cs="Calibri"/>
          <w:spacing w:val="-2"/>
          <w:szCs w:val="22"/>
        </w:rPr>
        <w:t xml:space="preserve"> </w:t>
      </w:r>
      <w:r w:rsidRPr="005B49BC">
        <w:rPr>
          <w:rFonts w:cs="Calibri"/>
          <w:szCs w:val="22"/>
        </w:rPr>
        <w:t>costs and subsequently measured at amortised cost using the effective interest method.</w:t>
      </w:r>
    </w:p>
    <w:p w14:paraId="399DBA6F" w14:textId="3E397081" w:rsidR="00FA4226" w:rsidRPr="005B49BC" w:rsidRDefault="00000000" w:rsidP="006C6A8A">
      <w:pPr>
        <w:pStyle w:val="BodyText"/>
        <w:spacing w:before="115"/>
        <w:rPr>
          <w:rFonts w:cs="Calibri"/>
          <w:szCs w:val="22"/>
        </w:rPr>
      </w:pPr>
      <w:r w:rsidRPr="005B49BC">
        <w:rPr>
          <w:rFonts w:cs="Calibri"/>
          <w:szCs w:val="22"/>
        </w:rPr>
        <w:t>Infrastructure</w:t>
      </w:r>
      <w:r w:rsidRPr="005B49BC">
        <w:rPr>
          <w:rFonts w:cs="Calibri"/>
          <w:spacing w:val="-12"/>
          <w:szCs w:val="22"/>
        </w:rPr>
        <w:t xml:space="preserve"> </w:t>
      </w:r>
      <w:r w:rsidRPr="005B49BC">
        <w:rPr>
          <w:rFonts w:cs="Calibri"/>
          <w:szCs w:val="22"/>
        </w:rPr>
        <w:t>Victoria’s</w:t>
      </w:r>
      <w:r w:rsidRPr="005B49BC">
        <w:rPr>
          <w:rFonts w:cs="Calibri"/>
          <w:spacing w:val="-12"/>
          <w:szCs w:val="22"/>
        </w:rPr>
        <w:t xml:space="preserve"> </w:t>
      </w:r>
      <w:r w:rsidRPr="005B49BC">
        <w:rPr>
          <w:rFonts w:cs="Calibri"/>
          <w:szCs w:val="22"/>
        </w:rPr>
        <w:t>contractual</w:t>
      </w:r>
      <w:r w:rsidRPr="005B49BC">
        <w:rPr>
          <w:rFonts w:cs="Calibri"/>
          <w:spacing w:val="-12"/>
          <w:szCs w:val="22"/>
        </w:rPr>
        <w:t xml:space="preserve"> </w:t>
      </w:r>
      <w:r w:rsidRPr="005B49BC">
        <w:rPr>
          <w:rFonts w:cs="Calibri"/>
          <w:szCs w:val="22"/>
        </w:rPr>
        <w:t>payables</w:t>
      </w:r>
      <w:r w:rsidRPr="005B49BC">
        <w:rPr>
          <w:rFonts w:cs="Calibri"/>
          <w:spacing w:val="-12"/>
          <w:szCs w:val="22"/>
        </w:rPr>
        <w:t xml:space="preserve"> </w:t>
      </w:r>
      <w:r w:rsidRPr="005B49BC">
        <w:rPr>
          <w:rFonts w:cs="Calibri"/>
          <w:szCs w:val="22"/>
        </w:rPr>
        <w:t>and</w:t>
      </w:r>
      <w:r w:rsidRPr="005B49BC">
        <w:rPr>
          <w:rFonts w:cs="Calibri"/>
          <w:spacing w:val="-12"/>
          <w:szCs w:val="22"/>
        </w:rPr>
        <w:t xml:space="preserve"> </w:t>
      </w:r>
      <w:r w:rsidRPr="005B49BC">
        <w:rPr>
          <w:rFonts w:cs="Calibri"/>
          <w:szCs w:val="22"/>
        </w:rPr>
        <w:t>lease liabilities are in this category.</w:t>
      </w:r>
    </w:p>
    <w:p w14:paraId="73060193" w14:textId="77777777" w:rsidR="00FA4226" w:rsidRPr="005B49BC" w:rsidRDefault="00000000" w:rsidP="0043303B">
      <w:pPr>
        <w:pStyle w:val="BodyText"/>
        <w:spacing w:before="167"/>
        <w:rPr>
          <w:rFonts w:cs="Calibri"/>
        </w:rPr>
      </w:pPr>
      <w:r w:rsidRPr="005B49BC">
        <w:rPr>
          <w:rFonts w:cs="Calibri"/>
        </w:rPr>
        <w:t>Derecognition</w:t>
      </w:r>
      <w:r w:rsidRPr="005B49BC">
        <w:rPr>
          <w:rFonts w:cs="Calibri"/>
          <w:spacing w:val="-2"/>
        </w:rPr>
        <w:t xml:space="preserve"> </w:t>
      </w:r>
      <w:r w:rsidRPr="005B49BC">
        <w:rPr>
          <w:rFonts w:cs="Calibri"/>
        </w:rPr>
        <w:t>of</w:t>
      </w:r>
      <w:r w:rsidRPr="005B49BC">
        <w:rPr>
          <w:rFonts w:cs="Calibri"/>
          <w:spacing w:val="-1"/>
        </w:rPr>
        <w:t xml:space="preserve"> </w:t>
      </w:r>
      <w:r w:rsidRPr="005B49BC">
        <w:rPr>
          <w:rFonts w:cs="Calibri"/>
        </w:rPr>
        <w:t>financial</w:t>
      </w:r>
      <w:r w:rsidRPr="005B49BC">
        <w:rPr>
          <w:rFonts w:cs="Calibri"/>
          <w:spacing w:val="-1"/>
        </w:rPr>
        <w:t xml:space="preserve"> </w:t>
      </w:r>
      <w:r w:rsidRPr="005B49BC">
        <w:rPr>
          <w:rFonts w:cs="Calibri"/>
          <w:spacing w:val="-2"/>
        </w:rPr>
        <w:t>assets</w:t>
      </w:r>
    </w:p>
    <w:p w14:paraId="487748A8" w14:textId="77777777" w:rsidR="00FA4226" w:rsidRPr="005B49BC" w:rsidRDefault="00000000" w:rsidP="0043303B">
      <w:pPr>
        <w:pStyle w:val="BodyText"/>
        <w:spacing w:before="116"/>
        <w:rPr>
          <w:rFonts w:cs="Calibri"/>
        </w:rPr>
      </w:pPr>
      <w:r w:rsidRPr="005B49BC">
        <w:rPr>
          <w:rFonts w:cs="Calibri"/>
        </w:rPr>
        <w:t>A</w:t>
      </w:r>
      <w:r w:rsidRPr="005B49BC">
        <w:rPr>
          <w:rFonts w:cs="Calibri"/>
          <w:spacing w:val="-6"/>
        </w:rPr>
        <w:t xml:space="preserve"> </w:t>
      </w:r>
      <w:r w:rsidRPr="005B49BC">
        <w:rPr>
          <w:rFonts w:cs="Calibri"/>
        </w:rPr>
        <w:t>financial</w:t>
      </w:r>
      <w:r w:rsidRPr="005B49BC">
        <w:rPr>
          <w:rFonts w:cs="Calibri"/>
          <w:spacing w:val="-6"/>
        </w:rPr>
        <w:t xml:space="preserve"> </w:t>
      </w:r>
      <w:r w:rsidRPr="005B49BC">
        <w:rPr>
          <w:rFonts w:cs="Calibri"/>
        </w:rPr>
        <w:t>asset</w:t>
      </w:r>
      <w:r w:rsidRPr="005B49BC">
        <w:rPr>
          <w:rFonts w:cs="Calibri"/>
          <w:spacing w:val="-6"/>
        </w:rPr>
        <w:t xml:space="preserve"> </w:t>
      </w:r>
      <w:r w:rsidRPr="005B49BC">
        <w:rPr>
          <w:rFonts w:cs="Calibri"/>
        </w:rPr>
        <w:t>(or,</w:t>
      </w:r>
      <w:r w:rsidRPr="005B49BC">
        <w:rPr>
          <w:rFonts w:cs="Calibri"/>
          <w:spacing w:val="-6"/>
        </w:rPr>
        <w:t xml:space="preserve"> </w:t>
      </w:r>
      <w:r w:rsidRPr="005B49BC">
        <w:rPr>
          <w:rFonts w:cs="Calibri"/>
        </w:rPr>
        <w:t>where</w:t>
      </w:r>
      <w:r w:rsidRPr="005B49BC">
        <w:rPr>
          <w:rFonts w:cs="Calibri"/>
          <w:spacing w:val="-6"/>
        </w:rPr>
        <w:t xml:space="preserve"> </w:t>
      </w:r>
      <w:r w:rsidRPr="005B49BC">
        <w:rPr>
          <w:rFonts w:cs="Calibri"/>
        </w:rPr>
        <w:t>applicable,</w:t>
      </w:r>
      <w:r w:rsidRPr="005B49BC">
        <w:rPr>
          <w:rFonts w:cs="Calibri"/>
          <w:spacing w:val="-6"/>
        </w:rPr>
        <w:t xml:space="preserve"> </w:t>
      </w:r>
      <w:r w:rsidRPr="005B49BC">
        <w:rPr>
          <w:rFonts w:cs="Calibri"/>
        </w:rPr>
        <w:t>a</w:t>
      </w:r>
      <w:r w:rsidRPr="005B49BC">
        <w:rPr>
          <w:rFonts w:cs="Calibri"/>
          <w:spacing w:val="-6"/>
        </w:rPr>
        <w:t xml:space="preserve"> </w:t>
      </w:r>
      <w:r w:rsidRPr="005B49BC">
        <w:rPr>
          <w:rFonts w:cs="Calibri"/>
        </w:rPr>
        <w:t>part</w:t>
      </w:r>
      <w:r w:rsidRPr="005B49BC">
        <w:rPr>
          <w:rFonts w:cs="Calibri"/>
          <w:spacing w:val="-6"/>
        </w:rPr>
        <w:t xml:space="preserve"> </w:t>
      </w:r>
      <w:r w:rsidRPr="005B49BC">
        <w:rPr>
          <w:rFonts w:cs="Calibri"/>
        </w:rPr>
        <w:t>of</w:t>
      </w:r>
      <w:r w:rsidRPr="005B49BC">
        <w:rPr>
          <w:rFonts w:cs="Calibri"/>
          <w:spacing w:val="-6"/>
        </w:rPr>
        <w:t xml:space="preserve"> </w:t>
      </w:r>
      <w:r w:rsidRPr="005B49BC">
        <w:rPr>
          <w:rFonts w:cs="Calibri"/>
        </w:rPr>
        <w:t>a</w:t>
      </w:r>
      <w:r w:rsidRPr="005B49BC">
        <w:rPr>
          <w:rFonts w:cs="Calibri"/>
          <w:spacing w:val="-6"/>
        </w:rPr>
        <w:t xml:space="preserve"> </w:t>
      </w:r>
      <w:r w:rsidRPr="005B49BC">
        <w:rPr>
          <w:rFonts w:cs="Calibri"/>
        </w:rPr>
        <w:t>financial asset or part of a group of similar financial assets) is derecognised when the rights to receive cash flows from the asset have expired.</w:t>
      </w:r>
    </w:p>
    <w:p w14:paraId="232B3039" w14:textId="77777777" w:rsidR="00FA4226" w:rsidRPr="005B49BC" w:rsidRDefault="00000000" w:rsidP="0043303B">
      <w:pPr>
        <w:pStyle w:val="BodyText"/>
        <w:spacing w:before="112"/>
        <w:rPr>
          <w:rFonts w:cs="Calibri"/>
        </w:rPr>
      </w:pPr>
      <w:r w:rsidRPr="005B49BC">
        <w:rPr>
          <w:rFonts w:cs="Calibri"/>
        </w:rPr>
        <w:t>Derecognition</w:t>
      </w:r>
      <w:r w:rsidRPr="005B49BC">
        <w:rPr>
          <w:rFonts w:cs="Calibri"/>
          <w:spacing w:val="-2"/>
        </w:rPr>
        <w:t xml:space="preserve"> </w:t>
      </w:r>
      <w:r w:rsidRPr="005B49BC">
        <w:rPr>
          <w:rFonts w:cs="Calibri"/>
        </w:rPr>
        <w:t>of</w:t>
      </w:r>
      <w:r w:rsidRPr="005B49BC">
        <w:rPr>
          <w:rFonts w:cs="Calibri"/>
          <w:spacing w:val="-1"/>
        </w:rPr>
        <w:t xml:space="preserve"> </w:t>
      </w:r>
      <w:r w:rsidRPr="005B49BC">
        <w:rPr>
          <w:rFonts w:cs="Calibri"/>
        </w:rPr>
        <w:t>financial</w:t>
      </w:r>
      <w:r w:rsidRPr="005B49BC">
        <w:rPr>
          <w:rFonts w:cs="Calibri"/>
          <w:spacing w:val="-1"/>
        </w:rPr>
        <w:t xml:space="preserve"> </w:t>
      </w:r>
      <w:r w:rsidRPr="005B49BC">
        <w:rPr>
          <w:rFonts w:cs="Calibri"/>
          <w:spacing w:val="-2"/>
        </w:rPr>
        <w:t>liabilities</w:t>
      </w:r>
    </w:p>
    <w:p w14:paraId="4AE5B05B" w14:textId="77777777" w:rsidR="00FA4226" w:rsidRPr="005B49BC" w:rsidRDefault="00000000" w:rsidP="0043303B">
      <w:pPr>
        <w:pStyle w:val="BodyText"/>
        <w:spacing w:before="117"/>
        <w:rPr>
          <w:rFonts w:cs="Calibri"/>
        </w:rPr>
      </w:pPr>
      <w:r w:rsidRPr="005B49BC">
        <w:rPr>
          <w:rFonts w:cs="Calibri"/>
        </w:rPr>
        <w:t>A</w:t>
      </w:r>
      <w:r w:rsidRPr="005B49BC">
        <w:rPr>
          <w:rFonts w:cs="Calibri"/>
          <w:spacing w:val="-5"/>
        </w:rPr>
        <w:t xml:space="preserve"> </w:t>
      </w:r>
      <w:r w:rsidRPr="005B49BC">
        <w:rPr>
          <w:rFonts w:cs="Calibri"/>
        </w:rPr>
        <w:t>financial</w:t>
      </w:r>
      <w:r w:rsidRPr="005B49BC">
        <w:rPr>
          <w:rFonts w:cs="Calibri"/>
          <w:spacing w:val="-5"/>
        </w:rPr>
        <w:t xml:space="preserve"> </w:t>
      </w:r>
      <w:r w:rsidRPr="005B49BC">
        <w:rPr>
          <w:rFonts w:cs="Calibri"/>
        </w:rPr>
        <w:t>liability</w:t>
      </w:r>
      <w:r w:rsidRPr="005B49BC">
        <w:rPr>
          <w:rFonts w:cs="Calibri"/>
          <w:spacing w:val="-5"/>
        </w:rPr>
        <w:t xml:space="preserve"> </w:t>
      </w:r>
      <w:r w:rsidRPr="005B49BC">
        <w:rPr>
          <w:rFonts w:cs="Calibri"/>
        </w:rPr>
        <w:t>is</w:t>
      </w:r>
      <w:r w:rsidRPr="005B49BC">
        <w:rPr>
          <w:rFonts w:cs="Calibri"/>
          <w:spacing w:val="-5"/>
        </w:rPr>
        <w:t xml:space="preserve"> </w:t>
      </w:r>
      <w:r w:rsidRPr="005B49BC">
        <w:rPr>
          <w:rFonts w:cs="Calibri"/>
        </w:rPr>
        <w:t>derecognised</w:t>
      </w:r>
      <w:r w:rsidRPr="005B49BC">
        <w:rPr>
          <w:rFonts w:cs="Calibri"/>
          <w:spacing w:val="-5"/>
        </w:rPr>
        <w:t xml:space="preserve"> </w:t>
      </w:r>
      <w:r w:rsidRPr="005B49BC">
        <w:rPr>
          <w:rFonts w:cs="Calibri"/>
        </w:rPr>
        <w:t>when</w:t>
      </w:r>
      <w:r w:rsidRPr="005B49BC">
        <w:rPr>
          <w:rFonts w:cs="Calibri"/>
          <w:spacing w:val="-5"/>
        </w:rPr>
        <w:t xml:space="preserve"> </w:t>
      </w:r>
      <w:r w:rsidRPr="005B49BC">
        <w:rPr>
          <w:rFonts w:cs="Calibri"/>
        </w:rPr>
        <w:t>the</w:t>
      </w:r>
      <w:r w:rsidRPr="005B49BC">
        <w:rPr>
          <w:rFonts w:cs="Calibri"/>
          <w:spacing w:val="-5"/>
        </w:rPr>
        <w:t xml:space="preserve"> </w:t>
      </w:r>
      <w:r w:rsidRPr="005B49BC">
        <w:rPr>
          <w:rFonts w:cs="Calibri"/>
        </w:rPr>
        <w:t>obligation</w:t>
      </w:r>
      <w:r w:rsidRPr="005B49BC">
        <w:rPr>
          <w:rFonts w:cs="Calibri"/>
          <w:spacing w:val="-5"/>
        </w:rPr>
        <w:t xml:space="preserve"> </w:t>
      </w:r>
      <w:r w:rsidRPr="005B49BC">
        <w:rPr>
          <w:rFonts w:cs="Calibri"/>
        </w:rPr>
        <w:t>under the liability is discharged, cancelled or expires.</w:t>
      </w:r>
    </w:p>
    <w:p w14:paraId="68AB6EFE" w14:textId="77777777" w:rsidR="00FA4226" w:rsidRPr="005B49BC" w:rsidRDefault="00000000" w:rsidP="0043303B">
      <w:pPr>
        <w:pStyle w:val="BodyText"/>
        <w:spacing w:before="114"/>
        <w:rPr>
          <w:rFonts w:cs="Calibri"/>
        </w:rPr>
      </w:pPr>
      <w:r w:rsidRPr="005B49BC">
        <w:rPr>
          <w:rFonts w:cs="Calibri"/>
        </w:rPr>
        <w:t>Offsetting</w:t>
      </w:r>
      <w:r w:rsidRPr="005B49BC">
        <w:rPr>
          <w:rFonts w:cs="Calibri"/>
          <w:spacing w:val="-2"/>
        </w:rPr>
        <w:t xml:space="preserve"> </w:t>
      </w:r>
      <w:r w:rsidRPr="005B49BC">
        <w:rPr>
          <w:rFonts w:cs="Calibri"/>
        </w:rPr>
        <w:t>financial</w:t>
      </w:r>
      <w:r w:rsidRPr="005B49BC">
        <w:rPr>
          <w:rFonts w:cs="Calibri"/>
          <w:spacing w:val="-2"/>
        </w:rPr>
        <w:t xml:space="preserve"> instruments</w:t>
      </w:r>
    </w:p>
    <w:p w14:paraId="3EF27FA1" w14:textId="77777777" w:rsidR="00FA4226" w:rsidRPr="005B49BC" w:rsidRDefault="00000000" w:rsidP="006C469C">
      <w:pPr>
        <w:pStyle w:val="BodyText"/>
        <w:spacing w:before="116"/>
        <w:rPr>
          <w:rFonts w:cs="Calibri"/>
        </w:rPr>
      </w:pPr>
      <w:r w:rsidRPr="005B49BC">
        <w:rPr>
          <w:rFonts w:cs="Calibri"/>
        </w:rPr>
        <w:t>Financial instrument assets and liabilities are offset, and</w:t>
      </w:r>
      <w:r w:rsidRPr="005B49BC">
        <w:rPr>
          <w:rFonts w:cs="Calibri"/>
          <w:spacing w:val="40"/>
        </w:rPr>
        <w:t xml:space="preserve"> </w:t>
      </w:r>
      <w:r w:rsidRPr="005B49BC">
        <w:rPr>
          <w:rFonts w:cs="Calibri"/>
        </w:rPr>
        <w:t>the net amount presented in the balance sheet when, and only when, Infrastructure Victoria has a legal right to offset the</w:t>
      </w:r>
      <w:r w:rsidRPr="005B49BC">
        <w:rPr>
          <w:rFonts w:cs="Calibri"/>
          <w:spacing w:val="-3"/>
        </w:rPr>
        <w:t xml:space="preserve"> </w:t>
      </w:r>
      <w:r w:rsidRPr="005B49BC">
        <w:rPr>
          <w:rFonts w:cs="Calibri"/>
        </w:rPr>
        <w:t>amounts</w:t>
      </w:r>
      <w:r w:rsidRPr="005B49BC">
        <w:rPr>
          <w:rFonts w:cs="Calibri"/>
          <w:spacing w:val="-3"/>
        </w:rPr>
        <w:t xml:space="preserve"> </w:t>
      </w:r>
      <w:r w:rsidRPr="005B49BC">
        <w:rPr>
          <w:rFonts w:cs="Calibri"/>
        </w:rPr>
        <w:t>and</w:t>
      </w:r>
      <w:r w:rsidRPr="005B49BC">
        <w:rPr>
          <w:rFonts w:cs="Calibri"/>
          <w:spacing w:val="-3"/>
        </w:rPr>
        <w:t xml:space="preserve"> </w:t>
      </w:r>
      <w:r w:rsidRPr="005B49BC">
        <w:rPr>
          <w:rFonts w:cs="Calibri"/>
        </w:rPr>
        <w:t>intend</w:t>
      </w:r>
      <w:r w:rsidRPr="005B49BC">
        <w:rPr>
          <w:rFonts w:cs="Calibri"/>
          <w:spacing w:val="-3"/>
        </w:rPr>
        <w:t xml:space="preserve"> </w:t>
      </w:r>
      <w:r w:rsidRPr="005B49BC">
        <w:rPr>
          <w:rFonts w:cs="Calibri"/>
        </w:rPr>
        <w:t>either</w:t>
      </w:r>
      <w:r w:rsidRPr="005B49BC">
        <w:rPr>
          <w:rFonts w:cs="Calibri"/>
          <w:spacing w:val="-3"/>
        </w:rPr>
        <w:t xml:space="preserve"> </w:t>
      </w:r>
      <w:r w:rsidRPr="005B49BC">
        <w:rPr>
          <w:rFonts w:cs="Calibri"/>
        </w:rPr>
        <w:t>to</w:t>
      </w:r>
      <w:r w:rsidRPr="005B49BC">
        <w:rPr>
          <w:rFonts w:cs="Calibri"/>
          <w:spacing w:val="-3"/>
        </w:rPr>
        <w:t xml:space="preserve"> </w:t>
      </w:r>
      <w:r w:rsidRPr="005B49BC">
        <w:rPr>
          <w:rFonts w:cs="Calibri"/>
        </w:rPr>
        <w:t>settle</w:t>
      </w:r>
      <w:r w:rsidRPr="005B49BC">
        <w:rPr>
          <w:rFonts w:cs="Calibri"/>
          <w:spacing w:val="-3"/>
        </w:rPr>
        <w:t xml:space="preserve"> </w:t>
      </w:r>
      <w:r w:rsidRPr="005B49BC">
        <w:rPr>
          <w:rFonts w:cs="Calibri"/>
        </w:rPr>
        <w:t>on</w:t>
      </w:r>
      <w:r w:rsidRPr="005B49BC">
        <w:rPr>
          <w:rFonts w:cs="Calibri"/>
          <w:spacing w:val="-3"/>
        </w:rPr>
        <w:t xml:space="preserve"> </w:t>
      </w:r>
      <w:r w:rsidRPr="005B49BC">
        <w:rPr>
          <w:rFonts w:cs="Calibri"/>
        </w:rPr>
        <w:t>a</w:t>
      </w:r>
      <w:r w:rsidRPr="005B49BC">
        <w:rPr>
          <w:rFonts w:cs="Calibri"/>
          <w:spacing w:val="-3"/>
        </w:rPr>
        <w:t xml:space="preserve"> </w:t>
      </w:r>
      <w:r w:rsidRPr="005B49BC">
        <w:rPr>
          <w:rFonts w:cs="Calibri"/>
        </w:rPr>
        <w:t>net</w:t>
      </w:r>
      <w:r w:rsidRPr="005B49BC">
        <w:rPr>
          <w:rFonts w:cs="Calibri"/>
          <w:spacing w:val="-3"/>
        </w:rPr>
        <w:t xml:space="preserve"> </w:t>
      </w:r>
      <w:r w:rsidRPr="005B49BC">
        <w:rPr>
          <w:rFonts w:cs="Calibri"/>
        </w:rPr>
        <w:t>basis</w:t>
      </w:r>
      <w:r w:rsidRPr="005B49BC">
        <w:rPr>
          <w:rFonts w:cs="Calibri"/>
          <w:spacing w:val="-3"/>
        </w:rPr>
        <w:t xml:space="preserve"> </w:t>
      </w:r>
      <w:r w:rsidRPr="005B49BC">
        <w:rPr>
          <w:rFonts w:cs="Calibri"/>
        </w:rPr>
        <w:t>or</w:t>
      </w:r>
      <w:r w:rsidRPr="005B49BC">
        <w:rPr>
          <w:rFonts w:cs="Calibri"/>
          <w:spacing w:val="-3"/>
        </w:rPr>
        <w:t xml:space="preserve"> </w:t>
      </w:r>
      <w:r w:rsidRPr="005B49BC">
        <w:rPr>
          <w:rFonts w:cs="Calibri"/>
        </w:rPr>
        <w:t>to realise the asset and settle the liability simultaneously.</w:t>
      </w:r>
    </w:p>
    <w:p w14:paraId="2A6E7A35" w14:textId="07103A64" w:rsidR="00617F5A" w:rsidRPr="005B49BC" w:rsidRDefault="00617F5A">
      <w:pPr>
        <w:rPr>
          <w:rFonts w:cs="Calibri"/>
          <w:color w:val="000000" w:themeColor="text1"/>
          <w:sz w:val="16"/>
          <w:szCs w:val="18"/>
        </w:rPr>
      </w:pPr>
      <w:r w:rsidRPr="005B49BC">
        <w:rPr>
          <w:rFonts w:cs="Calibri"/>
          <w:color w:val="000000" w:themeColor="text1"/>
          <w:sz w:val="16"/>
        </w:rPr>
        <w:br w:type="page"/>
      </w:r>
    </w:p>
    <w:p w14:paraId="72AB3175" w14:textId="77777777" w:rsidR="0009276E" w:rsidRPr="005B49BC" w:rsidRDefault="0009276E" w:rsidP="0009276E">
      <w:pPr>
        <w:pStyle w:val="Heading7"/>
        <w:numPr>
          <w:ilvl w:val="2"/>
          <w:numId w:val="7"/>
        </w:numPr>
        <w:spacing w:before="60"/>
        <w:ind w:left="0" w:firstLine="0"/>
        <w:rPr>
          <w:rFonts w:cs="Calibri"/>
          <w:color w:val="000000" w:themeColor="text1"/>
        </w:rPr>
      </w:pPr>
      <w:r w:rsidRPr="005B49BC">
        <w:rPr>
          <w:rFonts w:cs="Calibri"/>
          <w:color w:val="000000" w:themeColor="text1"/>
        </w:rPr>
        <w:t xml:space="preserve">Categorisation of financial </w:t>
      </w:r>
      <w:r w:rsidRPr="005B49BC">
        <w:rPr>
          <w:rFonts w:cs="Calibri"/>
          <w:color w:val="000000" w:themeColor="text1"/>
          <w:spacing w:val="-2"/>
        </w:rPr>
        <w:t>instruments</w:t>
      </w:r>
    </w:p>
    <w:p w14:paraId="2C9544C6" w14:textId="77777777" w:rsidR="0009276E" w:rsidRPr="00CA2CC1" w:rsidRDefault="0009276E" w:rsidP="0009276E">
      <w:pPr>
        <w:pStyle w:val="BodyText"/>
        <w:spacing w:before="6"/>
        <w:rPr>
          <w:rFonts w:cs="Calibri"/>
          <w:sz w:val="9"/>
        </w:rPr>
      </w:pPr>
    </w:p>
    <w:tbl>
      <w:tblPr>
        <w:tblW w:w="9637" w:type="dxa"/>
        <w:tblBorders>
          <w:top w:val="single" w:sz="4" w:space="0" w:color="C48F1B"/>
          <w:left w:val="single" w:sz="4" w:space="0" w:color="C48F1B"/>
          <w:bottom w:val="single" w:sz="4" w:space="0" w:color="C48F1B"/>
          <w:right w:val="single" w:sz="4" w:space="0" w:color="C48F1B"/>
          <w:insideH w:val="single" w:sz="4" w:space="0" w:color="C48F1B"/>
          <w:insideV w:val="single" w:sz="4" w:space="0" w:color="C48F1B"/>
        </w:tblBorders>
        <w:tblLayout w:type="fixed"/>
        <w:tblCellMar>
          <w:left w:w="0" w:type="dxa"/>
          <w:right w:w="0" w:type="dxa"/>
        </w:tblCellMar>
        <w:tblLook w:val="01E0" w:firstRow="1" w:lastRow="1" w:firstColumn="1" w:lastColumn="1" w:noHBand="0" w:noVBand="0"/>
      </w:tblPr>
      <w:tblGrid>
        <w:gridCol w:w="6633"/>
        <w:gridCol w:w="1502"/>
        <w:gridCol w:w="1502"/>
      </w:tblGrid>
      <w:tr w:rsidR="0009276E" w:rsidRPr="00CA2CC1" w14:paraId="266127CA" w14:textId="77777777" w:rsidTr="008A2181">
        <w:trPr>
          <w:trHeight w:val="544"/>
        </w:trPr>
        <w:tc>
          <w:tcPr>
            <w:tcW w:w="6633" w:type="dxa"/>
            <w:tcBorders>
              <w:top w:val="nil"/>
              <w:left w:val="nil"/>
              <w:right w:val="nil"/>
            </w:tcBorders>
          </w:tcPr>
          <w:p w14:paraId="757C2FBA" w14:textId="77777777" w:rsidR="0009276E" w:rsidRPr="00CA2CC1" w:rsidRDefault="0009276E" w:rsidP="003B766D">
            <w:pPr>
              <w:pStyle w:val="TableParagraph"/>
              <w:spacing w:before="12"/>
              <w:jc w:val="left"/>
              <w:rPr>
                <w:rFonts w:cs="Calibri"/>
                <w:sz w:val="19"/>
              </w:rPr>
            </w:pPr>
          </w:p>
          <w:p w14:paraId="383FDD92" w14:textId="77777777" w:rsidR="0009276E" w:rsidRPr="00CA2CC1" w:rsidRDefault="0009276E" w:rsidP="00373F17">
            <w:pPr>
              <w:pStyle w:val="TableParagraph"/>
              <w:spacing w:before="1"/>
              <w:ind w:left="1360"/>
              <w:jc w:val="left"/>
              <w:rPr>
                <w:rFonts w:cs="Calibri"/>
                <w:sz w:val="17"/>
              </w:rPr>
            </w:pPr>
            <w:r w:rsidRPr="00CA2CC1">
              <w:rPr>
                <w:rFonts w:cs="Calibri"/>
                <w:color w:val="F68C59"/>
                <w:spacing w:val="-4"/>
                <w:sz w:val="17"/>
              </w:rPr>
              <w:t>Note</w:t>
            </w:r>
            <w:r w:rsidRPr="00CA2CC1">
              <w:rPr>
                <w:rFonts w:cs="Calibri"/>
                <w:color w:val="F68C59"/>
                <w:sz w:val="17"/>
              </w:rPr>
              <w:tab/>
            </w:r>
            <w:r w:rsidRPr="00CA2CC1">
              <w:rPr>
                <w:rFonts w:cs="Calibri"/>
                <w:color w:val="F68C59"/>
                <w:spacing w:val="-2"/>
                <w:sz w:val="17"/>
              </w:rPr>
              <w:t>Category</w:t>
            </w:r>
          </w:p>
        </w:tc>
        <w:tc>
          <w:tcPr>
            <w:tcW w:w="1502" w:type="dxa"/>
            <w:tcBorders>
              <w:top w:val="nil"/>
              <w:left w:val="nil"/>
              <w:right w:val="single" w:sz="8" w:space="0" w:color="FFFFFF"/>
            </w:tcBorders>
            <w:shd w:val="clear" w:color="auto" w:fill="FFF0E7"/>
            <w:tcMar>
              <w:right w:w="57" w:type="dxa"/>
            </w:tcMar>
          </w:tcPr>
          <w:p w14:paraId="0523EC34" w14:textId="77777777" w:rsidR="0009276E" w:rsidRPr="00CA2CC1" w:rsidRDefault="0009276E" w:rsidP="003B766D">
            <w:pPr>
              <w:pStyle w:val="TableParagraph"/>
              <w:spacing w:before="39"/>
              <w:rPr>
                <w:rFonts w:cs="Calibri"/>
                <w:sz w:val="17"/>
              </w:rPr>
            </w:pPr>
            <w:r w:rsidRPr="00CA2CC1">
              <w:rPr>
                <w:rFonts w:cs="Calibri"/>
                <w:color w:val="F68C59"/>
                <w:spacing w:val="-4"/>
                <w:sz w:val="17"/>
              </w:rPr>
              <w:t>2023</w:t>
            </w:r>
          </w:p>
          <w:p w14:paraId="4E294947" w14:textId="77777777" w:rsidR="0009276E" w:rsidRPr="00CA2CC1" w:rsidRDefault="0009276E" w:rsidP="003B766D">
            <w:pPr>
              <w:pStyle w:val="TableParagraph"/>
              <w:spacing w:before="1"/>
              <w:rPr>
                <w:rFonts w:cs="Calibri"/>
                <w:sz w:val="17"/>
              </w:rPr>
            </w:pPr>
            <w:r w:rsidRPr="00CA2CC1">
              <w:rPr>
                <w:rFonts w:cs="Calibri"/>
                <w:color w:val="F68C59"/>
                <w:sz w:val="17"/>
              </w:rPr>
              <w:t>$</w:t>
            </w:r>
          </w:p>
        </w:tc>
        <w:tc>
          <w:tcPr>
            <w:tcW w:w="1502" w:type="dxa"/>
            <w:tcBorders>
              <w:top w:val="nil"/>
              <w:left w:val="single" w:sz="8" w:space="0" w:color="FFFFFF"/>
              <w:right w:val="single" w:sz="8" w:space="0" w:color="FFFFFF"/>
            </w:tcBorders>
            <w:shd w:val="clear" w:color="auto" w:fill="EDEFF0"/>
            <w:tcMar>
              <w:right w:w="57" w:type="dxa"/>
            </w:tcMar>
          </w:tcPr>
          <w:p w14:paraId="20ED0016" w14:textId="77777777" w:rsidR="0009276E" w:rsidRPr="00CA2CC1" w:rsidRDefault="0009276E" w:rsidP="003B766D">
            <w:pPr>
              <w:pStyle w:val="TableParagraph"/>
              <w:spacing w:before="39"/>
              <w:rPr>
                <w:rFonts w:cs="Calibri"/>
                <w:sz w:val="17"/>
              </w:rPr>
            </w:pPr>
            <w:r w:rsidRPr="00CA2CC1">
              <w:rPr>
                <w:rFonts w:cs="Calibri"/>
                <w:color w:val="F68C59"/>
                <w:spacing w:val="-4"/>
                <w:sz w:val="17"/>
              </w:rPr>
              <w:t>2022</w:t>
            </w:r>
          </w:p>
          <w:p w14:paraId="3F2916EC" w14:textId="77777777" w:rsidR="0009276E" w:rsidRPr="00CA2CC1" w:rsidRDefault="0009276E" w:rsidP="003B766D">
            <w:pPr>
              <w:pStyle w:val="TableParagraph"/>
              <w:spacing w:before="1"/>
              <w:rPr>
                <w:rFonts w:cs="Calibri"/>
                <w:sz w:val="17"/>
              </w:rPr>
            </w:pPr>
            <w:r w:rsidRPr="00CA2CC1">
              <w:rPr>
                <w:rFonts w:cs="Calibri"/>
                <w:color w:val="F68C59"/>
                <w:sz w:val="17"/>
              </w:rPr>
              <w:t>$</w:t>
            </w:r>
          </w:p>
        </w:tc>
      </w:tr>
      <w:tr w:rsidR="0009276E" w:rsidRPr="00CA2CC1" w14:paraId="128744B0" w14:textId="77777777" w:rsidTr="008A2181">
        <w:trPr>
          <w:trHeight w:val="281"/>
        </w:trPr>
        <w:tc>
          <w:tcPr>
            <w:tcW w:w="6633" w:type="dxa"/>
            <w:tcBorders>
              <w:left w:val="nil"/>
              <w:bottom w:val="single" w:sz="2" w:space="0" w:color="73777A"/>
              <w:right w:val="nil"/>
            </w:tcBorders>
          </w:tcPr>
          <w:p w14:paraId="784031DE" w14:textId="77777777" w:rsidR="0009276E" w:rsidRPr="00CA2CC1" w:rsidRDefault="0009276E" w:rsidP="003B766D">
            <w:pPr>
              <w:pStyle w:val="TableParagraph"/>
              <w:jc w:val="left"/>
              <w:rPr>
                <w:rFonts w:cs="Calibri"/>
                <w:sz w:val="18"/>
              </w:rPr>
            </w:pPr>
            <w:r w:rsidRPr="00CA2CC1">
              <w:rPr>
                <w:rFonts w:cs="Calibri"/>
                <w:color w:val="F68C59"/>
                <w:sz w:val="18"/>
              </w:rPr>
              <w:t>Financial</w:t>
            </w:r>
            <w:r w:rsidRPr="00CA2CC1">
              <w:rPr>
                <w:rFonts w:cs="Calibri"/>
                <w:color w:val="F68C59"/>
                <w:spacing w:val="12"/>
                <w:sz w:val="18"/>
              </w:rPr>
              <w:t xml:space="preserve"> </w:t>
            </w:r>
            <w:r w:rsidRPr="00CA2CC1">
              <w:rPr>
                <w:rFonts w:cs="Calibri"/>
                <w:color w:val="F68C59"/>
                <w:spacing w:val="-2"/>
                <w:sz w:val="18"/>
              </w:rPr>
              <w:t>assets</w:t>
            </w:r>
          </w:p>
        </w:tc>
        <w:tc>
          <w:tcPr>
            <w:tcW w:w="1502" w:type="dxa"/>
            <w:tcBorders>
              <w:left w:val="nil"/>
              <w:bottom w:val="single" w:sz="2" w:space="0" w:color="73777A"/>
              <w:right w:val="single" w:sz="8" w:space="0" w:color="FFFFFF"/>
            </w:tcBorders>
            <w:shd w:val="clear" w:color="auto" w:fill="FFF0E7"/>
            <w:tcMar>
              <w:right w:w="57" w:type="dxa"/>
            </w:tcMar>
          </w:tcPr>
          <w:p w14:paraId="51C60869" w14:textId="77777777" w:rsidR="0009276E" w:rsidRPr="00CA2CC1" w:rsidRDefault="0009276E" w:rsidP="003B766D">
            <w:pPr>
              <w:pStyle w:val="TableParagraph"/>
              <w:jc w:val="left"/>
              <w:rPr>
                <w:rFonts w:cs="Calibri"/>
                <w:sz w:val="16"/>
              </w:rPr>
            </w:pPr>
          </w:p>
        </w:tc>
        <w:tc>
          <w:tcPr>
            <w:tcW w:w="1502" w:type="dxa"/>
            <w:tcBorders>
              <w:left w:val="single" w:sz="8" w:space="0" w:color="FFFFFF"/>
              <w:bottom w:val="single" w:sz="2" w:space="0" w:color="73777A"/>
              <w:right w:val="single" w:sz="8" w:space="0" w:color="FFFFFF"/>
            </w:tcBorders>
            <w:shd w:val="clear" w:color="auto" w:fill="EDEFF0"/>
            <w:tcMar>
              <w:right w:w="57" w:type="dxa"/>
            </w:tcMar>
          </w:tcPr>
          <w:p w14:paraId="353D7A3D" w14:textId="77777777" w:rsidR="0009276E" w:rsidRPr="00CA2CC1" w:rsidRDefault="0009276E" w:rsidP="003B766D">
            <w:pPr>
              <w:pStyle w:val="TableParagraph"/>
              <w:jc w:val="left"/>
              <w:rPr>
                <w:rFonts w:cs="Calibri"/>
                <w:sz w:val="16"/>
              </w:rPr>
            </w:pPr>
          </w:p>
        </w:tc>
      </w:tr>
      <w:tr w:rsidR="0009276E" w:rsidRPr="00CA2CC1" w14:paraId="491D960E" w14:textId="77777777" w:rsidTr="008A2181">
        <w:trPr>
          <w:trHeight w:val="283"/>
        </w:trPr>
        <w:tc>
          <w:tcPr>
            <w:tcW w:w="6633" w:type="dxa"/>
            <w:tcBorders>
              <w:top w:val="single" w:sz="2" w:space="0" w:color="73777A"/>
              <w:left w:val="nil"/>
              <w:bottom w:val="single" w:sz="2" w:space="0" w:color="73777A"/>
              <w:right w:val="nil"/>
            </w:tcBorders>
          </w:tcPr>
          <w:p w14:paraId="6A62D533" w14:textId="77777777" w:rsidR="0009276E" w:rsidRPr="00CA2CC1" w:rsidRDefault="0009276E" w:rsidP="003B766D">
            <w:pPr>
              <w:pStyle w:val="TableParagraph"/>
              <w:jc w:val="left"/>
              <w:rPr>
                <w:rFonts w:cs="Calibri"/>
                <w:sz w:val="18"/>
              </w:rPr>
            </w:pPr>
            <w:r w:rsidRPr="00CA2CC1">
              <w:rPr>
                <w:rFonts w:cs="Calibri"/>
                <w:color w:val="414042"/>
                <w:sz w:val="18"/>
              </w:rPr>
              <w:t>Receivables</w:t>
            </w:r>
            <w:r w:rsidRPr="00CA2CC1">
              <w:rPr>
                <w:rFonts w:cs="Calibri"/>
                <w:color w:val="414042"/>
                <w:spacing w:val="15"/>
                <w:sz w:val="18"/>
              </w:rPr>
              <w:t xml:space="preserve"> </w:t>
            </w:r>
            <w:r w:rsidRPr="00CA2CC1">
              <w:rPr>
                <w:rFonts w:cs="Calibri"/>
                <w:color w:val="414042"/>
                <w:spacing w:val="-5"/>
                <w:position w:val="6"/>
                <w:sz w:val="10"/>
              </w:rPr>
              <w:t>(i)</w:t>
            </w:r>
            <w:r w:rsidRPr="00CA2CC1">
              <w:rPr>
                <w:rFonts w:cs="Calibri"/>
                <w:color w:val="414042"/>
                <w:position w:val="6"/>
                <w:sz w:val="10"/>
              </w:rPr>
              <w:tab/>
            </w:r>
            <w:r w:rsidRPr="00CA2CC1">
              <w:rPr>
                <w:rFonts w:cs="Calibri"/>
                <w:color w:val="414042"/>
                <w:spacing w:val="-5"/>
                <w:sz w:val="18"/>
              </w:rPr>
              <w:t>5.1</w:t>
            </w:r>
            <w:r w:rsidRPr="00CA2CC1">
              <w:rPr>
                <w:rFonts w:cs="Calibri"/>
                <w:color w:val="414042"/>
                <w:sz w:val="18"/>
              </w:rPr>
              <w:tab/>
              <w:t>Financial</w:t>
            </w:r>
            <w:r w:rsidRPr="00CA2CC1">
              <w:rPr>
                <w:rFonts w:cs="Calibri"/>
                <w:color w:val="414042"/>
                <w:spacing w:val="5"/>
                <w:sz w:val="18"/>
              </w:rPr>
              <w:t xml:space="preserve"> </w:t>
            </w:r>
            <w:r w:rsidRPr="00CA2CC1">
              <w:rPr>
                <w:rFonts w:cs="Calibri"/>
                <w:color w:val="414042"/>
                <w:sz w:val="18"/>
              </w:rPr>
              <w:t>assets</w:t>
            </w:r>
            <w:r w:rsidRPr="00CA2CC1">
              <w:rPr>
                <w:rFonts w:cs="Calibri"/>
                <w:color w:val="414042"/>
                <w:spacing w:val="8"/>
                <w:sz w:val="18"/>
              </w:rPr>
              <w:t xml:space="preserve"> </w:t>
            </w:r>
            <w:r w:rsidRPr="00CA2CC1">
              <w:rPr>
                <w:rFonts w:cs="Calibri"/>
                <w:color w:val="414042"/>
                <w:sz w:val="18"/>
              </w:rPr>
              <w:t>at</w:t>
            </w:r>
            <w:r w:rsidRPr="00CA2CC1">
              <w:rPr>
                <w:rFonts w:cs="Calibri"/>
                <w:color w:val="414042"/>
                <w:spacing w:val="7"/>
                <w:sz w:val="18"/>
              </w:rPr>
              <w:t xml:space="preserve"> </w:t>
            </w:r>
            <w:r w:rsidRPr="00CA2CC1">
              <w:rPr>
                <w:rFonts w:cs="Calibri"/>
                <w:color w:val="414042"/>
                <w:sz w:val="18"/>
              </w:rPr>
              <w:t>amortised</w:t>
            </w:r>
            <w:r w:rsidRPr="00CA2CC1">
              <w:rPr>
                <w:rFonts w:cs="Calibri"/>
                <w:color w:val="414042"/>
                <w:spacing w:val="8"/>
                <w:sz w:val="18"/>
              </w:rPr>
              <w:t xml:space="preserve"> </w:t>
            </w:r>
            <w:r w:rsidRPr="00CA2CC1">
              <w:rPr>
                <w:rFonts w:cs="Calibri"/>
                <w:color w:val="414042"/>
                <w:spacing w:val="-4"/>
                <w:sz w:val="18"/>
              </w:rPr>
              <w:t>cost</w:t>
            </w:r>
          </w:p>
        </w:tc>
        <w:tc>
          <w:tcPr>
            <w:tcW w:w="1502" w:type="dxa"/>
            <w:tcBorders>
              <w:top w:val="single" w:sz="2" w:space="0" w:color="73777A"/>
              <w:left w:val="nil"/>
              <w:bottom w:val="single" w:sz="2" w:space="0" w:color="73777A"/>
              <w:right w:val="single" w:sz="8" w:space="0" w:color="FFFFFF"/>
            </w:tcBorders>
            <w:shd w:val="clear" w:color="auto" w:fill="FFF0E7"/>
            <w:tcMar>
              <w:right w:w="57" w:type="dxa"/>
            </w:tcMar>
          </w:tcPr>
          <w:p w14:paraId="6C99E762" w14:textId="77777777" w:rsidR="0009276E" w:rsidRPr="00CA2CC1" w:rsidRDefault="0009276E" w:rsidP="003B766D">
            <w:pPr>
              <w:pStyle w:val="TableParagraph"/>
              <w:rPr>
                <w:rFonts w:cs="Calibri"/>
                <w:sz w:val="18"/>
              </w:rPr>
            </w:pPr>
            <w:r w:rsidRPr="00CA2CC1">
              <w:rPr>
                <w:rFonts w:cs="Calibri"/>
                <w:color w:val="414042"/>
                <w:sz w:val="18"/>
              </w:rPr>
              <w:t>-</w:t>
            </w:r>
          </w:p>
        </w:tc>
        <w:tc>
          <w:tcPr>
            <w:tcW w:w="1502" w:type="dxa"/>
            <w:tcBorders>
              <w:top w:val="single" w:sz="2" w:space="0" w:color="73777A"/>
              <w:left w:val="single" w:sz="8" w:space="0" w:color="FFFFFF"/>
              <w:bottom w:val="single" w:sz="2" w:space="0" w:color="73777A"/>
              <w:right w:val="single" w:sz="8" w:space="0" w:color="FFFFFF"/>
            </w:tcBorders>
            <w:shd w:val="clear" w:color="auto" w:fill="EDEFF0"/>
            <w:tcMar>
              <w:right w:w="57" w:type="dxa"/>
            </w:tcMar>
          </w:tcPr>
          <w:p w14:paraId="674E7CFB" w14:textId="77777777" w:rsidR="0009276E" w:rsidRPr="00CA2CC1" w:rsidRDefault="0009276E" w:rsidP="003B766D">
            <w:pPr>
              <w:pStyle w:val="TableParagraph"/>
              <w:rPr>
                <w:rFonts w:cs="Calibri"/>
                <w:sz w:val="18"/>
              </w:rPr>
            </w:pPr>
            <w:r w:rsidRPr="00CA2CC1">
              <w:rPr>
                <w:rFonts w:cs="Calibri"/>
                <w:color w:val="414042"/>
                <w:sz w:val="18"/>
              </w:rPr>
              <w:t>-</w:t>
            </w:r>
          </w:p>
        </w:tc>
      </w:tr>
      <w:tr w:rsidR="0009276E" w:rsidRPr="00CA2CC1" w14:paraId="38796052" w14:textId="77777777" w:rsidTr="008A2181">
        <w:trPr>
          <w:trHeight w:val="283"/>
        </w:trPr>
        <w:tc>
          <w:tcPr>
            <w:tcW w:w="6633" w:type="dxa"/>
            <w:tcBorders>
              <w:top w:val="single" w:sz="2" w:space="0" w:color="73777A"/>
              <w:left w:val="nil"/>
              <w:bottom w:val="single" w:sz="2" w:space="0" w:color="73777A"/>
              <w:right w:val="nil"/>
            </w:tcBorders>
          </w:tcPr>
          <w:p w14:paraId="0F126E02" w14:textId="77777777" w:rsidR="0009276E" w:rsidRPr="00CA2CC1" w:rsidRDefault="0009276E" w:rsidP="003B766D">
            <w:pPr>
              <w:pStyle w:val="TableParagraph"/>
              <w:jc w:val="left"/>
              <w:rPr>
                <w:rFonts w:cs="Calibri"/>
                <w:sz w:val="16"/>
              </w:rPr>
            </w:pPr>
          </w:p>
        </w:tc>
        <w:tc>
          <w:tcPr>
            <w:tcW w:w="1502" w:type="dxa"/>
            <w:tcBorders>
              <w:top w:val="single" w:sz="2" w:space="0" w:color="73777A"/>
              <w:left w:val="nil"/>
              <w:bottom w:val="single" w:sz="2" w:space="0" w:color="73777A"/>
              <w:right w:val="single" w:sz="8" w:space="0" w:color="FFFFFF"/>
            </w:tcBorders>
            <w:shd w:val="clear" w:color="auto" w:fill="FFF0E7"/>
            <w:tcMar>
              <w:right w:w="57" w:type="dxa"/>
            </w:tcMar>
          </w:tcPr>
          <w:p w14:paraId="5112EAD0" w14:textId="77777777" w:rsidR="0009276E" w:rsidRPr="00CA2CC1" w:rsidRDefault="0009276E" w:rsidP="003B766D">
            <w:pPr>
              <w:pStyle w:val="TableParagraph"/>
              <w:rPr>
                <w:rFonts w:cs="Calibri"/>
                <w:sz w:val="18"/>
              </w:rPr>
            </w:pPr>
            <w:r w:rsidRPr="00CA2CC1">
              <w:rPr>
                <w:rFonts w:cs="Calibri"/>
                <w:color w:val="414042"/>
                <w:sz w:val="18"/>
              </w:rPr>
              <w:t>-</w:t>
            </w:r>
          </w:p>
        </w:tc>
        <w:tc>
          <w:tcPr>
            <w:tcW w:w="1502" w:type="dxa"/>
            <w:tcBorders>
              <w:top w:val="single" w:sz="2" w:space="0" w:color="73777A"/>
              <w:left w:val="single" w:sz="8" w:space="0" w:color="FFFFFF"/>
              <w:bottom w:val="single" w:sz="2" w:space="0" w:color="73777A"/>
              <w:right w:val="single" w:sz="8" w:space="0" w:color="FFFFFF"/>
            </w:tcBorders>
            <w:shd w:val="clear" w:color="auto" w:fill="EDEFF0"/>
            <w:tcMar>
              <w:right w:w="57" w:type="dxa"/>
            </w:tcMar>
          </w:tcPr>
          <w:p w14:paraId="5DC70E38" w14:textId="77777777" w:rsidR="0009276E" w:rsidRPr="00CA2CC1" w:rsidRDefault="0009276E" w:rsidP="003B766D">
            <w:pPr>
              <w:pStyle w:val="TableParagraph"/>
              <w:rPr>
                <w:rFonts w:cs="Calibri"/>
                <w:sz w:val="18"/>
              </w:rPr>
            </w:pPr>
            <w:r w:rsidRPr="00CA2CC1">
              <w:rPr>
                <w:rFonts w:cs="Calibri"/>
                <w:color w:val="414042"/>
                <w:sz w:val="18"/>
              </w:rPr>
              <w:t>-</w:t>
            </w:r>
          </w:p>
        </w:tc>
      </w:tr>
      <w:tr w:rsidR="0009276E" w:rsidRPr="00CA2CC1" w14:paraId="3729BF5C" w14:textId="77777777" w:rsidTr="008A2181">
        <w:trPr>
          <w:trHeight w:val="595"/>
        </w:trPr>
        <w:tc>
          <w:tcPr>
            <w:tcW w:w="6633" w:type="dxa"/>
            <w:tcBorders>
              <w:top w:val="single" w:sz="2" w:space="0" w:color="73777A"/>
              <w:left w:val="nil"/>
              <w:right w:val="nil"/>
            </w:tcBorders>
          </w:tcPr>
          <w:p w14:paraId="23710BCC" w14:textId="77777777" w:rsidR="0009276E" w:rsidRPr="00CA2CC1" w:rsidRDefault="0009276E" w:rsidP="003B766D">
            <w:pPr>
              <w:pStyle w:val="TableParagraph"/>
              <w:spacing w:before="9"/>
              <w:jc w:val="left"/>
              <w:rPr>
                <w:rFonts w:cs="Calibri"/>
                <w:sz w:val="23"/>
              </w:rPr>
            </w:pPr>
          </w:p>
          <w:p w14:paraId="42DE5B10" w14:textId="77777777" w:rsidR="0009276E" w:rsidRPr="00CA2CC1" w:rsidRDefault="0009276E" w:rsidP="003B766D">
            <w:pPr>
              <w:pStyle w:val="TableParagraph"/>
              <w:jc w:val="left"/>
              <w:rPr>
                <w:rFonts w:cs="Calibri"/>
                <w:sz w:val="17"/>
              </w:rPr>
            </w:pPr>
            <w:r w:rsidRPr="00CA2CC1">
              <w:rPr>
                <w:rFonts w:cs="Calibri"/>
                <w:color w:val="F68C59"/>
                <w:sz w:val="17"/>
              </w:rPr>
              <w:t>Financial</w:t>
            </w:r>
            <w:r w:rsidRPr="00CA2CC1">
              <w:rPr>
                <w:rFonts w:cs="Calibri"/>
                <w:color w:val="F68C59"/>
                <w:spacing w:val="16"/>
                <w:sz w:val="17"/>
              </w:rPr>
              <w:t xml:space="preserve"> </w:t>
            </w:r>
            <w:r w:rsidRPr="00CA2CC1">
              <w:rPr>
                <w:rFonts w:cs="Calibri"/>
                <w:color w:val="F68C59"/>
                <w:spacing w:val="-2"/>
                <w:sz w:val="17"/>
              </w:rPr>
              <w:t>liabilities</w:t>
            </w:r>
          </w:p>
        </w:tc>
        <w:tc>
          <w:tcPr>
            <w:tcW w:w="1502" w:type="dxa"/>
            <w:tcBorders>
              <w:top w:val="single" w:sz="2" w:space="0" w:color="73777A"/>
              <w:left w:val="nil"/>
              <w:right w:val="single" w:sz="8" w:space="0" w:color="FFFFFF"/>
            </w:tcBorders>
            <w:shd w:val="clear" w:color="auto" w:fill="FFF0E7"/>
            <w:tcMar>
              <w:right w:w="57" w:type="dxa"/>
            </w:tcMar>
          </w:tcPr>
          <w:p w14:paraId="6758595D" w14:textId="77777777" w:rsidR="0009276E" w:rsidRPr="00CA2CC1" w:rsidRDefault="0009276E" w:rsidP="003B766D">
            <w:pPr>
              <w:pStyle w:val="TableParagraph"/>
              <w:jc w:val="left"/>
              <w:rPr>
                <w:rFonts w:cs="Calibri"/>
                <w:sz w:val="16"/>
              </w:rPr>
            </w:pPr>
          </w:p>
        </w:tc>
        <w:tc>
          <w:tcPr>
            <w:tcW w:w="1502" w:type="dxa"/>
            <w:tcBorders>
              <w:top w:val="single" w:sz="2" w:space="0" w:color="73777A"/>
              <w:left w:val="single" w:sz="8" w:space="0" w:color="FFFFFF"/>
              <w:right w:val="single" w:sz="8" w:space="0" w:color="FFFFFF"/>
            </w:tcBorders>
            <w:shd w:val="clear" w:color="auto" w:fill="EDEFF0"/>
            <w:tcMar>
              <w:right w:w="57" w:type="dxa"/>
            </w:tcMar>
          </w:tcPr>
          <w:p w14:paraId="43693BD9" w14:textId="77777777" w:rsidR="0009276E" w:rsidRPr="00CA2CC1" w:rsidRDefault="0009276E" w:rsidP="003B766D">
            <w:pPr>
              <w:pStyle w:val="TableParagraph"/>
              <w:jc w:val="left"/>
              <w:rPr>
                <w:rFonts w:cs="Calibri"/>
                <w:sz w:val="16"/>
              </w:rPr>
            </w:pPr>
          </w:p>
        </w:tc>
      </w:tr>
      <w:tr w:rsidR="0009276E" w:rsidRPr="00CA2CC1" w14:paraId="34B4BCA4" w14:textId="77777777" w:rsidTr="008A2181">
        <w:trPr>
          <w:trHeight w:val="281"/>
        </w:trPr>
        <w:tc>
          <w:tcPr>
            <w:tcW w:w="6633" w:type="dxa"/>
            <w:tcBorders>
              <w:left w:val="nil"/>
              <w:bottom w:val="single" w:sz="2" w:space="0" w:color="73777A"/>
              <w:right w:val="nil"/>
            </w:tcBorders>
          </w:tcPr>
          <w:p w14:paraId="579F09DB" w14:textId="77777777" w:rsidR="0009276E" w:rsidRPr="00CA2CC1" w:rsidRDefault="0009276E" w:rsidP="003B766D">
            <w:pPr>
              <w:pStyle w:val="TableParagraph"/>
              <w:jc w:val="left"/>
              <w:rPr>
                <w:rFonts w:cs="Calibri"/>
                <w:sz w:val="18"/>
              </w:rPr>
            </w:pPr>
            <w:r w:rsidRPr="00CA2CC1">
              <w:rPr>
                <w:rFonts w:cs="Calibri"/>
                <w:color w:val="414042"/>
                <w:sz w:val="18"/>
              </w:rPr>
              <w:t>Payables</w:t>
            </w:r>
            <w:r w:rsidRPr="00CA2CC1">
              <w:rPr>
                <w:rFonts w:cs="Calibri"/>
                <w:color w:val="414042"/>
                <w:spacing w:val="1"/>
                <w:sz w:val="18"/>
              </w:rPr>
              <w:t xml:space="preserve"> </w:t>
            </w:r>
            <w:r w:rsidRPr="00CA2CC1">
              <w:rPr>
                <w:rFonts w:cs="Calibri"/>
                <w:color w:val="414042"/>
                <w:spacing w:val="-2"/>
                <w:position w:val="6"/>
                <w:sz w:val="10"/>
              </w:rPr>
              <w:t>(i)(ii)</w:t>
            </w:r>
            <w:r w:rsidRPr="00CA2CC1">
              <w:rPr>
                <w:rFonts w:cs="Calibri"/>
                <w:color w:val="414042"/>
                <w:position w:val="6"/>
                <w:sz w:val="10"/>
              </w:rPr>
              <w:tab/>
            </w:r>
            <w:r w:rsidRPr="00CA2CC1">
              <w:rPr>
                <w:rFonts w:cs="Calibri"/>
                <w:color w:val="414042"/>
                <w:spacing w:val="-5"/>
                <w:sz w:val="18"/>
              </w:rPr>
              <w:t>5.2</w:t>
            </w:r>
            <w:r w:rsidRPr="00CA2CC1">
              <w:rPr>
                <w:rFonts w:cs="Calibri"/>
                <w:color w:val="414042"/>
                <w:sz w:val="18"/>
              </w:rPr>
              <w:tab/>
              <w:t>Financial</w:t>
            </w:r>
            <w:r w:rsidRPr="00CA2CC1">
              <w:rPr>
                <w:rFonts w:cs="Calibri"/>
                <w:color w:val="414042"/>
                <w:spacing w:val="8"/>
                <w:sz w:val="18"/>
              </w:rPr>
              <w:t xml:space="preserve"> </w:t>
            </w:r>
            <w:r w:rsidRPr="00CA2CC1">
              <w:rPr>
                <w:rFonts w:cs="Calibri"/>
                <w:color w:val="414042"/>
                <w:sz w:val="18"/>
              </w:rPr>
              <w:t>liabilities</w:t>
            </w:r>
            <w:r w:rsidRPr="00CA2CC1">
              <w:rPr>
                <w:rFonts w:cs="Calibri"/>
                <w:color w:val="414042"/>
                <w:spacing w:val="9"/>
                <w:sz w:val="18"/>
              </w:rPr>
              <w:t xml:space="preserve"> </w:t>
            </w:r>
            <w:r w:rsidRPr="00CA2CC1">
              <w:rPr>
                <w:rFonts w:cs="Calibri"/>
                <w:color w:val="414042"/>
                <w:sz w:val="18"/>
              </w:rPr>
              <w:t>at</w:t>
            </w:r>
            <w:r w:rsidRPr="00CA2CC1">
              <w:rPr>
                <w:rFonts w:cs="Calibri"/>
                <w:color w:val="414042"/>
                <w:spacing w:val="9"/>
                <w:sz w:val="18"/>
              </w:rPr>
              <w:t xml:space="preserve"> </w:t>
            </w:r>
            <w:r w:rsidRPr="00CA2CC1">
              <w:rPr>
                <w:rFonts w:cs="Calibri"/>
                <w:color w:val="414042"/>
                <w:sz w:val="18"/>
              </w:rPr>
              <w:t>amortised</w:t>
            </w:r>
            <w:r w:rsidRPr="00CA2CC1">
              <w:rPr>
                <w:rFonts w:cs="Calibri"/>
                <w:color w:val="414042"/>
                <w:spacing w:val="9"/>
                <w:sz w:val="18"/>
              </w:rPr>
              <w:t xml:space="preserve"> </w:t>
            </w:r>
            <w:r w:rsidRPr="00CA2CC1">
              <w:rPr>
                <w:rFonts w:cs="Calibri"/>
                <w:color w:val="414042"/>
                <w:spacing w:val="-4"/>
                <w:sz w:val="18"/>
              </w:rPr>
              <w:t>cost</w:t>
            </w:r>
          </w:p>
        </w:tc>
        <w:tc>
          <w:tcPr>
            <w:tcW w:w="1502" w:type="dxa"/>
            <w:tcBorders>
              <w:left w:val="nil"/>
              <w:bottom w:val="single" w:sz="2" w:space="0" w:color="73777A"/>
              <w:right w:val="single" w:sz="8" w:space="0" w:color="FFFFFF"/>
            </w:tcBorders>
            <w:shd w:val="clear" w:color="auto" w:fill="FFF0E7"/>
            <w:tcMar>
              <w:right w:w="57" w:type="dxa"/>
            </w:tcMar>
          </w:tcPr>
          <w:p w14:paraId="0B4A03CF" w14:textId="77777777" w:rsidR="0009276E" w:rsidRPr="00CA2CC1" w:rsidRDefault="0009276E" w:rsidP="003B766D">
            <w:pPr>
              <w:pStyle w:val="TableParagraph"/>
              <w:rPr>
                <w:rFonts w:cs="Calibri"/>
                <w:sz w:val="18"/>
              </w:rPr>
            </w:pPr>
            <w:r w:rsidRPr="00CA2CC1">
              <w:rPr>
                <w:rFonts w:cs="Calibri"/>
                <w:color w:val="414042"/>
                <w:spacing w:val="-2"/>
                <w:sz w:val="18"/>
              </w:rPr>
              <w:t>1,049,037</w:t>
            </w:r>
          </w:p>
        </w:tc>
        <w:tc>
          <w:tcPr>
            <w:tcW w:w="1502" w:type="dxa"/>
            <w:tcBorders>
              <w:left w:val="single" w:sz="8" w:space="0" w:color="FFFFFF"/>
              <w:bottom w:val="single" w:sz="2" w:space="0" w:color="73777A"/>
              <w:right w:val="single" w:sz="8" w:space="0" w:color="FFFFFF"/>
            </w:tcBorders>
            <w:shd w:val="clear" w:color="auto" w:fill="EDEFF0"/>
            <w:tcMar>
              <w:right w:w="57" w:type="dxa"/>
            </w:tcMar>
          </w:tcPr>
          <w:p w14:paraId="3180C93B" w14:textId="77777777" w:rsidR="0009276E" w:rsidRPr="00CA2CC1" w:rsidRDefault="0009276E" w:rsidP="003B766D">
            <w:pPr>
              <w:pStyle w:val="TableParagraph"/>
              <w:rPr>
                <w:rFonts w:cs="Calibri"/>
                <w:sz w:val="18"/>
              </w:rPr>
            </w:pPr>
            <w:r w:rsidRPr="00CA2CC1">
              <w:rPr>
                <w:rFonts w:cs="Calibri"/>
                <w:color w:val="414042"/>
                <w:spacing w:val="-2"/>
                <w:sz w:val="18"/>
              </w:rPr>
              <w:t>1,216,203</w:t>
            </w:r>
          </w:p>
        </w:tc>
      </w:tr>
      <w:tr w:rsidR="0009276E" w:rsidRPr="00CA2CC1" w14:paraId="0C5ACA37" w14:textId="77777777" w:rsidTr="008A2181">
        <w:trPr>
          <w:trHeight w:val="278"/>
        </w:trPr>
        <w:tc>
          <w:tcPr>
            <w:tcW w:w="6633" w:type="dxa"/>
            <w:tcBorders>
              <w:top w:val="single" w:sz="2" w:space="0" w:color="73777A"/>
              <w:left w:val="nil"/>
              <w:bottom w:val="single" w:sz="6" w:space="0" w:color="73777A"/>
              <w:right w:val="nil"/>
            </w:tcBorders>
          </w:tcPr>
          <w:p w14:paraId="14B5C21D" w14:textId="77777777" w:rsidR="0009276E" w:rsidRPr="00CA2CC1" w:rsidRDefault="0009276E" w:rsidP="003B766D">
            <w:pPr>
              <w:pStyle w:val="TableParagraph"/>
              <w:jc w:val="left"/>
              <w:rPr>
                <w:rFonts w:cs="Calibri"/>
                <w:sz w:val="18"/>
              </w:rPr>
            </w:pPr>
            <w:r w:rsidRPr="00CA2CC1">
              <w:rPr>
                <w:rFonts w:cs="Calibri"/>
                <w:color w:val="414042"/>
                <w:sz w:val="18"/>
              </w:rPr>
              <w:t>Lease</w:t>
            </w:r>
            <w:r w:rsidRPr="00CA2CC1">
              <w:rPr>
                <w:rFonts w:cs="Calibri"/>
                <w:color w:val="414042"/>
                <w:spacing w:val="6"/>
                <w:sz w:val="18"/>
              </w:rPr>
              <w:t xml:space="preserve"> </w:t>
            </w:r>
            <w:r w:rsidRPr="00CA2CC1">
              <w:rPr>
                <w:rFonts w:cs="Calibri"/>
                <w:color w:val="414042"/>
                <w:sz w:val="18"/>
              </w:rPr>
              <w:t>liabilities</w:t>
            </w:r>
            <w:r w:rsidRPr="00CA2CC1">
              <w:rPr>
                <w:rFonts w:cs="Calibri"/>
                <w:color w:val="414042"/>
                <w:spacing w:val="8"/>
                <w:sz w:val="18"/>
              </w:rPr>
              <w:t xml:space="preserve"> </w:t>
            </w:r>
            <w:r w:rsidRPr="00CA2CC1">
              <w:rPr>
                <w:rFonts w:cs="Calibri"/>
                <w:color w:val="414042"/>
                <w:spacing w:val="-4"/>
                <w:position w:val="6"/>
                <w:sz w:val="10"/>
              </w:rPr>
              <w:t>(ii)</w:t>
            </w:r>
            <w:r w:rsidRPr="00CA2CC1">
              <w:rPr>
                <w:rFonts w:cs="Calibri"/>
                <w:color w:val="414042"/>
                <w:position w:val="6"/>
                <w:sz w:val="10"/>
              </w:rPr>
              <w:tab/>
            </w:r>
            <w:r w:rsidRPr="00CA2CC1">
              <w:rPr>
                <w:rFonts w:cs="Calibri"/>
                <w:color w:val="414042"/>
                <w:spacing w:val="-5"/>
                <w:sz w:val="18"/>
              </w:rPr>
              <w:t>6.1</w:t>
            </w:r>
            <w:r w:rsidRPr="00CA2CC1">
              <w:rPr>
                <w:rFonts w:cs="Calibri"/>
                <w:color w:val="414042"/>
                <w:sz w:val="18"/>
              </w:rPr>
              <w:tab/>
              <w:t>Financial</w:t>
            </w:r>
            <w:r w:rsidRPr="00CA2CC1">
              <w:rPr>
                <w:rFonts w:cs="Calibri"/>
                <w:color w:val="414042"/>
                <w:spacing w:val="8"/>
                <w:sz w:val="18"/>
              </w:rPr>
              <w:t xml:space="preserve"> </w:t>
            </w:r>
            <w:r w:rsidRPr="00CA2CC1">
              <w:rPr>
                <w:rFonts w:cs="Calibri"/>
                <w:color w:val="414042"/>
                <w:sz w:val="18"/>
              </w:rPr>
              <w:t>liabilities</w:t>
            </w:r>
            <w:r w:rsidRPr="00CA2CC1">
              <w:rPr>
                <w:rFonts w:cs="Calibri"/>
                <w:color w:val="414042"/>
                <w:spacing w:val="9"/>
                <w:sz w:val="18"/>
              </w:rPr>
              <w:t xml:space="preserve"> </w:t>
            </w:r>
            <w:r w:rsidRPr="00CA2CC1">
              <w:rPr>
                <w:rFonts w:cs="Calibri"/>
                <w:color w:val="414042"/>
                <w:sz w:val="18"/>
              </w:rPr>
              <w:t>at</w:t>
            </w:r>
            <w:r w:rsidRPr="00CA2CC1">
              <w:rPr>
                <w:rFonts w:cs="Calibri"/>
                <w:color w:val="414042"/>
                <w:spacing w:val="9"/>
                <w:sz w:val="18"/>
              </w:rPr>
              <w:t xml:space="preserve"> </w:t>
            </w:r>
            <w:r w:rsidRPr="00CA2CC1">
              <w:rPr>
                <w:rFonts w:cs="Calibri"/>
                <w:color w:val="414042"/>
                <w:sz w:val="18"/>
              </w:rPr>
              <w:t>amortised</w:t>
            </w:r>
            <w:r w:rsidRPr="00CA2CC1">
              <w:rPr>
                <w:rFonts w:cs="Calibri"/>
                <w:color w:val="414042"/>
                <w:spacing w:val="9"/>
                <w:sz w:val="18"/>
              </w:rPr>
              <w:t xml:space="preserve"> </w:t>
            </w:r>
            <w:r w:rsidRPr="00CA2CC1">
              <w:rPr>
                <w:rFonts w:cs="Calibri"/>
                <w:color w:val="414042"/>
                <w:spacing w:val="-4"/>
                <w:sz w:val="18"/>
              </w:rPr>
              <w:t>cost</w:t>
            </w:r>
          </w:p>
        </w:tc>
        <w:tc>
          <w:tcPr>
            <w:tcW w:w="1502" w:type="dxa"/>
            <w:tcBorders>
              <w:top w:val="single" w:sz="2" w:space="0" w:color="73777A"/>
              <w:left w:val="nil"/>
              <w:bottom w:val="single" w:sz="6" w:space="0" w:color="73777A"/>
              <w:right w:val="single" w:sz="8" w:space="0" w:color="FFFFFF"/>
            </w:tcBorders>
            <w:shd w:val="clear" w:color="auto" w:fill="FFF0E7"/>
            <w:tcMar>
              <w:right w:w="57" w:type="dxa"/>
            </w:tcMar>
          </w:tcPr>
          <w:p w14:paraId="1BE4808B" w14:textId="77777777" w:rsidR="0009276E" w:rsidRPr="00CA2CC1" w:rsidRDefault="0009276E" w:rsidP="003B766D">
            <w:pPr>
              <w:pStyle w:val="TableParagraph"/>
              <w:rPr>
                <w:rFonts w:cs="Calibri"/>
                <w:sz w:val="18"/>
              </w:rPr>
            </w:pPr>
            <w:r w:rsidRPr="00CA2CC1">
              <w:rPr>
                <w:rFonts w:cs="Calibri"/>
                <w:color w:val="414042"/>
                <w:spacing w:val="-2"/>
                <w:sz w:val="18"/>
              </w:rPr>
              <w:t>1,881,379</w:t>
            </w:r>
          </w:p>
        </w:tc>
        <w:tc>
          <w:tcPr>
            <w:tcW w:w="1502" w:type="dxa"/>
            <w:tcBorders>
              <w:top w:val="single" w:sz="2" w:space="0" w:color="73777A"/>
              <w:left w:val="single" w:sz="8" w:space="0" w:color="FFFFFF"/>
              <w:bottom w:val="single" w:sz="6" w:space="0" w:color="73777A"/>
              <w:right w:val="single" w:sz="8" w:space="0" w:color="FFFFFF"/>
            </w:tcBorders>
            <w:shd w:val="clear" w:color="auto" w:fill="EDEFF0"/>
            <w:tcMar>
              <w:right w:w="57" w:type="dxa"/>
            </w:tcMar>
          </w:tcPr>
          <w:p w14:paraId="28241C34" w14:textId="77777777" w:rsidR="0009276E" w:rsidRPr="00CA2CC1" w:rsidRDefault="0009276E" w:rsidP="003B766D">
            <w:pPr>
              <w:pStyle w:val="TableParagraph"/>
              <w:rPr>
                <w:rFonts w:cs="Calibri"/>
                <w:sz w:val="18"/>
              </w:rPr>
            </w:pPr>
            <w:r w:rsidRPr="00CA2CC1">
              <w:rPr>
                <w:rFonts w:cs="Calibri"/>
                <w:color w:val="414042"/>
                <w:spacing w:val="-2"/>
                <w:sz w:val="18"/>
              </w:rPr>
              <w:t>2,244,231</w:t>
            </w:r>
          </w:p>
        </w:tc>
      </w:tr>
      <w:tr w:rsidR="0009276E" w:rsidRPr="00CA2CC1" w14:paraId="7CAAC356" w14:textId="77777777" w:rsidTr="008A2181">
        <w:trPr>
          <w:trHeight w:val="258"/>
        </w:trPr>
        <w:tc>
          <w:tcPr>
            <w:tcW w:w="6633" w:type="dxa"/>
            <w:tcBorders>
              <w:top w:val="single" w:sz="6" w:space="0" w:color="73777A"/>
              <w:left w:val="nil"/>
              <w:bottom w:val="double" w:sz="6" w:space="0" w:color="73777A"/>
              <w:right w:val="nil"/>
            </w:tcBorders>
          </w:tcPr>
          <w:p w14:paraId="120C52DC" w14:textId="77777777" w:rsidR="0009276E" w:rsidRPr="00CA2CC1" w:rsidRDefault="0009276E" w:rsidP="003B766D">
            <w:pPr>
              <w:pStyle w:val="TableParagraph"/>
              <w:jc w:val="left"/>
              <w:rPr>
                <w:rFonts w:cs="Calibri"/>
                <w:sz w:val="16"/>
              </w:rPr>
            </w:pPr>
          </w:p>
        </w:tc>
        <w:tc>
          <w:tcPr>
            <w:tcW w:w="1502" w:type="dxa"/>
            <w:tcBorders>
              <w:top w:val="single" w:sz="6" w:space="0" w:color="73777A"/>
              <w:left w:val="nil"/>
              <w:bottom w:val="double" w:sz="4" w:space="0" w:color="73777A"/>
              <w:right w:val="single" w:sz="8" w:space="0" w:color="FFFFFF"/>
            </w:tcBorders>
            <w:shd w:val="clear" w:color="auto" w:fill="FFF0E7"/>
            <w:tcMar>
              <w:right w:w="57" w:type="dxa"/>
            </w:tcMar>
          </w:tcPr>
          <w:p w14:paraId="7DD38235" w14:textId="77777777" w:rsidR="0009276E" w:rsidRPr="00CA2CC1" w:rsidRDefault="0009276E" w:rsidP="003B766D">
            <w:pPr>
              <w:pStyle w:val="TableParagraph"/>
              <w:rPr>
                <w:rFonts w:cs="Calibri"/>
                <w:sz w:val="18"/>
              </w:rPr>
            </w:pPr>
            <w:r w:rsidRPr="00CA2CC1">
              <w:rPr>
                <w:rFonts w:cs="Calibri"/>
                <w:color w:val="414042"/>
                <w:spacing w:val="-2"/>
                <w:sz w:val="18"/>
              </w:rPr>
              <w:t>2,930,416</w:t>
            </w:r>
          </w:p>
        </w:tc>
        <w:tc>
          <w:tcPr>
            <w:tcW w:w="1502" w:type="dxa"/>
            <w:tcBorders>
              <w:top w:val="single" w:sz="6" w:space="0" w:color="73777A"/>
              <w:left w:val="single" w:sz="8" w:space="0" w:color="FFFFFF"/>
              <w:bottom w:val="double" w:sz="4" w:space="0" w:color="73777A"/>
              <w:right w:val="nil"/>
            </w:tcBorders>
            <w:shd w:val="clear" w:color="auto" w:fill="EDEFF0"/>
            <w:tcMar>
              <w:right w:w="57" w:type="dxa"/>
            </w:tcMar>
          </w:tcPr>
          <w:p w14:paraId="3637259D" w14:textId="77777777" w:rsidR="0009276E" w:rsidRPr="00CA2CC1" w:rsidRDefault="0009276E" w:rsidP="003B766D">
            <w:pPr>
              <w:pStyle w:val="TableParagraph"/>
              <w:rPr>
                <w:rFonts w:cs="Calibri"/>
                <w:sz w:val="18"/>
              </w:rPr>
            </w:pPr>
            <w:r w:rsidRPr="00CA2CC1">
              <w:rPr>
                <w:rFonts w:cs="Calibri"/>
                <w:color w:val="414042"/>
                <w:spacing w:val="-2"/>
                <w:sz w:val="18"/>
              </w:rPr>
              <w:t>3,460,434</w:t>
            </w:r>
          </w:p>
        </w:tc>
      </w:tr>
    </w:tbl>
    <w:p w14:paraId="3E14A923" w14:textId="77777777" w:rsidR="0009276E" w:rsidRPr="00CA2CC1" w:rsidRDefault="0009276E" w:rsidP="0009276E">
      <w:pPr>
        <w:pStyle w:val="BodyText"/>
        <w:spacing w:before="8"/>
        <w:rPr>
          <w:rFonts w:cs="Calibri"/>
          <w:sz w:val="9"/>
        </w:rPr>
      </w:pPr>
    </w:p>
    <w:p w14:paraId="39A976F6" w14:textId="77777777" w:rsidR="0009276E" w:rsidRPr="00CA2CC1" w:rsidRDefault="0009276E" w:rsidP="0009276E">
      <w:pPr>
        <w:rPr>
          <w:rFonts w:cs="Calibri"/>
          <w:sz w:val="9"/>
        </w:rPr>
        <w:sectPr w:rsidR="0009276E" w:rsidRPr="00CA2CC1" w:rsidSect="0009276E">
          <w:type w:val="continuous"/>
          <w:pgSz w:w="11910" w:h="16840"/>
          <w:pgMar w:top="1134" w:right="1278" w:bottom="1134" w:left="1134" w:header="720" w:footer="720" w:gutter="0"/>
          <w:cols w:space="720"/>
        </w:sectPr>
      </w:pPr>
    </w:p>
    <w:p w14:paraId="35458DA4" w14:textId="77777777" w:rsidR="0009276E" w:rsidRPr="00CA2CC1" w:rsidRDefault="0009276E" w:rsidP="0009276E">
      <w:pPr>
        <w:pStyle w:val="ListParagraph"/>
        <w:numPr>
          <w:ilvl w:val="0"/>
          <w:numId w:val="6"/>
        </w:numPr>
        <w:spacing w:before="88"/>
        <w:ind w:left="0" w:firstLine="0"/>
        <w:rPr>
          <w:rFonts w:cs="Calibri"/>
          <w:i/>
          <w:sz w:val="16"/>
        </w:rPr>
      </w:pPr>
      <w:r w:rsidRPr="00CA2CC1">
        <w:rPr>
          <w:rFonts w:cs="Calibri"/>
          <w:i/>
          <w:color w:val="414042"/>
          <w:sz w:val="16"/>
        </w:rPr>
        <w:t>Receivables and payables disclosed here exclude statutory receivables</w:t>
      </w:r>
      <w:r w:rsidRPr="00CA2CC1">
        <w:rPr>
          <w:rFonts w:cs="Calibri"/>
          <w:i/>
          <w:color w:val="414042"/>
          <w:spacing w:val="-6"/>
          <w:sz w:val="16"/>
        </w:rPr>
        <w:t xml:space="preserve"> </w:t>
      </w:r>
      <w:r w:rsidRPr="00CA2CC1">
        <w:rPr>
          <w:rFonts w:cs="Calibri"/>
          <w:i/>
          <w:color w:val="414042"/>
          <w:sz w:val="16"/>
        </w:rPr>
        <w:t>(i.e.</w:t>
      </w:r>
      <w:r w:rsidRPr="00CA2CC1">
        <w:rPr>
          <w:rFonts w:cs="Calibri"/>
          <w:i/>
          <w:color w:val="414042"/>
          <w:spacing w:val="-6"/>
          <w:sz w:val="16"/>
        </w:rPr>
        <w:t xml:space="preserve"> </w:t>
      </w:r>
      <w:r w:rsidRPr="00CA2CC1">
        <w:rPr>
          <w:rFonts w:cs="Calibri"/>
          <w:i/>
          <w:color w:val="414042"/>
          <w:sz w:val="16"/>
        </w:rPr>
        <w:t>amounts</w:t>
      </w:r>
      <w:r w:rsidRPr="00CA2CC1">
        <w:rPr>
          <w:rFonts w:cs="Calibri"/>
          <w:i/>
          <w:color w:val="414042"/>
          <w:spacing w:val="-6"/>
          <w:sz w:val="16"/>
        </w:rPr>
        <w:t xml:space="preserve"> </w:t>
      </w:r>
      <w:r w:rsidRPr="00CA2CC1">
        <w:rPr>
          <w:rFonts w:cs="Calibri"/>
          <w:i/>
          <w:color w:val="414042"/>
          <w:sz w:val="16"/>
        </w:rPr>
        <w:t>owing</w:t>
      </w:r>
      <w:r w:rsidRPr="00CA2CC1">
        <w:rPr>
          <w:rFonts w:cs="Calibri"/>
          <w:i/>
          <w:color w:val="414042"/>
          <w:spacing w:val="-6"/>
          <w:sz w:val="16"/>
        </w:rPr>
        <w:t xml:space="preserve"> </w:t>
      </w:r>
      <w:r w:rsidRPr="00CA2CC1">
        <w:rPr>
          <w:rFonts w:cs="Calibri"/>
          <w:i/>
          <w:color w:val="414042"/>
          <w:sz w:val="16"/>
        </w:rPr>
        <w:t>from</w:t>
      </w:r>
      <w:r w:rsidRPr="00CA2CC1">
        <w:rPr>
          <w:rFonts w:cs="Calibri"/>
          <w:i/>
          <w:color w:val="414042"/>
          <w:spacing w:val="-6"/>
          <w:sz w:val="16"/>
        </w:rPr>
        <w:t xml:space="preserve"> </w:t>
      </w:r>
      <w:r w:rsidRPr="00CA2CC1">
        <w:rPr>
          <w:rFonts w:cs="Calibri"/>
          <w:i/>
          <w:color w:val="414042"/>
          <w:sz w:val="16"/>
        </w:rPr>
        <w:t>Victorian</w:t>
      </w:r>
      <w:r w:rsidRPr="00CA2CC1">
        <w:rPr>
          <w:rFonts w:cs="Calibri"/>
          <w:i/>
          <w:color w:val="414042"/>
          <w:spacing w:val="-6"/>
          <w:sz w:val="16"/>
        </w:rPr>
        <w:t xml:space="preserve"> </w:t>
      </w:r>
      <w:r w:rsidRPr="00CA2CC1">
        <w:rPr>
          <w:rFonts w:cs="Calibri"/>
          <w:i/>
          <w:color w:val="414042"/>
          <w:sz w:val="16"/>
        </w:rPr>
        <w:t>Government</w:t>
      </w:r>
      <w:r w:rsidRPr="00CA2CC1">
        <w:rPr>
          <w:rFonts w:cs="Calibri"/>
          <w:i/>
          <w:color w:val="414042"/>
          <w:spacing w:val="-6"/>
          <w:sz w:val="16"/>
        </w:rPr>
        <w:t xml:space="preserve"> </w:t>
      </w:r>
      <w:r w:rsidRPr="00CA2CC1">
        <w:rPr>
          <w:rFonts w:cs="Calibri"/>
          <w:i/>
          <w:color w:val="414042"/>
          <w:sz w:val="16"/>
        </w:rPr>
        <w:t>and GST</w:t>
      </w:r>
      <w:r w:rsidRPr="00CA2CC1">
        <w:rPr>
          <w:rFonts w:cs="Calibri"/>
          <w:i/>
          <w:color w:val="414042"/>
          <w:spacing w:val="-1"/>
          <w:sz w:val="16"/>
        </w:rPr>
        <w:t xml:space="preserve"> </w:t>
      </w:r>
      <w:r w:rsidRPr="00CA2CC1">
        <w:rPr>
          <w:rFonts w:cs="Calibri"/>
          <w:i/>
          <w:color w:val="414042"/>
          <w:sz w:val="16"/>
        </w:rPr>
        <w:t>recoverable)</w:t>
      </w:r>
      <w:r w:rsidRPr="00CA2CC1">
        <w:rPr>
          <w:rFonts w:cs="Calibri"/>
          <w:i/>
          <w:color w:val="414042"/>
          <w:spacing w:val="-1"/>
          <w:sz w:val="16"/>
        </w:rPr>
        <w:t xml:space="preserve"> </w:t>
      </w:r>
      <w:r w:rsidRPr="00CA2CC1">
        <w:rPr>
          <w:rFonts w:cs="Calibri"/>
          <w:i/>
          <w:color w:val="414042"/>
          <w:sz w:val="16"/>
        </w:rPr>
        <w:t>and</w:t>
      </w:r>
      <w:r w:rsidRPr="00CA2CC1">
        <w:rPr>
          <w:rFonts w:cs="Calibri"/>
          <w:i/>
          <w:color w:val="414042"/>
          <w:spacing w:val="-1"/>
          <w:sz w:val="16"/>
        </w:rPr>
        <w:t xml:space="preserve"> </w:t>
      </w:r>
      <w:r w:rsidRPr="00CA2CC1">
        <w:rPr>
          <w:rFonts w:cs="Calibri"/>
          <w:i/>
          <w:color w:val="414042"/>
          <w:sz w:val="16"/>
        </w:rPr>
        <w:t>statutory</w:t>
      </w:r>
      <w:r w:rsidRPr="00CA2CC1">
        <w:rPr>
          <w:rFonts w:cs="Calibri"/>
          <w:i/>
          <w:color w:val="414042"/>
          <w:spacing w:val="-1"/>
          <w:sz w:val="16"/>
        </w:rPr>
        <w:t xml:space="preserve"> </w:t>
      </w:r>
      <w:r w:rsidRPr="00CA2CC1">
        <w:rPr>
          <w:rFonts w:cs="Calibri"/>
          <w:i/>
          <w:color w:val="414042"/>
          <w:sz w:val="16"/>
        </w:rPr>
        <w:t>payables</w:t>
      </w:r>
      <w:r w:rsidRPr="00CA2CC1">
        <w:rPr>
          <w:rFonts w:cs="Calibri"/>
          <w:i/>
          <w:color w:val="414042"/>
          <w:spacing w:val="-1"/>
          <w:sz w:val="16"/>
        </w:rPr>
        <w:t xml:space="preserve"> </w:t>
      </w:r>
      <w:r w:rsidRPr="00CA2CC1">
        <w:rPr>
          <w:rFonts w:cs="Calibri"/>
          <w:i/>
          <w:color w:val="414042"/>
          <w:sz w:val="16"/>
        </w:rPr>
        <w:t>(i.e.</w:t>
      </w:r>
      <w:r w:rsidRPr="00CA2CC1">
        <w:rPr>
          <w:rFonts w:cs="Calibri"/>
          <w:i/>
          <w:color w:val="414042"/>
          <w:spacing w:val="-1"/>
          <w:sz w:val="16"/>
        </w:rPr>
        <w:t xml:space="preserve"> </w:t>
      </w:r>
      <w:r w:rsidRPr="00CA2CC1">
        <w:rPr>
          <w:rFonts w:cs="Calibri"/>
          <w:i/>
          <w:color w:val="414042"/>
          <w:sz w:val="16"/>
        </w:rPr>
        <w:t>amounts</w:t>
      </w:r>
      <w:r w:rsidRPr="00CA2CC1">
        <w:rPr>
          <w:rFonts w:cs="Calibri"/>
          <w:i/>
          <w:color w:val="414042"/>
          <w:spacing w:val="-1"/>
          <w:sz w:val="16"/>
        </w:rPr>
        <w:t xml:space="preserve"> </w:t>
      </w:r>
      <w:r w:rsidRPr="00CA2CC1">
        <w:rPr>
          <w:rFonts w:cs="Calibri"/>
          <w:i/>
          <w:color w:val="414042"/>
          <w:sz w:val="16"/>
        </w:rPr>
        <w:t>payable to other government agencies).</w:t>
      </w:r>
    </w:p>
    <w:p w14:paraId="485790FD" w14:textId="77777777" w:rsidR="0009276E" w:rsidRPr="00CA2CC1" w:rsidRDefault="0009276E" w:rsidP="0009276E">
      <w:pPr>
        <w:pStyle w:val="ListParagraph"/>
        <w:numPr>
          <w:ilvl w:val="0"/>
          <w:numId w:val="6"/>
        </w:numPr>
        <w:spacing w:before="119"/>
        <w:ind w:left="0" w:firstLine="0"/>
        <w:rPr>
          <w:rFonts w:cs="Calibri"/>
          <w:i/>
          <w:sz w:val="16"/>
        </w:rPr>
      </w:pPr>
      <w:r w:rsidRPr="00CA2CC1">
        <w:rPr>
          <w:rFonts w:cs="Calibri"/>
          <w:i/>
          <w:color w:val="414042"/>
          <w:sz w:val="16"/>
        </w:rPr>
        <w:t>The</w:t>
      </w:r>
      <w:r w:rsidRPr="00CA2CC1">
        <w:rPr>
          <w:rFonts w:cs="Calibri"/>
          <w:i/>
          <w:color w:val="414042"/>
          <w:spacing w:val="-5"/>
          <w:sz w:val="16"/>
        </w:rPr>
        <w:t xml:space="preserve"> </w:t>
      </w:r>
      <w:r w:rsidRPr="00CA2CC1">
        <w:rPr>
          <w:rFonts w:cs="Calibri"/>
          <w:i/>
          <w:color w:val="414042"/>
          <w:sz w:val="16"/>
        </w:rPr>
        <w:t>2021-22</w:t>
      </w:r>
      <w:r w:rsidRPr="00CA2CC1">
        <w:rPr>
          <w:rFonts w:cs="Calibri"/>
          <w:i/>
          <w:color w:val="414042"/>
          <w:spacing w:val="-5"/>
          <w:sz w:val="16"/>
        </w:rPr>
        <w:t xml:space="preserve"> </w:t>
      </w:r>
      <w:r w:rsidRPr="00CA2CC1">
        <w:rPr>
          <w:rFonts w:cs="Calibri"/>
          <w:i/>
          <w:color w:val="414042"/>
          <w:sz w:val="16"/>
        </w:rPr>
        <w:t>comparative</w:t>
      </w:r>
      <w:r w:rsidRPr="00CA2CC1">
        <w:rPr>
          <w:rFonts w:cs="Calibri"/>
          <w:i/>
          <w:color w:val="414042"/>
          <w:spacing w:val="-5"/>
          <w:sz w:val="16"/>
        </w:rPr>
        <w:t xml:space="preserve"> </w:t>
      </w:r>
      <w:r w:rsidRPr="00CA2CC1">
        <w:rPr>
          <w:rFonts w:cs="Calibri"/>
          <w:i/>
          <w:color w:val="414042"/>
          <w:sz w:val="16"/>
        </w:rPr>
        <w:t>figures</w:t>
      </w:r>
      <w:r w:rsidRPr="00CA2CC1">
        <w:rPr>
          <w:rFonts w:cs="Calibri"/>
          <w:i/>
          <w:color w:val="414042"/>
          <w:spacing w:val="-5"/>
          <w:sz w:val="16"/>
        </w:rPr>
        <w:t xml:space="preserve"> </w:t>
      </w:r>
      <w:r w:rsidRPr="00CA2CC1">
        <w:rPr>
          <w:rFonts w:cs="Calibri"/>
          <w:i/>
          <w:color w:val="414042"/>
          <w:sz w:val="16"/>
        </w:rPr>
        <w:t>have</w:t>
      </w:r>
      <w:r w:rsidRPr="00CA2CC1">
        <w:rPr>
          <w:rFonts w:cs="Calibri"/>
          <w:i/>
          <w:color w:val="414042"/>
          <w:spacing w:val="-5"/>
          <w:sz w:val="16"/>
        </w:rPr>
        <w:t xml:space="preserve"> </w:t>
      </w:r>
      <w:r w:rsidRPr="00CA2CC1">
        <w:rPr>
          <w:rFonts w:cs="Calibri"/>
          <w:i/>
          <w:color w:val="414042"/>
          <w:sz w:val="16"/>
        </w:rPr>
        <w:t>been</w:t>
      </w:r>
      <w:r w:rsidRPr="00CA2CC1">
        <w:rPr>
          <w:rFonts w:cs="Calibri"/>
          <w:i/>
          <w:color w:val="414042"/>
          <w:spacing w:val="-5"/>
          <w:sz w:val="16"/>
        </w:rPr>
        <w:t xml:space="preserve"> </w:t>
      </w:r>
      <w:r w:rsidRPr="00CA2CC1">
        <w:rPr>
          <w:rFonts w:cs="Calibri"/>
          <w:i/>
          <w:color w:val="414042"/>
          <w:sz w:val="16"/>
        </w:rPr>
        <w:t>adjusted</w:t>
      </w:r>
      <w:r w:rsidRPr="00CA2CC1">
        <w:rPr>
          <w:rFonts w:cs="Calibri"/>
          <w:i/>
          <w:color w:val="414042"/>
          <w:spacing w:val="-5"/>
          <w:sz w:val="16"/>
        </w:rPr>
        <w:t xml:space="preserve"> </w:t>
      </w:r>
      <w:r w:rsidRPr="00CA2CC1">
        <w:rPr>
          <w:rFonts w:cs="Calibri"/>
          <w:i/>
          <w:color w:val="414042"/>
          <w:sz w:val="16"/>
        </w:rPr>
        <w:t>to</w:t>
      </w:r>
      <w:r w:rsidRPr="00CA2CC1">
        <w:rPr>
          <w:rFonts w:cs="Calibri"/>
          <w:i/>
          <w:color w:val="414042"/>
          <w:spacing w:val="-5"/>
          <w:sz w:val="16"/>
        </w:rPr>
        <w:t xml:space="preserve"> </w:t>
      </w:r>
      <w:r w:rsidRPr="00CA2CC1">
        <w:rPr>
          <w:rFonts w:cs="Calibri"/>
          <w:i/>
          <w:color w:val="414042"/>
          <w:sz w:val="16"/>
        </w:rPr>
        <w:t>correct a prior period error. Refer to note 8.5 for more information.</w:t>
      </w:r>
    </w:p>
    <w:p w14:paraId="62620D87" w14:textId="77777777" w:rsidR="0009276E" w:rsidRPr="00CA2CC1" w:rsidRDefault="0009276E" w:rsidP="0009276E">
      <w:pPr>
        <w:pStyle w:val="BodyText"/>
        <w:spacing w:before="4"/>
        <w:rPr>
          <w:rFonts w:cs="Calibri"/>
          <w:i/>
          <w:sz w:val="16"/>
        </w:rPr>
      </w:pPr>
    </w:p>
    <w:p w14:paraId="66ADE927" w14:textId="77777777" w:rsidR="0009276E" w:rsidRPr="005B49BC" w:rsidRDefault="0009276E" w:rsidP="0009276E">
      <w:pPr>
        <w:pStyle w:val="Heading7"/>
        <w:numPr>
          <w:ilvl w:val="2"/>
          <w:numId w:val="7"/>
        </w:numPr>
        <w:ind w:left="0" w:firstLine="0"/>
        <w:rPr>
          <w:rFonts w:cs="Calibri"/>
          <w:color w:val="000000" w:themeColor="text1"/>
        </w:rPr>
      </w:pPr>
      <w:r w:rsidRPr="005B49BC">
        <w:rPr>
          <w:rFonts w:cs="Calibri"/>
          <w:color w:val="000000" w:themeColor="text1"/>
        </w:rPr>
        <w:t>Financial</w:t>
      </w:r>
      <w:r w:rsidRPr="005B49BC">
        <w:rPr>
          <w:rFonts w:cs="Calibri"/>
          <w:color w:val="000000" w:themeColor="text1"/>
          <w:spacing w:val="-9"/>
        </w:rPr>
        <w:t xml:space="preserve"> </w:t>
      </w:r>
      <w:r w:rsidRPr="005B49BC">
        <w:rPr>
          <w:rFonts w:cs="Calibri"/>
          <w:color w:val="000000" w:themeColor="text1"/>
        </w:rPr>
        <w:t>risk</w:t>
      </w:r>
      <w:r w:rsidRPr="005B49BC">
        <w:rPr>
          <w:rFonts w:cs="Calibri"/>
          <w:color w:val="000000" w:themeColor="text1"/>
          <w:spacing w:val="-9"/>
        </w:rPr>
        <w:t xml:space="preserve"> </w:t>
      </w:r>
      <w:r w:rsidRPr="005B49BC">
        <w:rPr>
          <w:rFonts w:cs="Calibri"/>
          <w:color w:val="000000" w:themeColor="text1"/>
        </w:rPr>
        <w:t>management</w:t>
      </w:r>
      <w:r w:rsidRPr="005B49BC">
        <w:rPr>
          <w:rFonts w:cs="Calibri"/>
          <w:color w:val="000000" w:themeColor="text1"/>
          <w:spacing w:val="-9"/>
        </w:rPr>
        <w:t xml:space="preserve"> </w:t>
      </w:r>
      <w:r w:rsidRPr="005B49BC">
        <w:rPr>
          <w:rFonts w:cs="Calibri"/>
          <w:color w:val="000000" w:themeColor="text1"/>
        </w:rPr>
        <w:t>objectives</w:t>
      </w:r>
      <w:r w:rsidRPr="005B49BC">
        <w:rPr>
          <w:rFonts w:cs="Calibri"/>
          <w:color w:val="000000" w:themeColor="text1"/>
          <w:spacing w:val="-9"/>
        </w:rPr>
        <w:t xml:space="preserve"> </w:t>
      </w:r>
      <w:r w:rsidRPr="005B49BC">
        <w:rPr>
          <w:rFonts w:cs="Calibri"/>
          <w:color w:val="000000" w:themeColor="text1"/>
        </w:rPr>
        <w:t xml:space="preserve">and </w:t>
      </w:r>
      <w:r w:rsidRPr="005B49BC">
        <w:rPr>
          <w:rFonts w:cs="Calibri"/>
          <w:color w:val="000000" w:themeColor="text1"/>
          <w:spacing w:val="-2"/>
        </w:rPr>
        <w:t>policies</w:t>
      </w:r>
    </w:p>
    <w:p w14:paraId="38D679B3" w14:textId="77777777" w:rsidR="0009276E" w:rsidRPr="00CA2CC1" w:rsidRDefault="0009276E" w:rsidP="0009276E">
      <w:pPr>
        <w:pStyle w:val="BodyText"/>
        <w:spacing w:before="119"/>
        <w:jc w:val="both"/>
        <w:rPr>
          <w:rFonts w:cs="Calibri"/>
        </w:rPr>
      </w:pPr>
      <w:r w:rsidRPr="00CA2CC1">
        <w:rPr>
          <w:rFonts w:cs="Calibri"/>
          <w:color w:val="414042"/>
        </w:rPr>
        <w:t>Infrastructure</w:t>
      </w:r>
      <w:r w:rsidRPr="00CA2CC1">
        <w:rPr>
          <w:rFonts w:cs="Calibri"/>
          <w:color w:val="414042"/>
          <w:spacing w:val="-13"/>
        </w:rPr>
        <w:t xml:space="preserve"> </w:t>
      </w:r>
      <w:r w:rsidRPr="00CA2CC1">
        <w:rPr>
          <w:rFonts w:cs="Calibri"/>
          <w:color w:val="414042"/>
        </w:rPr>
        <w:t>Victoria’s</w:t>
      </w:r>
      <w:r w:rsidRPr="00CA2CC1">
        <w:rPr>
          <w:rFonts w:cs="Calibri"/>
          <w:color w:val="414042"/>
          <w:spacing w:val="-12"/>
        </w:rPr>
        <w:t xml:space="preserve"> </w:t>
      </w:r>
      <w:r w:rsidRPr="00CA2CC1">
        <w:rPr>
          <w:rFonts w:cs="Calibri"/>
          <w:color w:val="414042"/>
        </w:rPr>
        <w:t>financial</w:t>
      </w:r>
      <w:r w:rsidRPr="00CA2CC1">
        <w:rPr>
          <w:rFonts w:cs="Calibri"/>
          <w:color w:val="414042"/>
          <w:spacing w:val="-13"/>
        </w:rPr>
        <w:t xml:space="preserve"> </w:t>
      </w:r>
      <w:r w:rsidRPr="00CA2CC1">
        <w:rPr>
          <w:rFonts w:cs="Calibri"/>
          <w:color w:val="414042"/>
        </w:rPr>
        <w:t>risk</w:t>
      </w:r>
      <w:r w:rsidRPr="00CA2CC1">
        <w:rPr>
          <w:rFonts w:cs="Calibri"/>
          <w:color w:val="414042"/>
          <w:spacing w:val="-12"/>
        </w:rPr>
        <w:t xml:space="preserve"> </w:t>
      </w:r>
      <w:r w:rsidRPr="00CA2CC1">
        <w:rPr>
          <w:rFonts w:cs="Calibri"/>
          <w:color w:val="414042"/>
        </w:rPr>
        <w:t>management</w:t>
      </w:r>
      <w:r w:rsidRPr="00CA2CC1">
        <w:rPr>
          <w:rFonts w:cs="Calibri"/>
          <w:color w:val="414042"/>
          <w:spacing w:val="-13"/>
        </w:rPr>
        <w:t xml:space="preserve"> </w:t>
      </w:r>
      <w:r w:rsidRPr="00CA2CC1">
        <w:rPr>
          <w:rFonts w:cs="Calibri"/>
          <w:color w:val="414042"/>
        </w:rPr>
        <w:t xml:space="preserve">program seeks to manage the risks arising from volatility in financial </w:t>
      </w:r>
      <w:r w:rsidRPr="00CA2CC1">
        <w:rPr>
          <w:rFonts w:cs="Calibri"/>
          <w:color w:val="414042"/>
          <w:spacing w:val="-2"/>
        </w:rPr>
        <w:t>instruments.</w:t>
      </w:r>
    </w:p>
    <w:p w14:paraId="17079D86" w14:textId="77777777" w:rsidR="0009276E" w:rsidRPr="00CA2CC1" w:rsidRDefault="0009276E" w:rsidP="0009276E">
      <w:pPr>
        <w:pStyle w:val="BodyText"/>
        <w:spacing w:before="117"/>
        <w:rPr>
          <w:rFonts w:cs="Calibri"/>
        </w:rPr>
      </w:pPr>
      <w:r w:rsidRPr="00CA2CC1">
        <w:rPr>
          <w:rFonts w:cs="Calibri"/>
          <w:color w:val="414042"/>
        </w:rPr>
        <w:t>Infrastructure Victoria’s main financial risks include credit risk, liquidity risk and market risk. Infrastructure Victoria manages</w:t>
      </w:r>
      <w:r w:rsidRPr="00CA2CC1">
        <w:rPr>
          <w:rFonts w:cs="Calibri"/>
          <w:color w:val="414042"/>
          <w:spacing w:val="-5"/>
        </w:rPr>
        <w:t xml:space="preserve"> </w:t>
      </w:r>
      <w:r w:rsidRPr="00CA2CC1">
        <w:rPr>
          <w:rFonts w:cs="Calibri"/>
          <w:color w:val="414042"/>
        </w:rPr>
        <w:t>these</w:t>
      </w:r>
      <w:r w:rsidRPr="00CA2CC1">
        <w:rPr>
          <w:rFonts w:cs="Calibri"/>
          <w:color w:val="414042"/>
          <w:spacing w:val="-5"/>
        </w:rPr>
        <w:t xml:space="preserve"> </w:t>
      </w:r>
      <w:r w:rsidRPr="00CA2CC1">
        <w:rPr>
          <w:rFonts w:cs="Calibri"/>
          <w:color w:val="414042"/>
        </w:rPr>
        <w:t>financial</w:t>
      </w:r>
      <w:r w:rsidRPr="00CA2CC1">
        <w:rPr>
          <w:rFonts w:cs="Calibri"/>
          <w:color w:val="414042"/>
          <w:spacing w:val="-5"/>
        </w:rPr>
        <w:t xml:space="preserve"> </w:t>
      </w:r>
      <w:r w:rsidRPr="00CA2CC1">
        <w:rPr>
          <w:rFonts w:cs="Calibri"/>
          <w:color w:val="414042"/>
        </w:rPr>
        <w:t>risks</w:t>
      </w:r>
      <w:r w:rsidRPr="00CA2CC1">
        <w:rPr>
          <w:rFonts w:cs="Calibri"/>
          <w:color w:val="414042"/>
          <w:spacing w:val="-5"/>
        </w:rPr>
        <w:t xml:space="preserve"> </w:t>
      </w:r>
      <w:r w:rsidRPr="00CA2CC1">
        <w:rPr>
          <w:rFonts w:cs="Calibri"/>
          <w:color w:val="414042"/>
        </w:rPr>
        <w:t>in</w:t>
      </w:r>
      <w:r w:rsidRPr="00CA2CC1">
        <w:rPr>
          <w:rFonts w:cs="Calibri"/>
          <w:color w:val="414042"/>
          <w:spacing w:val="-5"/>
        </w:rPr>
        <w:t xml:space="preserve"> </w:t>
      </w:r>
      <w:r w:rsidRPr="00CA2CC1">
        <w:rPr>
          <w:rFonts w:cs="Calibri"/>
          <w:color w:val="414042"/>
        </w:rPr>
        <w:t>accordance</w:t>
      </w:r>
      <w:r w:rsidRPr="00CA2CC1">
        <w:rPr>
          <w:rFonts w:cs="Calibri"/>
          <w:color w:val="414042"/>
          <w:spacing w:val="-5"/>
        </w:rPr>
        <w:t xml:space="preserve"> </w:t>
      </w:r>
      <w:r w:rsidRPr="00CA2CC1">
        <w:rPr>
          <w:rFonts w:cs="Calibri"/>
          <w:color w:val="414042"/>
        </w:rPr>
        <w:t>with</w:t>
      </w:r>
      <w:r w:rsidRPr="00CA2CC1">
        <w:rPr>
          <w:rFonts w:cs="Calibri"/>
          <w:color w:val="414042"/>
          <w:spacing w:val="-5"/>
        </w:rPr>
        <w:t xml:space="preserve"> </w:t>
      </w:r>
      <w:r w:rsidRPr="00CA2CC1">
        <w:rPr>
          <w:rFonts w:cs="Calibri"/>
          <w:color w:val="414042"/>
        </w:rPr>
        <w:t>its</w:t>
      </w:r>
      <w:r w:rsidRPr="00CA2CC1">
        <w:rPr>
          <w:rFonts w:cs="Calibri"/>
          <w:color w:val="414042"/>
          <w:spacing w:val="-5"/>
        </w:rPr>
        <w:t xml:space="preserve"> </w:t>
      </w:r>
      <w:r w:rsidRPr="00CA2CC1">
        <w:rPr>
          <w:rFonts w:cs="Calibri"/>
          <w:color w:val="414042"/>
        </w:rPr>
        <w:t>financial risk management policy.</w:t>
      </w:r>
    </w:p>
    <w:p w14:paraId="1A32DAD3" w14:textId="77777777" w:rsidR="0009276E" w:rsidRPr="00CA2CC1" w:rsidRDefault="0009276E" w:rsidP="0009276E">
      <w:pPr>
        <w:pStyle w:val="BodyText"/>
        <w:spacing w:before="112"/>
        <w:rPr>
          <w:rFonts w:cs="Calibri"/>
        </w:rPr>
      </w:pPr>
      <w:r w:rsidRPr="00CA2CC1">
        <w:rPr>
          <w:rFonts w:cs="Calibri"/>
          <w:color w:val="414042"/>
        </w:rPr>
        <w:t>Credit</w:t>
      </w:r>
      <w:r w:rsidRPr="00CA2CC1">
        <w:rPr>
          <w:rFonts w:cs="Calibri"/>
          <w:color w:val="414042"/>
          <w:spacing w:val="-4"/>
        </w:rPr>
        <w:t xml:space="preserve"> risk</w:t>
      </w:r>
    </w:p>
    <w:p w14:paraId="2C018C86" w14:textId="77777777" w:rsidR="0009276E" w:rsidRPr="00CA2CC1" w:rsidRDefault="0009276E" w:rsidP="0009276E">
      <w:pPr>
        <w:pStyle w:val="BodyText"/>
        <w:spacing w:before="116"/>
        <w:rPr>
          <w:rFonts w:cs="Calibri"/>
        </w:rPr>
      </w:pPr>
      <w:r w:rsidRPr="00CA2CC1">
        <w:rPr>
          <w:rFonts w:cs="Calibri"/>
          <w:color w:val="414042"/>
        </w:rPr>
        <w:t>Credit</w:t>
      </w:r>
      <w:r w:rsidRPr="00CA2CC1">
        <w:rPr>
          <w:rFonts w:cs="Calibri"/>
          <w:color w:val="414042"/>
          <w:spacing w:val="-6"/>
        </w:rPr>
        <w:t xml:space="preserve"> </w:t>
      </w:r>
      <w:r w:rsidRPr="00CA2CC1">
        <w:rPr>
          <w:rFonts w:cs="Calibri"/>
          <w:color w:val="414042"/>
        </w:rPr>
        <w:t>risk</w:t>
      </w:r>
      <w:r w:rsidRPr="00CA2CC1">
        <w:rPr>
          <w:rFonts w:cs="Calibri"/>
          <w:color w:val="414042"/>
          <w:spacing w:val="-6"/>
        </w:rPr>
        <w:t xml:space="preserve"> </w:t>
      </w:r>
      <w:r w:rsidRPr="00CA2CC1">
        <w:rPr>
          <w:rFonts w:cs="Calibri"/>
          <w:color w:val="414042"/>
        </w:rPr>
        <w:t>arises</w:t>
      </w:r>
      <w:r w:rsidRPr="00CA2CC1">
        <w:rPr>
          <w:rFonts w:cs="Calibri"/>
          <w:color w:val="414042"/>
          <w:spacing w:val="-6"/>
        </w:rPr>
        <w:t xml:space="preserve"> </w:t>
      </w:r>
      <w:r w:rsidRPr="00CA2CC1">
        <w:rPr>
          <w:rFonts w:cs="Calibri"/>
          <w:color w:val="414042"/>
        </w:rPr>
        <w:t>from</w:t>
      </w:r>
      <w:r w:rsidRPr="00CA2CC1">
        <w:rPr>
          <w:rFonts w:cs="Calibri"/>
          <w:color w:val="414042"/>
          <w:spacing w:val="-6"/>
        </w:rPr>
        <w:t xml:space="preserve"> </w:t>
      </w:r>
      <w:r w:rsidRPr="00CA2CC1">
        <w:rPr>
          <w:rFonts w:cs="Calibri"/>
          <w:color w:val="414042"/>
        </w:rPr>
        <w:t>the</w:t>
      </w:r>
      <w:r w:rsidRPr="00CA2CC1">
        <w:rPr>
          <w:rFonts w:cs="Calibri"/>
          <w:color w:val="414042"/>
          <w:spacing w:val="-6"/>
        </w:rPr>
        <w:t xml:space="preserve"> </w:t>
      </w:r>
      <w:r w:rsidRPr="00CA2CC1">
        <w:rPr>
          <w:rFonts w:cs="Calibri"/>
          <w:color w:val="414042"/>
        </w:rPr>
        <w:t>financial</w:t>
      </w:r>
      <w:r w:rsidRPr="00CA2CC1">
        <w:rPr>
          <w:rFonts w:cs="Calibri"/>
          <w:color w:val="414042"/>
          <w:spacing w:val="-6"/>
        </w:rPr>
        <w:t xml:space="preserve"> </w:t>
      </w:r>
      <w:r w:rsidRPr="00CA2CC1">
        <w:rPr>
          <w:rFonts w:cs="Calibri"/>
          <w:color w:val="414042"/>
        </w:rPr>
        <w:t>assets</w:t>
      </w:r>
      <w:r w:rsidRPr="00CA2CC1">
        <w:rPr>
          <w:rFonts w:cs="Calibri"/>
          <w:color w:val="414042"/>
          <w:spacing w:val="-6"/>
        </w:rPr>
        <w:t xml:space="preserve"> </w:t>
      </w:r>
      <w:r w:rsidRPr="00CA2CC1">
        <w:rPr>
          <w:rFonts w:cs="Calibri"/>
          <w:color w:val="414042"/>
        </w:rPr>
        <w:t>of</w:t>
      </w:r>
      <w:r w:rsidRPr="00CA2CC1">
        <w:rPr>
          <w:rFonts w:cs="Calibri"/>
          <w:color w:val="414042"/>
          <w:spacing w:val="-6"/>
        </w:rPr>
        <w:t xml:space="preserve"> </w:t>
      </w:r>
      <w:r w:rsidRPr="00CA2CC1">
        <w:rPr>
          <w:rFonts w:cs="Calibri"/>
          <w:color w:val="414042"/>
        </w:rPr>
        <w:t>Infrastructure Victoria, which comprise trade and other receivables.</w:t>
      </w:r>
    </w:p>
    <w:p w14:paraId="5278A92D" w14:textId="77777777" w:rsidR="0009276E" w:rsidRPr="00CA2CC1" w:rsidRDefault="0009276E" w:rsidP="0009276E">
      <w:pPr>
        <w:pStyle w:val="BodyText"/>
        <w:rPr>
          <w:rFonts w:cs="Calibri"/>
        </w:rPr>
      </w:pPr>
      <w:r w:rsidRPr="00CA2CC1">
        <w:rPr>
          <w:rFonts w:cs="Calibri"/>
          <w:color w:val="414042"/>
        </w:rPr>
        <w:t>Infrastructure Victoria’s exposure to credit risk arises from the potential default of counterparties on their contractual obligations</w:t>
      </w:r>
      <w:r w:rsidRPr="00CA2CC1">
        <w:rPr>
          <w:rFonts w:cs="Calibri"/>
          <w:color w:val="414042"/>
          <w:spacing w:val="-7"/>
        </w:rPr>
        <w:t xml:space="preserve"> </w:t>
      </w:r>
      <w:r w:rsidRPr="00CA2CC1">
        <w:rPr>
          <w:rFonts w:cs="Calibri"/>
          <w:color w:val="414042"/>
        </w:rPr>
        <w:t>resulting</w:t>
      </w:r>
      <w:r w:rsidRPr="00CA2CC1">
        <w:rPr>
          <w:rFonts w:cs="Calibri"/>
          <w:color w:val="414042"/>
          <w:spacing w:val="-7"/>
        </w:rPr>
        <w:t xml:space="preserve"> </w:t>
      </w:r>
      <w:r w:rsidRPr="00CA2CC1">
        <w:rPr>
          <w:rFonts w:cs="Calibri"/>
          <w:color w:val="414042"/>
        </w:rPr>
        <w:t>in</w:t>
      </w:r>
      <w:r w:rsidRPr="00CA2CC1">
        <w:rPr>
          <w:rFonts w:cs="Calibri"/>
          <w:color w:val="414042"/>
          <w:spacing w:val="-7"/>
        </w:rPr>
        <w:t xml:space="preserve"> </w:t>
      </w:r>
      <w:r w:rsidRPr="00CA2CC1">
        <w:rPr>
          <w:rFonts w:cs="Calibri"/>
          <w:color w:val="414042"/>
        </w:rPr>
        <w:t>financial</w:t>
      </w:r>
      <w:r w:rsidRPr="00CA2CC1">
        <w:rPr>
          <w:rFonts w:cs="Calibri"/>
          <w:color w:val="414042"/>
          <w:spacing w:val="-7"/>
        </w:rPr>
        <w:t xml:space="preserve"> </w:t>
      </w:r>
      <w:r w:rsidRPr="00CA2CC1">
        <w:rPr>
          <w:rFonts w:cs="Calibri"/>
          <w:color w:val="414042"/>
        </w:rPr>
        <w:t>loss</w:t>
      </w:r>
      <w:r w:rsidRPr="00CA2CC1">
        <w:rPr>
          <w:rFonts w:cs="Calibri"/>
          <w:color w:val="414042"/>
          <w:spacing w:val="-7"/>
        </w:rPr>
        <w:t xml:space="preserve"> </w:t>
      </w:r>
      <w:r w:rsidRPr="00CA2CC1">
        <w:rPr>
          <w:rFonts w:cs="Calibri"/>
          <w:color w:val="414042"/>
        </w:rPr>
        <w:t>to</w:t>
      </w:r>
      <w:r w:rsidRPr="00CA2CC1">
        <w:rPr>
          <w:rFonts w:cs="Calibri"/>
          <w:color w:val="414042"/>
          <w:spacing w:val="-7"/>
        </w:rPr>
        <w:t xml:space="preserve"> </w:t>
      </w:r>
      <w:r w:rsidRPr="00CA2CC1">
        <w:rPr>
          <w:rFonts w:cs="Calibri"/>
          <w:color w:val="414042"/>
        </w:rPr>
        <w:t>Infrastructure</w:t>
      </w:r>
      <w:r w:rsidRPr="00CA2CC1">
        <w:rPr>
          <w:rFonts w:cs="Calibri"/>
          <w:color w:val="414042"/>
          <w:spacing w:val="-7"/>
        </w:rPr>
        <w:t xml:space="preserve"> </w:t>
      </w:r>
      <w:r w:rsidRPr="00CA2CC1">
        <w:rPr>
          <w:rFonts w:cs="Calibri"/>
          <w:color w:val="414042"/>
        </w:rPr>
        <w:t>Victoria. Credit risk is measured at fair value and is monitored on a regular basis.</w:t>
      </w:r>
    </w:p>
    <w:p w14:paraId="79FEFB89" w14:textId="77777777" w:rsidR="0009276E" w:rsidRPr="00CA2CC1" w:rsidRDefault="0009276E" w:rsidP="0009276E">
      <w:pPr>
        <w:pStyle w:val="BodyText"/>
        <w:spacing w:before="112"/>
        <w:rPr>
          <w:rFonts w:cs="Calibri"/>
        </w:rPr>
      </w:pPr>
      <w:r w:rsidRPr="00CA2CC1">
        <w:rPr>
          <w:rFonts w:cs="Calibri"/>
          <w:color w:val="414042"/>
        </w:rPr>
        <w:t>Credit</w:t>
      </w:r>
      <w:r w:rsidRPr="00CA2CC1">
        <w:rPr>
          <w:rFonts w:cs="Calibri"/>
          <w:color w:val="414042"/>
          <w:spacing w:val="-11"/>
        </w:rPr>
        <w:t xml:space="preserve"> </w:t>
      </w:r>
      <w:r w:rsidRPr="00CA2CC1">
        <w:rPr>
          <w:rFonts w:cs="Calibri"/>
          <w:color w:val="414042"/>
        </w:rPr>
        <w:t>risk</w:t>
      </w:r>
      <w:r w:rsidRPr="00CA2CC1">
        <w:rPr>
          <w:rFonts w:cs="Calibri"/>
          <w:color w:val="414042"/>
          <w:spacing w:val="-11"/>
        </w:rPr>
        <w:t xml:space="preserve"> </w:t>
      </w:r>
      <w:r w:rsidRPr="00CA2CC1">
        <w:rPr>
          <w:rFonts w:cs="Calibri"/>
          <w:color w:val="414042"/>
        </w:rPr>
        <w:t>associated</w:t>
      </w:r>
      <w:r w:rsidRPr="00CA2CC1">
        <w:rPr>
          <w:rFonts w:cs="Calibri"/>
          <w:color w:val="414042"/>
          <w:spacing w:val="-11"/>
        </w:rPr>
        <w:t xml:space="preserve"> </w:t>
      </w:r>
      <w:r w:rsidRPr="00CA2CC1">
        <w:rPr>
          <w:rFonts w:cs="Calibri"/>
          <w:color w:val="414042"/>
        </w:rPr>
        <w:t>with</w:t>
      </w:r>
      <w:r w:rsidRPr="00CA2CC1">
        <w:rPr>
          <w:rFonts w:cs="Calibri"/>
          <w:color w:val="414042"/>
          <w:spacing w:val="-11"/>
        </w:rPr>
        <w:t xml:space="preserve"> </w:t>
      </w:r>
      <w:r w:rsidRPr="00CA2CC1">
        <w:rPr>
          <w:rFonts w:cs="Calibri"/>
          <w:color w:val="414042"/>
        </w:rPr>
        <w:t>Infrastructure</w:t>
      </w:r>
      <w:r w:rsidRPr="00CA2CC1">
        <w:rPr>
          <w:rFonts w:cs="Calibri"/>
          <w:color w:val="414042"/>
          <w:spacing w:val="-11"/>
        </w:rPr>
        <w:t xml:space="preserve"> </w:t>
      </w:r>
      <w:r w:rsidRPr="00CA2CC1">
        <w:rPr>
          <w:rFonts w:cs="Calibri"/>
          <w:color w:val="414042"/>
        </w:rPr>
        <w:t>Victoria’s</w:t>
      </w:r>
      <w:r w:rsidRPr="00CA2CC1">
        <w:rPr>
          <w:rFonts w:cs="Calibri"/>
          <w:color w:val="414042"/>
          <w:spacing w:val="-11"/>
        </w:rPr>
        <w:t xml:space="preserve"> </w:t>
      </w:r>
      <w:r w:rsidRPr="00CA2CC1">
        <w:rPr>
          <w:rFonts w:cs="Calibri"/>
          <w:color w:val="414042"/>
        </w:rPr>
        <w:t>financial assets is minimal because the main debtors are with Victorian Government departments.</w:t>
      </w:r>
    </w:p>
    <w:p w14:paraId="4604AEF4" w14:textId="77777777" w:rsidR="0009276E" w:rsidRPr="00CA2CC1" w:rsidRDefault="0009276E" w:rsidP="0009276E">
      <w:pPr>
        <w:pStyle w:val="BodyText"/>
        <w:spacing w:before="112"/>
        <w:rPr>
          <w:rFonts w:cs="Calibri"/>
        </w:rPr>
      </w:pPr>
      <w:r w:rsidRPr="00CA2CC1">
        <w:rPr>
          <w:rFonts w:cs="Calibri"/>
          <w:color w:val="414042"/>
        </w:rPr>
        <w:t xml:space="preserve">Liquidity </w:t>
      </w:r>
      <w:r w:rsidRPr="00CA2CC1">
        <w:rPr>
          <w:rFonts w:cs="Calibri"/>
          <w:color w:val="414042"/>
          <w:spacing w:val="-4"/>
        </w:rPr>
        <w:t>risk</w:t>
      </w:r>
    </w:p>
    <w:p w14:paraId="3CB8ADF8" w14:textId="77777777" w:rsidR="0009276E" w:rsidRPr="00CA2CC1" w:rsidRDefault="0009276E" w:rsidP="0009276E">
      <w:pPr>
        <w:pStyle w:val="BodyText"/>
        <w:spacing w:before="117"/>
        <w:rPr>
          <w:rFonts w:cs="Calibri"/>
        </w:rPr>
      </w:pPr>
      <w:r w:rsidRPr="00CA2CC1">
        <w:rPr>
          <w:rFonts w:cs="Calibri"/>
          <w:color w:val="414042"/>
        </w:rPr>
        <w:t>Liquidity</w:t>
      </w:r>
      <w:r w:rsidRPr="00CA2CC1">
        <w:rPr>
          <w:rFonts w:cs="Calibri"/>
          <w:color w:val="414042"/>
          <w:spacing w:val="-5"/>
        </w:rPr>
        <w:t xml:space="preserve"> </w:t>
      </w:r>
      <w:r w:rsidRPr="00CA2CC1">
        <w:rPr>
          <w:rFonts w:cs="Calibri"/>
          <w:color w:val="414042"/>
        </w:rPr>
        <w:t>risk</w:t>
      </w:r>
      <w:r w:rsidRPr="00CA2CC1">
        <w:rPr>
          <w:rFonts w:cs="Calibri"/>
          <w:color w:val="414042"/>
          <w:spacing w:val="-5"/>
        </w:rPr>
        <w:t xml:space="preserve"> </w:t>
      </w:r>
      <w:r w:rsidRPr="00CA2CC1">
        <w:rPr>
          <w:rFonts w:cs="Calibri"/>
          <w:color w:val="414042"/>
        </w:rPr>
        <w:t>arises</w:t>
      </w:r>
      <w:r w:rsidRPr="00CA2CC1">
        <w:rPr>
          <w:rFonts w:cs="Calibri"/>
          <w:color w:val="414042"/>
          <w:spacing w:val="-5"/>
        </w:rPr>
        <w:t xml:space="preserve"> </w:t>
      </w:r>
      <w:r w:rsidRPr="00CA2CC1">
        <w:rPr>
          <w:rFonts w:cs="Calibri"/>
          <w:color w:val="414042"/>
        </w:rPr>
        <w:t>when</w:t>
      </w:r>
      <w:r w:rsidRPr="00CA2CC1">
        <w:rPr>
          <w:rFonts w:cs="Calibri"/>
          <w:color w:val="414042"/>
          <w:spacing w:val="-5"/>
        </w:rPr>
        <w:t xml:space="preserve"> </w:t>
      </w:r>
      <w:r w:rsidRPr="00CA2CC1">
        <w:rPr>
          <w:rFonts w:cs="Calibri"/>
          <w:color w:val="414042"/>
        </w:rPr>
        <w:t>Infrastructure</w:t>
      </w:r>
      <w:r w:rsidRPr="00CA2CC1">
        <w:rPr>
          <w:rFonts w:cs="Calibri"/>
          <w:color w:val="414042"/>
          <w:spacing w:val="-5"/>
        </w:rPr>
        <w:t xml:space="preserve"> </w:t>
      </w:r>
      <w:r w:rsidRPr="00CA2CC1">
        <w:rPr>
          <w:rFonts w:cs="Calibri"/>
          <w:color w:val="414042"/>
        </w:rPr>
        <w:t>Victoria</w:t>
      </w:r>
      <w:r w:rsidRPr="00CA2CC1">
        <w:rPr>
          <w:rFonts w:cs="Calibri"/>
          <w:color w:val="414042"/>
          <w:spacing w:val="-5"/>
        </w:rPr>
        <w:t xml:space="preserve"> </w:t>
      </w:r>
      <w:r w:rsidRPr="00CA2CC1">
        <w:rPr>
          <w:rFonts w:cs="Calibri"/>
          <w:color w:val="414042"/>
        </w:rPr>
        <w:t>is</w:t>
      </w:r>
      <w:r w:rsidRPr="00CA2CC1">
        <w:rPr>
          <w:rFonts w:cs="Calibri"/>
          <w:color w:val="414042"/>
          <w:spacing w:val="-5"/>
        </w:rPr>
        <w:t xml:space="preserve"> </w:t>
      </w:r>
      <w:r w:rsidRPr="00CA2CC1">
        <w:rPr>
          <w:rFonts w:cs="Calibri"/>
          <w:color w:val="414042"/>
        </w:rPr>
        <w:t>unable</w:t>
      </w:r>
      <w:r w:rsidRPr="00CA2CC1">
        <w:rPr>
          <w:rFonts w:cs="Calibri"/>
          <w:color w:val="414042"/>
          <w:spacing w:val="-5"/>
        </w:rPr>
        <w:t xml:space="preserve"> </w:t>
      </w:r>
      <w:r w:rsidRPr="00CA2CC1">
        <w:rPr>
          <w:rFonts w:cs="Calibri"/>
          <w:color w:val="414042"/>
        </w:rPr>
        <w:t>to meet its financial obligations as they fall due. Infrastructure Victoria operates under the Victorian Government’s fair payments policy of settling financial obligations within</w:t>
      </w:r>
    </w:p>
    <w:p w14:paraId="13F6C914" w14:textId="77777777" w:rsidR="0009276E" w:rsidRPr="00CA2CC1" w:rsidRDefault="0009276E" w:rsidP="0009276E">
      <w:pPr>
        <w:pStyle w:val="BodyText"/>
        <w:rPr>
          <w:rFonts w:cs="Calibri"/>
        </w:rPr>
      </w:pPr>
      <w:r w:rsidRPr="00CA2CC1">
        <w:rPr>
          <w:rFonts w:cs="Calibri"/>
          <w:color w:val="414042"/>
        </w:rPr>
        <w:t>10</w:t>
      </w:r>
      <w:r w:rsidRPr="00CA2CC1">
        <w:rPr>
          <w:rFonts w:cs="Calibri"/>
          <w:color w:val="414042"/>
          <w:spacing w:val="-4"/>
        </w:rPr>
        <w:t xml:space="preserve"> </w:t>
      </w:r>
      <w:r w:rsidRPr="00CA2CC1">
        <w:rPr>
          <w:rFonts w:cs="Calibri"/>
          <w:color w:val="414042"/>
        </w:rPr>
        <w:t>days</w:t>
      </w:r>
      <w:r w:rsidRPr="00CA2CC1">
        <w:rPr>
          <w:rFonts w:cs="Calibri"/>
          <w:color w:val="414042"/>
          <w:spacing w:val="-4"/>
        </w:rPr>
        <w:t xml:space="preserve"> </w:t>
      </w:r>
      <w:r w:rsidRPr="00CA2CC1">
        <w:rPr>
          <w:rFonts w:cs="Calibri"/>
          <w:color w:val="414042"/>
        </w:rPr>
        <w:t>and,</w:t>
      </w:r>
      <w:r w:rsidRPr="00CA2CC1">
        <w:rPr>
          <w:rFonts w:cs="Calibri"/>
          <w:color w:val="414042"/>
          <w:spacing w:val="-4"/>
        </w:rPr>
        <w:t xml:space="preserve"> </w:t>
      </w:r>
      <w:r w:rsidRPr="00CA2CC1">
        <w:rPr>
          <w:rFonts w:cs="Calibri"/>
          <w:color w:val="414042"/>
        </w:rPr>
        <w:t>in</w:t>
      </w:r>
      <w:r w:rsidRPr="00CA2CC1">
        <w:rPr>
          <w:rFonts w:cs="Calibri"/>
          <w:color w:val="414042"/>
          <w:spacing w:val="-4"/>
        </w:rPr>
        <w:t xml:space="preserve"> </w:t>
      </w:r>
      <w:r w:rsidRPr="00CA2CC1">
        <w:rPr>
          <w:rFonts w:cs="Calibri"/>
          <w:color w:val="414042"/>
        </w:rPr>
        <w:t>the</w:t>
      </w:r>
      <w:r w:rsidRPr="00CA2CC1">
        <w:rPr>
          <w:rFonts w:cs="Calibri"/>
          <w:color w:val="414042"/>
          <w:spacing w:val="-4"/>
        </w:rPr>
        <w:t xml:space="preserve"> </w:t>
      </w:r>
      <w:r w:rsidRPr="00CA2CC1">
        <w:rPr>
          <w:rFonts w:cs="Calibri"/>
          <w:color w:val="414042"/>
        </w:rPr>
        <w:t>event</w:t>
      </w:r>
      <w:r w:rsidRPr="00CA2CC1">
        <w:rPr>
          <w:rFonts w:cs="Calibri"/>
          <w:color w:val="414042"/>
          <w:spacing w:val="-4"/>
        </w:rPr>
        <w:t xml:space="preserve"> </w:t>
      </w:r>
      <w:r w:rsidRPr="00CA2CC1">
        <w:rPr>
          <w:rFonts w:cs="Calibri"/>
          <w:color w:val="414042"/>
        </w:rPr>
        <w:t>of</w:t>
      </w:r>
      <w:r w:rsidRPr="00CA2CC1">
        <w:rPr>
          <w:rFonts w:cs="Calibri"/>
          <w:color w:val="414042"/>
          <w:spacing w:val="-4"/>
        </w:rPr>
        <w:t xml:space="preserve"> </w:t>
      </w:r>
      <w:r w:rsidRPr="00CA2CC1">
        <w:rPr>
          <w:rFonts w:cs="Calibri"/>
          <w:color w:val="414042"/>
        </w:rPr>
        <w:t>a</w:t>
      </w:r>
      <w:r w:rsidRPr="00CA2CC1">
        <w:rPr>
          <w:rFonts w:cs="Calibri"/>
          <w:color w:val="414042"/>
          <w:spacing w:val="-4"/>
        </w:rPr>
        <w:t xml:space="preserve"> </w:t>
      </w:r>
      <w:r w:rsidRPr="00CA2CC1">
        <w:rPr>
          <w:rFonts w:cs="Calibri"/>
          <w:color w:val="414042"/>
        </w:rPr>
        <w:t>dispute,</w:t>
      </w:r>
      <w:r w:rsidRPr="00CA2CC1">
        <w:rPr>
          <w:rFonts w:cs="Calibri"/>
          <w:color w:val="414042"/>
          <w:spacing w:val="-4"/>
        </w:rPr>
        <w:t xml:space="preserve"> </w:t>
      </w:r>
      <w:r w:rsidRPr="00CA2CC1">
        <w:rPr>
          <w:rFonts w:cs="Calibri"/>
          <w:color w:val="414042"/>
        </w:rPr>
        <w:t>makes</w:t>
      </w:r>
      <w:r w:rsidRPr="00CA2CC1">
        <w:rPr>
          <w:rFonts w:cs="Calibri"/>
          <w:color w:val="414042"/>
          <w:spacing w:val="-4"/>
        </w:rPr>
        <w:t xml:space="preserve"> </w:t>
      </w:r>
      <w:r w:rsidRPr="00CA2CC1">
        <w:rPr>
          <w:rFonts w:cs="Calibri"/>
          <w:color w:val="414042"/>
        </w:rPr>
        <w:t>payments within 10 days from the date of resolution.</w:t>
      </w:r>
    </w:p>
    <w:p w14:paraId="7D8CD0C4" w14:textId="77777777" w:rsidR="0009276E" w:rsidRPr="00CA2CC1" w:rsidRDefault="0009276E" w:rsidP="0009276E">
      <w:pPr>
        <w:pStyle w:val="BodyText"/>
        <w:spacing w:before="113"/>
        <w:rPr>
          <w:rFonts w:cs="Calibri"/>
        </w:rPr>
      </w:pPr>
      <w:r w:rsidRPr="00CA2CC1">
        <w:rPr>
          <w:rFonts w:cs="Calibri"/>
          <w:color w:val="414042"/>
        </w:rPr>
        <w:t>Infrastructure</w:t>
      </w:r>
      <w:r w:rsidRPr="00CA2CC1">
        <w:rPr>
          <w:rFonts w:cs="Calibri"/>
          <w:color w:val="414042"/>
          <w:spacing w:val="-9"/>
        </w:rPr>
        <w:t xml:space="preserve"> </w:t>
      </w:r>
      <w:r w:rsidRPr="00CA2CC1">
        <w:rPr>
          <w:rFonts w:cs="Calibri"/>
          <w:color w:val="414042"/>
        </w:rPr>
        <w:t>Victoria’s</w:t>
      </w:r>
      <w:r w:rsidRPr="00CA2CC1">
        <w:rPr>
          <w:rFonts w:cs="Calibri"/>
          <w:color w:val="414042"/>
          <w:spacing w:val="-9"/>
        </w:rPr>
        <w:t xml:space="preserve"> </w:t>
      </w:r>
      <w:r w:rsidRPr="00CA2CC1">
        <w:rPr>
          <w:rFonts w:cs="Calibri"/>
          <w:color w:val="414042"/>
        </w:rPr>
        <w:t>exposure</w:t>
      </w:r>
      <w:r w:rsidRPr="00CA2CC1">
        <w:rPr>
          <w:rFonts w:cs="Calibri"/>
          <w:color w:val="414042"/>
          <w:spacing w:val="-9"/>
        </w:rPr>
        <w:t xml:space="preserve"> </w:t>
      </w:r>
      <w:r w:rsidRPr="00CA2CC1">
        <w:rPr>
          <w:rFonts w:cs="Calibri"/>
          <w:color w:val="414042"/>
        </w:rPr>
        <w:t>to</w:t>
      </w:r>
      <w:r w:rsidRPr="00CA2CC1">
        <w:rPr>
          <w:rFonts w:cs="Calibri"/>
          <w:color w:val="414042"/>
          <w:spacing w:val="-9"/>
        </w:rPr>
        <w:t xml:space="preserve"> </w:t>
      </w:r>
      <w:r w:rsidRPr="00CA2CC1">
        <w:rPr>
          <w:rFonts w:cs="Calibri"/>
          <w:color w:val="414042"/>
        </w:rPr>
        <w:t>liquidity</w:t>
      </w:r>
      <w:r w:rsidRPr="00CA2CC1">
        <w:rPr>
          <w:rFonts w:cs="Calibri"/>
          <w:color w:val="414042"/>
          <w:spacing w:val="-9"/>
        </w:rPr>
        <w:t xml:space="preserve"> </w:t>
      </w:r>
      <w:r w:rsidRPr="00CA2CC1">
        <w:rPr>
          <w:rFonts w:cs="Calibri"/>
          <w:color w:val="414042"/>
        </w:rPr>
        <w:t>risk</w:t>
      </w:r>
      <w:r w:rsidRPr="00CA2CC1">
        <w:rPr>
          <w:rFonts w:cs="Calibri"/>
          <w:color w:val="414042"/>
          <w:spacing w:val="-9"/>
        </w:rPr>
        <w:t xml:space="preserve"> </w:t>
      </w:r>
      <w:r w:rsidRPr="00CA2CC1">
        <w:rPr>
          <w:rFonts w:cs="Calibri"/>
          <w:color w:val="414042"/>
        </w:rPr>
        <w:t>is</w:t>
      </w:r>
      <w:r w:rsidRPr="00CA2CC1">
        <w:rPr>
          <w:rFonts w:cs="Calibri"/>
          <w:color w:val="414042"/>
          <w:spacing w:val="-9"/>
        </w:rPr>
        <w:t xml:space="preserve"> </w:t>
      </w:r>
      <w:r w:rsidRPr="00CA2CC1">
        <w:rPr>
          <w:rFonts w:cs="Calibri"/>
          <w:color w:val="414042"/>
        </w:rPr>
        <w:t>deemed insignificant based on the current assessment of risk.</w:t>
      </w:r>
    </w:p>
    <w:p w14:paraId="1E31DA81" w14:textId="77777777" w:rsidR="0009276E" w:rsidRPr="00CA2CC1" w:rsidRDefault="0009276E" w:rsidP="0009276E">
      <w:pPr>
        <w:pStyle w:val="BodyText"/>
        <w:rPr>
          <w:rFonts w:cs="Calibri"/>
        </w:rPr>
      </w:pPr>
      <w:r w:rsidRPr="00CA2CC1">
        <w:rPr>
          <w:rFonts w:cs="Calibri"/>
          <w:color w:val="414042"/>
        </w:rPr>
        <w:t>Maximum</w:t>
      </w:r>
      <w:r w:rsidRPr="00CA2CC1">
        <w:rPr>
          <w:rFonts w:cs="Calibri"/>
          <w:color w:val="414042"/>
          <w:spacing w:val="-3"/>
        </w:rPr>
        <w:t xml:space="preserve"> </w:t>
      </w:r>
      <w:r w:rsidRPr="00CA2CC1">
        <w:rPr>
          <w:rFonts w:cs="Calibri"/>
          <w:color w:val="414042"/>
        </w:rPr>
        <w:t>exposure</w:t>
      </w:r>
      <w:r w:rsidRPr="00CA2CC1">
        <w:rPr>
          <w:rFonts w:cs="Calibri"/>
          <w:color w:val="414042"/>
          <w:spacing w:val="-3"/>
        </w:rPr>
        <w:t xml:space="preserve"> </w:t>
      </w:r>
      <w:r w:rsidRPr="00CA2CC1">
        <w:rPr>
          <w:rFonts w:cs="Calibri"/>
          <w:color w:val="414042"/>
        </w:rPr>
        <w:t>to</w:t>
      </w:r>
      <w:r w:rsidRPr="00CA2CC1">
        <w:rPr>
          <w:rFonts w:cs="Calibri"/>
          <w:color w:val="414042"/>
          <w:spacing w:val="-3"/>
        </w:rPr>
        <w:t xml:space="preserve"> </w:t>
      </w:r>
      <w:r w:rsidRPr="00CA2CC1">
        <w:rPr>
          <w:rFonts w:cs="Calibri"/>
          <w:color w:val="414042"/>
        </w:rPr>
        <w:t>liquidity</w:t>
      </w:r>
      <w:r w:rsidRPr="00CA2CC1">
        <w:rPr>
          <w:rFonts w:cs="Calibri"/>
          <w:color w:val="414042"/>
          <w:spacing w:val="-3"/>
        </w:rPr>
        <w:t xml:space="preserve"> </w:t>
      </w:r>
      <w:r w:rsidRPr="00CA2CC1">
        <w:rPr>
          <w:rFonts w:cs="Calibri"/>
          <w:color w:val="414042"/>
        </w:rPr>
        <w:t>risk</w:t>
      </w:r>
      <w:r w:rsidRPr="00CA2CC1">
        <w:rPr>
          <w:rFonts w:cs="Calibri"/>
          <w:color w:val="414042"/>
          <w:spacing w:val="-3"/>
        </w:rPr>
        <w:t xml:space="preserve"> </w:t>
      </w:r>
      <w:r w:rsidRPr="00CA2CC1">
        <w:rPr>
          <w:rFonts w:cs="Calibri"/>
          <w:color w:val="414042"/>
        </w:rPr>
        <w:t>is</w:t>
      </w:r>
      <w:r w:rsidRPr="00CA2CC1">
        <w:rPr>
          <w:rFonts w:cs="Calibri"/>
          <w:color w:val="414042"/>
          <w:spacing w:val="-3"/>
        </w:rPr>
        <w:t xml:space="preserve"> </w:t>
      </w:r>
      <w:r w:rsidRPr="00CA2CC1">
        <w:rPr>
          <w:rFonts w:cs="Calibri"/>
          <w:color w:val="414042"/>
        </w:rPr>
        <w:t>the</w:t>
      </w:r>
      <w:r w:rsidRPr="00CA2CC1">
        <w:rPr>
          <w:rFonts w:cs="Calibri"/>
          <w:color w:val="414042"/>
          <w:spacing w:val="-3"/>
        </w:rPr>
        <w:t xml:space="preserve"> </w:t>
      </w:r>
      <w:r w:rsidRPr="00CA2CC1">
        <w:rPr>
          <w:rFonts w:cs="Calibri"/>
          <w:color w:val="414042"/>
        </w:rPr>
        <w:t>carrying</w:t>
      </w:r>
      <w:r w:rsidRPr="00CA2CC1">
        <w:rPr>
          <w:rFonts w:cs="Calibri"/>
          <w:color w:val="414042"/>
          <w:spacing w:val="-3"/>
        </w:rPr>
        <w:t xml:space="preserve"> </w:t>
      </w:r>
      <w:r w:rsidRPr="00CA2CC1">
        <w:rPr>
          <w:rFonts w:cs="Calibri"/>
          <w:color w:val="414042"/>
        </w:rPr>
        <w:t>amount</w:t>
      </w:r>
      <w:r w:rsidRPr="00CA2CC1">
        <w:rPr>
          <w:rFonts w:cs="Calibri"/>
          <w:color w:val="414042"/>
          <w:spacing w:val="-3"/>
        </w:rPr>
        <w:t xml:space="preserve"> </w:t>
      </w:r>
      <w:r w:rsidRPr="00CA2CC1">
        <w:rPr>
          <w:rFonts w:cs="Calibri"/>
          <w:color w:val="414042"/>
        </w:rPr>
        <w:t>of financial</w:t>
      </w:r>
      <w:r w:rsidRPr="00CA2CC1">
        <w:rPr>
          <w:rFonts w:cs="Calibri"/>
          <w:color w:val="414042"/>
          <w:spacing w:val="-6"/>
        </w:rPr>
        <w:t xml:space="preserve"> </w:t>
      </w:r>
      <w:r w:rsidRPr="00CA2CC1">
        <w:rPr>
          <w:rFonts w:cs="Calibri"/>
          <w:color w:val="414042"/>
        </w:rPr>
        <w:t>liabilities.</w:t>
      </w:r>
      <w:r w:rsidRPr="00CA2CC1">
        <w:rPr>
          <w:rFonts w:cs="Calibri"/>
          <w:color w:val="414042"/>
          <w:spacing w:val="-6"/>
        </w:rPr>
        <w:t xml:space="preserve"> </w:t>
      </w:r>
      <w:r w:rsidRPr="00CA2CC1">
        <w:rPr>
          <w:rFonts w:cs="Calibri"/>
          <w:color w:val="414042"/>
        </w:rPr>
        <w:t>Infrastructure</w:t>
      </w:r>
      <w:r w:rsidRPr="00CA2CC1">
        <w:rPr>
          <w:rFonts w:cs="Calibri"/>
          <w:color w:val="414042"/>
          <w:spacing w:val="-6"/>
        </w:rPr>
        <w:t xml:space="preserve"> </w:t>
      </w:r>
      <w:r w:rsidRPr="00CA2CC1">
        <w:rPr>
          <w:rFonts w:cs="Calibri"/>
          <w:color w:val="414042"/>
        </w:rPr>
        <w:t>Victoria</w:t>
      </w:r>
      <w:r w:rsidRPr="00CA2CC1">
        <w:rPr>
          <w:rFonts w:cs="Calibri"/>
          <w:color w:val="414042"/>
          <w:spacing w:val="-6"/>
        </w:rPr>
        <w:t xml:space="preserve"> </w:t>
      </w:r>
      <w:r w:rsidRPr="00CA2CC1">
        <w:rPr>
          <w:rFonts w:cs="Calibri"/>
          <w:color w:val="414042"/>
        </w:rPr>
        <w:t>manages</w:t>
      </w:r>
      <w:r w:rsidRPr="00CA2CC1">
        <w:rPr>
          <w:rFonts w:cs="Calibri"/>
          <w:color w:val="414042"/>
          <w:spacing w:val="-6"/>
        </w:rPr>
        <w:t xml:space="preserve"> </w:t>
      </w:r>
      <w:r w:rsidRPr="00CA2CC1">
        <w:rPr>
          <w:rFonts w:cs="Calibri"/>
          <w:color w:val="414042"/>
        </w:rPr>
        <w:t>its</w:t>
      </w:r>
      <w:r w:rsidRPr="00CA2CC1">
        <w:rPr>
          <w:rFonts w:cs="Calibri"/>
          <w:color w:val="414042"/>
          <w:spacing w:val="-6"/>
        </w:rPr>
        <w:t xml:space="preserve"> </w:t>
      </w:r>
      <w:r w:rsidRPr="00CA2CC1">
        <w:rPr>
          <w:rFonts w:cs="Calibri"/>
          <w:color w:val="414042"/>
        </w:rPr>
        <w:t xml:space="preserve">liquidity risk by maintaining an adequate level of uncommitted funds that can be used at short notice to meet its short-term </w:t>
      </w:r>
      <w:r w:rsidRPr="00CA2CC1">
        <w:rPr>
          <w:rFonts w:cs="Calibri"/>
          <w:color w:val="414042"/>
          <w:spacing w:val="-2"/>
        </w:rPr>
        <w:t>obligations.</w:t>
      </w:r>
    </w:p>
    <w:p w14:paraId="79983E88" w14:textId="77777777" w:rsidR="0009276E" w:rsidRPr="00CA2CC1" w:rsidRDefault="0009276E" w:rsidP="0009276E">
      <w:pPr>
        <w:pStyle w:val="BodyText"/>
        <w:spacing w:before="109"/>
        <w:rPr>
          <w:rFonts w:cs="Calibri"/>
        </w:rPr>
      </w:pPr>
      <w:r w:rsidRPr="00CA2CC1">
        <w:rPr>
          <w:rFonts w:cs="Calibri"/>
          <w:color w:val="414042"/>
        </w:rPr>
        <w:t xml:space="preserve">Market </w:t>
      </w:r>
      <w:r w:rsidRPr="00CA2CC1">
        <w:rPr>
          <w:rFonts w:cs="Calibri"/>
          <w:color w:val="414042"/>
          <w:spacing w:val="-4"/>
        </w:rPr>
        <w:t>risk</w:t>
      </w:r>
    </w:p>
    <w:p w14:paraId="60A3E609" w14:textId="77777777" w:rsidR="0009276E" w:rsidRPr="00CA2CC1" w:rsidRDefault="0009276E" w:rsidP="0009276E">
      <w:pPr>
        <w:pStyle w:val="BodyText"/>
        <w:spacing w:before="116"/>
        <w:rPr>
          <w:rFonts w:cs="Calibri"/>
        </w:rPr>
      </w:pPr>
      <w:r w:rsidRPr="00CA2CC1">
        <w:rPr>
          <w:rFonts w:cs="Calibri"/>
          <w:color w:val="414042"/>
        </w:rPr>
        <w:t>Infrastructure</w:t>
      </w:r>
      <w:r w:rsidRPr="00CA2CC1">
        <w:rPr>
          <w:rFonts w:cs="Calibri"/>
          <w:color w:val="414042"/>
          <w:spacing w:val="-7"/>
        </w:rPr>
        <w:t xml:space="preserve"> </w:t>
      </w:r>
      <w:r w:rsidRPr="00CA2CC1">
        <w:rPr>
          <w:rFonts w:cs="Calibri"/>
          <w:color w:val="414042"/>
        </w:rPr>
        <w:t>Victoria</w:t>
      </w:r>
      <w:r w:rsidRPr="00CA2CC1">
        <w:rPr>
          <w:rFonts w:cs="Calibri"/>
          <w:color w:val="414042"/>
          <w:spacing w:val="-7"/>
        </w:rPr>
        <w:t xml:space="preserve"> </w:t>
      </w:r>
      <w:r w:rsidRPr="00CA2CC1">
        <w:rPr>
          <w:rFonts w:cs="Calibri"/>
          <w:color w:val="414042"/>
        </w:rPr>
        <w:t>has</w:t>
      </w:r>
      <w:r w:rsidRPr="00CA2CC1">
        <w:rPr>
          <w:rFonts w:cs="Calibri"/>
          <w:color w:val="414042"/>
          <w:spacing w:val="-7"/>
        </w:rPr>
        <w:t xml:space="preserve"> </w:t>
      </w:r>
      <w:r w:rsidRPr="00CA2CC1">
        <w:rPr>
          <w:rFonts w:cs="Calibri"/>
          <w:color w:val="414042"/>
        </w:rPr>
        <w:t>no</w:t>
      </w:r>
      <w:r w:rsidRPr="00CA2CC1">
        <w:rPr>
          <w:rFonts w:cs="Calibri"/>
          <w:color w:val="414042"/>
          <w:spacing w:val="-7"/>
        </w:rPr>
        <w:t xml:space="preserve"> </w:t>
      </w:r>
      <w:r w:rsidRPr="00CA2CC1">
        <w:rPr>
          <w:rFonts w:cs="Calibri"/>
          <w:color w:val="414042"/>
        </w:rPr>
        <w:t>exposure</w:t>
      </w:r>
      <w:r w:rsidRPr="00CA2CC1">
        <w:rPr>
          <w:rFonts w:cs="Calibri"/>
          <w:color w:val="414042"/>
          <w:spacing w:val="-7"/>
        </w:rPr>
        <w:t xml:space="preserve"> </w:t>
      </w:r>
      <w:r w:rsidRPr="00CA2CC1">
        <w:rPr>
          <w:rFonts w:cs="Calibri"/>
          <w:color w:val="414042"/>
        </w:rPr>
        <w:t>to</w:t>
      </w:r>
      <w:r w:rsidRPr="00CA2CC1">
        <w:rPr>
          <w:rFonts w:cs="Calibri"/>
          <w:color w:val="414042"/>
          <w:spacing w:val="-7"/>
        </w:rPr>
        <w:t xml:space="preserve"> </w:t>
      </w:r>
      <w:r w:rsidRPr="00CA2CC1">
        <w:rPr>
          <w:rFonts w:cs="Calibri"/>
          <w:color w:val="414042"/>
        </w:rPr>
        <w:t>interest</w:t>
      </w:r>
      <w:r w:rsidRPr="00CA2CC1">
        <w:rPr>
          <w:rFonts w:cs="Calibri"/>
          <w:color w:val="414042"/>
          <w:spacing w:val="-7"/>
        </w:rPr>
        <w:t xml:space="preserve"> </w:t>
      </w:r>
      <w:r w:rsidRPr="00CA2CC1">
        <w:rPr>
          <w:rFonts w:cs="Calibri"/>
          <w:color w:val="414042"/>
        </w:rPr>
        <w:t>rate, foreign currency or other price risks. Interest rates on Infrastructure Victoria’s lease liabilities are fixed.</w:t>
      </w:r>
    </w:p>
    <w:p w14:paraId="3E5FFF94" w14:textId="77777777" w:rsidR="0009276E" w:rsidRPr="00CA2CC1" w:rsidRDefault="0009276E" w:rsidP="0009276E">
      <w:pPr>
        <w:rPr>
          <w:rFonts w:cs="Calibri"/>
        </w:rPr>
      </w:pPr>
    </w:p>
    <w:p w14:paraId="03DC95A1" w14:textId="77777777" w:rsidR="00A648C4" w:rsidRPr="005B49BC" w:rsidRDefault="00A648C4" w:rsidP="00A648C4">
      <w:pPr>
        <w:pStyle w:val="Heading7"/>
        <w:numPr>
          <w:ilvl w:val="1"/>
          <w:numId w:val="7"/>
        </w:numPr>
        <w:spacing w:before="60"/>
        <w:ind w:left="0" w:firstLine="0"/>
        <w:rPr>
          <w:rFonts w:cs="Calibri"/>
          <w:color w:val="000000" w:themeColor="text1"/>
        </w:rPr>
      </w:pPr>
      <w:r w:rsidRPr="005B49BC">
        <w:rPr>
          <w:rFonts w:cs="Calibri"/>
          <w:color w:val="000000" w:themeColor="text1"/>
        </w:rPr>
        <w:t>Contingent</w:t>
      </w:r>
      <w:r w:rsidRPr="005B49BC">
        <w:rPr>
          <w:rFonts w:cs="Calibri"/>
          <w:color w:val="000000" w:themeColor="text1"/>
          <w:spacing w:val="-2"/>
        </w:rPr>
        <w:t xml:space="preserve"> </w:t>
      </w:r>
      <w:r w:rsidRPr="005B49BC">
        <w:rPr>
          <w:rFonts w:cs="Calibri"/>
          <w:color w:val="000000" w:themeColor="text1"/>
        </w:rPr>
        <w:t xml:space="preserve">assets and contingent </w:t>
      </w:r>
      <w:r w:rsidRPr="005B49BC">
        <w:rPr>
          <w:rFonts w:cs="Calibri"/>
          <w:color w:val="000000" w:themeColor="text1"/>
          <w:spacing w:val="-2"/>
        </w:rPr>
        <w:t>liabilities</w:t>
      </w:r>
    </w:p>
    <w:p w14:paraId="4064F231" w14:textId="77777777" w:rsidR="00A648C4" w:rsidRPr="00CA2CC1" w:rsidRDefault="00A648C4" w:rsidP="00A648C4">
      <w:pPr>
        <w:pStyle w:val="BodyText"/>
        <w:spacing w:before="112"/>
        <w:rPr>
          <w:rFonts w:cs="Calibri"/>
        </w:rPr>
      </w:pPr>
      <w:r w:rsidRPr="00CA2CC1">
        <w:rPr>
          <w:rFonts w:cs="Calibri"/>
          <w:color w:val="414042"/>
        </w:rPr>
        <w:t>Contingent assets and contingent liabilities are not recognised</w:t>
      </w:r>
      <w:r w:rsidRPr="00CA2CC1">
        <w:rPr>
          <w:rFonts w:cs="Calibri"/>
          <w:color w:val="414042"/>
          <w:spacing w:val="-5"/>
        </w:rPr>
        <w:t xml:space="preserve"> </w:t>
      </w:r>
      <w:r w:rsidRPr="00CA2CC1">
        <w:rPr>
          <w:rFonts w:cs="Calibri"/>
          <w:color w:val="414042"/>
        </w:rPr>
        <w:t>in</w:t>
      </w:r>
      <w:r w:rsidRPr="00CA2CC1">
        <w:rPr>
          <w:rFonts w:cs="Calibri"/>
          <w:color w:val="414042"/>
          <w:spacing w:val="-5"/>
        </w:rPr>
        <w:t xml:space="preserve"> </w:t>
      </w:r>
      <w:r w:rsidRPr="00CA2CC1">
        <w:rPr>
          <w:rFonts w:cs="Calibri"/>
          <w:color w:val="414042"/>
        </w:rPr>
        <w:t>the</w:t>
      </w:r>
      <w:r w:rsidRPr="00CA2CC1">
        <w:rPr>
          <w:rFonts w:cs="Calibri"/>
          <w:color w:val="414042"/>
          <w:spacing w:val="-5"/>
        </w:rPr>
        <w:t xml:space="preserve"> </w:t>
      </w:r>
      <w:r w:rsidRPr="00CA2CC1">
        <w:rPr>
          <w:rFonts w:cs="Calibri"/>
          <w:color w:val="414042"/>
        </w:rPr>
        <w:t>balance</w:t>
      </w:r>
      <w:r w:rsidRPr="00CA2CC1">
        <w:rPr>
          <w:rFonts w:cs="Calibri"/>
          <w:color w:val="414042"/>
          <w:spacing w:val="-5"/>
        </w:rPr>
        <w:t xml:space="preserve"> </w:t>
      </w:r>
      <w:r w:rsidRPr="00CA2CC1">
        <w:rPr>
          <w:rFonts w:cs="Calibri"/>
          <w:color w:val="414042"/>
        </w:rPr>
        <w:t>sheet</w:t>
      </w:r>
      <w:r w:rsidRPr="00CA2CC1">
        <w:rPr>
          <w:rFonts w:cs="Calibri"/>
          <w:color w:val="414042"/>
          <w:spacing w:val="-5"/>
        </w:rPr>
        <w:t xml:space="preserve"> </w:t>
      </w:r>
      <w:r w:rsidRPr="00CA2CC1">
        <w:rPr>
          <w:rFonts w:cs="Calibri"/>
          <w:color w:val="414042"/>
        </w:rPr>
        <w:t>but</w:t>
      </w:r>
      <w:r w:rsidRPr="00CA2CC1">
        <w:rPr>
          <w:rFonts w:cs="Calibri"/>
          <w:color w:val="414042"/>
          <w:spacing w:val="-5"/>
        </w:rPr>
        <w:t xml:space="preserve"> </w:t>
      </w:r>
      <w:r w:rsidRPr="00CA2CC1">
        <w:rPr>
          <w:rFonts w:cs="Calibri"/>
          <w:color w:val="414042"/>
        </w:rPr>
        <w:t>are</w:t>
      </w:r>
      <w:r w:rsidRPr="00CA2CC1">
        <w:rPr>
          <w:rFonts w:cs="Calibri"/>
          <w:color w:val="414042"/>
          <w:spacing w:val="-5"/>
        </w:rPr>
        <w:t xml:space="preserve"> </w:t>
      </w:r>
      <w:r w:rsidRPr="00CA2CC1">
        <w:rPr>
          <w:rFonts w:cs="Calibri"/>
          <w:color w:val="414042"/>
        </w:rPr>
        <w:t>disclosed</w:t>
      </w:r>
      <w:r w:rsidRPr="00CA2CC1">
        <w:rPr>
          <w:rFonts w:cs="Calibri"/>
          <w:color w:val="414042"/>
          <w:spacing w:val="-5"/>
        </w:rPr>
        <w:t xml:space="preserve"> </w:t>
      </w:r>
      <w:r w:rsidRPr="00CA2CC1">
        <w:rPr>
          <w:rFonts w:cs="Calibri"/>
          <w:color w:val="414042"/>
        </w:rPr>
        <w:t>and, if quantifiable, are measured at nominal value.</w:t>
      </w:r>
    </w:p>
    <w:p w14:paraId="7BAC1E2F" w14:textId="77777777" w:rsidR="00A648C4" w:rsidRPr="00CA2CC1" w:rsidRDefault="00A648C4" w:rsidP="00A648C4">
      <w:pPr>
        <w:pStyle w:val="BodyText"/>
        <w:spacing w:before="117"/>
        <w:rPr>
          <w:rFonts w:cs="Calibri"/>
        </w:rPr>
      </w:pPr>
      <w:r w:rsidRPr="00CA2CC1">
        <w:rPr>
          <w:rFonts w:cs="Calibri"/>
          <w:color w:val="414042"/>
        </w:rPr>
        <w:t>Contingent</w:t>
      </w:r>
      <w:r w:rsidRPr="00CA2CC1">
        <w:rPr>
          <w:rFonts w:cs="Calibri"/>
          <w:color w:val="414042"/>
          <w:spacing w:val="-7"/>
        </w:rPr>
        <w:t xml:space="preserve"> </w:t>
      </w:r>
      <w:r w:rsidRPr="00CA2CC1">
        <w:rPr>
          <w:rFonts w:cs="Calibri"/>
          <w:color w:val="414042"/>
        </w:rPr>
        <w:t>assets</w:t>
      </w:r>
      <w:r w:rsidRPr="00CA2CC1">
        <w:rPr>
          <w:rFonts w:cs="Calibri"/>
          <w:color w:val="414042"/>
          <w:spacing w:val="-7"/>
        </w:rPr>
        <w:t xml:space="preserve"> </w:t>
      </w:r>
      <w:r w:rsidRPr="00CA2CC1">
        <w:rPr>
          <w:rFonts w:cs="Calibri"/>
          <w:color w:val="414042"/>
        </w:rPr>
        <w:t>and</w:t>
      </w:r>
      <w:r w:rsidRPr="00CA2CC1">
        <w:rPr>
          <w:rFonts w:cs="Calibri"/>
          <w:color w:val="414042"/>
          <w:spacing w:val="-7"/>
        </w:rPr>
        <w:t xml:space="preserve"> </w:t>
      </w:r>
      <w:r w:rsidRPr="00CA2CC1">
        <w:rPr>
          <w:rFonts w:cs="Calibri"/>
          <w:color w:val="414042"/>
        </w:rPr>
        <w:t>liabilities</w:t>
      </w:r>
      <w:r w:rsidRPr="00CA2CC1">
        <w:rPr>
          <w:rFonts w:cs="Calibri"/>
          <w:color w:val="414042"/>
          <w:spacing w:val="-7"/>
        </w:rPr>
        <w:t xml:space="preserve"> </w:t>
      </w:r>
      <w:r w:rsidRPr="00CA2CC1">
        <w:rPr>
          <w:rFonts w:cs="Calibri"/>
          <w:color w:val="414042"/>
        </w:rPr>
        <w:t>are</w:t>
      </w:r>
      <w:r w:rsidRPr="00CA2CC1">
        <w:rPr>
          <w:rFonts w:cs="Calibri"/>
          <w:color w:val="414042"/>
          <w:spacing w:val="-7"/>
        </w:rPr>
        <w:t xml:space="preserve"> </w:t>
      </w:r>
      <w:r w:rsidRPr="00CA2CC1">
        <w:rPr>
          <w:rFonts w:cs="Calibri"/>
          <w:color w:val="414042"/>
        </w:rPr>
        <w:t>presented</w:t>
      </w:r>
      <w:r w:rsidRPr="00CA2CC1">
        <w:rPr>
          <w:rFonts w:cs="Calibri"/>
          <w:color w:val="414042"/>
          <w:spacing w:val="-7"/>
        </w:rPr>
        <w:t xml:space="preserve"> </w:t>
      </w:r>
      <w:r w:rsidRPr="00CA2CC1">
        <w:rPr>
          <w:rFonts w:cs="Calibri"/>
          <w:color w:val="414042"/>
        </w:rPr>
        <w:t>inclusive of GST receivable or payable respectively.</w:t>
      </w:r>
    </w:p>
    <w:p w14:paraId="150EEFDB" w14:textId="77777777" w:rsidR="00A648C4" w:rsidRPr="00CA2CC1" w:rsidRDefault="00A648C4" w:rsidP="00A648C4">
      <w:pPr>
        <w:pStyle w:val="BodyText"/>
        <w:spacing w:before="114"/>
        <w:rPr>
          <w:rFonts w:cs="Calibri"/>
        </w:rPr>
      </w:pPr>
      <w:r w:rsidRPr="00CA2CC1">
        <w:rPr>
          <w:rFonts w:cs="Calibri"/>
          <w:color w:val="414042"/>
        </w:rPr>
        <w:t xml:space="preserve">Contingent </w:t>
      </w:r>
      <w:r w:rsidRPr="00CA2CC1">
        <w:rPr>
          <w:rFonts w:cs="Calibri"/>
          <w:color w:val="414042"/>
          <w:spacing w:val="-2"/>
        </w:rPr>
        <w:t>assets</w:t>
      </w:r>
    </w:p>
    <w:p w14:paraId="791464EB" w14:textId="77777777" w:rsidR="00A648C4" w:rsidRPr="00CA2CC1" w:rsidRDefault="00A648C4" w:rsidP="00A648C4">
      <w:pPr>
        <w:pStyle w:val="BodyText"/>
        <w:spacing w:before="117"/>
        <w:rPr>
          <w:rFonts w:cs="Calibri"/>
        </w:rPr>
      </w:pPr>
      <w:r w:rsidRPr="00CA2CC1">
        <w:rPr>
          <w:rFonts w:cs="Calibri"/>
          <w:color w:val="414042"/>
        </w:rPr>
        <w:t>Contingent</w:t>
      </w:r>
      <w:r w:rsidRPr="00CA2CC1">
        <w:rPr>
          <w:rFonts w:cs="Calibri"/>
          <w:color w:val="414042"/>
          <w:spacing w:val="-5"/>
        </w:rPr>
        <w:t xml:space="preserve"> </w:t>
      </w:r>
      <w:r w:rsidRPr="00CA2CC1">
        <w:rPr>
          <w:rFonts w:cs="Calibri"/>
          <w:color w:val="414042"/>
        </w:rPr>
        <w:t>assets</w:t>
      </w:r>
      <w:r w:rsidRPr="00CA2CC1">
        <w:rPr>
          <w:rFonts w:cs="Calibri"/>
          <w:color w:val="414042"/>
          <w:spacing w:val="-5"/>
        </w:rPr>
        <w:t xml:space="preserve"> </w:t>
      </w:r>
      <w:r w:rsidRPr="00CA2CC1">
        <w:rPr>
          <w:rFonts w:cs="Calibri"/>
          <w:color w:val="414042"/>
        </w:rPr>
        <w:t>are</w:t>
      </w:r>
      <w:r w:rsidRPr="00CA2CC1">
        <w:rPr>
          <w:rFonts w:cs="Calibri"/>
          <w:color w:val="414042"/>
          <w:spacing w:val="-5"/>
        </w:rPr>
        <w:t xml:space="preserve"> </w:t>
      </w:r>
      <w:r w:rsidRPr="00CA2CC1">
        <w:rPr>
          <w:rFonts w:cs="Calibri"/>
          <w:color w:val="414042"/>
        </w:rPr>
        <w:t>possible</w:t>
      </w:r>
      <w:r w:rsidRPr="00CA2CC1">
        <w:rPr>
          <w:rFonts w:cs="Calibri"/>
          <w:color w:val="414042"/>
          <w:spacing w:val="-5"/>
        </w:rPr>
        <w:t xml:space="preserve"> </w:t>
      </w:r>
      <w:r w:rsidRPr="00CA2CC1">
        <w:rPr>
          <w:rFonts w:cs="Calibri"/>
          <w:color w:val="414042"/>
        </w:rPr>
        <w:t>assets</w:t>
      </w:r>
      <w:r w:rsidRPr="00CA2CC1">
        <w:rPr>
          <w:rFonts w:cs="Calibri"/>
          <w:color w:val="414042"/>
          <w:spacing w:val="-5"/>
        </w:rPr>
        <w:t xml:space="preserve"> </w:t>
      </w:r>
      <w:r w:rsidRPr="00CA2CC1">
        <w:rPr>
          <w:rFonts w:cs="Calibri"/>
          <w:color w:val="414042"/>
        </w:rPr>
        <w:t>that</w:t>
      </w:r>
      <w:r w:rsidRPr="00CA2CC1">
        <w:rPr>
          <w:rFonts w:cs="Calibri"/>
          <w:color w:val="414042"/>
          <w:spacing w:val="-5"/>
        </w:rPr>
        <w:t xml:space="preserve"> </w:t>
      </w:r>
      <w:r w:rsidRPr="00CA2CC1">
        <w:rPr>
          <w:rFonts w:cs="Calibri"/>
          <w:color w:val="414042"/>
        </w:rPr>
        <w:t>arise</w:t>
      </w:r>
      <w:r w:rsidRPr="00CA2CC1">
        <w:rPr>
          <w:rFonts w:cs="Calibri"/>
          <w:color w:val="414042"/>
          <w:spacing w:val="-5"/>
        </w:rPr>
        <w:t xml:space="preserve"> </w:t>
      </w:r>
      <w:r w:rsidRPr="00CA2CC1">
        <w:rPr>
          <w:rFonts w:cs="Calibri"/>
          <w:color w:val="414042"/>
        </w:rPr>
        <w:t>from</w:t>
      </w:r>
      <w:r w:rsidRPr="00CA2CC1">
        <w:rPr>
          <w:rFonts w:cs="Calibri"/>
          <w:color w:val="414042"/>
          <w:spacing w:val="-5"/>
        </w:rPr>
        <w:t xml:space="preserve"> </w:t>
      </w:r>
      <w:r w:rsidRPr="00CA2CC1">
        <w:rPr>
          <w:rFonts w:cs="Calibri"/>
          <w:color w:val="414042"/>
        </w:rPr>
        <w:t>past events, whose existence will be confirmed only by the occurrence or non-occurrence of one or more uncertain future events not wholly within the control of the entity.</w:t>
      </w:r>
    </w:p>
    <w:p w14:paraId="1E708CB3" w14:textId="77777777" w:rsidR="00A648C4" w:rsidRPr="00CA2CC1" w:rsidRDefault="00A648C4" w:rsidP="00A648C4">
      <w:pPr>
        <w:pStyle w:val="BodyText"/>
        <w:spacing w:before="115"/>
        <w:rPr>
          <w:rFonts w:cs="Calibri"/>
        </w:rPr>
      </w:pPr>
      <w:r w:rsidRPr="00CA2CC1">
        <w:rPr>
          <w:rFonts w:cs="Calibri"/>
          <w:color w:val="414042"/>
        </w:rPr>
        <w:t>These are classified as either quantifiable, where the potential</w:t>
      </w:r>
      <w:r w:rsidRPr="00CA2CC1">
        <w:rPr>
          <w:rFonts w:cs="Calibri"/>
          <w:color w:val="414042"/>
          <w:spacing w:val="-6"/>
        </w:rPr>
        <w:t xml:space="preserve"> </w:t>
      </w:r>
      <w:r w:rsidRPr="00CA2CC1">
        <w:rPr>
          <w:rFonts w:cs="Calibri"/>
          <w:color w:val="414042"/>
        </w:rPr>
        <w:t>economic</w:t>
      </w:r>
      <w:r w:rsidRPr="00CA2CC1">
        <w:rPr>
          <w:rFonts w:cs="Calibri"/>
          <w:color w:val="414042"/>
          <w:spacing w:val="-6"/>
        </w:rPr>
        <w:t xml:space="preserve"> </w:t>
      </w:r>
      <w:r w:rsidRPr="00CA2CC1">
        <w:rPr>
          <w:rFonts w:cs="Calibri"/>
          <w:color w:val="414042"/>
        </w:rPr>
        <w:t>benefit</w:t>
      </w:r>
      <w:r w:rsidRPr="00CA2CC1">
        <w:rPr>
          <w:rFonts w:cs="Calibri"/>
          <w:color w:val="414042"/>
          <w:spacing w:val="-6"/>
        </w:rPr>
        <w:t xml:space="preserve"> </w:t>
      </w:r>
      <w:r w:rsidRPr="00CA2CC1">
        <w:rPr>
          <w:rFonts w:cs="Calibri"/>
          <w:color w:val="414042"/>
        </w:rPr>
        <w:t>is</w:t>
      </w:r>
      <w:r w:rsidRPr="00CA2CC1">
        <w:rPr>
          <w:rFonts w:cs="Calibri"/>
          <w:color w:val="414042"/>
          <w:spacing w:val="-6"/>
        </w:rPr>
        <w:t xml:space="preserve"> </w:t>
      </w:r>
      <w:r w:rsidRPr="00CA2CC1">
        <w:rPr>
          <w:rFonts w:cs="Calibri"/>
          <w:color w:val="414042"/>
        </w:rPr>
        <w:t>known,</w:t>
      </w:r>
      <w:r w:rsidRPr="00CA2CC1">
        <w:rPr>
          <w:rFonts w:cs="Calibri"/>
          <w:color w:val="414042"/>
          <w:spacing w:val="-6"/>
        </w:rPr>
        <w:t xml:space="preserve"> </w:t>
      </w:r>
      <w:r w:rsidRPr="00CA2CC1">
        <w:rPr>
          <w:rFonts w:cs="Calibri"/>
          <w:color w:val="414042"/>
        </w:rPr>
        <w:t>or</w:t>
      </w:r>
      <w:r w:rsidRPr="00CA2CC1">
        <w:rPr>
          <w:rFonts w:cs="Calibri"/>
          <w:color w:val="414042"/>
          <w:spacing w:val="-6"/>
        </w:rPr>
        <w:t xml:space="preserve"> </w:t>
      </w:r>
      <w:r w:rsidRPr="00CA2CC1">
        <w:rPr>
          <w:rFonts w:cs="Calibri"/>
          <w:color w:val="414042"/>
        </w:rPr>
        <w:t>non-quantifiable.</w:t>
      </w:r>
    </w:p>
    <w:p w14:paraId="5ED27622" w14:textId="77777777" w:rsidR="00A648C4" w:rsidRPr="00CA2CC1" w:rsidRDefault="00A648C4" w:rsidP="00A648C4">
      <w:pPr>
        <w:pStyle w:val="BodyText"/>
        <w:spacing w:before="118"/>
        <w:rPr>
          <w:rFonts w:cs="Calibri"/>
        </w:rPr>
      </w:pPr>
      <w:r w:rsidRPr="00CA2CC1">
        <w:rPr>
          <w:rFonts w:cs="Calibri"/>
          <w:color w:val="414042"/>
        </w:rPr>
        <w:t>There were no contingent assets based on the above definitions</w:t>
      </w:r>
      <w:r w:rsidRPr="00CA2CC1">
        <w:rPr>
          <w:rFonts w:cs="Calibri"/>
          <w:color w:val="414042"/>
          <w:spacing w:val="-5"/>
        </w:rPr>
        <w:t xml:space="preserve"> </w:t>
      </w:r>
      <w:r w:rsidRPr="00CA2CC1">
        <w:rPr>
          <w:rFonts w:cs="Calibri"/>
          <w:color w:val="414042"/>
        </w:rPr>
        <w:t>relating</w:t>
      </w:r>
      <w:r w:rsidRPr="00CA2CC1">
        <w:rPr>
          <w:rFonts w:cs="Calibri"/>
          <w:color w:val="414042"/>
          <w:spacing w:val="-5"/>
        </w:rPr>
        <w:t xml:space="preserve"> </w:t>
      </w:r>
      <w:r w:rsidRPr="00CA2CC1">
        <w:rPr>
          <w:rFonts w:cs="Calibri"/>
          <w:color w:val="414042"/>
        </w:rPr>
        <w:t>to</w:t>
      </w:r>
      <w:r w:rsidRPr="00CA2CC1">
        <w:rPr>
          <w:rFonts w:cs="Calibri"/>
          <w:color w:val="414042"/>
          <w:spacing w:val="-5"/>
        </w:rPr>
        <w:t xml:space="preserve"> </w:t>
      </w:r>
      <w:r w:rsidRPr="00CA2CC1">
        <w:rPr>
          <w:rFonts w:cs="Calibri"/>
          <w:color w:val="414042"/>
        </w:rPr>
        <w:t>Infrastructure</w:t>
      </w:r>
      <w:r w:rsidRPr="00CA2CC1">
        <w:rPr>
          <w:rFonts w:cs="Calibri"/>
          <w:color w:val="414042"/>
          <w:spacing w:val="-5"/>
        </w:rPr>
        <w:t xml:space="preserve"> </w:t>
      </w:r>
      <w:r w:rsidRPr="00CA2CC1">
        <w:rPr>
          <w:rFonts w:cs="Calibri"/>
          <w:color w:val="414042"/>
        </w:rPr>
        <w:t>Victoria</w:t>
      </w:r>
      <w:r w:rsidRPr="00CA2CC1">
        <w:rPr>
          <w:rFonts w:cs="Calibri"/>
          <w:color w:val="414042"/>
          <w:spacing w:val="-5"/>
        </w:rPr>
        <w:t xml:space="preserve"> </w:t>
      </w:r>
      <w:r w:rsidRPr="00CA2CC1">
        <w:rPr>
          <w:rFonts w:cs="Calibri"/>
          <w:color w:val="414042"/>
        </w:rPr>
        <w:t>as</w:t>
      </w:r>
      <w:r w:rsidRPr="00CA2CC1">
        <w:rPr>
          <w:rFonts w:cs="Calibri"/>
          <w:color w:val="414042"/>
          <w:spacing w:val="-5"/>
        </w:rPr>
        <w:t xml:space="preserve"> </w:t>
      </w:r>
      <w:r w:rsidRPr="00CA2CC1">
        <w:rPr>
          <w:rFonts w:cs="Calibri"/>
          <w:color w:val="414042"/>
        </w:rPr>
        <w:t>at</w:t>
      </w:r>
      <w:r w:rsidRPr="00CA2CC1">
        <w:rPr>
          <w:rFonts w:cs="Calibri"/>
          <w:color w:val="414042"/>
          <w:spacing w:val="-5"/>
        </w:rPr>
        <w:t xml:space="preserve"> </w:t>
      </w:r>
      <w:r w:rsidRPr="00CA2CC1">
        <w:rPr>
          <w:rFonts w:cs="Calibri"/>
          <w:color w:val="414042"/>
        </w:rPr>
        <w:t>30</w:t>
      </w:r>
      <w:r w:rsidRPr="00CA2CC1">
        <w:rPr>
          <w:rFonts w:cs="Calibri"/>
          <w:color w:val="414042"/>
          <w:spacing w:val="-5"/>
        </w:rPr>
        <w:t xml:space="preserve"> </w:t>
      </w:r>
      <w:r w:rsidRPr="00CA2CC1">
        <w:rPr>
          <w:rFonts w:cs="Calibri"/>
          <w:color w:val="414042"/>
        </w:rPr>
        <w:t>June 2023 (30 June 2022: Nil).</w:t>
      </w:r>
    </w:p>
    <w:p w14:paraId="4B0ADEA7" w14:textId="77777777" w:rsidR="00A648C4" w:rsidRPr="00CA2CC1" w:rsidRDefault="00A648C4" w:rsidP="00A648C4">
      <w:pPr>
        <w:pStyle w:val="BodyText"/>
        <w:spacing w:before="113"/>
        <w:rPr>
          <w:rFonts w:cs="Calibri"/>
        </w:rPr>
      </w:pPr>
      <w:r w:rsidRPr="00CA2CC1">
        <w:rPr>
          <w:rFonts w:cs="Calibri"/>
          <w:color w:val="414042"/>
        </w:rPr>
        <w:t xml:space="preserve">Contingent </w:t>
      </w:r>
      <w:r w:rsidRPr="00CA2CC1">
        <w:rPr>
          <w:rFonts w:cs="Calibri"/>
          <w:color w:val="414042"/>
          <w:spacing w:val="-2"/>
        </w:rPr>
        <w:t>liabilities</w:t>
      </w:r>
    </w:p>
    <w:p w14:paraId="7B0C8082" w14:textId="77777777" w:rsidR="00A648C4" w:rsidRPr="00CA2CC1" w:rsidRDefault="00A648C4" w:rsidP="00A648C4">
      <w:pPr>
        <w:pStyle w:val="BodyText"/>
        <w:spacing w:before="110"/>
        <w:rPr>
          <w:rFonts w:cs="Calibri"/>
        </w:rPr>
      </w:pPr>
      <w:r w:rsidRPr="00CA2CC1">
        <w:rPr>
          <w:rFonts w:cs="Calibri"/>
          <w:color w:val="414042"/>
        </w:rPr>
        <w:t xml:space="preserve">Contingent liabilities </w:t>
      </w:r>
      <w:r w:rsidRPr="00CA2CC1">
        <w:rPr>
          <w:rFonts w:cs="Calibri"/>
          <w:color w:val="414042"/>
          <w:spacing w:val="-4"/>
        </w:rPr>
        <w:t>are:</w:t>
      </w:r>
    </w:p>
    <w:p w14:paraId="29AB053F" w14:textId="77777777" w:rsidR="00A648C4" w:rsidRPr="00CA2CC1" w:rsidRDefault="00A648C4" w:rsidP="00A648C4">
      <w:pPr>
        <w:pStyle w:val="BodyText"/>
        <w:numPr>
          <w:ilvl w:val="0"/>
          <w:numId w:val="67"/>
        </w:numPr>
        <w:rPr>
          <w:rFonts w:cs="Calibri"/>
        </w:rPr>
      </w:pPr>
      <w:r w:rsidRPr="00CA2CC1">
        <w:rPr>
          <w:rFonts w:cs="Calibri"/>
        </w:rPr>
        <w:t>possible</w:t>
      </w:r>
      <w:r w:rsidRPr="00CA2CC1">
        <w:rPr>
          <w:rFonts w:cs="Calibri"/>
          <w:spacing w:val="-6"/>
        </w:rPr>
        <w:t xml:space="preserve"> </w:t>
      </w:r>
      <w:r w:rsidRPr="00CA2CC1">
        <w:rPr>
          <w:rFonts w:cs="Calibri"/>
        </w:rPr>
        <w:t>obligations</w:t>
      </w:r>
      <w:r w:rsidRPr="00CA2CC1">
        <w:rPr>
          <w:rFonts w:cs="Calibri"/>
          <w:spacing w:val="-6"/>
        </w:rPr>
        <w:t xml:space="preserve"> </w:t>
      </w:r>
      <w:r w:rsidRPr="00CA2CC1">
        <w:rPr>
          <w:rFonts w:cs="Calibri"/>
        </w:rPr>
        <w:t>that</w:t>
      </w:r>
      <w:r w:rsidRPr="00CA2CC1">
        <w:rPr>
          <w:rFonts w:cs="Calibri"/>
          <w:spacing w:val="-6"/>
        </w:rPr>
        <w:t xml:space="preserve"> </w:t>
      </w:r>
      <w:r w:rsidRPr="00CA2CC1">
        <w:rPr>
          <w:rFonts w:cs="Calibri"/>
        </w:rPr>
        <w:t>arise</w:t>
      </w:r>
      <w:r w:rsidRPr="00CA2CC1">
        <w:rPr>
          <w:rFonts w:cs="Calibri"/>
          <w:spacing w:val="-6"/>
        </w:rPr>
        <w:t xml:space="preserve"> </w:t>
      </w:r>
      <w:r w:rsidRPr="00CA2CC1">
        <w:rPr>
          <w:rFonts w:cs="Calibri"/>
        </w:rPr>
        <w:t>from</w:t>
      </w:r>
      <w:r w:rsidRPr="00CA2CC1">
        <w:rPr>
          <w:rFonts w:cs="Calibri"/>
          <w:spacing w:val="-6"/>
        </w:rPr>
        <w:t xml:space="preserve"> </w:t>
      </w:r>
      <w:r w:rsidRPr="00CA2CC1">
        <w:rPr>
          <w:rFonts w:cs="Calibri"/>
        </w:rPr>
        <w:t>past</w:t>
      </w:r>
      <w:r w:rsidRPr="00CA2CC1">
        <w:rPr>
          <w:rFonts w:cs="Calibri"/>
          <w:spacing w:val="-6"/>
        </w:rPr>
        <w:t xml:space="preserve"> </w:t>
      </w:r>
      <w:r w:rsidRPr="00CA2CC1">
        <w:rPr>
          <w:rFonts w:cs="Calibri"/>
        </w:rPr>
        <w:t>events,</w:t>
      </w:r>
      <w:r w:rsidRPr="00CA2CC1">
        <w:rPr>
          <w:rFonts w:cs="Calibri"/>
          <w:spacing w:val="-6"/>
        </w:rPr>
        <w:t xml:space="preserve"> </w:t>
      </w:r>
      <w:r w:rsidRPr="00CA2CC1">
        <w:rPr>
          <w:rFonts w:cs="Calibri"/>
        </w:rPr>
        <w:t>whose existence will be confirmed only by the occurrence or non-occurrence</w:t>
      </w:r>
      <w:r w:rsidRPr="00CA2CC1">
        <w:rPr>
          <w:rFonts w:cs="Calibri"/>
          <w:spacing w:val="-6"/>
        </w:rPr>
        <w:t xml:space="preserve"> </w:t>
      </w:r>
      <w:r w:rsidRPr="00CA2CC1">
        <w:rPr>
          <w:rFonts w:cs="Calibri"/>
        </w:rPr>
        <w:t>of</w:t>
      </w:r>
      <w:r w:rsidRPr="00CA2CC1">
        <w:rPr>
          <w:rFonts w:cs="Calibri"/>
          <w:spacing w:val="-6"/>
        </w:rPr>
        <w:t xml:space="preserve"> </w:t>
      </w:r>
      <w:r w:rsidRPr="00CA2CC1">
        <w:rPr>
          <w:rFonts w:cs="Calibri"/>
        </w:rPr>
        <w:t>one</w:t>
      </w:r>
      <w:r w:rsidRPr="00CA2CC1">
        <w:rPr>
          <w:rFonts w:cs="Calibri"/>
          <w:spacing w:val="-6"/>
        </w:rPr>
        <w:t xml:space="preserve"> </w:t>
      </w:r>
      <w:r w:rsidRPr="00CA2CC1">
        <w:rPr>
          <w:rFonts w:cs="Calibri"/>
        </w:rPr>
        <w:t>or</w:t>
      </w:r>
      <w:r w:rsidRPr="00CA2CC1">
        <w:rPr>
          <w:rFonts w:cs="Calibri"/>
          <w:spacing w:val="-6"/>
        </w:rPr>
        <w:t xml:space="preserve"> </w:t>
      </w:r>
      <w:r w:rsidRPr="00CA2CC1">
        <w:rPr>
          <w:rFonts w:cs="Calibri"/>
        </w:rPr>
        <w:t>more</w:t>
      </w:r>
      <w:r w:rsidRPr="00CA2CC1">
        <w:rPr>
          <w:rFonts w:cs="Calibri"/>
          <w:spacing w:val="-6"/>
        </w:rPr>
        <w:t xml:space="preserve"> </w:t>
      </w:r>
      <w:r w:rsidRPr="00CA2CC1">
        <w:rPr>
          <w:rFonts w:cs="Calibri"/>
        </w:rPr>
        <w:t>uncertain</w:t>
      </w:r>
      <w:r w:rsidRPr="00CA2CC1">
        <w:rPr>
          <w:rFonts w:cs="Calibri"/>
          <w:spacing w:val="-6"/>
        </w:rPr>
        <w:t xml:space="preserve"> </w:t>
      </w:r>
      <w:r w:rsidRPr="00CA2CC1">
        <w:rPr>
          <w:rFonts w:cs="Calibri"/>
        </w:rPr>
        <w:t>future</w:t>
      </w:r>
      <w:r w:rsidRPr="00CA2CC1">
        <w:rPr>
          <w:rFonts w:cs="Calibri"/>
          <w:spacing w:val="-6"/>
        </w:rPr>
        <w:t xml:space="preserve"> </w:t>
      </w:r>
      <w:r w:rsidRPr="00CA2CC1">
        <w:rPr>
          <w:rFonts w:cs="Calibri"/>
        </w:rPr>
        <w:t>events not wholly within the control of the entity; or</w:t>
      </w:r>
    </w:p>
    <w:p w14:paraId="20F50BB1" w14:textId="77777777" w:rsidR="00A648C4" w:rsidRPr="00CA2CC1" w:rsidRDefault="00A648C4" w:rsidP="00A648C4">
      <w:pPr>
        <w:pStyle w:val="BodyText"/>
        <w:numPr>
          <w:ilvl w:val="0"/>
          <w:numId w:val="67"/>
        </w:numPr>
        <w:rPr>
          <w:rFonts w:cs="Calibri"/>
        </w:rPr>
      </w:pPr>
      <w:r w:rsidRPr="00CA2CC1">
        <w:rPr>
          <w:rFonts w:cs="Calibri"/>
        </w:rPr>
        <w:t>present</w:t>
      </w:r>
      <w:r w:rsidRPr="00CA2CC1">
        <w:rPr>
          <w:rFonts w:cs="Calibri"/>
          <w:spacing w:val="-6"/>
        </w:rPr>
        <w:t xml:space="preserve"> </w:t>
      </w:r>
      <w:r w:rsidRPr="00CA2CC1">
        <w:rPr>
          <w:rFonts w:cs="Calibri"/>
        </w:rPr>
        <w:t>obligations</w:t>
      </w:r>
      <w:r w:rsidRPr="00CA2CC1">
        <w:rPr>
          <w:rFonts w:cs="Calibri"/>
          <w:spacing w:val="-6"/>
        </w:rPr>
        <w:t xml:space="preserve"> </w:t>
      </w:r>
      <w:r w:rsidRPr="00CA2CC1">
        <w:rPr>
          <w:rFonts w:cs="Calibri"/>
        </w:rPr>
        <w:t>that</w:t>
      </w:r>
      <w:r w:rsidRPr="00CA2CC1">
        <w:rPr>
          <w:rFonts w:cs="Calibri"/>
          <w:spacing w:val="-6"/>
        </w:rPr>
        <w:t xml:space="preserve"> </w:t>
      </w:r>
      <w:r w:rsidRPr="00CA2CC1">
        <w:rPr>
          <w:rFonts w:cs="Calibri"/>
        </w:rPr>
        <w:t>arise</w:t>
      </w:r>
      <w:r w:rsidRPr="00CA2CC1">
        <w:rPr>
          <w:rFonts w:cs="Calibri"/>
          <w:spacing w:val="-6"/>
        </w:rPr>
        <w:t xml:space="preserve"> </w:t>
      </w:r>
      <w:r w:rsidRPr="00CA2CC1">
        <w:rPr>
          <w:rFonts w:cs="Calibri"/>
        </w:rPr>
        <w:t>from</w:t>
      </w:r>
      <w:r w:rsidRPr="00CA2CC1">
        <w:rPr>
          <w:rFonts w:cs="Calibri"/>
          <w:spacing w:val="-6"/>
        </w:rPr>
        <w:t xml:space="preserve"> </w:t>
      </w:r>
      <w:r w:rsidRPr="00CA2CC1">
        <w:rPr>
          <w:rFonts w:cs="Calibri"/>
        </w:rPr>
        <w:t>past</w:t>
      </w:r>
      <w:r w:rsidRPr="00CA2CC1">
        <w:rPr>
          <w:rFonts w:cs="Calibri"/>
          <w:spacing w:val="-6"/>
        </w:rPr>
        <w:t xml:space="preserve"> </w:t>
      </w:r>
      <w:r w:rsidRPr="00CA2CC1">
        <w:rPr>
          <w:rFonts w:cs="Calibri"/>
        </w:rPr>
        <w:t>events</w:t>
      </w:r>
      <w:r w:rsidRPr="00CA2CC1">
        <w:rPr>
          <w:rFonts w:cs="Calibri"/>
          <w:spacing w:val="-6"/>
        </w:rPr>
        <w:t xml:space="preserve"> </w:t>
      </w:r>
      <w:r w:rsidRPr="00CA2CC1">
        <w:rPr>
          <w:rFonts w:cs="Calibri"/>
        </w:rPr>
        <w:t>but</w:t>
      </w:r>
      <w:r w:rsidRPr="00CA2CC1">
        <w:rPr>
          <w:rFonts w:cs="Calibri"/>
          <w:spacing w:val="-6"/>
        </w:rPr>
        <w:t xml:space="preserve"> </w:t>
      </w:r>
      <w:r w:rsidRPr="00CA2CC1">
        <w:rPr>
          <w:rFonts w:cs="Calibri"/>
        </w:rPr>
        <w:t>are not recognised because:</w:t>
      </w:r>
    </w:p>
    <w:p w14:paraId="73CE5BEA" w14:textId="77777777" w:rsidR="00A648C4" w:rsidRPr="00CA2CC1" w:rsidRDefault="00A648C4" w:rsidP="00A648C4">
      <w:pPr>
        <w:pStyle w:val="BodyText"/>
        <w:numPr>
          <w:ilvl w:val="0"/>
          <w:numId w:val="68"/>
        </w:numPr>
        <w:rPr>
          <w:rFonts w:cs="Calibri"/>
        </w:rPr>
      </w:pPr>
      <w:r w:rsidRPr="00CA2CC1">
        <w:rPr>
          <w:rFonts w:cs="Calibri"/>
        </w:rPr>
        <w:t>it is not probable that an outflow of resources embodying</w:t>
      </w:r>
      <w:r w:rsidRPr="00CA2CC1">
        <w:rPr>
          <w:rFonts w:cs="Calibri"/>
          <w:spacing w:val="-8"/>
        </w:rPr>
        <w:t xml:space="preserve"> </w:t>
      </w:r>
      <w:r w:rsidRPr="00CA2CC1">
        <w:rPr>
          <w:rFonts w:cs="Calibri"/>
        </w:rPr>
        <w:t>economic</w:t>
      </w:r>
      <w:r w:rsidRPr="00CA2CC1">
        <w:rPr>
          <w:rFonts w:cs="Calibri"/>
          <w:spacing w:val="-8"/>
        </w:rPr>
        <w:t xml:space="preserve"> </w:t>
      </w:r>
      <w:r w:rsidRPr="00CA2CC1">
        <w:rPr>
          <w:rFonts w:cs="Calibri"/>
        </w:rPr>
        <w:t>benefits</w:t>
      </w:r>
      <w:r w:rsidRPr="00CA2CC1">
        <w:rPr>
          <w:rFonts w:cs="Calibri"/>
          <w:spacing w:val="-8"/>
        </w:rPr>
        <w:t xml:space="preserve"> </w:t>
      </w:r>
      <w:r w:rsidRPr="00CA2CC1">
        <w:rPr>
          <w:rFonts w:cs="Calibri"/>
        </w:rPr>
        <w:t>will</w:t>
      </w:r>
      <w:r w:rsidRPr="00CA2CC1">
        <w:rPr>
          <w:rFonts w:cs="Calibri"/>
          <w:spacing w:val="-8"/>
        </w:rPr>
        <w:t xml:space="preserve"> </w:t>
      </w:r>
      <w:r w:rsidRPr="00CA2CC1">
        <w:rPr>
          <w:rFonts w:cs="Calibri"/>
        </w:rPr>
        <w:t>be</w:t>
      </w:r>
      <w:r w:rsidRPr="00CA2CC1">
        <w:rPr>
          <w:rFonts w:cs="Calibri"/>
          <w:spacing w:val="-8"/>
        </w:rPr>
        <w:t xml:space="preserve"> </w:t>
      </w:r>
      <w:r w:rsidRPr="00CA2CC1">
        <w:rPr>
          <w:rFonts w:cs="Calibri"/>
        </w:rPr>
        <w:t>required to settle the obligations; or</w:t>
      </w:r>
    </w:p>
    <w:p w14:paraId="4EA91F4F" w14:textId="77777777" w:rsidR="00A648C4" w:rsidRPr="00CA2CC1" w:rsidRDefault="00A648C4" w:rsidP="00A648C4">
      <w:pPr>
        <w:pStyle w:val="BodyText"/>
        <w:numPr>
          <w:ilvl w:val="0"/>
          <w:numId w:val="68"/>
        </w:numPr>
        <w:rPr>
          <w:rFonts w:cs="Calibri"/>
        </w:rPr>
      </w:pPr>
      <w:r w:rsidRPr="00CA2CC1">
        <w:rPr>
          <w:rFonts w:cs="Calibri"/>
        </w:rPr>
        <w:t>the</w:t>
      </w:r>
      <w:r w:rsidRPr="00CA2CC1">
        <w:rPr>
          <w:rFonts w:cs="Calibri"/>
          <w:spacing w:val="-6"/>
        </w:rPr>
        <w:t xml:space="preserve"> </w:t>
      </w:r>
      <w:r w:rsidRPr="00CA2CC1">
        <w:rPr>
          <w:rFonts w:cs="Calibri"/>
        </w:rPr>
        <w:t>amount</w:t>
      </w:r>
      <w:r w:rsidRPr="00CA2CC1">
        <w:rPr>
          <w:rFonts w:cs="Calibri"/>
          <w:spacing w:val="-6"/>
        </w:rPr>
        <w:t xml:space="preserve"> </w:t>
      </w:r>
      <w:r w:rsidRPr="00CA2CC1">
        <w:rPr>
          <w:rFonts w:cs="Calibri"/>
        </w:rPr>
        <w:t>of</w:t>
      </w:r>
      <w:r w:rsidRPr="00CA2CC1">
        <w:rPr>
          <w:rFonts w:cs="Calibri"/>
          <w:spacing w:val="-6"/>
        </w:rPr>
        <w:t xml:space="preserve"> </w:t>
      </w:r>
      <w:r w:rsidRPr="00CA2CC1">
        <w:rPr>
          <w:rFonts w:cs="Calibri"/>
        </w:rPr>
        <w:t>the</w:t>
      </w:r>
      <w:r w:rsidRPr="00CA2CC1">
        <w:rPr>
          <w:rFonts w:cs="Calibri"/>
          <w:spacing w:val="-6"/>
        </w:rPr>
        <w:t xml:space="preserve"> </w:t>
      </w:r>
      <w:r w:rsidRPr="00CA2CC1">
        <w:rPr>
          <w:rFonts w:cs="Calibri"/>
        </w:rPr>
        <w:t>obligations</w:t>
      </w:r>
      <w:r w:rsidRPr="00CA2CC1">
        <w:rPr>
          <w:rFonts w:cs="Calibri"/>
          <w:spacing w:val="-6"/>
        </w:rPr>
        <w:t xml:space="preserve"> </w:t>
      </w:r>
      <w:r w:rsidRPr="00CA2CC1">
        <w:rPr>
          <w:rFonts w:cs="Calibri"/>
        </w:rPr>
        <w:t>cannot</w:t>
      </w:r>
      <w:r w:rsidRPr="00CA2CC1">
        <w:rPr>
          <w:rFonts w:cs="Calibri"/>
          <w:spacing w:val="-6"/>
        </w:rPr>
        <w:t xml:space="preserve"> </w:t>
      </w:r>
      <w:r w:rsidRPr="00CA2CC1">
        <w:rPr>
          <w:rFonts w:cs="Calibri"/>
        </w:rPr>
        <w:t>be</w:t>
      </w:r>
      <w:r w:rsidRPr="00CA2CC1">
        <w:rPr>
          <w:rFonts w:cs="Calibri"/>
          <w:spacing w:val="-6"/>
        </w:rPr>
        <w:t xml:space="preserve"> </w:t>
      </w:r>
      <w:r w:rsidRPr="00CA2CC1">
        <w:rPr>
          <w:rFonts w:cs="Calibri"/>
        </w:rPr>
        <w:t>measured with sufficient reliability.</w:t>
      </w:r>
    </w:p>
    <w:p w14:paraId="49230AEA" w14:textId="77777777" w:rsidR="00A648C4" w:rsidRPr="00CA2CC1" w:rsidRDefault="00A648C4" w:rsidP="00A648C4">
      <w:pPr>
        <w:pStyle w:val="BodyText"/>
        <w:spacing w:before="117"/>
        <w:rPr>
          <w:rFonts w:cs="Calibri"/>
        </w:rPr>
      </w:pPr>
      <w:r w:rsidRPr="00CA2CC1">
        <w:rPr>
          <w:rFonts w:cs="Calibri"/>
          <w:color w:val="414042"/>
        </w:rPr>
        <w:t>Contingent</w:t>
      </w:r>
      <w:r w:rsidRPr="00CA2CC1">
        <w:rPr>
          <w:rFonts w:cs="Calibri"/>
          <w:color w:val="414042"/>
          <w:spacing w:val="-6"/>
        </w:rPr>
        <w:t xml:space="preserve"> </w:t>
      </w:r>
      <w:r w:rsidRPr="00CA2CC1">
        <w:rPr>
          <w:rFonts w:cs="Calibri"/>
          <w:color w:val="414042"/>
        </w:rPr>
        <w:t>liabilities</w:t>
      </w:r>
      <w:r w:rsidRPr="00CA2CC1">
        <w:rPr>
          <w:rFonts w:cs="Calibri"/>
          <w:color w:val="414042"/>
          <w:spacing w:val="-6"/>
        </w:rPr>
        <w:t xml:space="preserve"> </w:t>
      </w:r>
      <w:r w:rsidRPr="00CA2CC1">
        <w:rPr>
          <w:rFonts w:cs="Calibri"/>
          <w:color w:val="414042"/>
        </w:rPr>
        <w:t>are</w:t>
      </w:r>
      <w:r w:rsidRPr="00CA2CC1">
        <w:rPr>
          <w:rFonts w:cs="Calibri"/>
          <w:color w:val="414042"/>
          <w:spacing w:val="-6"/>
        </w:rPr>
        <w:t xml:space="preserve"> </w:t>
      </w:r>
      <w:r w:rsidRPr="00CA2CC1">
        <w:rPr>
          <w:rFonts w:cs="Calibri"/>
          <w:color w:val="414042"/>
        </w:rPr>
        <w:t>also</w:t>
      </w:r>
      <w:r w:rsidRPr="00CA2CC1">
        <w:rPr>
          <w:rFonts w:cs="Calibri"/>
          <w:color w:val="414042"/>
          <w:spacing w:val="-6"/>
        </w:rPr>
        <w:t xml:space="preserve"> </w:t>
      </w:r>
      <w:r w:rsidRPr="00CA2CC1">
        <w:rPr>
          <w:rFonts w:cs="Calibri"/>
          <w:color w:val="414042"/>
        </w:rPr>
        <w:t>classified</w:t>
      </w:r>
      <w:r w:rsidRPr="00CA2CC1">
        <w:rPr>
          <w:rFonts w:cs="Calibri"/>
          <w:color w:val="414042"/>
          <w:spacing w:val="-6"/>
        </w:rPr>
        <w:t xml:space="preserve"> </w:t>
      </w:r>
      <w:r w:rsidRPr="00CA2CC1">
        <w:rPr>
          <w:rFonts w:cs="Calibri"/>
          <w:color w:val="414042"/>
        </w:rPr>
        <w:t>as</w:t>
      </w:r>
      <w:r w:rsidRPr="00CA2CC1">
        <w:rPr>
          <w:rFonts w:cs="Calibri"/>
          <w:color w:val="414042"/>
          <w:spacing w:val="-6"/>
        </w:rPr>
        <w:t xml:space="preserve"> </w:t>
      </w:r>
      <w:r w:rsidRPr="00CA2CC1">
        <w:rPr>
          <w:rFonts w:cs="Calibri"/>
          <w:color w:val="414042"/>
        </w:rPr>
        <w:t>either</w:t>
      </w:r>
      <w:r w:rsidRPr="00CA2CC1">
        <w:rPr>
          <w:rFonts w:cs="Calibri"/>
          <w:color w:val="414042"/>
          <w:spacing w:val="-6"/>
        </w:rPr>
        <w:t xml:space="preserve"> </w:t>
      </w:r>
      <w:r w:rsidRPr="00CA2CC1">
        <w:rPr>
          <w:rFonts w:cs="Calibri"/>
          <w:color w:val="414042"/>
        </w:rPr>
        <w:t>quantifiable or non-quantifiable.</w:t>
      </w:r>
    </w:p>
    <w:p w14:paraId="60669E74" w14:textId="77777777" w:rsidR="00A648C4" w:rsidRPr="00CA2CC1" w:rsidRDefault="00A648C4" w:rsidP="00A648C4">
      <w:pPr>
        <w:pStyle w:val="BodyText"/>
        <w:spacing w:before="118"/>
        <w:rPr>
          <w:rFonts w:cs="Calibri"/>
          <w:color w:val="F68C59"/>
        </w:rPr>
      </w:pPr>
      <w:r w:rsidRPr="00CA2CC1">
        <w:rPr>
          <w:rFonts w:cs="Calibri"/>
          <w:color w:val="414042"/>
        </w:rPr>
        <w:t>There were no contingent liabilities based on the above definitions</w:t>
      </w:r>
      <w:r w:rsidRPr="00CA2CC1">
        <w:rPr>
          <w:rFonts w:cs="Calibri"/>
          <w:color w:val="414042"/>
          <w:spacing w:val="-5"/>
        </w:rPr>
        <w:t xml:space="preserve"> </w:t>
      </w:r>
      <w:r w:rsidRPr="00CA2CC1">
        <w:rPr>
          <w:rFonts w:cs="Calibri"/>
          <w:color w:val="414042"/>
        </w:rPr>
        <w:t>relating</w:t>
      </w:r>
      <w:r w:rsidRPr="00CA2CC1">
        <w:rPr>
          <w:rFonts w:cs="Calibri"/>
          <w:color w:val="414042"/>
          <w:spacing w:val="-5"/>
        </w:rPr>
        <w:t xml:space="preserve"> </w:t>
      </w:r>
      <w:r w:rsidRPr="00CA2CC1">
        <w:rPr>
          <w:rFonts w:cs="Calibri"/>
          <w:color w:val="414042"/>
        </w:rPr>
        <w:t>to</w:t>
      </w:r>
      <w:r w:rsidRPr="00CA2CC1">
        <w:rPr>
          <w:rFonts w:cs="Calibri"/>
          <w:color w:val="414042"/>
          <w:spacing w:val="-5"/>
        </w:rPr>
        <w:t xml:space="preserve"> </w:t>
      </w:r>
      <w:r w:rsidRPr="00CA2CC1">
        <w:rPr>
          <w:rFonts w:cs="Calibri"/>
          <w:color w:val="414042"/>
        </w:rPr>
        <w:t>Infrastructure</w:t>
      </w:r>
      <w:r w:rsidRPr="00CA2CC1">
        <w:rPr>
          <w:rFonts w:cs="Calibri"/>
          <w:color w:val="414042"/>
          <w:spacing w:val="-5"/>
        </w:rPr>
        <w:t xml:space="preserve"> </w:t>
      </w:r>
      <w:r w:rsidRPr="00CA2CC1">
        <w:rPr>
          <w:rFonts w:cs="Calibri"/>
          <w:color w:val="414042"/>
        </w:rPr>
        <w:t>Victoria</w:t>
      </w:r>
      <w:r w:rsidRPr="00CA2CC1">
        <w:rPr>
          <w:rFonts w:cs="Calibri"/>
          <w:color w:val="414042"/>
          <w:spacing w:val="-5"/>
        </w:rPr>
        <w:t xml:space="preserve"> </w:t>
      </w:r>
      <w:r w:rsidRPr="00CA2CC1">
        <w:rPr>
          <w:rFonts w:cs="Calibri"/>
          <w:color w:val="414042"/>
        </w:rPr>
        <w:t>as</w:t>
      </w:r>
      <w:r w:rsidRPr="00CA2CC1">
        <w:rPr>
          <w:rFonts w:cs="Calibri"/>
          <w:color w:val="414042"/>
          <w:spacing w:val="-5"/>
        </w:rPr>
        <w:t xml:space="preserve"> </w:t>
      </w:r>
      <w:r w:rsidRPr="00CA2CC1">
        <w:rPr>
          <w:rFonts w:cs="Calibri"/>
          <w:color w:val="414042"/>
        </w:rPr>
        <w:t>at</w:t>
      </w:r>
      <w:r w:rsidRPr="00CA2CC1">
        <w:rPr>
          <w:rFonts w:cs="Calibri"/>
          <w:color w:val="414042"/>
          <w:spacing w:val="-5"/>
        </w:rPr>
        <w:t xml:space="preserve"> </w:t>
      </w:r>
      <w:r w:rsidRPr="00CA2CC1">
        <w:rPr>
          <w:rFonts w:cs="Calibri"/>
          <w:color w:val="414042"/>
        </w:rPr>
        <w:t>30</w:t>
      </w:r>
      <w:r w:rsidRPr="00CA2CC1">
        <w:rPr>
          <w:rFonts w:cs="Calibri"/>
          <w:color w:val="414042"/>
          <w:spacing w:val="-5"/>
        </w:rPr>
        <w:t xml:space="preserve"> </w:t>
      </w:r>
      <w:r w:rsidRPr="00CA2CC1">
        <w:rPr>
          <w:rFonts w:cs="Calibri"/>
          <w:color w:val="414042"/>
        </w:rPr>
        <w:t>June 2023 (30 June 2022: Nil).</w:t>
      </w:r>
      <w:r w:rsidRPr="00CA2CC1">
        <w:rPr>
          <w:rFonts w:cs="Calibri"/>
          <w:color w:val="F68C59"/>
        </w:rPr>
        <w:t xml:space="preserve"> </w:t>
      </w:r>
    </w:p>
    <w:p w14:paraId="5BD9B41C" w14:textId="77777777" w:rsidR="00A648C4" w:rsidRPr="00CA2CC1" w:rsidRDefault="00A648C4" w:rsidP="00A648C4">
      <w:pPr>
        <w:rPr>
          <w:rFonts w:cs="Calibri"/>
          <w:color w:val="F68C59"/>
          <w:szCs w:val="18"/>
        </w:rPr>
      </w:pPr>
      <w:r w:rsidRPr="00CA2CC1">
        <w:rPr>
          <w:rFonts w:cs="Calibri"/>
          <w:color w:val="F68C59"/>
        </w:rPr>
        <w:br w:type="page"/>
      </w:r>
    </w:p>
    <w:p w14:paraId="0ABCC010" w14:textId="77777777" w:rsidR="00A648C4" w:rsidRPr="00CA2CC1" w:rsidRDefault="00A648C4" w:rsidP="0009276E">
      <w:pPr>
        <w:rPr>
          <w:rFonts w:cs="Calibri"/>
        </w:rPr>
        <w:sectPr w:rsidR="00A648C4" w:rsidRPr="00CA2CC1" w:rsidSect="00E941A5">
          <w:type w:val="continuous"/>
          <w:pgSz w:w="11910" w:h="16840"/>
          <w:pgMar w:top="1134" w:right="1278" w:bottom="1134" w:left="1134" w:header="720" w:footer="720" w:gutter="0"/>
          <w:cols w:space="720"/>
        </w:sectPr>
      </w:pPr>
    </w:p>
    <w:p w14:paraId="3D1C827F" w14:textId="77777777" w:rsidR="007E2F9C" w:rsidRPr="00CA2CC1" w:rsidRDefault="007E2F9C" w:rsidP="0009276E">
      <w:pPr>
        <w:pStyle w:val="BodyText"/>
        <w:spacing w:before="118"/>
        <w:rPr>
          <w:rFonts w:cs="Calibri"/>
          <w:color w:val="F68C59"/>
        </w:rPr>
      </w:pPr>
    </w:p>
    <w:p w14:paraId="1AF27E68" w14:textId="69C32A14" w:rsidR="007E2F9C" w:rsidRPr="005B49BC" w:rsidRDefault="007E2F9C" w:rsidP="007E2F9C">
      <w:pPr>
        <w:pStyle w:val="Heading3"/>
        <w:numPr>
          <w:ilvl w:val="0"/>
          <w:numId w:val="15"/>
        </w:numPr>
        <w:spacing w:before="36"/>
        <w:ind w:left="0" w:firstLine="0"/>
        <w:rPr>
          <w:rFonts w:cs="Calibri"/>
          <w:color w:val="000000" w:themeColor="text1"/>
        </w:rPr>
      </w:pPr>
      <w:r w:rsidRPr="005B49BC">
        <w:rPr>
          <w:rFonts w:cs="Calibri"/>
          <w:color w:val="000000" w:themeColor="text1"/>
        </w:rPr>
        <w:t>Other Disclosures</w:t>
      </w:r>
    </w:p>
    <w:p w14:paraId="5BE8A210" w14:textId="5388E298" w:rsidR="00D442AE" w:rsidRPr="005B49BC" w:rsidRDefault="00D442AE" w:rsidP="0043303B">
      <w:pPr>
        <w:pStyle w:val="BodyText"/>
        <w:rPr>
          <w:rFonts w:cs="Calibri"/>
        </w:rPr>
      </w:pPr>
      <w:r w:rsidRPr="005B49BC">
        <w:rPr>
          <w:rFonts w:cs="Calibri"/>
        </w:rPr>
        <w:t>Introduction</w:t>
      </w:r>
    </w:p>
    <w:p w14:paraId="0FE428B8" w14:textId="7CC63B94" w:rsidR="00FA4226" w:rsidRPr="005B49BC" w:rsidRDefault="00000000" w:rsidP="0043303B">
      <w:pPr>
        <w:pStyle w:val="BodyText"/>
        <w:spacing w:before="87"/>
        <w:rPr>
          <w:rFonts w:cs="Calibri"/>
        </w:rPr>
      </w:pPr>
      <w:r w:rsidRPr="005B49BC">
        <w:rPr>
          <w:rFonts w:cs="Calibri"/>
        </w:rPr>
        <w:t>This section includes additional material disclosures required by accounting standards or otherwise, for the understanding of this financial report.</w:t>
      </w:r>
    </w:p>
    <w:p w14:paraId="7B19E406" w14:textId="2B8EC24F" w:rsidR="00D442AE" w:rsidRPr="005B49BC" w:rsidRDefault="00D442AE" w:rsidP="0043303B">
      <w:pPr>
        <w:pStyle w:val="BodyText"/>
        <w:spacing w:before="87"/>
        <w:rPr>
          <w:rFonts w:cs="Calibri"/>
        </w:rPr>
      </w:pPr>
      <w:r w:rsidRPr="005B49BC">
        <w:rPr>
          <w:rFonts w:cs="Calibri"/>
        </w:rPr>
        <w:t>Structure</w:t>
      </w:r>
    </w:p>
    <w:p w14:paraId="5A978805" w14:textId="77777777" w:rsidR="00D442AE" w:rsidRPr="005B49BC" w:rsidRDefault="00D442AE" w:rsidP="0043303B">
      <w:pPr>
        <w:pStyle w:val="ListParagraph"/>
        <w:numPr>
          <w:ilvl w:val="1"/>
          <w:numId w:val="15"/>
        </w:numPr>
        <w:tabs>
          <w:tab w:val="left" w:pos="798"/>
        </w:tabs>
        <w:spacing w:before="64"/>
        <w:ind w:left="0" w:firstLine="0"/>
        <w:rPr>
          <w:rFonts w:cs="Calibri"/>
          <w:szCs w:val="22"/>
        </w:rPr>
      </w:pPr>
      <w:r w:rsidRPr="005B49BC">
        <w:rPr>
          <w:rFonts w:cs="Calibri"/>
          <w:szCs w:val="22"/>
        </w:rPr>
        <w:t>Responsible</w:t>
      </w:r>
      <w:r w:rsidRPr="005B49BC">
        <w:rPr>
          <w:rFonts w:cs="Calibri"/>
          <w:spacing w:val="11"/>
          <w:szCs w:val="22"/>
        </w:rPr>
        <w:t xml:space="preserve"> </w:t>
      </w:r>
      <w:r w:rsidRPr="005B49BC">
        <w:rPr>
          <w:rFonts w:cs="Calibri"/>
          <w:spacing w:val="-2"/>
          <w:szCs w:val="22"/>
        </w:rPr>
        <w:t>persons</w:t>
      </w:r>
    </w:p>
    <w:p w14:paraId="024A027C" w14:textId="77777777" w:rsidR="00D442AE" w:rsidRPr="005B49BC" w:rsidRDefault="00D442AE" w:rsidP="0043303B">
      <w:pPr>
        <w:pStyle w:val="ListParagraph"/>
        <w:numPr>
          <w:ilvl w:val="1"/>
          <w:numId w:val="15"/>
        </w:numPr>
        <w:tabs>
          <w:tab w:val="left" w:pos="818"/>
        </w:tabs>
        <w:spacing w:before="85"/>
        <w:ind w:left="0" w:firstLine="0"/>
        <w:rPr>
          <w:rFonts w:cs="Calibri"/>
          <w:szCs w:val="22"/>
        </w:rPr>
      </w:pPr>
      <w:r w:rsidRPr="005B49BC">
        <w:rPr>
          <w:rFonts w:cs="Calibri"/>
          <w:szCs w:val="22"/>
        </w:rPr>
        <w:t>Remuneration</w:t>
      </w:r>
      <w:r w:rsidRPr="005B49BC">
        <w:rPr>
          <w:rFonts w:cs="Calibri"/>
          <w:spacing w:val="3"/>
          <w:szCs w:val="22"/>
        </w:rPr>
        <w:t xml:space="preserve"> </w:t>
      </w:r>
      <w:r w:rsidRPr="005B49BC">
        <w:rPr>
          <w:rFonts w:cs="Calibri"/>
          <w:szCs w:val="22"/>
        </w:rPr>
        <w:t>of</w:t>
      </w:r>
      <w:r w:rsidRPr="005B49BC">
        <w:rPr>
          <w:rFonts w:cs="Calibri"/>
          <w:spacing w:val="6"/>
          <w:szCs w:val="22"/>
        </w:rPr>
        <w:t xml:space="preserve"> </w:t>
      </w:r>
      <w:r w:rsidRPr="005B49BC">
        <w:rPr>
          <w:rFonts w:cs="Calibri"/>
          <w:spacing w:val="-2"/>
          <w:szCs w:val="22"/>
        </w:rPr>
        <w:t>executives</w:t>
      </w:r>
    </w:p>
    <w:p w14:paraId="6C4DFA47" w14:textId="77777777" w:rsidR="00D442AE" w:rsidRPr="005B49BC" w:rsidRDefault="00D442AE" w:rsidP="0043303B">
      <w:pPr>
        <w:pStyle w:val="ListParagraph"/>
        <w:numPr>
          <w:ilvl w:val="1"/>
          <w:numId w:val="15"/>
        </w:numPr>
        <w:tabs>
          <w:tab w:val="left" w:pos="816"/>
        </w:tabs>
        <w:spacing w:before="85"/>
        <w:ind w:left="0" w:firstLine="0"/>
        <w:rPr>
          <w:rFonts w:cs="Calibri"/>
          <w:szCs w:val="22"/>
        </w:rPr>
      </w:pPr>
      <w:r w:rsidRPr="005B49BC">
        <w:rPr>
          <w:rFonts w:cs="Calibri"/>
          <w:szCs w:val="22"/>
        </w:rPr>
        <w:t>Related</w:t>
      </w:r>
      <w:r w:rsidRPr="005B49BC">
        <w:rPr>
          <w:rFonts w:cs="Calibri"/>
          <w:spacing w:val="3"/>
          <w:szCs w:val="22"/>
        </w:rPr>
        <w:t xml:space="preserve"> </w:t>
      </w:r>
      <w:r w:rsidRPr="005B49BC">
        <w:rPr>
          <w:rFonts w:cs="Calibri"/>
          <w:spacing w:val="-2"/>
          <w:szCs w:val="22"/>
        </w:rPr>
        <w:t>parties</w:t>
      </w:r>
    </w:p>
    <w:p w14:paraId="06876E95" w14:textId="77777777" w:rsidR="00D442AE" w:rsidRPr="005B49BC" w:rsidRDefault="00D442AE" w:rsidP="0043303B">
      <w:pPr>
        <w:pStyle w:val="ListParagraph"/>
        <w:numPr>
          <w:ilvl w:val="1"/>
          <w:numId w:val="15"/>
        </w:numPr>
        <w:tabs>
          <w:tab w:val="left" w:pos="813"/>
        </w:tabs>
        <w:spacing w:before="84"/>
        <w:ind w:left="0" w:firstLine="0"/>
        <w:rPr>
          <w:rFonts w:cs="Calibri"/>
          <w:szCs w:val="22"/>
        </w:rPr>
      </w:pPr>
      <w:r w:rsidRPr="005B49BC">
        <w:rPr>
          <w:rFonts w:cs="Calibri"/>
          <w:szCs w:val="22"/>
        </w:rPr>
        <w:t>Remuneration</w:t>
      </w:r>
      <w:r w:rsidRPr="005B49BC">
        <w:rPr>
          <w:rFonts w:cs="Calibri"/>
          <w:spacing w:val="3"/>
          <w:szCs w:val="22"/>
        </w:rPr>
        <w:t xml:space="preserve"> </w:t>
      </w:r>
      <w:r w:rsidRPr="005B49BC">
        <w:rPr>
          <w:rFonts w:cs="Calibri"/>
          <w:szCs w:val="22"/>
        </w:rPr>
        <w:t>of</w:t>
      </w:r>
      <w:r w:rsidRPr="005B49BC">
        <w:rPr>
          <w:rFonts w:cs="Calibri"/>
          <w:spacing w:val="6"/>
          <w:szCs w:val="22"/>
        </w:rPr>
        <w:t xml:space="preserve"> </w:t>
      </w:r>
      <w:r w:rsidRPr="005B49BC">
        <w:rPr>
          <w:rFonts w:cs="Calibri"/>
          <w:spacing w:val="-2"/>
          <w:szCs w:val="22"/>
        </w:rPr>
        <w:t>auditors</w:t>
      </w:r>
    </w:p>
    <w:p w14:paraId="14AA0D0B" w14:textId="77777777" w:rsidR="00D442AE" w:rsidRPr="005B49BC" w:rsidRDefault="00D442AE" w:rsidP="0043303B">
      <w:pPr>
        <w:pStyle w:val="ListParagraph"/>
        <w:numPr>
          <w:ilvl w:val="1"/>
          <w:numId w:val="15"/>
        </w:numPr>
        <w:tabs>
          <w:tab w:val="left" w:pos="816"/>
        </w:tabs>
        <w:spacing w:before="85"/>
        <w:ind w:left="0" w:firstLine="0"/>
        <w:rPr>
          <w:rFonts w:cs="Calibri"/>
          <w:szCs w:val="22"/>
        </w:rPr>
      </w:pPr>
      <w:r w:rsidRPr="005B49BC">
        <w:rPr>
          <w:rFonts w:cs="Calibri"/>
          <w:szCs w:val="22"/>
        </w:rPr>
        <w:t>Correction</w:t>
      </w:r>
      <w:r w:rsidRPr="005B49BC">
        <w:rPr>
          <w:rFonts w:cs="Calibri"/>
          <w:spacing w:val="3"/>
          <w:szCs w:val="22"/>
        </w:rPr>
        <w:t xml:space="preserve"> </w:t>
      </w:r>
      <w:r w:rsidRPr="005B49BC">
        <w:rPr>
          <w:rFonts w:cs="Calibri"/>
          <w:szCs w:val="22"/>
        </w:rPr>
        <w:t>of</w:t>
      </w:r>
      <w:r w:rsidRPr="005B49BC">
        <w:rPr>
          <w:rFonts w:cs="Calibri"/>
          <w:spacing w:val="5"/>
          <w:szCs w:val="22"/>
        </w:rPr>
        <w:t xml:space="preserve"> </w:t>
      </w:r>
      <w:r w:rsidRPr="005B49BC">
        <w:rPr>
          <w:rFonts w:cs="Calibri"/>
          <w:szCs w:val="22"/>
        </w:rPr>
        <w:t>prior</w:t>
      </w:r>
      <w:r w:rsidRPr="005B49BC">
        <w:rPr>
          <w:rFonts w:cs="Calibri"/>
          <w:spacing w:val="5"/>
          <w:szCs w:val="22"/>
        </w:rPr>
        <w:t xml:space="preserve"> </w:t>
      </w:r>
      <w:r w:rsidRPr="005B49BC">
        <w:rPr>
          <w:rFonts w:cs="Calibri"/>
          <w:szCs w:val="22"/>
        </w:rPr>
        <w:t>period</w:t>
      </w:r>
      <w:r w:rsidRPr="005B49BC">
        <w:rPr>
          <w:rFonts w:cs="Calibri"/>
          <w:spacing w:val="6"/>
          <w:szCs w:val="22"/>
        </w:rPr>
        <w:t xml:space="preserve"> </w:t>
      </w:r>
      <w:r w:rsidRPr="005B49BC">
        <w:rPr>
          <w:rFonts w:cs="Calibri"/>
          <w:spacing w:val="-2"/>
          <w:szCs w:val="22"/>
        </w:rPr>
        <w:t>errors</w:t>
      </w:r>
    </w:p>
    <w:p w14:paraId="5AC31A57" w14:textId="77777777" w:rsidR="00D442AE" w:rsidRPr="005B49BC" w:rsidRDefault="00D442AE" w:rsidP="0043303B">
      <w:pPr>
        <w:pStyle w:val="ListParagraph"/>
        <w:numPr>
          <w:ilvl w:val="1"/>
          <w:numId w:val="15"/>
        </w:numPr>
        <w:tabs>
          <w:tab w:val="left" w:pos="814"/>
        </w:tabs>
        <w:spacing w:before="85"/>
        <w:ind w:left="0" w:firstLine="0"/>
        <w:rPr>
          <w:rFonts w:cs="Calibri"/>
          <w:szCs w:val="22"/>
        </w:rPr>
      </w:pPr>
      <w:r w:rsidRPr="005B49BC">
        <w:rPr>
          <w:rFonts w:cs="Calibri"/>
          <w:szCs w:val="22"/>
        </w:rPr>
        <w:t>Changes</w:t>
      </w:r>
      <w:r w:rsidRPr="005B49BC">
        <w:rPr>
          <w:rFonts w:cs="Calibri"/>
          <w:spacing w:val="7"/>
          <w:szCs w:val="22"/>
        </w:rPr>
        <w:t xml:space="preserve"> </w:t>
      </w:r>
      <w:r w:rsidRPr="005B49BC">
        <w:rPr>
          <w:rFonts w:cs="Calibri"/>
          <w:szCs w:val="22"/>
        </w:rPr>
        <w:t>in</w:t>
      </w:r>
      <w:r w:rsidRPr="005B49BC">
        <w:rPr>
          <w:rFonts w:cs="Calibri"/>
          <w:spacing w:val="7"/>
          <w:szCs w:val="22"/>
        </w:rPr>
        <w:t xml:space="preserve"> </w:t>
      </w:r>
      <w:r w:rsidRPr="005B49BC">
        <w:rPr>
          <w:rFonts w:cs="Calibri"/>
          <w:szCs w:val="22"/>
        </w:rPr>
        <w:t>accounting</w:t>
      </w:r>
      <w:r w:rsidRPr="005B49BC">
        <w:rPr>
          <w:rFonts w:cs="Calibri"/>
          <w:spacing w:val="7"/>
          <w:szCs w:val="22"/>
        </w:rPr>
        <w:t xml:space="preserve"> </w:t>
      </w:r>
      <w:r w:rsidRPr="005B49BC">
        <w:rPr>
          <w:rFonts w:cs="Calibri"/>
          <w:spacing w:val="-2"/>
          <w:szCs w:val="22"/>
        </w:rPr>
        <w:t>policy</w:t>
      </w:r>
    </w:p>
    <w:p w14:paraId="09D6500E" w14:textId="77777777" w:rsidR="00D442AE" w:rsidRPr="005B49BC" w:rsidRDefault="00D442AE" w:rsidP="0043303B">
      <w:pPr>
        <w:pStyle w:val="ListParagraph"/>
        <w:numPr>
          <w:ilvl w:val="1"/>
          <w:numId w:val="15"/>
        </w:numPr>
        <w:tabs>
          <w:tab w:val="left" w:pos="808"/>
          <w:tab w:val="left" w:pos="810"/>
        </w:tabs>
        <w:spacing w:before="108"/>
        <w:ind w:left="0" w:firstLine="0"/>
        <w:rPr>
          <w:rFonts w:cs="Calibri"/>
          <w:szCs w:val="22"/>
        </w:rPr>
      </w:pPr>
      <w:r w:rsidRPr="005B49BC">
        <w:rPr>
          <w:rFonts w:cs="Calibri"/>
          <w:szCs w:val="22"/>
        </w:rPr>
        <w:t>Australian Accounting Standards issued but not yet effective</w:t>
      </w:r>
    </w:p>
    <w:p w14:paraId="7DC9D165" w14:textId="77777777" w:rsidR="00D442AE" w:rsidRPr="005B49BC" w:rsidRDefault="00D442AE" w:rsidP="0043303B">
      <w:pPr>
        <w:pStyle w:val="ListParagraph"/>
        <w:numPr>
          <w:ilvl w:val="1"/>
          <w:numId w:val="15"/>
        </w:numPr>
        <w:tabs>
          <w:tab w:val="left" w:pos="816"/>
        </w:tabs>
        <w:spacing w:before="88"/>
        <w:ind w:left="0" w:firstLine="0"/>
        <w:rPr>
          <w:rFonts w:cs="Calibri"/>
          <w:szCs w:val="22"/>
        </w:rPr>
      </w:pPr>
      <w:r w:rsidRPr="005B49BC">
        <w:rPr>
          <w:rFonts w:cs="Calibri"/>
          <w:szCs w:val="22"/>
        </w:rPr>
        <w:t>Subsequent</w:t>
      </w:r>
      <w:r w:rsidRPr="005B49BC">
        <w:rPr>
          <w:rFonts w:cs="Calibri"/>
          <w:spacing w:val="9"/>
          <w:szCs w:val="22"/>
        </w:rPr>
        <w:t xml:space="preserve"> </w:t>
      </w:r>
      <w:r w:rsidRPr="005B49BC">
        <w:rPr>
          <w:rFonts w:cs="Calibri"/>
          <w:spacing w:val="-2"/>
          <w:szCs w:val="22"/>
        </w:rPr>
        <w:t>events</w:t>
      </w:r>
    </w:p>
    <w:p w14:paraId="3B38E614" w14:textId="77777777" w:rsidR="00D442AE" w:rsidRPr="005B49BC" w:rsidRDefault="00D442AE" w:rsidP="0043303B">
      <w:pPr>
        <w:pStyle w:val="BodyText"/>
        <w:spacing w:before="87"/>
        <w:rPr>
          <w:rFonts w:cs="Calibri"/>
        </w:rPr>
      </w:pPr>
    </w:p>
    <w:p w14:paraId="2460EF8A" w14:textId="77777777" w:rsidR="00FA4226" w:rsidRPr="005B49BC" w:rsidRDefault="00000000" w:rsidP="0043303B">
      <w:pPr>
        <w:pStyle w:val="Heading7"/>
        <w:numPr>
          <w:ilvl w:val="1"/>
          <w:numId w:val="4"/>
        </w:numPr>
        <w:spacing w:before="60"/>
        <w:ind w:left="0" w:firstLine="0"/>
        <w:jc w:val="left"/>
        <w:rPr>
          <w:rFonts w:cs="Calibri"/>
          <w:color w:val="000000" w:themeColor="text1"/>
        </w:rPr>
      </w:pPr>
      <w:r w:rsidRPr="005B49BC">
        <w:rPr>
          <w:rFonts w:cs="Calibri"/>
          <w:color w:val="000000" w:themeColor="text1"/>
        </w:rPr>
        <w:t>Responsible</w:t>
      </w:r>
      <w:r w:rsidRPr="005B49BC">
        <w:rPr>
          <w:rFonts w:cs="Calibri"/>
          <w:color w:val="000000" w:themeColor="text1"/>
          <w:spacing w:val="-2"/>
        </w:rPr>
        <w:t xml:space="preserve"> persons</w:t>
      </w:r>
    </w:p>
    <w:p w14:paraId="35D23CC7" w14:textId="77777777" w:rsidR="00FA4226" w:rsidRPr="005B49BC" w:rsidRDefault="00000000" w:rsidP="0043303B">
      <w:pPr>
        <w:pStyle w:val="BodyText"/>
        <w:spacing w:before="112"/>
        <w:rPr>
          <w:rFonts w:cs="Calibri"/>
        </w:rPr>
      </w:pPr>
      <w:r w:rsidRPr="005B49BC">
        <w:rPr>
          <w:rFonts w:cs="Calibri"/>
        </w:rPr>
        <w:t>The persons who held the positions of Minister and Accountable</w:t>
      </w:r>
      <w:r w:rsidRPr="005B49BC">
        <w:rPr>
          <w:rFonts w:cs="Calibri"/>
          <w:spacing w:val="-6"/>
        </w:rPr>
        <w:t xml:space="preserve"> </w:t>
      </w:r>
      <w:r w:rsidRPr="005B49BC">
        <w:rPr>
          <w:rFonts w:cs="Calibri"/>
        </w:rPr>
        <w:t>Officer</w:t>
      </w:r>
      <w:r w:rsidRPr="005B49BC">
        <w:rPr>
          <w:rFonts w:cs="Calibri"/>
          <w:spacing w:val="-6"/>
        </w:rPr>
        <w:t xml:space="preserve"> </w:t>
      </w:r>
      <w:r w:rsidRPr="005B49BC">
        <w:rPr>
          <w:rFonts w:cs="Calibri"/>
        </w:rPr>
        <w:t>in</w:t>
      </w:r>
      <w:r w:rsidRPr="005B49BC">
        <w:rPr>
          <w:rFonts w:cs="Calibri"/>
          <w:spacing w:val="-6"/>
        </w:rPr>
        <w:t xml:space="preserve"> </w:t>
      </w:r>
      <w:r w:rsidRPr="005B49BC">
        <w:rPr>
          <w:rFonts w:cs="Calibri"/>
        </w:rPr>
        <w:t>Infrastructure</w:t>
      </w:r>
      <w:r w:rsidRPr="005B49BC">
        <w:rPr>
          <w:rFonts w:cs="Calibri"/>
          <w:spacing w:val="-6"/>
        </w:rPr>
        <w:t xml:space="preserve"> </w:t>
      </w:r>
      <w:r w:rsidRPr="005B49BC">
        <w:rPr>
          <w:rFonts w:cs="Calibri"/>
        </w:rPr>
        <w:t>Victoria</w:t>
      </w:r>
      <w:r w:rsidRPr="005B49BC">
        <w:rPr>
          <w:rFonts w:cs="Calibri"/>
          <w:spacing w:val="-6"/>
        </w:rPr>
        <w:t xml:space="preserve"> </w:t>
      </w:r>
      <w:r w:rsidRPr="005B49BC">
        <w:rPr>
          <w:rFonts w:cs="Calibri"/>
        </w:rPr>
        <w:t>(from</w:t>
      </w:r>
      <w:r w:rsidRPr="005B49BC">
        <w:rPr>
          <w:rFonts w:cs="Calibri"/>
          <w:spacing w:val="-6"/>
        </w:rPr>
        <w:t xml:space="preserve"> </w:t>
      </w:r>
      <w:r w:rsidRPr="005B49BC">
        <w:rPr>
          <w:rFonts w:cs="Calibri"/>
        </w:rPr>
        <w:t>1</w:t>
      </w:r>
      <w:r w:rsidRPr="005B49BC">
        <w:rPr>
          <w:rFonts w:cs="Calibri"/>
          <w:spacing w:val="-6"/>
        </w:rPr>
        <w:t xml:space="preserve"> </w:t>
      </w:r>
      <w:r w:rsidRPr="005B49BC">
        <w:rPr>
          <w:rFonts w:cs="Calibri"/>
        </w:rPr>
        <w:t>July 2022 to 30 June 2023) were:</w:t>
      </w:r>
    </w:p>
    <w:p w14:paraId="59E3482A" w14:textId="43DAC0BF" w:rsidR="00AC69A6" w:rsidRPr="005B49BC" w:rsidRDefault="00AC69A6" w:rsidP="00AC69A6">
      <w:pPr>
        <w:pStyle w:val="BodyText"/>
        <w:rPr>
          <w:rFonts w:cs="Calibri"/>
        </w:rPr>
      </w:pPr>
      <w:r w:rsidRPr="005B49BC">
        <w:rPr>
          <w:rFonts w:cs="Calibri"/>
        </w:rPr>
        <w:t>Treasurer: Tim Pallas MP</w:t>
      </w:r>
    </w:p>
    <w:p w14:paraId="5D72683F" w14:textId="570EFBA1" w:rsidR="00FA4226" w:rsidRPr="005B49BC" w:rsidRDefault="00AC69A6" w:rsidP="00AC69A6">
      <w:pPr>
        <w:pStyle w:val="BodyText"/>
        <w:rPr>
          <w:rFonts w:cs="Calibri"/>
        </w:rPr>
      </w:pPr>
      <w:r w:rsidRPr="005B49BC">
        <w:rPr>
          <w:rFonts w:cs="Calibri"/>
        </w:rPr>
        <w:t>Chief Executive Officer: Jonathan Spear</w:t>
      </w:r>
    </w:p>
    <w:p w14:paraId="09161D72" w14:textId="77777777" w:rsidR="00FA4226" w:rsidRPr="005B49BC" w:rsidRDefault="00FA4226" w:rsidP="0043303B">
      <w:pPr>
        <w:pStyle w:val="BodyText"/>
        <w:spacing w:before="9"/>
        <w:rPr>
          <w:rFonts w:cs="Calibri"/>
          <w:sz w:val="5"/>
        </w:rPr>
      </w:pPr>
    </w:p>
    <w:p w14:paraId="307448C0" w14:textId="77777777" w:rsidR="00FA4226" w:rsidRPr="005B49BC" w:rsidRDefault="00000000" w:rsidP="0043303B">
      <w:pPr>
        <w:pStyle w:val="BodyText"/>
        <w:spacing w:before="70"/>
        <w:jc w:val="both"/>
        <w:rPr>
          <w:rFonts w:cs="Calibri"/>
        </w:rPr>
      </w:pPr>
      <w:r w:rsidRPr="005B49BC">
        <w:rPr>
          <w:rFonts w:cs="Calibri"/>
        </w:rPr>
        <w:t>The</w:t>
      </w:r>
      <w:r w:rsidRPr="005B49BC">
        <w:rPr>
          <w:rFonts w:cs="Calibri"/>
          <w:spacing w:val="-9"/>
        </w:rPr>
        <w:t xml:space="preserve"> </w:t>
      </w:r>
      <w:r w:rsidRPr="005B49BC">
        <w:rPr>
          <w:rFonts w:cs="Calibri"/>
        </w:rPr>
        <w:t>Hon.</w:t>
      </w:r>
      <w:r w:rsidRPr="005B49BC">
        <w:rPr>
          <w:rFonts w:cs="Calibri"/>
          <w:spacing w:val="-9"/>
        </w:rPr>
        <w:t xml:space="preserve"> </w:t>
      </w:r>
      <w:r w:rsidRPr="005B49BC">
        <w:rPr>
          <w:rFonts w:cs="Calibri"/>
        </w:rPr>
        <w:t>Ben</w:t>
      </w:r>
      <w:r w:rsidRPr="005B49BC">
        <w:rPr>
          <w:rFonts w:cs="Calibri"/>
          <w:spacing w:val="-9"/>
        </w:rPr>
        <w:t xml:space="preserve"> </w:t>
      </w:r>
      <w:r w:rsidRPr="005B49BC">
        <w:rPr>
          <w:rFonts w:cs="Calibri"/>
        </w:rPr>
        <w:t>Carroll</w:t>
      </w:r>
      <w:r w:rsidRPr="005B49BC">
        <w:rPr>
          <w:rFonts w:cs="Calibri"/>
          <w:spacing w:val="-9"/>
        </w:rPr>
        <w:t xml:space="preserve"> </w:t>
      </w:r>
      <w:r w:rsidRPr="005B49BC">
        <w:rPr>
          <w:rFonts w:cs="Calibri"/>
        </w:rPr>
        <w:t>MP,</w:t>
      </w:r>
      <w:r w:rsidRPr="005B49BC">
        <w:rPr>
          <w:rFonts w:cs="Calibri"/>
          <w:spacing w:val="-9"/>
        </w:rPr>
        <w:t xml:space="preserve"> </w:t>
      </w:r>
      <w:r w:rsidRPr="005B49BC">
        <w:rPr>
          <w:rFonts w:cs="Calibri"/>
        </w:rPr>
        <w:t>Hon.</w:t>
      </w:r>
      <w:r w:rsidRPr="005B49BC">
        <w:rPr>
          <w:rFonts w:cs="Calibri"/>
          <w:spacing w:val="-9"/>
        </w:rPr>
        <w:t xml:space="preserve"> </w:t>
      </w:r>
      <w:r w:rsidRPr="005B49BC">
        <w:rPr>
          <w:rFonts w:cs="Calibri"/>
        </w:rPr>
        <w:t>Danny</w:t>
      </w:r>
      <w:r w:rsidRPr="005B49BC">
        <w:rPr>
          <w:rFonts w:cs="Calibri"/>
          <w:spacing w:val="-9"/>
        </w:rPr>
        <w:t xml:space="preserve"> </w:t>
      </w:r>
      <w:r w:rsidRPr="005B49BC">
        <w:rPr>
          <w:rFonts w:cs="Calibri"/>
        </w:rPr>
        <w:t>Pearson</w:t>
      </w:r>
      <w:r w:rsidRPr="005B49BC">
        <w:rPr>
          <w:rFonts w:cs="Calibri"/>
          <w:spacing w:val="-9"/>
        </w:rPr>
        <w:t xml:space="preserve"> </w:t>
      </w:r>
      <w:r w:rsidRPr="005B49BC">
        <w:rPr>
          <w:rFonts w:cs="Calibri"/>
        </w:rPr>
        <w:t>MP,</w:t>
      </w:r>
      <w:r w:rsidRPr="005B49BC">
        <w:rPr>
          <w:rFonts w:cs="Calibri"/>
          <w:spacing w:val="-9"/>
        </w:rPr>
        <w:t xml:space="preserve"> </w:t>
      </w:r>
      <w:r w:rsidRPr="005B49BC">
        <w:rPr>
          <w:rFonts w:cs="Calibri"/>
        </w:rPr>
        <w:t>Hon. Daniel</w:t>
      </w:r>
      <w:r w:rsidRPr="005B49BC">
        <w:rPr>
          <w:rFonts w:cs="Calibri"/>
          <w:spacing w:val="-7"/>
        </w:rPr>
        <w:t xml:space="preserve"> </w:t>
      </w:r>
      <w:r w:rsidRPr="005B49BC">
        <w:rPr>
          <w:rFonts w:cs="Calibri"/>
        </w:rPr>
        <w:t>Andrews</w:t>
      </w:r>
      <w:r w:rsidRPr="005B49BC">
        <w:rPr>
          <w:rFonts w:cs="Calibri"/>
          <w:spacing w:val="-7"/>
        </w:rPr>
        <w:t xml:space="preserve"> </w:t>
      </w:r>
      <w:r w:rsidRPr="005B49BC">
        <w:rPr>
          <w:rFonts w:cs="Calibri"/>
        </w:rPr>
        <w:t>MP,</w:t>
      </w:r>
      <w:r w:rsidRPr="005B49BC">
        <w:rPr>
          <w:rFonts w:cs="Calibri"/>
          <w:spacing w:val="-7"/>
        </w:rPr>
        <w:t xml:space="preserve"> </w:t>
      </w:r>
      <w:r w:rsidRPr="005B49BC">
        <w:rPr>
          <w:rFonts w:cs="Calibri"/>
        </w:rPr>
        <w:t>and</w:t>
      </w:r>
      <w:r w:rsidRPr="005B49BC">
        <w:rPr>
          <w:rFonts w:cs="Calibri"/>
          <w:spacing w:val="-7"/>
        </w:rPr>
        <w:t xml:space="preserve"> </w:t>
      </w:r>
      <w:r w:rsidRPr="005B49BC">
        <w:rPr>
          <w:rFonts w:cs="Calibri"/>
        </w:rPr>
        <w:t>Hon.</w:t>
      </w:r>
      <w:r w:rsidRPr="005B49BC">
        <w:rPr>
          <w:rFonts w:cs="Calibri"/>
          <w:spacing w:val="-7"/>
        </w:rPr>
        <w:t xml:space="preserve"> </w:t>
      </w:r>
      <w:r w:rsidRPr="005B49BC">
        <w:rPr>
          <w:rFonts w:cs="Calibri"/>
        </w:rPr>
        <w:t>Jacinta</w:t>
      </w:r>
      <w:r w:rsidRPr="005B49BC">
        <w:rPr>
          <w:rFonts w:cs="Calibri"/>
          <w:spacing w:val="-7"/>
        </w:rPr>
        <w:t xml:space="preserve"> </w:t>
      </w:r>
      <w:r w:rsidRPr="005B49BC">
        <w:rPr>
          <w:rFonts w:cs="Calibri"/>
        </w:rPr>
        <w:t>Allan</w:t>
      </w:r>
      <w:r w:rsidRPr="005B49BC">
        <w:rPr>
          <w:rFonts w:cs="Calibri"/>
          <w:spacing w:val="-7"/>
        </w:rPr>
        <w:t xml:space="preserve"> </w:t>
      </w:r>
      <w:r w:rsidRPr="005B49BC">
        <w:rPr>
          <w:rFonts w:cs="Calibri"/>
        </w:rPr>
        <w:t>MP</w:t>
      </w:r>
      <w:r w:rsidRPr="005B49BC">
        <w:rPr>
          <w:rFonts w:cs="Calibri"/>
          <w:spacing w:val="-7"/>
        </w:rPr>
        <w:t xml:space="preserve"> </w:t>
      </w:r>
      <w:r w:rsidRPr="005B49BC">
        <w:rPr>
          <w:rFonts w:cs="Calibri"/>
        </w:rPr>
        <w:t>acted</w:t>
      </w:r>
      <w:r w:rsidRPr="005B49BC">
        <w:rPr>
          <w:rFonts w:cs="Calibri"/>
          <w:spacing w:val="-7"/>
        </w:rPr>
        <w:t xml:space="preserve"> </w:t>
      </w:r>
      <w:r w:rsidRPr="005B49BC">
        <w:rPr>
          <w:rFonts w:cs="Calibri"/>
        </w:rPr>
        <w:t>for the Treasurer in the absences of Tim Pallas MP.</w:t>
      </w:r>
    </w:p>
    <w:p w14:paraId="7817B946" w14:textId="77777777" w:rsidR="00FA4226" w:rsidRPr="005B49BC" w:rsidRDefault="00000000" w:rsidP="0043303B">
      <w:pPr>
        <w:pStyle w:val="BodyText"/>
        <w:spacing w:before="117"/>
        <w:rPr>
          <w:rFonts w:cs="Calibri"/>
        </w:rPr>
      </w:pPr>
      <w:r w:rsidRPr="005B49BC">
        <w:rPr>
          <w:rFonts w:cs="Calibri"/>
        </w:rPr>
        <w:t>Remuneration received or receivable by the Accountable Officer,</w:t>
      </w:r>
      <w:r w:rsidRPr="005B49BC">
        <w:rPr>
          <w:rFonts w:cs="Calibri"/>
          <w:spacing w:val="-8"/>
        </w:rPr>
        <w:t xml:space="preserve"> </w:t>
      </w:r>
      <w:r w:rsidRPr="005B49BC">
        <w:rPr>
          <w:rFonts w:cs="Calibri"/>
        </w:rPr>
        <w:t>in</w:t>
      </w:r>
      <w:r w:rsidRPr="005B49BC">
        <w:rPr>
          <w:rFonts w:cs="Calibri"/>
          <w:spacing w:val="-8"/>
        </w:rPr>
        <w:t xml:space="preserve"> </w:t>
      </w:r>
      <w:r w:rsidRPr="005B49BC">
        <w:rPr>
          <w:rFonts w:cs="Calibri"/>
        </w:rPr>
        <w:t>connection</w:t>
      </w:r>
      <w:r w:rsidRPr="005B49BC">
        <w:rPr>
          <w:rFonts w:cs="Calibri"/>
          <w:spacing w:val="-8"/>
        </w:rPr>
        <w:t xml:space="preserve"> </w:t>
      </w:r>
      <w:r w:rsidRPr="005B49BC">
        <w:rPr>
          <w:rFonts w:cs="Calibri"/>
        </w:rPr>
        <w:t>with</w:t>
      </w:r>
      <w:r w:rsidRPr="005B49BC">
        <w:rPr>
          <w:rFonts w:cs="Calibri"/>
          <w:spacing w:val="-8"/>
        </w:rPr>
        <w:t xml:space="preserve"> </w:t>
      </w:r>
      <w:r w:rsidRPr="005B49BC">
        <w:rPr>
          <w:rFonts w:cs="Calibri"/>
        </w:rPr>
        <w:t>the</w:t>
      </w:r>
      <w:r w:rsidRPr="005B49BC">
        <w:rPr>
          <w:rFonts w:cs="Calibri"/>
          <w:spacing w:val="-8"/>
        </w:rPr>
        <w:t xml:space="preserve"> </w:t>
      </w:r>
      <w:r w:rsidRPr="005B49BC">
        <w:rPr>
          <w:rFonts w:cs="Calibri"/>
        </w:rPr>
        <w:t>management</w:t>
      </w:r>
      <w:r w:rsidRPr="005B49BC">
        <w:rPr>
          <w:rFonts w:cs="Calibri"/>
          <w:spacing w:val="-8"/>
        </w:rPr>
        <w:t xml:space="preserve"> </w:t>
      </w:r>
      <w:r w:rsidRPr="005B49BC">
        <w:rPr>
          <w:rFonts w:cs="Calibri"/>
        </w:rPr>
        <w:t>of</w:t>
      </w:r>
      <w:r w:rsidRPr="005B49BC">
        <w:rPr>
          <w:rFonts w:cs="Calibri"/>
          <w:spacing w:val="-8"/>
        </w:rPr>
        <w:t xml:space="preserve"> </w:t>
      </w:r>
      <w:r w:rsidRPr="005B49BC">
        <w:rPr>
          <w:rFonts w:cs="Calibri"/>
        </w:rPr>
        <w:t>Infrastructure Victoria during the reporting period was in the range:</w:t>
      </w:r>
    </w:p>
    <w:p w14:paraId="412BB63B" w14:textId="77777777" w:rsidR="00FA4226" w:rsidRPr="005B49BC" w:rsidRDefault="00000000" w:rsidP="0043303B">
      <w:pPr>
        <w:pStyle w:val="BodyText"/>
        <w:rPr>
          <w:rFonts w:cs="Calibri"/>
        </w:rPr>
      </w:pPr>
      <w:r w:rsidRPr="005B49BC">
        <w:rPr>
          <w:rFonts w:cs="Calibri"/>
        </w:rPr>
        <w:t>$550,000-$559,999 (2021-22: $510,000-</w:t>
      </w:r>
      <w:r w:rsidRPr="005B49BC">
        <w:rPr>
          <w:rFonts w:cs="Calibri"/>
          <w:spacing w:val="-2"/>
        </w:rPr>
        <w:t>$519,999).</w:t>
      </w:r>
    </w:p>
    <w:p w14:paraId="4265A161" w14:textId="77777777" w:rsidR="00FA4226" w:rsidRPr="005B49BC" w:rsidRDefault="00FA4226" w:rsidP="0043303B">
      <w:pPr>
        <w:pStyle w:val="BodyText"/>
        <w:spacing w:before="8"/>
        <w:rPr>
          <w:rFonts w:cs="Calibri"/>
        </w:rPr>
      </w:pPr>
    </w:p>
    <w:p w14:paraId="4FECCCF8" w14:textId="77777777" w:rsidR="00FA4226" w:rsidRPr="005B49BC" w:rsidRDefault="00FA4226" w:rsidP="0043303B">
      <w:pPr>
        <w:rPr>
          <w:rFonts w:cs="Calibri"/>
          <w:color w:val="000000" w:themeColor="text1"/>
        </w:rPr>
        <w:sectPr w:rsidR="00FA4226" w:rsidRPr="005B49BC" w:rsidSect="00E941A5">
          <w:pgSz w:w="11910" w:h="16840"/>
          <w:pgMar w:top="1134" w:right="1278" w:bottom="1134" w:left="1134" w:header="720" w:footer="720" w:gutter="0"/>
          <w:cols w:space="720"/>
        </w:sectPr>
      </w:pPr>
    </w:p>
    <w:p w14:paraId="4A8031EA" w14:textId="77777777" w:rsidR="00FA4226" w:rsidRPr="005B49BC" w:rsidRDefault="00000000" w:rsidP="0043303B">
      <w:pPr>
        <w:pStyle w:val="Heading7"/>
        <w:numPr>
          <w:ilvl w:val="1"/>
          <w:numId w:val="4"/>
        </w:numPr>
        <w:spacing w:before="60"/>
        <w:ind w:left="0" w:firstLine="0"/>
        <w:jc w:val="left"/>
        <w:rPr>
          <w:rFonts w:cs="Calibri"/>
          <w:color w:val="000000" w:themeColor="text1"/>
        </w:rPr>
      </w:pPr>
      <w:r w:rsidRPr="005B49BC">
        <w:rPr>
          <w:rFonts w:cs="Calibri"/>
          <w:color w:val="000000" w:themeColor="text1"/>
        </w:rPr>
        <w:t xml:space="preserve">Remuneration of </w:t>
      </w:r>
      <w:r w:rsidRPr="005B49BC">
        <w:rPr>
          <w:rFonts w:cs="Calibri"/>
          <w:color w:val="000000" w:themeColor="text1"/>
          <w:spacing w:val="-2"/>
        </w:rPr>
        <w:t>executives</w:t>
      </w:r>
    </w:p>
    <w:p w14:paraId="3307C675" w14:textId="77777777" w:rsidR="00FA4226" w:rsidRPr="00CA2CC1" w:rsidRDefault="00000000" w:rsidP="0043303B">
      <w:pPr>
        <w:pStyle w:val="BodyText"/>
        <w:spacing w:before="112"/>
        <w:rPr>
          <w:rFonts w:cs="Calibri"/>
        </w:rPr>
      </w:pPr>
      <w:r w:rsidRPr="00CA2CC1">
        <w:rPr>
          <w:rFonts w:cs="Calibri"/>
          <w:color w:val="414042"/>
        </w:rPr>
        <w:t>The number of executive officers, other than Ministers and Accountable Officers, and their total remuneration during the reporting period are shown in the table below. Total annualised employee equivalents provide a measure of full time</w:t>
      </w:r>
      <w:r w:rsidRPr="00CA2CC1">
        <w:rPr>
          <w:rFonts w:cs="Calibri"/>
          <w:color w:val="414042"/>
          <w:spacing w:val="-1"/>
        </w:rPr>
        <w:t xml:space="preserve"> </w:t>
      </w:r>
      <w:r w:rsidRPr="00CA2CC1">
        <w:rPr>
          <w:rFonts w:cs="Calibri"/>
          <w:color w:val="414042"/>
        </w:rPr>
        <w:t>equivalent</w:t>
      </w:r>
      <w:r w:rsidRPr="00CA2CC1">
        <w:rPr>
          <w:rFonts w:cs="Calibri"/>
          <w:color w:val="414042"/>
          <w:spacing w:val="-1"/>
        </w:rPr>
        <w:t xml:space="preserve"> </w:t>
      </w:r>
      <w:r w:rsidRPr="00CA2CC1">
        <w:rPr>
          <w:rFonts w:cs="Calibri"/>
          <w:color w:val="414042"/>
        </w:rPr>
        <w:t>executive officers</w:t>
      </w:r>
      <w:r w:rsidRPr="00CA2CC1">
        <w:rPr>
          <w:rFonts w:cs="Calibri"/>
          <w:color w:val="414042"/>
          <w:spacing w:val="-1"/>
        </w:rPr>
        <w:t xml:space="preserve"> </w:t>
      </w:r>
      <w:r w:rsidRPr="00CA2CC1">
        <w:rPr>
          <w:rFonts w:cs="Calibri"/>
          <w:color w:val="414042"/>
        </w:rPr>
        <w:t>over the</w:t>
      </w:r>
      <w:r w:rsidRPr="00CA2CC1">
        <w:rPr>
          <w:rFonts w:cs="Calibri"/>
          <w:color w:val="414042"/>
          <w:spacing w:val="-1"/>
        </w:rPr>
        <w:t xml:space="preserve"> </w:t>
      </w:r>
      <w:r w:rsidRPr="00CA2CC1">
        <w:rPr>
          <w:rFonts w:cs="Calibri"/>
          <w:color w:val="414042"/>
        </w:rPr>
        <w:t xml:space="preserve">reporting </w:t>
      </w:r>
      <w:r w:rsidRPr="00CA2CC1">
        <w:rPr>
          <w:rFonts w:cs="Calibri"/>
          <w:color w:val="414042"/>
          <w:spacing w:val="-2"/>
        </w:rPr>
        <w:t>period.</w:t>
      </w:r>
    </w:p>
    <w:p w14:paraId="4C555849" w14:textId="77777777" w:rsidR="00FA4226" w:rsidRPr="00CA2CC1" w:rsidRDefault="00000000" w:rsidP="0043303B">
      <w:pPr>
        <w:pStyle w:val="BodyText"/>
        <w:spacing w:before="115"/>
        <w:rPr>
          <w:rFonts w:cs="Calibri"/>
        </w:rPr>
      </w:pPr>
      <w:r w:rsidRPr="00CA2CC1">
        <w:rPr>
          <w:rFonts w:cs="Calibri"/>
          <w:color w:val="414042"/>
        </w:rPr>
        <w:t>Remuneration</w:t>
      </w:r>
      <w:r w:rsidRPr="00CA2CC1">
        <w:rPr>
          <w:rFonts w:cs="Calibri"/>
          <w:color w:val="414042"/>
          <w:spacing w:val="-1"/>
        </w:rPr>
        <w:t xml:space="preserve"> </w:t>
      </w:r>
      <w:r w:rsidRPr="00CA2CC1">
        <w:rPr>
          <w:rFonts w:cs="Calibri"/>
          <w:color w:val="414042"/>
        </w:rPr>
        <w:t>comprises</w:t>
      </w:r>
      <w:r w:rsidRPr="00CA2CC1">
        <w:rPr>
          <w:rFonts w:cs="Calibri"/>
          <w:color w:val="414042"/>
          <w:spacing w:val="-1"/>
        </w:rPr>
        <w:t xml:space="preserve"> </w:t>
      </w:r>
      <w:r w:rsidRPr="00CA2CC1">
        <w:rPr>
          <w:rFonts w:cs="Calibri"/>
          <w:color w:val="414042"/>
        </w:rPr>
        <w:t>employee</w:t>
      </w:r>
      <w:r w:rsidRPr="00CA2CC1">
        <w:rPr>
          <w:rFonts w:cs="Calibri"/>
          <w:color w:val="414042"/>
          <w:spacing w:val="-1"/>
        </w:rPr>
        <w:t xml:space="preserve"> </w:t>
      </w:r>
      <w:r w:rsidRPr="00CA2CC1">
        <w:rPr>
          <w:rFonts w:cs="Calibri"/>
          <w:color w:val="414042"/>
        </w:rPr>
        <w:t>benefits</w:t>
      </w:r>
      <w:r w:rsidRPr="00CA2CC1">
        <w:rPr>
          <w:rFonts w:cs="Calibri"/>
          <w:color w:val="414042"/>
          <w:spacing w:val="-1"/>
        </w:rPr>
        <w:t xml:space="preserve"> </w:t>
      </w:r>
      <w:r w:rsidRPr="00CA2CC1">
        <w:rPr>
          <w:rFonts w:cs="Calibri"/>
          <w:color w:val="414042"/>
        </w:rPr>
        <w:t>in</w:t>
      </w:r>
      <w:r w:rsidRPr="00CA2CC1">
        <w:rPr>
          <w:rFonts w:cs="Calibri"/>
          <w:color w:val="414042"/>
          <w:spacing w:val="-1"/>
        </w:rPr>
        <w:t xml:space="preserve"> </w:t>
      </w:r>
      <w:r w:rsidRPr="00CA2CC1">
        <w:rPr>
          <w:rFonts w:cs="Calibri"/>
          <w:color w:val="414042"/>
        </w:rPr>
        <w:t>all</w:t>
      </w:r>
      <w:r w:rsidRPr="00CA2CC1">
        <w:rPr>
          <w:rFonts w:cs="Calibri"/>
          <w:color w:val="414042"/>
          <w:spacing w:val="-1"/>
        </w:rPr>
        <w:t xml:space="preserve"> </w:t>
      </w:r>
      <w:r w:rsidRPr="00CA2CC1">
        <w:rPr>
          <w:rFonts w:cs="Calibri"/>
          <w:color w:val="414042"/>
        </w:rPr>
        <w:t>forms</w:t>
      </w:r>
      <w:r w:rsidRPr="00CA2CC1">
        <w:rPr>
          <w:rFonts w:cs="Calibri"/>
          <w:color w:val="414042"/>
          <w:spacing w:val="-1"/>
        </w:rPr>
        <w:t xml:space="preserve"> </w:t>
      </w:r>
      <w:r w:rsidRPr="00CA2CC1">
        <w:rPr>
          <w:rFonts w:cs="Calibri"/>
          <w:color w:val="414042"/>
        </w:rPr>
        <w:t>of consideration</w:t>
      </w:r>
      <w:r w:rsidRPr="00CA2CC1">
        <w:rPr>
          <w:rFonts w:cs="Calibri"/>
          <w:color w:val="414042"/>
          <w:spacing w:val="-5"/>
        </w:rPr>
        <w:t xml:space="preserve"> </w:t>
      </w:r>
      <w:r w:rsidRPr="00CA2CC1">
        <w:rPr>
          <w:rFonts w:cs="Calibri"/>
          <w:color w:val="414042"/>
        </w:rPr>
        <w:t>paid,</w:t>
      </w:r>
      <w:r w:rsidRPr="00CA2CC1">
        <w:rPr>
          <w:rFonts w:cs="Calibri"/>
          <w:color w:val="414042"/>
          <w:spacing w:val="-5"/>
        </w:rPr>
        <w:t xml:space="preserve"> </w:t>
      </w:r>
      <w:r w:rsidRPr="00CA2CC1">
        <w:rPr>
          <w:rFonts w:cs="Calibri"/>
          <w:color w:val="414042"/>
        </w:rPr>
        <w:t>payable</w:t>
      </w:r>
      <w:r w:rsidRPr="00CA2CC1">
        <w:rPr>
          <w:rFonts w:cs="Calibri"/>
          <w:color w:val="414042"/>
          <w:spacing w:val="-5"/>
        </w:rPr>
        <w:t xml:space="preserve"> </w:t>
      </w:r>
      <w:r w:rsidRPr="00CA2CC1">
        <w:rPr>
          <w:rFonts w:cs="Calibri"/>
          <w:color w:val="414042"/>
        </w:rPr>
        <w:t>or</w:t>
      </w:r>
      <w:r w:rsidRPr="00CA2CC1">
        <w:rPr>
          <w:rFonts w:cs="Calibri"/>
          <w:color w:val="414042"/>
          <w:spacing w:val="-5"/>
        </w:rPr>
        <w:t xml:space="preserve"> </w:t>
      </w:r>
      <w:r w:rsidRPr="00CA2CC1">
        <w:rPr>
          <w:rFonts w:cs="Calibri"/>
          <w:color w:val="414042"/>
        </w:rPr>
        <w:t>provided</w:t>
      </w:r>
      <w:r w:rsidRPr="00CA2CC1">
        <w:rPr>
          <w:rFonts w:cs="Calibri"/>
          <w:color w:val="414042"/>
          <w:spacing w:val="-5"/>
        </w:rPr>
        <w:t xml:space="preserve"> </w:t>
      </w:r>
      <w:r w:rsidRPr="00CA2CC1">
        <w:rPr>
          <w:rFonts w:cs="Calibri"/>
          <w:color w:val="414042"/>
        </w:rPr>
        <w:t>by</w:t>
      </w:r>
      <w:r w:rsidRPr="00CA2CC1">
        <w:rPr>
          <w:rFonts w:cs="Calibri"/>
          <w:color w:val="414042"/>
          <w:spacing w:val="-5"/>
        </w:rPr>
        <w:t xml:space="preserve"> </w:t>
      </w:r>
      <w:r w:rsidRPr="00CA2CC1">
        <w:rPr>
          <w:rFonts w:cs="Calibri"/>
          <w:color w:val="414042"/>
        </w:rPr>
        <w:t>the</w:t>
      </w:r>
      <w:r w:rsidRPr="00CA2CC1">
        <w:rPr>
          <w:rFonts w:cs="Calibri"/>
          <w:color w:val="414042"/>
          <w:spacing w:val="-5"/>
        </w:rPr>
        <w:t xml:space="preserve"> </w:t>
      </w:r>
      <w:r w:rsidRPr="00CA2CC1">
        <w:rPr>
          <w:rFonts w:cs="Calibri"/>
          <w:color w:val="414042"/>
        </w:rPr>
        <w:t>entity</w:t>
      </w:r>
      <w:r w:rsidRPr="00CA2CC1">
        <w:rPr>
          <w:rFonts w:cs="Calibri"/>
          <w:color w:val="414042"/>
          <w:spacing w:val="-5"/>
        </w:rPr>
        <w:t xml:space="preserve"> </w:t>
      </w:r>
      <w:r w:rsidRPr="00CA2CC1">
        <w:rPr>
          <w:rFonts w:cs="Calibri"/>
          <w:color w:val="414042"/>
        </w:rPr>
        <w:t>or</w:t>
      </w:r>
      <w:r w:rsidRPr="00CA2CC1">
        <w:rPr>
          <w:rFonts w:cs="Calibri"/>
          <w:color w:val="414042"/>
          <w:spacing w:val="-5"/>
        </w:rPr>
        <w:t xml:space="preserve"> </w:t>
      </w:r>
      <w:r w:rsidRPr="00CA2CC1">
        <w:rPr>
          <w:rFonts w:cs="Calibri"/>
          <w:color w:val="414042"/>
        </w:rPr>
        <w:t>on behalf</w:t>
      </w:r>
      <w:r w:rsidRPr="00CA2CC1">
        <w:rPr>
          <w:rFonts w:cs="Calibri"/>
          <w:color w:val="414042"/>
          <w:spacing w:val="-7"/>
        </w:rPr>
        <w:t xml:space="preserve"> </w:t>
      </w:r>
      <w:r w:rsidRPr="00CA2CC1">
        <w:rPr>
          <w:rFonts w:cs="Calibri"/>
          <w:color w:val="414042"/>
        </w:rPr>
        <w:t>of</w:t>
      </w:r>
      <w:r w:rsidRPr="00CA2CC1">
        <w:rPr>
          <w:rFonts w:cs="Calibri"/>
          <w:color w:val="414042"/>
          <w:spacing w:val="-7"/>
        </w:rPr>
        <w:t xml:space="preserve"> </w:t>
      </w:r>
      <w:r w:rsidRPr="00CA2CC1">
        <w:rPr>
          <w:rFonts w:cs="Calibri"/>
          <w:color w:val="414042"/>
        </w:rPr>
        <w:t>the</w:t>
      </w:r>
      <w:r w:rsidRPr="00CA2CC1">
        <w:rPr>
          <w:rFonts w:cs="Calibri"/>
          <w:color w:val="414042"/>
          <w:spacing w:val="-7"/>
        </w:rPr>
        <w:t xml:space="preserve"> </w:t>
      </w:r>
      <w:r w:rsidRPr="00CA2CC1">
        <w:rPr>
          <w:rFonts w:cs="Calibri"/>
          <w:color w:val="414042"/>
        </w:rPr>
        <w:t>entity,</w:t>
      </w:r>
      <w:r w:rsidRPr="00CA2CC1">
        <w:rPr>
          <w:rFonts w:cs="Calibri"/>
          <w:color w:val="414042"/>
          <w:spacing w:val="-7"/>
        </w:rPr>
        <w:t xml:space="preserve"> </w:t>
      </w:r>
      <w:r w:rsidRPr="00CA2CC1">
        <w:rPr>
          <w:rFonts w:cs="Calibri"/>
          <w:color w:val="414042"/>
        </w:rPr>
        <w:t>in</w:t>
      </w:r>
      <w:r w:rsidRPr="00CA2CC1">
        <w:rPr>
          <w:rFonts w:cs="Calibri"/>
          <w:color w:val="414042"/>
          <w:spacing w:val="-7"/>
        </w:rPr>
        <w:t xml:space="preserve"> </w:t>
      </w:r>
      <w:r w:rsidRPr="00CA2CC1">
        <w:rPr>
          <w:rFonts w:cs="Calibri"/>
          <w:color w:val="414042"/>
        </w:rPr>
        <w:t>exchange</w:t>
      </w:r>
      <w:r w:rsidRPr="00CA2CC1">
        <w:rPr>
          <w:rFonts w:cs="Calibri"/>
          <w:color w:val="414042"/>
          <w:spacing w:val="-7"/>
        </w:rPr>
        <w:t xml:space="preserve"> </w:t>
      </w:r>
      <w:r w:rsidRPr="00CA2CC1">
        <w:rPr>
          <w:rFonts w:cs="Calibri"/>
          <w:color w:val="414042"/>
        </w:rPr>
        <w:t>for</w:t>
      </w:r>
      <w:r w:rsidRPr="00CA2CC1">
        <w:rPr>
          <w:rFonts w:cs="Calibri"/>
          <w:color w:val="414042"/>
          <w:spacing w:val="-7"/>
        </w:rPr>
        <w:t xml:space="preserve"> </w:t>
      </w:r>
      <w:r w:rsidRPr="00CA2CC1">
        <w:rPr>
          <w:rFonts w:cs="Calibri"/>
          <w:color w:val="414042"/>
        </w:rPr>
        <w:t>services</w:t>
      </w:r>
      <w:r w:rsidRPr="00CA2CC1">
        <w:rPr>
          <w:rFonts w:cs="Calibri"/>
          <w:color w:val="414042"/>
          <w:spacing w:val="-7"/>
        </w:rPr>
        <w:t xml:space="preserve"> </w:t>
      </w:r>
      <w:r w:rsidRPr="00CA2CC1">
        <w:rPr>
          <w:rFonts w:cs="Calibri"/>
          <w:color w:val="414042"/>
        </w:rPr>
        <w:t>rendered,</w:t>
      </w:r>
      <w:r w:rsidRPr="00CA2CC1">
        <w:rPr>
          <w:rFonts w:cs="Calibri"/>
          <w:color w:val="414042"/>
          <w:spacing w:val="-7"/>
        </w:rPr>
        <w:t xml:space="preserve"> </w:t>
      </w:r>
      <w:r w:rsidRPr="00CA2CC1">
        <w:rPr>
          <w:rFonts w:cs="Calibri"/>
          <w:color w:val="414042"/>
        </w:rPr>
        <w:t>and is disclosed in the following categories.</w:t>
      </w:r>
    </w:p>
    <w:p w14:paraId="0128C3F0" w14:textId="2E12C445" w:rsidR="00FA4226" w:rsidRPr="00CA2CC1" w:rsidRDefault="00000000" w:rsidP="0043303B">
      <w:pPr>
        <w:pStyle w:val="BodyText"/>
        <w:spacing w:before="89"/>
        <w:rPr>
          <w:rFonts w:cs="Calibri"/>
        </w:rPr>
      </w:pPr>
      <w:r w:rsidRPr="00CA2CC1">
        <w:rPr>
          <w:rFonts w:cs="Calibri"/>
          <w:color w:val="414042"/>
        </w:rPr>
        <w:t>Short-term employee benefits include amounts such as wages, salaries, annual leave or sick leave that are usually paid</w:t>
      </w:r>
      <w:r w:rsidRPr="00CA2CC1">
        <w:rPr>
          <w:rFonts w:cs="Calibri"/>
          <w:color w:val="414042"/>
          <w:spacing w:val="-4"/>
        </w:rPr>
        <w:t xml:space="preserve"> </w:t>
      </w:r>
      <w:r w:rsidRPr="00CA2CC1">
        <w:rPr>
          <w:rFonts w:cs="Calibri"/>
          <w:color w:val="414042"/>
        </w:rPr>
        <w:t>or</w:t>
      </w:r>
      <w:r w:rsidRPr="00CA2CC1">
        <w:rPr>
          <w:rFonts w:cs="Calibri"/>
          <w:color w:val="414042"/>
          <w:spacing w:val="-4"/>
        </w:rPr>
        <w:t xml:space="preserve"> </w:t>
      </w:r>
      <w:r w:rsidRPr="00CA2CC1">
        <w:rPr>
          <w:rFonts w:cs="Calibri"/>
          <w:color w:val="414042"/>
        </w:rPr>
        <w:t>payable</w:t>
      </w:r>
      <w:r w:rsidRPr="00CA2CC1">
        <w:rPr>
          <w:rFonts w:cs="Calibri"/>
          <w:color w:val="414042"/>
          <w:spacing w:val="-4"/>
        </w:rPr>
        <w:t xml:space="preserve"> </w:t>
      </w:r>
      <w:r w:rsidRPr="00CA2CC1">
        <w:rPr>
          <w:rFonts w:cs="Calibri"/>
          <w:color w:val="414042"/>
        </w:rPr>
        <w:t>on</w:t>
      </w:r>
      <w:r w:rsidRPr="00CA2CC1">
        <w:rPr>
          <w:rFonts w:cs="Calibri"/>
          <w:color w:val="414042"/>
          <w:spacing w:val="-4"/>
        </w:rPr>
        <w:t xml:space="preserve"> </w:t>
      </w:r>
      <w:r w:rsidRPr="00CA2CC1">
        <w:rPr>
          <w:rFonts w:cs="Calibri"/>
          <w:color w:val="414042"/>
        </w:rPr>
        <w:t>a</w:t>
      </w:r>
      <w:r w:rsidRPr="00CA2CC1">
        <w:rPr>
          <w:rFonts w:cs="Calibri"/>
          <w:color w:val="414042"/>
          <w:spacing w:val="-4"/>
        </w:rPr>
        <w:t xml:space="preserve"> </w:t>
      </w:r>
      <w:r w:rsidRPr="00CA2CC1">
        <w:rPr>
          <w:rFonts w:cs="Calibri"/>
          <w:color w:val="414042"/>
        </w:rPr>
        <w:t>regular</w:t>
      </w:r>
      <w:r w:rsidRPr="00CA2CC1">
        <w:rPr>
          <w:rFonts w:cs="Calibri"/>
          <w:color w:val="414042"/>
          <w:spacing w:val="-4"/>
        </w:rPr>
        <w:t xml:space="preserve"> </w:t>
      </w:r>
      <w:r w:rsidRPr="00CA2CC1">
        <w:rPr>
          <w:rFonts w:cs="Calibri"/>
          <w:color w:val="414042"/>
        </w:rPr>
        <w:t>basis,</w:t>
      </w:r>
      <w:r w:rsidRPr="00CA2CC1">
        <w:rPr>
          <w:rFonts w:cs="Calibri"/>
          <w:color w:val="414042"/>
          <w:spacing w:val="-4"/>
        </w:rPr>
        <w:t xml:space="preserve"> </w:t>
      </w:r>
      <w:r w:rsidRPr="00CA2CC1">
        <w:rPr>
          <w:rFonts w:cs="Calibri"/>
          <w:color w:val="414042"/>
        </w:rPr>
        <w:t>as</w:t>
      </w:r>
      <w:r w:rsidRPr="00CA2CC1">
        <w:rPr>
          <w:rFonts w:cs="Calibri"/>
          <w:color w:val="414042"/>
          <w:spacing w:val="-4"/>
        </w:rPr>
        <w:t xml:space="preserve"> </w:t>
      </w:r>
      <w:r w:rsidRPr="00CA2CC1">
        <w:rPr>
          <w:rFonts w:cs="Calibri"/>
          <w:color w:val="414042"/>
        </w:rPr>
        <w:t>well</w:t>
      </w:r>
      <w:r w:rsidRPr="00CA2CC1">
        <w:rPr>
          <w:rFonts w:cs="Calibri"/>
          <w:color w:val="414042"/>
          <w:spacing w:val="-4"/>
        </w:rPr>
        <w:t xml:space="preserve"> </w:t>
      </w:r>
      <w:r w:rsidRPr="00CA2CC1">
        <w:rPr>
          <w:rFonts w:cs="Calibri"/>
          <w:color w:val="414042"/>
        </w:rPr>
        <w:t>as</w:t>
      </w:r>
      <w:r w:rsidRPr="00CA2CC1">
        <w:rPr>
          <w:rFonts w:cs="Calibri"/>
          <w:color w:val="414042"/>
          <w:spacing w:val="-4"/>
        </w:rPr>
        <w:t xml:space="preserve"> </w:t>
      </w:r>
      <w:r w:rsidRPr="00CA2CC1">
        <w:rPr>
          <w:rFonts w:cs="Calibri"/>
          <w:color w:val="414042"/>
        </w:rPr>
        <w:t>non-monetary benefits such as allowances and free or subsidised goods or services.</w:t>
      </w:r>
    </w:p>
    <w:p w14:paraId="13F17262" w14:textId="77777777" w:rsidR="00FA4226" w:rsidRPr="00CA2CC1" w:rsidRDefault="00000000" w:rsidP="0043303B">
      <w:pPr>
        <w:pStyle w:val="BodyText"/>
        <w:spacing w:before="126"/>
        <w:rPr>
          <w:rFonts w:cs="Calibri"/>
        </w:rPr>
      </w:pPr>
      <w:r w:rsidRPr="00CA2CC1">
        <w:rPr>
          <w:rFonts w:cs="Calibri"/>
          <w:color w:val="414042"/>
        </w:rPr>
        <w:t>Post-employment</w:t>
      </w:r>
      <w:r w:rsidRPr="00CA2CC1">
        <w:rPr>
          <w:rFonts w:cs="Calibri"/>
          <w:color w:val="414042"/>
          <w:spacing w:val="-9"/>
        </w:rPr>
        <w:t xml:space="preserve"> </w:t>
      </w:r>
      <w:r w:rsidRPr="00CA2CC1">
        <w:rPr>
          <w:rFonts w:cs="Calibri"/>
          <w:color w:val="414042"/>
        </w:rPr>
        <w:t>benefits</w:t>
      </w:r>
      <w:r w:rsidRPr="00CA2CC1">
        <w:rPr>
          <w:rFonts w:cs="Calibri"/>
          <w:color w:val="414042"/>
          <w:spacing w:val="-9"/>
        </w:rPr>
        <w:t xml:space="preserve"> </w:t>
      </w:r>
      <w:r w:rsidRPr="00CA2CC1">
        <w:rPr>
          <w:rFonts w:cs="Calibri"/>
          <w:color w:val="414042"/>
        </w:rPr>
        <w:t>include</w:t>
      </w:r>
      <w:r w:rsidRPr="00CA2CC1">
        <w:rPr>
          <w:rFonts w:cs="Calibri"/>
          <w:color w:val="414042"/>
          <w:spacing w:val="-9"/>
        </w:rPr>
        <w:t xml:space="preserve"> </w:t>
      </w:r>
      <w:r w:rsidRPr="00CA2CC1">
        <w:rPr>
          <w:rFonts w:cs="Calibri"/>
          <w:color w:val="414042"/>
        </w:rPr>
        <w:t>employer</w:t>
      </w:r>
      <w:r w:rsidRPr="00CA2CC1">
        <w:rPr>
          <w:rFonts w:cs="Calibri"/>
          <w:color w:val="414042"/>
          <w:spacing w:val="-9"/>
        </w:rPr>
        <w:t xml:space="preserve"> </w:t>
      </w:r>
      <w:r w:rsidRPr="00CA2CC1">
        <w:rPr>
          <w:rFonts w:cs="Calibri"/>
          <w:color w:val="414042"/>
        </w:rPr>
        <w:t>contributions for members of both defined benefit and defined contribution superannuation plans.</w:t>
      </w:r>
    </w:p>
    <w:p w14:paraId="30BDC2D1" w14:textId="77777777" w:rsidR="00FA4226" w:rsidRPr="00CA2CC1" w:rsidRDefault="00000000" w:rsidP="0043303B">
      <w:pPr>
        <w:pStyle w:val="BodyText"/>
        <w:spacing w:before="122"/>
        <w:rPr>
          <w:rFonts w:cs="Calibri"/>
        </w:rPr>
      </w:pPr>
      <w:r w:rsidRPr="00CA2CC1">
        <w:rPr>
          <w:rFonts w:cs="Calibri"/>
          <w:color w:val="414042"/>
        </w:rPr>
        <w:t>Other</w:t>
      </w:r>
      <w:r w:rsidRPr="00CA2CC1">
        <w:rPr>
          <w:rFonts w:cs="Calibri"/>
          <w:color w:val="414042"/>
          <w:spacing w:val="-5"/>
        </w:rPr>
        <w:t xml:space="preserve"> </w:t>
      </w:r>
      <w:r w:rsidRPr="00CA2CC1">
        <w:rPr>
          <w:rFonts w:cs="Calibri"/>
          <w:color w:val="414042"/>
        </w:rPr>
        <w:t>long-term</w:t>
      </w:r>
      <w:r w:rsidRPr="00CA2CC1">
        <w:rPr>
          <w:rFonts w:cs="Calibri"/>
          <w:color w:val="414042"/>
          <w:spacing w:val="-5"/>
        </w:rPr>
        <w:t xml:space="preserve"> </w:t>
      </w:r>
      <w:r w:rsidRPr="00CA2CC1">
        <w:rPr>
          <w:rFonts w:cs="Calibri"/>
          <w:color w:val="414042"/>
        </w:rPr>
        <w:t>benefits</w:t>
      </w:r>
      <w:r w:rsidRPr="00CA2CC1">
        <w:rPr>
          <w:rFonts w:cs="Calibri"/>
          <w:color w:val="414042"/>
          <w:spacing w:val="-6"/>
        </w:rPr>
        <w:t xml:space="preserve"> </w:t>
      </w:r>
      <w:r w:rsidRPr="00CA2CC1">
        <w:rPr>
          <w:rFonts w:cs="Calibri"/>
          <w:color w:val="414042"/>
        </w:rPr>
        <w:t>include</w:t>
      </w:r>
      <w:r w:rsidRPr="00CA2CC1">
        <w:rPr>
          <w:rFonts w:cs="Calibri"/>
          <w:color w:val="414042"/>
          <w:spacing w:val="-5"/>
        </w:rPr>
        <w:t xml:space="preserve"> </w:t>
      </w:r>
      <w:r w:rsidRPr="00CA2CC1">
        <w:rPr>
          <w:rFonts w:cs="Calibri"/>
          <w:color w:val="414042"/>
        </w:rPr>
        <w:t>long</w:t>
      </w:r>
      <w:r w:rsidRPr="00CA2CC1">
        <w:rPr>
          <w:rFonts w:cs="Calibri"/>
          <w:color w:val="414042"/>
          <w:spacing w:val="-5"/>
        </w:rPr>
        <w:t xml:space="preserve"> </w:t>
      </w:r>
      <w:r w:rsidRPr="00CA2CC1">
        <w:rPr>
          <w:rFonts w:cs="Calibri"/>
          <w:color w:val="414042"/>
        </w:rPr>
        <w:t>service</w:t>
      </w:r>
      <w:r w:rsidRPr="00CA2CC1">
        <w:rPr>
          <w:rFonts w:cs="Calibri"/>
          <w:color w:val="414042"/>
          <w:spacing w:val="-5"/>
        </w:rPr>
        <w:t xml:space="preserve"> </w:t>
      </w:r>
      <w:r w:rsidRPr="00CA2CC1">
        <w:rPr>
          <w:rFonts w:cs="Calibri"/>
          <w:color w:val="414042"/>
        </w:rPr>
        <w:t>leave,</w:t>
      </w:r>
      <w:r w:rsidRPr="00CA2CC1">
        <w:rPr>
          <w:rFonts w:cs="Calibri"/>
          <w:color w:val="414042"/>
          <w:spacing w:val="-5"/>
        </w:rPr>
        <w:t xml:space="preserve"> </w:t>
      </w:r>
      <w:r w:rsidRPr="00CA2CC1">
        <w:rPr>
          <w:rFonts w:cs="Calibri"/>
          <w:color w:val="414042"/>
        </w:rPr>
        <w:t>other long-service benefits or deferred compensation.</w:t>
      </w:r>
    </w:p>
    <w:p w14:paraId="2CBBDB70" w14:textId="77777777" w:rsidR="00FA4226" w:rsidRDefault="00000000" w:rsidP="0043303B">
      <w:pPr>
        <w:pStyle w:val="BodyText"/>
        <w:spacing w:before="122"/>
        <w:rPr>
          <w:rFonts w:cs="Calibri"/>
          <w:color w:val="414042"/>
        </w:rPr>
      </w:pPr>
      <w:r w:rsidRPr="00CA2CC1">
        <w:rPr>
          <w:rFonts w:cs="Calibri"/>
          <w:color w:val="414042"/>
        </w:rPr>
        <w:t>Termination</w:t>
      </w:r>
      <w:r w:rsidRPr="00CA2CC1">
        <w:rPr>
          <w:rFonts w:cs="Calibri"/>
          <w:color w:val="414042"/>
          <w:spacing w:val="-11"/>
        </w:rPr>
        <w:t xml:space="preserve"> </w:t>
      </w:r>
      <w:r w:rsidRPr="00CA2CC1">
        <w:rPr>
          <w:rFonts w:cs="Calibri"/>
          <w:color w:val="414042"/>
        </w:rPr>
        <w:t>benefits</w:t>
      </w:r>
      <w:r w:rsidRPr="00CA2CC1">
        <w:rPr>
          <w:rFonts w:cs="Calibri"/>
          <w:color w:val="414042"/>
          <w:spacing w:val="-12"/>
        </w:rPr>
        <w:t xml:space="preserve"> </w:t>
      </w:r>
      <w:r w:rsidRPr="00CA2CC1">
        <w:rPr>
          <w:rFonts w:cs="Calibri"/>
          <w:color w:val="414042"/>
        </w:rPr>
        <w:t>include</w:t>
      </w:r>
      <w:r w:rsidRPr="00CA2CC1">
        <w:rPr>
          <w:rFonts w:cs="Calibri"/>
          <w:color w:val="414042"/>
          <w:spacing w:val="-11"/>
        </w:rPr>
        <w:t xml:space="preserve"> </w:t>
      </w:r>
      <w:r w:rsidRPr="00CA2CC1">
        <w:rPr>
          <w:rFonts w:cs="Calibri"/>
          <w:color w:val="414042"/>
        </w:rPr>
        <w:t>termination</w:t>
      </w:r>
      <w:r w:rsidRPr="00CA2CC1">
        <w:rPr>
          <w:rFonts w:cs="Calibri"/>
          <w:color w:val="414042"/>
          <w:spacing w:val="-11"/>
        </w:rPr>
        <w:t xml:space="preserve"> </w:t>
      </w:r>
      <w:r w:rsidRPr="00CA2CC1">
        <w:rPr>
          <w:rFonts w:cs="Calibri"/>
          <w:color w:val="414042"/>
        </w:rPr>
        <w:t>of</w:t>
      </w:r>
      <w:r w:rsidRPr="00CA2CC1">
        <w:rPr>
          <w:rFonts w:cs="Calibri"/>
          <w:color w:val="414042"/>
          <w:spacing w:val="-11"/>
        </w:rPr>
        <w:t xml:space="preserve"> </w:t>
      </w:r>
      <w:r w:rsidRPr="00CA2CC1">
        <w:rPr>
          <w:rFonts w:cs="Calibri"/>
          <w:color w:val="414042"/>
        </w:rPr>
        <w:t>employment payments, such as severance packages.</w:t>
      </w:r>
    </w:p>
    <w:p w14:paraId="0BCF0B61" w14:textId="77777777" w:rsidR="006F6952" w:rsidRDefault="006F6952" w:rsidP="0043303B">
      <w:pPr>
        <w:pStyle w:val="BodyText"/>
        <w:spacing w:before="122"/>
        <w:rPr>
          <w:rFonts w:cs="Calibri"/>
          <w:color w:val="414042"/>
        </w:rPr>
      </w:pPr>
    </w:p>
    <w:p w14:paraId="1F38E6B5" w14:textId="121DA7A0" w:rsidR="006F6952" w:rsidRPr="00CA2CC1" w:rsidRDefault="006F6952" w:rsidP="0043303B">
      <w:pPr>
        <w:pStyle w:val="BodyText"/>
        <w:spacing w:before="122"/>
        <w:rPr>
          <w:rFonts w:cs="Calibri"/>
        </w:rPr>
        <w:sectPr w:rsidR="006F6952" w:rsidRPr="00CA2CC1" w:rsidSect="00E941A5">
          <w:type w:val="continuous"/>
          <w:pgSz w:w="11910" w:h="16840"/>
          <w:pgMar w:top="1134" w:right="1278" w:bottom="1134" w:left="1134" w:header="720" w:footer="720" w:gutter="0"/>
          <w:cols w:space="720"/>
        </w:sectPr>
      </w:pPr>
    </w:p>
    <w:p w14:paraId="64F76F77" w14:textId="77777777" w:rsidR="00FA4226" w:rsidRPr="00CA2CC1" w:rsidRDefault="00FA4226" w:rsidP="0043303B">
      <w:pPr>
        <w:pStyle w:val="BodyText"/>
        <w:spacing w:before="12"/>
        <w:rPr>
          <w:rFonts w:cs="Calibri"/>
          <w:sz w:val="9"/>
        </w:rPr>
      </w:pPr>
    </w:p>
    <w:tbl>
      <w:tblPr>
        <w:tblW w:w="9637" w:type="dxa"/>
        <w:tblBorders>
          <w:top w:val="single" w:sz="4" w:space="0" w:color="C48F1B"/>
          <w:left w:val="single" w:sz="4" w:space="0" w:color="C48F1B"/>
          <w:bottom w:val="single" w:sz="4" w:space="0" w:color="C48F1B"/>
          <w:right w:val="single" w:sz="4" w:space="0" w:color="C48F1B"/>
          <w:insideH w:val="single" w:sz="4" w:space="0" w:color="C48F1B"/>
          <w:insideV w:val="single" w:sz="4" w:space="0" w:color="C48F1B"/>
        </w:tblBorders>
        <w:tblLayout w:type="fixed"/>
        <w:tblCellMar>
          <w:left w:w="0" w:type="dxa"/>
          <w:right w:w="0" w:type="dxa"/>
        </w:tblCellMar>
        <w:tblLook w:val="01E0" w:firstRow="1" w:lastRow="1" w:firstColumn="1" w:lastColumn="1" w:noHBand="0" w:noVBand="0"/>
      </w:tblPr>
      <w:tblGrid>
        <w:gridCol w:w="6633"/>
        <w:gridCol w:w="1502"/>
        <w:gridCol w:w="1502"/>
      </w:tblGrid>
      <w:tr w:rsidR="00FA4226" w:rsidRPr="00CA2CC1" w14:paraId="2DA51D87" w14:textId="77777777" w:rsidTr="006F6952">
        <w:trPr>
          <w:trHeight w:val="560"/>
        </w:trPr>
        <w:tc>
          <w:tcPr>
            <w:tcW w:w="6633" w:type="dxa"/>
            <w:tcBorders>
              <w:top w:val="nil"/>
              <w:left w:val="nil"/>
              <w:right w:val="nil"/>
            </w:tcBorders>
          </w:tcPr>
          <w:p w14:paraId="037C0D8A" w14:textId="77777777" w:rsidR="00FA4226" w:rsidRPr="00CA2CC1" w:rsidRDefault="00FA4226" w:rsidP="0043303B">
            <w:pPr>
              <w:pStyle w:val="TableParagraph"/>
              <w:spacing w:before="13"/>
              <w:jc w:val="left"/>
              <w:rPr>
                <w:rFonts w:cs="Calibri"/>
                <w:sz w:val="20"/>
              </w:rPr>
            </w:pPr>
          </w:p>
          <w:p w14:paraId="49200A6C" w14:textId="77777777" w:rsidR="00FA4226" w:rsidRPr="00CA2CC1" w:rsidRDefault="00000000" w:rsidP="0043303B">
            <w:pPr>
              <w:pStyle w:val="TableParagraph"/>
              <w:jc w:val="left"/>
              <w:rPr>
                <w:rFonts w:cs="Calibri"/>
                <w:sz w:val="17"/>
              </w:rPr>
            </w:pPr>
            <w:r w:rsidRPr="00CA2CC1">
              <w:rPr>
                <w:rFonts w:cs="Calibri"/>
                <w:color w:val="F68C59"/>
                <w:sz w:val="17"/>
              </w:rPr>
              <w:t>Remuneration</w:t>
            </w:r>
            <w:r w:rsidRPr="00CA2CC1">
              <w:rPr>
                <w:rFonts w:cs="Calibri"/>
                <w:color w:val="F68C59"/>
                <w:spacing w:val="8"/>
                <w:sz w:val="17"/>
              </w:rPr>
              <w:t xml:space="preserve"> </w:t>
            </w:r>
            <w:r w:rsidRPr="00CA2CC1">
              <w:rPr>
                <w:rFonts w:cs="Calibri"/>
                <w:color w:val="F68C59"/>
                <w:sz w:val="17"/>
              </w:rPr>
              <w:t>of</w:t>
            </w:r>
            <w:r w:rsidRPr="00CA2CC1">
              <w:rPr>
                <w:rFonts w:cs="Calibri"/>
                <w:color w:val="F68C59"/>
                <w:spacing w:val="10"/>
                <w:sz w:val="17"/>
              </w:rPr>
              <w:t xml:space="preserve"> </w:t>
            </w:r>
            <w:r w:rsidRPr="00CA2CC1">
              <w:rPr>
                <w:rFonts w:cs="Calibri"/>
                <w:color w:val="F68C59"/>
                <w:sz w:val="17"/>
              </w:rPr>
              <w:t>executive</w:t>
            </w:r>
            <w:r w:rsidRPr="00CA2CC1">
              <w:rPr>
                <w:rFonts w:cs="Calibri"/>
                <w:color w:val="F68C59"/>
                <w:spacing w:val="10"/>
                <w:sz w:val="17"/>
              </w:rPr>
              <w:t xml:space="preserve"> </w:t>
            </w:r>
            <w:r w:rsidRPr="00CA2CC1">
              <w:rPr>
                <w:rFonts w:cs="Calibri"/>
                <w:color w:val="F68C59"/>
                <w:spacing w:val="-2"/>
                <w:sz w:val="17"/>
              </w:rPr>
              <w:t>officers</w:t>
            </w:r>
          </w:p>
        </w:tc>
        <w:tc>
          <w:tcPr>
            <w:tcW w:w="1502" w:type="dxa"/>
            <w:tcBorders>
              <w:top w:val="nil"/>
              <w:left w:val="nil"/>
              <w:right w:val="single" w:sz="8" w:space="0" w:color="FFFFFF"/>
            </w:tcBorders>
            <w:shd w:val="clear" w:color="auto" w:fill="FFF0E7"/>
            <w:tcMar>
              <w:right w:w="57" w:type="dxa"/>
            </w:tcMar>
          </w:tcPr>
          <w:p w14:paraId="6D3CC047" w14:textId="77777777" w:rsidR="00FA4226" w:rsidRPr="00CA2CC1" w:rsidRDefault="00000000" w:rsidP="0043303B">
            <w:pPr>
              <w:pStyle w:val="TableParagraph"/>
              <w:spacing w:before="55"/>
              <w:rPr>
                <w:rFonts w:cs="Calibri"/>
                <w:sz w:val="17"/>
              </w:rPr>
            </w:pPr>
            <w:r w:rsidRPr="00CA2CC1">
              <w:rPr>
                <w:rFonts w:cs="Calibri"/>
                <w:color w:val="F68C59"/>
                <w:spacing w:val="-4"/>
                <w:sz w:val="17"/>
              </w:rPr>
              <w:t>2023</w:t>
            </w:r>
          </w:p>
          <w:p w14:paraId="4EA944F9" w14:textId="77777777" w:rsidR="00FA4226" w:rsidRPr="00CA2CC1" w:rsidRDefault="00000000" w:rsidP="0043303B">
            <w:pPr>
              <w:pStyle w:val="TableParagraph"/>
              <w:spacing w:before="1"/>
              <w:rPr>
                <w:rFonts w:cs="Calibri"/>
                <w:sz w:val="17"/>
              </w:rPr>
            </w:pPr>
            <w:r w:rsidRPr="00CA2CC1">
              <w:rPr>
                <w:rFonts w:cs="Calibri"/>
                <w:color w:val="F68C59"/>
                <w:sz w:val="17"/>
              </w:rPr>
              <w:t>$</w:t>
            </w:r>
          </w:p>
        </w:tc>
        <w:tc>
          <w:tcPr>
            <w:tcW w:w="1502" w:type="dxa"/>
            <w:tcBorders>
              <w:top w:val="nil"/>
              <w:left w:val="single" w:sz="8" w:space="0" w:color="FFFFFF"/>
              <w:right w:val="nil"/>
            </w:tcBorders>
            <w:shd w:val="clear" w:color="auto" w:fill="EDEFF0"/>
            <w:tcMar>
              <w:right w:w="57" w:type="dxa"/>
            </w:tcMar>
          </w:tcPr>
          <w:p w14:paraId="4EC7F4EC" w14:textId="77777777" w:rsidR="00FA4226" w:rsidRPr="00CA2CC1" w:rsidRDefault="00000000" w:rsidP="0043303B">
            <w:pPr>
              <w:pStyle w:val="TableParagraph"/>
              <w:spacing w:before="55"/>
              <w:rPr>
                <w:rFonts w:cs="Calibri"/>
                <w:sz w:val="17"/>
              </w:rPr>
            </w:pPr>
            <w:r w:rsidRPr="00CA2CC1">
              <w:rPr>
                <w:rFonts w:cs="Calibri"/>
                <w:color w:val="F68C59"/>
                <w:spacing w:val="-4"/>
                <w:sz w:val="17"/>
              </w:rPr>
              <w:t>2022</w:t>
            </w:r>
          </w:p>
          <w:p w14:paraId="680BF439" w14:textId="77777777" w:rsidR="00FA4226" w:rsidRPr="00CA2CC1" w:rsidRDefault="00000000" w:rsidP="0043303B">
            <w:pPr>
              <w:pStyle w:val="TableParagraph"/>
              <w:spacing w:before="1"/>
              <w:rPr>
                <w:rFonts w:cs="Calibri"/>
                <w:sz w:val="17"/>
              </w:rPr>
            </w:pPr>
            <w:r w:rsidRPr="00CA2CC1">
              <w:rPr>
                <w:rFonts w:cs="Calibri"/>
                <w:color w:val="F68C59"/>
                <w:sz w:val="17"/>
              </w:rPr>
              <w:t>$</w:t>
            </w:r>
          </w:p>
        </w:tc>
      </w:tr>
      <w:tr w:rsidR="00FA4226" w:rsidRPr="00CA2CC1" w14:paraId="01EC2C51" w14:textId="77777777" w:rsidTr="006F6952">
        <w:trPr>
          <w:trHeight w:val="281"/>
        </w:trPr>
        <w:tc>
          <w:tcPr>
            <w:tcW w:w="6633" w:type="dxa"/>
            <w:tcBorders>
              <w:left w:val="nil"/>
              <w:bottom w:val="single" w:sz="2" w:space="0" w:color="73777A"/>
              <w:right w:val="nil"/>
            </w:tcBorders>
          </w:tcPr>
          <w:p w14:paraId="326A9052" w14:textId="77777777" w:rsidR="00FA4226" w:rsidRPr="00CA2CC1" w:rsidRDefault="00000000" w:rsidP="0043303B">
            <w:pPr>
              <w:pStyle w:val="TableParagraph"/>
              <w:jc w:val="left"/>
              <w:rPr>
                <w:rFonts w:cs="Calibri"/>
                <w:sz w:val="18"/>
              </w:rPr>
            </w:pPr>
            <w:r w:rsidRPr="00CA2CC1">
              <w:rPr>
                <w:rFonts w:cs="Calibri"/>
                <w:color w:val="414042"/>
                <w:sz w:val="18"/>
              </w:rPr>
              <w:t>Short-term</w:t>
            </w:r>
            <w:r w:rsidRPr="00CA2CC1">
              <w:rPr>
                <w:rFonts w:cs="Calibri"/>
                <w:color w:val="414042"/>
                <w:spacing w:val="3"/>
                <w:sz w:val="18"/>
              </w:rPr>
              <w:t xml:space="preserve"> </w:t>
            </w:r>
            <w:r w:rsidRPr="00CA2CC1">
              <w:rPr>
                <w:rFonts w:cs="Calibri"/>
                <w:color w:val="414042"/>
                <w:sz w:val="18"/>
              </w:rPr>
              <w:t>employee</w:t>
            </w:r>
            <w:r w:rsidRPr="00CA2CC1">
              <w:rPr>
                <w:rFonts w:cs="Calibri"/>
                <w:color w:val="414042"/>
                <w:spacing w:val="3"/>
                <w:sz w:val="18"/>
              </w:rPr>
              <w:t xml:space="preserve"> </w:t>
            </w:r>
            <w:r w:rsidRPr="00CA2CC1">
              <w:rPr>
                <w:rFonts w:cs="Calibri"/>
                <w:color w:val="414042"/>
                <w:spacing w:val="-2"/>
                <w:sz w:val="18"/>
              </w:rPr>
              <w:t>benefits</w:t>
            </w:r>
          </w:p>
        </w:tc>
        <w:tc>
          <w:tcPr>
            <w:tcW w:w="1502" w:type="dxa"/>
            <w:tcBorders>
              <w:left w:val="nil"/>
              <w:bottom w:val="single" w:sz="2" w:space="0" w:color="73777A"/>
              <w:right w:val="single" w:sz="8" w:space="0" w:color="FFFFFF"/>
            </w:tcBorders>
            <w:shd w:val="clear" w:color="auto" w:fill="FFF0E7"/>
            <w:tcMar>
              <w:right w:w="57" w:type="dxa"/>
            </w:tcMar>
          </w:tcPr>
          <w:p w14:paraId="3D2F702F" w14:textId="77777777" w:rsidR="00FA4226" w:rsidRPr="00CA2CC1" w:rsidRDefault="00000000" w:rsidP="0043303B">
            <w:pPr>
              <w:pStyle w:val="TableParagraph"/>
              <w:rPr>
                <w:rFonts w:cs="Calibri"/>
                <w:sz w:val="18"/>
              </w:rPr>
            </w:pPr>
            <w:r w:rsidRPr="00CA2CC1">
              <w:rPr>
                <w:rFonts w:cs="Calibri"/>
                <w:color w:val="414042"/>
                <w:spacing w:val="-2"/>
                <w:sz w:val="18"/>
              </w:rPr>
              <w:t>1,071,106</w:t>
            </w:r>
          </w:p>
        </w:tc>
        <w:tc>
          <w:tcPr>
            <w:tcW w:w="1502" w:type="dxa"/>
            <w:tcBorders>
              <w:left w:val="single" w:sz="8" w:space="0" w:color="FFFFFF"/>
              <w:bottom w:val="single" w:sz="2" w:space="0" w:color="73777A"/>
              <w:right w:val="nil"/>
            </w:tcBorders>
            <w:shd w:val="clear" w:color="auto" w:fill="EDEFF0"/>
            <w:tcMar>
              <w:right w:w="57" w:type="dxa"/>
            </w:tcMar>
          </w:tcPr>
          <w:p w14:paraId="5FEF7F1C" w14:textId="77777777" w:rsidR="00FA4226" w:rsidRPr="00CA2CC1" w:rsidRDefault="00000000" w:rsidP="0043303B">
            <w:pPr>
              <w:pStyle w:val="TableParagraph"/>
              <w:rPr>
                <w:rFonts w:cs="Calibri"/>
                <w:sz w:val="18"/>
              </w:rPr>
            </w:pPr>
            <w:r w:rsidRPr="00CA2CC1">
              <w:rPr>
                <w:rFonts w:cs="Calibri"/>
                <w:color w:val="414042"/>
                <w:spacing w:val="-2"/>
                <w:sz w:val="18"/>
              </w:rPr>
              <w:t>1,035,135</w:t>
            </w:r>
          </w:p>
        </w:tc>
      </w:tr>
      <w:tr w:rsidR="00FA4226" w:rsidRPr="00CA2CC1" w14:paraId="77C51428" w14:textId="77777777" w:rsidTr="006F6952">
        <w:trPr>
          <w:trHeight w:val="283"/>
        </w:trPr>
        <w:tc>
          <w:tcPr>
            <w:tcW w:w="6633" w:type="dxa"/>
            <w:tcBorders>
              <w:top w:val="single" w:sz="2" w:space="0" w:color="73777A"/>
              <w:left w:val="nil"/>
              <w:bottom w:val="single" w:sz="2" w:space="0" w:color="73777A"/>
              <w:right w:val="nil"/>
            </w:tcBorders>
          </w:tcPr>
          <w:p w14:paraId="5C6CDC6A" w14:textId="77777777" w:rsidR="00FA4226" w:rsidRPr="00CA2CC1" w:rsidRDefault="00000000" w:rsidP="0043303B">
            <w:pPr>
              <w:pStyle w:val="TableParagraph"/>
              <w:jc w:val="left"/>
              <w:rPr>
                <w:rFonts w:cs="Calibri"/>
                <w:sz w:val="18"/>
              </w:rPr>
            </w:pPr>
            <w:r w:rsidRPr="00CA2CC1">
              <w:rPr>
                <w:rFonts w:cs="Calibri"/>
                <w:color w:val="414042"/>
                <w:sz w:val="18"/>
              </w:rPr>
              <w:t>Post-employment</w:t>
            </w:r>
            <w:r w:rsidRPr="00CA2CC1">
              <w:rPr>
                <w:rFonts w:cs="Calibri"/>
                <w:color w:val="414042"/>
                <w:spacing w:val="5"/>
                <w:sz w:val="18"/>
              </w:rPr>
              <w:t xml:space="preserve"> </w:t>
            </w:r>
            <w:r w:rsidRPr="00CA2CC1">
              <w:rPr>
                <w:rFonts w:cs="Calibri"/>
                <w:color w:val="414042"/>
                <w:spacing w:val="-2"/>
                <w:sz w:val="18"/>
              </w:rPr>
              <w:t>benefits</w:t>
            </w:r>
          </w:p>
        </w:tc>
        <w:tc>
          <w:tcPr>
            <w:tcW w:w="1502" w:type="dxa"/>
            <w:tcBorders>
              <w:top w:val="single" w:sz="2" w:space="0" w:color="73777A"/>
              <w:left w:val="nil"/>
              <w:bottom w:val="single" w:sz="2" w:space="0" w:color="73777A"/>
              <w:right w:val="single" w:sz="8" w:space="0" w:color="FFFFFF"/>
            </w:tcBorders>
            <w:shd w:val="clear" w:color="auto" w:fill="FFF0E7"/>
            <w:tcMar>
              <w:right w:w="57" w:type="dxa"/>
            </w:tcMar>
          </w:tcPr>
          <w:p w14:paraId="5750C92B" w14:textId="77777777" w:rsidR="00FA4226" w:rsidRPr="00CA2CC1" w:rsidRDefault="00000000" w:rsidP="0043303B">
            <w:pPr>
              <w:pStyle w:val="TableParagraph"/>
              <w:rPr>
                <w:rFonts w:cs="Calibri"/>
                <w:sz w:val="18"/>
              </w:rPr>
            </w:pPr>
            <w:r w:rsidRPr="00CA2CC1">
              <w:rPr>
                <w:rFonts w:cs="Calibri"/>
                <w:color w:val="414042"/>
                <w:spacing w:val="-2"/>
                <w:sz w:val="18"/>
              </w:rPr>
              <w:t>118,289</w:t>
            </w:r>
          </w:p>
        </w:tc>
        <w:tc>
          <w:tcPr>
            <w:tcW w:w="1502" w:type="dxa"/>
            <w:tcBorders>
              <w:top w:val="single" w:sz="2" w:space="0" w:color="73777A"/>
              <w:left w:val="single" w:sz="8" w:space="0" w:color="FFFFFF"/>
              <w:bottom w:val="single" w:sz="2" w:space="0" w:color="73777A"/>
              <w:right w:val="nil"/>
            </w:tcBorders>
            <w:shd w:val="clear" w:color="auto" w:fill="EDEFF0"/>
            <w:tcMar>
              <w:right w:w="57" w:type="dxa"/>
            </w:tcMar>
          </w:tcPr>
          <w:p w14:paraId="51424E5D" w14:textId="77777777" w:rsidR="00FA4226" w:rsidRPr="00CA2CC1" w:rsidRDefault="00000000" w:rsidP="0043303B">
            <w:pPr>
              <w:pStyle w:val="TableParagraph"/>
              <w:rPr>
                <w:rFonts w:cs="Calibri"/>
                <w:sz w:val="18"/>
              </w:rPr>
            </w:pPr>
            <w:r w:rsidRPr="00CA2CC1">
              <w:rPr>
                <w:rFonts w:cs="Calibri"/>
                <w:color w:val="414042"/>
                <w:spacing w:val="-2"/>
                <w:sz w:val="18"/>
              </w:rPr>
              <w:t>107,381</w:t>
            </w:r>
          </w:p>
        </w:tc>
      </w:tr>
      <w:tr w:rsidR="00FA4226" w:rsidRPr="00CA2CC1" w14:paraId="742232C1" w14:textId="77777777" w:rsidTr="006F6952">
        <w:trPr>
          <w:trHeight w:val="283"/>
        </w:trPr>
        <w:tc>
          <w:tcPr>
            <w:tcW w:w="6633" w:type="dxa"/>
            <w:tcBorders>
              <w:top w:val="single" w:sz="2" w:space="0" w:color="73777A"/>
              <w:left w:val="nil"/>
              <w:bottom w:val="single" w:sz="2" w:space="0" w:color="73777A"/>
              <w:right w:val="nil"/>
            </w:tcBorders>
          </w:tcPr>
          <w:p w14:paraId="5EA34295" w14:textId="77777777" w:rsidR="00FA4226" w:rsidRPr="00CA2CC1" w:rsidRDefault="00000000" w:rsidP="0043303B">
            <w:pPr>
              <w:pStyle w:val="TableParagraph"/>
              <w:jc w:val="left"/>
              <w:rPr>
                <w:rFonts w:cs="Calibri"/>
                <w:sz w:val="18"/>
              </w:rPr>
            </w:pPr>
            <w:r w:rsidRPr="00CA2CC1">
              <w:rPr>
                <w:rFonts w:cs="Calibri"/>
                <w:color w:val="414042"/>
                <w:sz w:val="18"/>
              </w:rPr>
              <w:t>Other</w:t>
            </w:r>
            <w:r w:rsidRPr="00CA2CC1">
              <w:rPr>
                <w:rFonts w:cs="Calibri"/>
                <w:color w:val="414042"/>
                <w:spacing w:val="2"/>
                <w:sz w:val="18"/>
              </w:rPr>
              <w:t xml:space="preserve"> </w:t>
            </w:r>
            <w:r w:rsidRPr="00CA2CC1">
              <w:rPr>
                <w:rFonts w:cs="Calibri"/>
                <w:color w:val="414042"/>
                <w:sz w:val="18"/>
              </w:rPr>
              <w:t>long-term</w:t>
            </w:r>
            <w:r w:rsidRPr="00CA2CC1">
              <w:rPr>
                <w:rFonts w:cs="Calibri"/>
                <w:color w:val="414042"/>
                <w:spacing w:val="4"/>
                <w:sz w:val="18"/>
              </w:rPr>
              <w:t xml:space="preserve"> </w:t>
            </w:r>
            <w:r w:rsidRPr="00CA2CC1">
              <w:rPr>
                <w:rFonts w:cs="Calibri"/>
                <w:color w:val="414042"/>
                <w:spacing w:val="-2"/>
                <w:sz w:val="18"/>
              </w:rPr>
              <w:t>benefits</w:t>
            </w:r>
          </w:p>
        </w:tc>
        <w:tc>
          <w:tcPr>
            <w:tcW w:w="1502" w:type="dxa"/>
            <w:tcBorders>
              <w:top w:val="single" w:sz="2" w:space="0" w:color="73777A"/>
              <w:left w:val="nil"/>
              <w:bottom w:val="single" w:sz="2" w:space="0" w:color="73777A"/>
              <w:right w:val="single" w:sz="8" w:space="0" w:color="FFFFFF"/>
            </w:tcBorders>
            <w:shd w:val="clear" w:color="auto" w:fill="FFF0E7"/>
            <w:tcMar>
              <w:right w:w="57" w:type="dxa"/>
            </w:tcMar>
          </w:tcPr>
          <w:p w14:paraId="383E384E" w14:textId="77777777" w:rsidR="00FA4226" w:rsidRPr="00CA2CC1" w:rsidRDefault="00000000" w:rsidP="0043303B">
            <w:pPr>
              <w:pStyle w:val="TableParagraph"/>
              <w:rPr>
                <w:rFonts w:cs="Calibri"/>
                <w:sz w:val="18"/>
              </w:rPr>
            </w:pPr>
            <w:r w:rsidRPr="00CA2CC1">
              <w:rPr>
                <w:rFonts w:cs="Calibri"/>
                <w:color w:val="414042"/>
                <w:spacing w:val="-2"/>
                <w:sz w:val="18"/>
              </w:rPr>
              <w:t>36,795</w:t>
            </w:r>
          </w:p>
        </w:tc>
        <w:tc>
          <w:tcPr>
            <w:tcW w:w="1502" w:type="dxa"/>
            <w:tcBorders>
              <w:top w:val="single" w:sz="2" w:space="0" w:color="73777A"/>
              <w:left w:val="single" w:sz="8" w:space="0" w:color="FFFFFF"/>
              <w:bottom w:val="single" w:sz="2" w:space="0" w:color="73777A"/>
              <w:right w:val="nil"/>
            </w:tcBorders>
            <w:shd w:val="clear" w:color="auto" w:fill="EDEFF0"/>
            <w:tcMar>
              <w:right w:w="57" w:type="dxa"/>
            </w:tcMar>
          </w:tcPr>
          <w:p w14:paraId="4602CA93" w14:textId="77777777" w:rsidR="00FA4226" w:rsidRPr="00CA2CC1" w:rsidRDefault="00000000" w:rsidP="0043303B">
            <w:pPr>
              <w:pStyle w:val="TableParagraph"/>
              <w:rPr>
                <w:rFonts w:cs="Calibri"/>
                <w:sz w:val="18"/>
              </w:rPr>
            </w:pPr>
            <w:r w:rsidRPr="00CA2CC1">
              <w:rPr>
                <w:rFonts w:cs="Calibri"/>
                <w:color w:val="414042"/>
                <w:spacing w:val="-2"/>
                <w:sz w:val="18"/>
              </w:rPr>
              <w:t>39,059</w:t>
            </w:r>
          </w:p>
        </w:tc>
      </w:tr>
      <w:tr w:rsidR="00FA4226" w:rsidRPr="00CA2CC1" w14:paraId="5DE21122" w14:textId="77777777" w:rsidTr="006F6952">
        <w:trPr>
          <w:trHeight w:val="283"/>
        </w:trPr>
        <w:tc>
          <w:tcPr>
            <w:tcW w:w="6633" w:type="dxa"/>
            <w:tcBorders>
              <w:top w:val="single" w:sz="2" w:space="0" w:color="73777A"/>
              <w:left w:val="nil"/>
              <w:bottom w:val="single" w:sz="2" w:space="0" w:color="73777A"/>
              <w:right w:val="nil"/>
            </w:tcBorders>
          </w:tcPr>
          <w:p w14:paraId="5F020FA5" w14:textId="77777777" w:rsidR="00FA4226" w:rsidRPr="00CA2CC1" w:rsidRDefault="00000000" w:rsidP="0043303B">
            <w:pPr>
              <w:pStyle w:val="TableParagraph"/>
              <w:jc w:val="left"/>
              <w:rPr>
                <w:rFonts w:cs="Calibri"/>
                <w:sz w:val="18"/>
              </w:rPr>
            </w:pPr>
            <w:r w:rsidRPr="00CA2CC1">
              <w:rPr>
                <w:rFonts w:cs="Calibri"/>
                <w:color w:val="414042"/>
                <w:sz w:val="18"/>
              </w:rPr>
              <w:t>Termination</w:t>
            </w:r>
            <w:r w:rsidRPr="00CA2CC1">
              <w:rPr>
                <w:rFonts w:cs="Calibri"/>
                <w:color w:val="414042"/>
                <w:spacing w:val="-6"/>
                <w:sz w:val="18"/>
              </w:rPr>
              <w:t xml:space="preserve"> </w:t>
            </w:r>
            <w:r w:rsidRPr="00CA2CC1">
              <w:rPr>
                <w:rFonts w:cs="Calibri"/>
                <w:color w:val="414042"/>
                <w:spacing w:val="-2"/>
                <w:sz w:val="18"/>
              </w:rPr>
              <w:t>benefits</w:t>
            </w:r>
          </w:p>
        </w:tc>
        <w:tc>
          <w:tcPr>
            <w:tcW w:w="1502" w:type="dxa"/>
            <w:tcBorders>
              <w:top w:val="single" w:sz="2" w:space="0" w:color="73777A"/>
              <w:left w:val="nil"/>
              <w:bottom w:val="single" w:sz="2" w:space="0" w:color="73777A"/>
              <w:right w:val="single" w:sz="8" w:space="0" w:color="FFFFFF"/>
            </w:tcBorders>
            <w:shd w:val="clear" w:color="auto" w:fill="FFF0E7"/>
            <w:tcMar>
              <w:right w:w="57" w:type="dxa"/>
            </w:tcMar>
          </w:tcPr>
          <w:p w14:paraId="6D1F1E9B" w14:textId="77777777" w:rsidR="00FA4226" w:rsidRPr="00CA2CC1" w:rsidRDefault="00000000" w:rsidP="0043303B">
            <w:pPr>
              <w:pStyle w:val="TableParagraph"/>
              <w:rPr>
                <w:rFonts w:cs="Calibri"/>
                <w:sz w:val="18"/>
              </w:rPr>
            </w:pPr>
            <w:r w:rsidRPr="00CA2CC1">
              <w:rPr>
                <w:rFonts w:cs="Calibri"/>
                <w:color w:val="414042"/>
                <w:sz w:val="18"/>
              </w:rPr>
              <w:t>-</w:t>
            </w:r>
          </w:p>
        </w:tc>
        <w:tc>
          <w:tcPr>
            <w:tcW w:w="1502" w:type="dxa"/>
            <w:tcBorders>
              <w:top w:val="single" w:sz="2" w:space="0" w:color="73777A"/>
              <w:left w:val="single" w:sz="8" w:space="0" w:color="FFFFFF"/>
              <w:bottom w:val="single" w:sz="2" w:space="0" w:color="73777A"/>
              <w:right w:val="nil"/>
            </w:tcBorders>
            <w:shd w:val="clear" w:color="auto" w:fill="EDEFF0"/>
            <w:tcMar>
              <w:right w:w="57" w:type="dxa"/>
            </w:tcMar>
          </w:tcPr>
          <w:p w14:paraId="5DE60F33" w14:textId="77777777" w:rsidR="00FA4226" w:rsidRPr="00CA2CC1" w:rsidRDefault="00000000" w:rsidP="0043303B">
            <w:pPr>
              <w:pStyle w:val="TableParagraph"/>
              <w:rPr>
                <w:rFonts w:cs="Calibri"/>
                <w:sz w:val="18"/>
              </w:rPr>
            </w:pPr>
            <w:r w:rsidRPr="00CA2CC1">
              <w:rPr>
                <w:rFonts w:cs="Calibri"/>
                <w:color w:val="414042"/>
                <w:spacing w:val="-2"/>
                <w:sz w:val="18"/>
              </w:rPr>
              <w:t>78,531</w:t>
            </w:r>
          </w:p>
        </w:tc>
      </w:tr>
      <w:tr w:rsidR="00FA4226" w:rsidRPr="00CA2CC1" w14:paraId="530BE2E5" w14:textId="77777777" w:rsidTr="006F6952">
        <w:trPr>
          <w:trHeight w:val="278"/>
        </w:trPr>
        <w:tc>
          <w:tcPr>
            <w:tcW w:w="6633" w:type="dxa"/>
            <w:tcBorders>
              <w:top w:val="single" w:sz="2" w:space="0" w:color="73777A"/>
              <w:left w:val="nil"/>
              <w:bottom w:val="single" w:sz="6" w:space="0" w:color="73777A"/>
              <w:right w:val="nil"/>
            </w:tcBorders>
          </w:tcPr>
          <w:p w14:paraId="44B83DFC" w14:textId="77777777" w:rsidR="00FA4226" w:rsidRPr="00CA2CC1" w:rsidRDefault="00000000" w:rsidP="0043303B">
            <w:pPr>
              <w:pStyle w:val="TableParagraph"/>
              <w:jc w:val="left"/>
              <w:rPr>
                <w:rFonts w:cs="Calibri"/>
                <w:sz w:val="18"/>
              </w:rPr>
            </w:pPr>
            <w:r w:rsidRPr="00CA2CC1">
              <w:rPr>
                <w:rFonts w:cs="Calibri"/>
                <w:color w:val="414042"/>
                <w:sz w:val="18"/>
              </w:rPr>
              <w:t>Total</w:t>
            </w:r>
            <w:r w:rsidRPr="00CA2CC1">
              <w:rPr>
                <w:rFonts w:cs="Calibri"/>
                <w:color w:val="414042"/>
                <w:spacing w:val="-9"/>
                <w:sz w:val="18"/>
              </w:rPr>
              <w:t xml:space="preserve"> </w:t>
            </w:r>
            <w:r w:rsidRPr="00CA2CC1">
              <w:rPr>
                <w:rFonts w:cs="Calibri"/>
                <w:color w:val="414042"/>
                <w:spacing w:val="-2"/>
                <w:sz w:val="18"/>
              </w:rPr>
              <w:t>remuneration</w:t>
            </w:r>
          </w:p>
        </w:tc>
        <w:tc>
          <w:tcPr>
            <w:tcW w:w="1502" w:type="dxa"/>
            <w:tcBorders>
              <w:top w:val="single" w:sz="2" w:space="0" w:color="73777A"/>
              <w:left w:val="nil"/>
              <w:bottom w:val="single" w:sz="6" w:space="0" w:color="73777A"/>
              <w:right w:val="single" w:sz="8" w:space="0" w:color="FFFFFF"/>
            </w:tcBorders>
            <w:shd w:val="clear" w:color="auto" w:fill="FFF0E7"/>
            <w:tcMar>
              <w:right w:w="57" w:type="dxa"/>
            </w:tcMar>
          </w:tcPr>
          <w:p w14:paraId="6B2ED751" w14:textId="77777777" w:rsidR="00FA4226" w:rsidRPr="00CA2CC1" w:rsidRDefault="00000000" w:rsidP="0043303B">
            <w:pPr>
              <w:pStyle w:val="TableParagraph"/>
              <w:rPr>
                <w:rFonts w:cs="Calibri"/>
                <w:sz w:val="18"/>
              </w:rPr>
            </w:pPr>
            <w:r w:rsidRPr="00CA2CC1">
              <w:rPr>
                <w:rFonts w:cs="Calibri"/>
                <w:color w:val="414042"/>
                <w:spacing w:val="-2"/>
                <w:sz w:val="18"/>
              </w:rPr>
              <w:t>1,226,190</w:t>
            </w:r>
          </w:p>
        </w:tc>
        <w:tc>
          <w:tcPr>
            <w:tcW w:w="1502" w:type="dxa"/>
            <w:tcBorders>
              <w:top w:val="single" w:sz="2" w:space="0" w:color="73777A"/>
              <w:left w:val="single" w:sz="8" w:space="0" w:color="FFFFFF"/>
              <w:bottom w:val="single" w:sz="6" w:space="0" w:color="73777A"/>
              <w:right w:val="nil"/>
            </w:tcBorders>
            <w:shd w:val="clear" w:color="auto" w:fill="EDEFF0"/>
            <w:tcMar>
              <w:right w:w="57" w:type="dxa"/>
            </w:tcMar>
          </w:tcPr>
          <w:p w14:paraId="7F073868" w14:textId="77777777" w:rsidR="00FA4226" w:rsidRPr="00CA2CC1" w:rsidRDefault="00000000" w:rsidP="0043303B">
            <w:pPr>
              <w:pStyle w:val="TableParagraph"/>
              <w:rPr>
                <w:rFonts w:cs="Calibri"/>
                <w:sz w:val="18"/>
              </w:rPr>
            </w:pPr>
            <w:r w:rsidRPr="00CA2CC1">
              <w:rPr>
                <w:rFonts w:cs="Calibri"/>
                <w:color w:val="414042"/>
                <w:spacing w:val="-2"/>
                <w:sz w:val="18"/>
              </w:rPr>
              <w:t>1,260,106</w:t>
            </w:r>
          </w:p>
        </w:tc>
      </w:tr>
      <w:tr w:rsidR="00FA4226" w:rsidRPr="00CA2CC1" w14:paraId="45A1CB06" w14:textId="77777777" w:rsidTr="006F6952">
        <w:trPr>
          <w:trHeight w:val="276"/>
        </w:trPr>
        <w:tc>
          <w:tcPr>
            <w:tcW w:w="6633" w:type="dxa"/>
            <w:tcBorders>
              <w:top w:val="single" w:sz="6" w:space="0" w:color="73777A"/>
              <w:left w:val="nil"/>
              <w:bottom w:val="single" w:sz="6" w:space="0" w:color="73777A"/>
              <w:right w:val="nil"/>
            </w:tcBorders>
          </w:tcPr>
          <w:p w14:paraId="0A0C4170" w14:textId="77777777" w:rsidR="00FA4226" w:rsidRPr="00CA2CC1" w:rsidRDefault="00000000" w:rsidP="0043303B">
            <w:pPr>
              <w:pStyle w:val="TableParagraph"/>
              <w:jc w:val="left"/>
              <w:rPr>
                <w:rFonts w:cs="Calibri"/>
                <w:sz w:val="18"/>
              </w:rPr>
            </w:pPr>
            <w:r w:rsidRPr="00CA2CC1">
              <w:rPr>
                <w:rFonts w:cs="Calibri"/>
                <w:color w:val="414042"/>
                <w:sz w:val="18"/>
              </w:rPr>
              <w:t>Total</w:t>
            </w:r>
            <w:r w:rsidRPr="00CA2CC1">
              <w:rPr>
                <w:rFonts w:cs="Calibri"/>
                <w:color w:val="414042"/>
                <w:spacing w:val="-1"/>
                <w:sz w:val="18"/>
              </w:rPr>
              <w:t xml:space="preserve"> </w:t>
            </w:r>
            <w:r w:rsidRPr="00CA2CC1">
              <w:rPr>
                <w:rFonts w:cs="Calibri"/>
                <w:color w:val="414042"/>
                <w:sz w:val="18"/>
              </w:rPr>
              <w:t>number</w:t>
            </w:r>
            <w:r w:rsidRPr="00CA2CC1">
              <w:rPr>
                <w:rFonts w:cs="Calibri"/>
                <w:color w:val="414042"/>
                <w:spacing w:val="1"/>
                <w:sz w:val="18"/>
              </w:rPr>
              <w:t xml:space="preserve"> </w:t>
            </w:r>
            <w:r w:rsidRPr="00CA2CC1">
              <w:rPr>
                <w:rFonts w:cs="Calibri"/>
                <w:color w:val="414042"/>
                <w:sz w:val="18"/>
              </w:rPr>
              <w:t>of</w:t>
            </w:r>
            <w:r w:rsidRPr="00CA2CC1">
              <w:rPr>
                <w:rFonts w:cs="Calibri"/>
                <w:color w:val="414042"/>
                <w:spacing w:val="1"/>
                <w:sz w:val="18"/>
              </w:rPr>
              <w:t xml:space="preserve"> </w:t>
            </w:r>
            <w:r w:rsidRPr="00CA2CC1">
              <w:rPr>
                <w:rFonts w:cs="Calibri"/>
                <w:color w:val="414042"/>
                <w:sz w:val="18"/>
              </w:rPr>
              <w:t>executives</w:t>
            </w:r>
            <w:r w:rsidRPr="00CA2CC1">
              <w:rPr>
                <w:rFonts w:cs="Calibri"/>
                <w:color w:val="414042"/>
                <w:spacing w:val="2"/>
                <w:sz w:val="18"/>
              </w:rPr>
              <w:t xml:space="preserve"> </w:t>
            </w:r>
            <w:r w:rsidRPr="00CA2CC1">
              <w:rPr>
                <w:rFonts w:cs="Calibri"/>
                <w:color w:val="414042"/>
                <w:spacing w:val="-5"/>
                <w:sz w:val="18"/>
              </w:rPr>
              <w:t>(i)</w:t>
            </w:r>
          </w:p>
        </w:tc>
        <w:tc>
          <w:tcPr>
            <w:tcW w:w="1502" w:type="dxa"/>
            <w:tcBorders>
              <w:top w:val="single" w:sz="6" w:space="0" w:color="73777A"/>
              <w:left w:val="nil"/>
              <w:bottom w:val="single" w:sz="6" w:space="0" w:color="73777A"/>
              <w:right w:val="single" w:sz="8" w:space="0" w:color="FFFFFF"/>
            </w:tcBorders>
            <w:shd w:val="clear" w:color="auto" w:fill="FFF0E7"/>
            <w:tcMar>
              <w:right w:w="57" w:type="dxa"/>
            </w:tcMar>
          </w:tcPr>
          <w:p w14:paraId="13371BCA" w14:textId="77777777" w:rsidR="00FA4226" w:rsidRPr="00CA2CC1" w:rsidRDefault="00000000" w:rsidP="0043303B">
            <w:pPr>
              <w:pStyle w:val="TableParagraph"/>
              <w:rPr>
                <w:rFonts w:cs="Calibri"/>
                <w:sz w:val="18"/>
              </w:rPr>
            </w:pPr>
            <w:r w:rsidRPr="00CA2CC1">
              <w:rPr>
                <w:rFonts w:cs="Calibri"/>
                <w:color w:val="414042"/>
                <w:sz w:val="18"/>
              </w:rPr>
              <w:t>5</w:t>
            </w:r>
          </w:p>
        </w:tc>
        <w:tc>
          <w:tcPr>
            <w:tcW w:w="1502" w:type="dxa"/>
            <w:tcBorders>
              <w:top w:val="single" w:sz="6" w:space="0" w:color="73777A"/>
              <w:left w:val="single" w:sz="8" w:space="0" w:color="FFFFFF"/>
              <w:bottom w:val="single" w:sz="6" w:space="0" w:color="73777A"/>
              <w:right w:val="nil"/>
            </w:tcBorders>
            <w:shd w:val="clear" w:color="auto" w:fill="EDEFF0"/>
            <w:tcMar>
              <w:right w:w="57" w:type="dxa"/>
            </w:tcMar>
          </w:tcPr>
          <w:p w14:paraId="4431CD67" w14:textId="77777777" w:rsidR="00FA4226" w:rsidRPr="00CA2CC1" w:rsidRDefault="00000000" w:rsidP="0043303B">
            <w:pPr>
              <w:pStyle w:val="TableParagraph"/>
              <w:rPr>
                <w:rFonts w:cs="Calibri"/>
                <w:sz w:val="18"/>
              </w:rPr>
            </w:pPr>
            <w:r w:rsidRPr="00CA2CC1">
              <w:rPr>
                <w:rFonts w:cs="Calibri"/>
                <w:color w:val="414042"/>
                <w:sz w:val="18"/>
              </w:rPr>
              <w:t>7</w:t>
            </w:r>
          </w:p>
        </w:tc>
      </w:tr>
      <w:tr w:rsidR="00FA4226" w:rsidRPr="00CA2CC1" w14:paraId="2F4EE2C1" w14:textId="77777777" w:rsidTr="006F6952">
        <w:trPr>
          <w:trHeight w:val="262"/>
        </w:trPr>
        <w:tc>
          <w:tcPr>
            <w:tcW w:w="6633" w:type="dxa"/>
            <w:tcBorders>
              <w:top w:val="single" w:sz="6" w:space="0" w:color="73777A"/>
              <w:left w:val="nil"/>
              <w:bottom w:val="double" w:sz="6" w:space="0" w:color="73777A"/>
              <w:right w:val="nil"/>
            </w:tcBorders>
          </w:tcPr>
          <w:p w14:paraId="6AF68084" w14:textId="77777777" w:rsidR="00FA4226" w:rsidRPr="00CA2CC1" w:rsidRDefault="00000000" w:rsidP="0043303B">
            <w:pPr>
              <w:pStyle w:val="TableParagraph"/>
              <w:jc w:val="left"/>
              <w:rPr>
                <w:rFonts w:cs="Calibri"/>
                <w:sz w:val="18"/>
              </w:rPr>
            </w:pPr>
            <w:r w:rsidRPr="00CA2CC1">
              <w:rPr>
                <w:rFonts w:cs="Calibri"/>
                <w:color w:val="414042"/>
                <w:sz w:val="18"/>
              </w:rPr>
              <w:t>Total</w:t>
            </w:r>
            <w:r w:rsidRPr="00CA2CC1">
              <w:rPr>
                <w:rFonts w:cs="Calibri"/>
                <w:color w:val="414042"/>
                <w:spacing w:val="8"/>
                <w:sz w:val="18"/>
              </w:rPr>
              <w:t xml:space="preserve"> </w:t>
            </w:r>
            <w:r w:rsidRPr="00CA2CC1">
              <w:rPr>
                <w:rFonts w:cs="Calibri"/>
                <w:color w:val="414042"/>
                <w:sz w:val="18"/>
              </w:rPr>
              <w:t>annualised</w:t>
            </w:r>
            <w:r w:rsidRPr="00CA2CC1">
              <w:rPr>
                <w:rFonts w:cs="Calibri"/>
                <w:color w:val="414042"/>
                <w:spacing w:val="8"/>
                <w:sz w:val="18"/>
              </w:rPr>
              <w:t xml:space="preserve"> </w:t>
            </w:r>
            <w:r w:rsidRPr="00CA2CC1">
              <w:rPr>
                <w:rFonts w:cs="Calibri"/>
                <w:color w:val="414042"/>
                <w:sz w:val="18"/>
              </w:rPr>
              <w:t>employee</w:t>
            </w:r>
            <w:r w:rsidRPr="00CA2CC1">
              <w:rPr>
                <w:rFonts w:cs="Calibri"/>
                <w:color w:val="414042"/>
                <w:spacing w:val="8"/>
                <w:sz w:val="18"/>
              </w:rPr>
              <w:t xml:space="preserve"> </w:t>
            </w:r>
            <w:r w:rsidRPr="00CA2CC1">
              <w:rPr>
                <w:rFonts w:cs="Calibri"/>
                <w:color w:val="414042"/>
                <w:sz w:val="18"/>
              </w:rPr>
              <w:t>equivalents</w:t>
            </w:r>
            <w:r w:rsidRPr="00CA2CC1">
              <w:rPr>
                <w:rFonts w:cs="Calibri"/>
                <w:color w:val="414042"/>
                <w:spacing w:val="8"/>
                <w:sz w:val="18"/>
              </w:rPr>
              <w:t xml:space="preserve"> </w:t>
            </w:r>
            <w:r w:rsidRPr="00CA2CC1">
              <w:rPr>
                <w:rFonts w:cs="Calibri"/>
                <w:color w:val="414042"/>
                <w:spacing w:val="-4"/>
                <w:sz w:val="18"/>
              </w:rPr>
              <w:t>(ii)</w:t>
            </w:r>
          </w:p>
        </w:tc>
        <w:tc>
          <w:tcPr>
            <w:tcW w:w="1502" w:type="dxa"/>
            <w:tcBorders>
              <w:top w:val="single" w:sz="6" w:space="0" w:color="73777A"/>
              <w:left w:val="nil"/>
              <w:bottom w:val="double" w:sz="4" w:space="0" w:color="73777A"/>
              <w:right w:val="single" w:sz="8" w:space="0" w:color="FFFFFF"/>
            </w:tcBorders>
            <w:shd w:val="clear" w:color="auto" w:fill="FFF0E7"/>
            <w:tcMar>
              <w:right w:w="57" w:type="dxa"/>
            </w:tcMar>
          </w:tcPr>
          <w:p w14:paraId="0DAD31E8" w14:textId="77777777" w:rsidR="00FA4226" w:rsidRPr="00CA2CC1" w:rsidRDefault="00000000" w:rsidP="0043303B">
            <w:pPr>
              <w:pStyle w:val="TableParagraph"/>
              <w:rPr>
                <w:rFonts w:cs="Calibri"/>
                <w:sz w:val="18"/>
              </w:rPr>
            </w:pPr>
            <w:r w:rsidRPr="00CA2CC1">
              <w:rPr>
                <w:rFonts w:cs="Calibri"/>
                <w:color w:val="414042"/>
                <w:spacing w:val="-5"/>
                <w:sz w:val="18"/>
              </w:rPr>
              <w:t>4.8</w:t>
            </w:r>
          </w:p>
        </w:tc>
        <w:tc>
          <w:tcPr>
            <w:tcW w:w="1502" w:type="dxa"/>
            <w:tcBorders>
              <w:top w:val="single" w:sz="6" w:space="0" w:color="73777A"/>
              <w:left w:val="single" w:sz="8" w:space="0" w:color="FFFFFF"/>
              <w:bottom w:val="double" w:sz="4" w:space="0" w:color="73777A"/>
              <w:right w:val="nil"/>
            </w:tcBorders>
            <w:shd w:val="clear" w:color="auto" w:fill="EDEFF0"/>
            <w:tcMar>
              <w:right w:w="57" w:type="dxa"/>
            </w:tcMar>
          </w:tcPr>
          <w:p w14:paraId="48603E9D" w14:textId="77777777" w:rsidR="00FA4226" w:rsidRPr="00CA2CC1" w:rsidRDefault="00000000" w:rsidP="0043303B">
            <w:pPr>
              <w:pStyle w:val="TableParagraph"/>
              <w:rPr>
                <w:rFonts w:cs="Calibri"/>
                <w:sz w:val="18"/>
              </w:rPr>
            </w:pPr>
            <w:r w:rsidRPr="00CA2CC1">
              <w:rPr>
                <w:rFonts w:cs="Calibri"/>
                <w:color w:val="414042"/>
                <w:spacing w:val="-5"/>
                <w:sz w:val="18"/>
              </w:rPr>
              <w:t>4.5</w:t>
            </w:r>
          </w:p>
        </w:tc>
      </w:tr>
    </w:tbl>
    <w:p w14:paraId="005DD82A" w14:textId="77777777" w:rsidR="00FA4226" w:rsidRPr="00CA2CC1" w:rsidRDefault="00FA4226" w:rsidP="0043303B">
      <w:pPr>
        <w:pStyle w:val="BodyText"/>
        <w:spacing w:before="10"/>
        <w:rPr>
          <w:rFonts w:cs="Calibri"/>
          <w:sz w:val="14"/>
        </w:rPr>
      </w:pPr>
    </w:p>
    <w:p w14:paraId="2B3A72C4" w14:textId="77777777" w:rsidR="00FA4226" w:rsidRPr="00CA2CC1" w:rsidRDefault="00000000" w:rsidP="0043303B">
      <w:pPr>
        <w:pStyle w:val="ListParagraph"/>
        <w:numPr>
          <w:ilvl w:val="0"/>
          <w:numId w:val="3"/>
        </w:numPr>
        <w:spacing w:before="68"/>
        <w:ind w:left="0" w:firstLine="0"/>
        <w:rPr>
          <w:rFonts w:cs="Calibri"/>
          <w:i/>
          <w:sz w:val="16"/>
        </w:rPr>
      </w:pPr>
      <w:r w:rsidRPr="00CA2CC1">
        <w:rPr>
          <w:rFonts w:cs="Calibri"/>
          <w:i/>
          <w:color w:val="414042"/>
          <w:sz w:val="16"/>
        </w:rPr>
        <w:t>The</w:t>
      </w:r>
      <w:r w:rsidRPr="00CA2CC1">
        <w:rPr>
          <w:rFonts w:cs="Calibri"/>
          <w:i/>
          <w:color w:val="414042"/>
          <w:spacing w:val="-4"/>
          <w:sz w:val="16"/>
        </w:rPr>
        <w:t xml:space="preserve"> </w:t>
      </w:r>
      <w:r w:rsidRPr="00CA2CC1">
        <w:rPr>
          <w:rFonts w:cs="Calibri"/>
          <w:i/>
          <w:color w:val="414042"/>
          <w:sz w:val="16"/>
        </w:rPr>
        <w:t>total</w:t>
      </w:r>
      <w:r w:rsidRPr="00CA2CC1">
        <w:rPr>
          <w:rFonts w:cs="Calibri"/>
          <w:i/>
          <w:color w:val="414042"/>
          <w:spacing w:val="-4"/>
          <w:sz w:val="16"/>
        </w:rPr>
        <w:t xml:space="preserve"> </w:t>
      </w:r>
      <w:r w:rsidRPr="00CA2CC1">
        <w:rPr>
          <w:rFonts w:cs="Calibri"/>
          <w:i/>
          <w:color w:val="414042"/>
          <w:sz w:val="16"/>
        </w:rPr>
        <w:t>number</w:t>
      </w:r>
      <w:r w:rsidRPr="00CA2CC1">
        <w:rPr>
          <w:rFonts w:cs="Calibri"/>
          <w:i/>
          <w:color w:val="414042"/>
          <w:spacing w:val="-4"/>
          <w:sz w:val="16"/>
        </w:rPr>
        <w:t xml:space="preserve"> </w:t>
      </w:r>
      <w:r w:rsidRPr="00CA2CC1">
        <w:rPr>
          <w:rFonts w:cs="Calibri"/>
          <w:i/>
          <w:color w:val="414042"/>
          <w:sz w:val="16"/>
        </w:rPr>
        <w:t>of</w:t>
      </w:r>
      <w:r w:rsidRPr="00CA2CC1">
        <w:rPr>
          <w:rFonts w:cs="Calibri"/>
          <w:i/>
          <w:color w:val="414042"/>
          <w:spacing w:val="-4"/>
          <w:sz w:val="16"/>
        </w:rPr>
        <w:t xml:space="preserve"> </w:t>
      </w:r>
      <w:r w:rsidRPr="00CA2CC1">
        <w:rPr>
          <w:rFonts w:cs="Calibri"/>
          <w:i/>
          <w:color w:val="414042"/>
          <w:sz w:val="16"/>
        </w:rPr>
        <w:t>executive</w:t>
      </w:r>
      <w:r w:rsidRPr="00CA2CC1">
        <w:rPr>
          <w:rFonts w:cs="Calibri"/>
          <w:i/>
          <w:color w:val="414042"/>
          <w:spacing w:val="-4"/>
          <w:sz w:val="16"/>
        </w:rPr>
        <w:t xml:space="preserve"> </w:t>
      </w:r>
      <w:r w:rsidRPr="00CA2CC1">
        <w:rPr>
          <w:rFonts w:cs="Calibri"/>
          <w:i/>
          <w:color w:val="414042"/>
          <w:sz w:val="16"/>
        </w:rPr>
        <w:t>officers</w:t>
      </w:r>
      <w:r w:rsidRPr="00CA2CC1">
        <w:rPr>
          <w:rFonts w:cs="Calibri"/>
          <w:i/>
          <w:color w:val="414042"/>
          <w:spacing w:val="-4"/>
          <w:sz w:val="16"/>
        </w:rPr>
        <w:t xml:space="preserve"> </w:t>
      </w:r>
      <w:r w:rsidRPr="00CA2CC1">
        <w:rPr>
          <w:rFonts w:cs="Calibri"/>
          <w:i/>
          <w:color w:val="414042"/>
          <w:sz w:val="16"/>
        </w:rPr>
        <w:t>includes</w:t>
      </w:r>
      <w:r w:rsidRPr="00CA2CC1">
        <w:rPr>
          <w:rFonts w:cs="Calibri"/>
          <w:i/>
          <w:color w:val="414042"/>
          <w:spacing w:val="-4"/>
          <w:sz w:val="16"/>
        </w:rPr>
        <w:t xml:space="preserve"> </w:t>
      </w:r>
      <w:r w:rsidRPr="00CA2CC1">
        <w:rPr>
          <w:rFonts w:cs="Calibri"/>
          <w:i/>
          <w:color w:val="414042"/>
          <w:sz w:val="16"/>
        </w:rPr>
        <w:t>persons</w:t>
      </w:r>
      <w:r w:rsidRPr="00CA2CC1">
        <w:rPr>
          <w:rFonts w:cs="Calibri"/>
          <w:i/>
          <w:color w:val="414042"/>
          <w:spacing w:val="-4"/>
          <w:sz w:val="16"/>
        </w:rPr>
        <w:t xml:space="preserve"> </w:t>
      </w:r>
      <w:r w:rsidRPr="00CA2CC1">
        <w:rPr>
          <w:rFonts w:cs="Calibri"/>
          <w:i/>
          <w:color w:val="414042"/>
          <w:sz w:val="16"/>
        </w:rPr>
        <w:t>who</w:t>
      </w:r>
      <w:r w:rsidRPr="00CA2CC1">
        <w:rPr>
          <w:rFonts w:cs="Calibri"/>
          <w:i/>
          <w:color w:val="414042"/>
          <w:spacing w:val="-4"/>
          <w:sz w:val="16"/>
        </w:rPr>
        <w:t xml:space="preserve"> </w:t>
      </w:r>
      <w:r w:rsidRPr="00CA2CC1">
        <w:rPr>
          <w:rFonts w:cs="Calibri"/>
          <w:i/>
          <w:color w:val="414042"/>
          <w:sz w:val="16"/>
        </w:rPr>
        <w:t>meet the definition of key management personnel of the entity under AASB 124 Related Party Disclosures and are also reported within the related parties note disclosure (note 8.3).</w:t>
      </w:r>
    </w:p>
    <w:p w14:paraId="7C5182D2" w14:textId="77777777" w:rsidR="00FA4226" w:rsidRPr="00CA2CC1" w:rsidRDefault="00000000" w:rsidP="0043303B">
      <w:pPr>
        <w:pStyle w:val="ListParagraph"/>
        <w:numPr>
          <w:ilvl w:val="0"/>
          <w:numId w:val="3"/>
        </w:numPr>
        <w:spacing w:before="0"/>
        <w:ind w:left="0" w:firstLine="0"/>
        <w:rPr>
          <w:rFonts w:cs="Calibri"/>
          <w:i/>
          <w:sz w:val="16"/>
        </w:rPr>
      </w:pPr>
      <w:r w:rsidRPr="00CA2CC1">
        <w:rPr>
          <w:rFonts w:cs="Calibri"/>
          <w:i/>
          <w:color w:val="414042"/>
          <w:sz w:val="16"/>
        </w:rPr>
        <w:t>Annualised</w:t>
      </w:r>
      <w:r w:rsidRPr="00CA2CC1">
        <w:rPr>
          <w:rFonts w:cs="Calibri"/>
          <w:i/>
          <w:color w:val="414042"/>
          <w:spacing w:val="-4"/>
          <w:sz w:val="16"/>
        </w:rPr>
        <w:t xml:space="preserve"> </w:t>
      </w:r>
      <w:r w:rsidRPr="00CA2CC1">
        <w:rPr>
          <w:rFonts w:cs="Calibri"/>
          <w:i/>
          <w:color w:val="414042"/>
          <w:sz w:val="16"/>
        </w:rPr>
        <w:t>employee</w:t>
      </w:r>
      <w:r w:rsidRPr="00CA2CC1">
        <w:rPr>
          <w:rFonts w:cs="Calibri"/>
          <w:i/>
          <w:color w:val="414042"/>
          <w:spacing w:val="-4"/>
          <w:sz w:val="16"/>
        </w:rPr>
        <w:t xml:space="preserve"> </w:t>
      </w:r>
      <w:r w:rsidRPr="00CA2CC1">
        <w:rPr>
          <w:rFonts w:cs="Calibri"/>
          <w:i/>
          <w:color w:val="414042"/>
          <w:sz w:val="16"/>
        </w:rPr>
        <w:t>equivalent</w:t>
      </w:r>
      <w:r w:rsidRPr="00CA2CC1">
        <w:rPr>
          <w:rFonts w:cs="Calibri"/>
          <w:i/>
          <w:color w:val="414042"/>
          <w:spacing w:val="-4"/>
          <w:sz w:val="16"/>
        </w:rPr>
        <w:t xml:space="preserve"> </w:t>
      </w:r>
      <w:r w:rsidRPr="00CA2CC1">
        <w:rPr>
          <w:rFonts w:cs="Calibri"/>
          <w:i/>
          <w:color w:val="414042"/>
          <w:sz w:val="16"/>
        </w:rPr>
        <w:t>is</w:t>
      </w:r>
      <w:r w:rsidRPr="00CA2CC1">
        <w:rPr>
          <w:rFonts w:cs="Calibri"/>
          <w:i/>
          <w:color w:val="414042"/>
          <w:spacing w:val="-4"/>
          <w:sz w:val="16"/>
        </w:rPr>
        <w:t xml:space="preserve"> </w:t>
      </w:r>
      <w:r w:rsidRPr="00CA2CC1">
        <w:rPr>
          <w:rFonts w:cs="Calibri"/>
          <w:i/>
          <w:color w:val="414042"/>
          <w:sz w:val="16"/>
        </w:rPr>
        <w:t>based</w:t>
      </w:r>
      <w:r w:rsidRPr="00CA2CC1">
        <w:rPr>
          <w:rFonts w:cs="Calibri"/>
          <w:i/>
          <w:color w:val="414042"/>
          <w:spacing w:val="-4"/>
          <w:sz w:val="16"/>
        </w:rPr>
        <w:t xml:space="preserve"> </w:t>
      </w:r>
      <w:r w:rsidRPr="00CA2CC1">
        <w:rPr>
          <w:rFonts w:cs="Calibri"/>
          <w:i/>
          <w:color w:val="414042"/>
          <w:sz w:val="16"/>
        </w:rPr>
        <w:t>on</w:t>
      </w:r>
      <w:r w:rsidRPr="00CA2CC1">
        <w:rPr>
          <w:rFonts w:cs="Calibri"/>
          <w:i/>
          <w:color w:val="414042"/>
          <w:spacing w:val="-4"/>
          <w:sz w:val="16"/>
        </w:rPr>
        <w:t xml:space="preserve"> </w:t>
      </w:r>
      <w:r w:rsidRPr="00CA2CC1">
        <w:rPr>
          <w:rFonts w:cs="Calibri"/>
          <w:i/>
          <w:color w:val="414042"/>
          <w:sz w:val="16"/>
        </w:rPr>
        <w:t>the</w:t>
      </w:r>
      <w:r w:rsidRPr="00CA2CC1">
        <w:rPr>
          <w:rFonts w:cs="Calibri"/>
          <w:i/>
          <w:color w:val="414042"/>
          <w:spacing w:val="-4"/>
          <w:sz w:val="16"/>
        </w:rPr>
        <w:t xml:space="preserve"> </w:t>
      </w:r>
      <w:r w:rsidRPr="00CA2CC1">
        <w:rPr>
          <w:rFonts w:cs="Calibri"/>
          <w:i/>
          <w:color w:val="414042"/>
          <w:sz w:val="16"/>
        </w:rPr>
        <w:t>time</w:t>
      </w:r>
      <w:r w:rsidRPr="00CA2CC1">
        <w:rPr>
          <w:rFonts w:cs="Calibri"/>
          <w:i/>
          <w:color w:val="414042"/>
          <w:spacing w:val="-4"/>
          <w:sz w:val="16"/>
        </w:rPr>
        <w:t xml:space="preserve"> </w:t>
      </w:r>
      <w:r w:rsidRPr="00CA2CC1">
        <w:rPr>
          <w:rFonts w:cs="Calibri"/>
          <w:i/>
          <w:color w:val="414042"/>
          <w:sz w:val="16"/>
        </w:rPr>
        <w:t>fraction worked over the reporting period.</w:t>
      </w:r>
    </w:p>
    <w:p w14:paraId="5E14B4AA" w14:textId="77777777" w:rsidR="00FA4226" w:rsidRPr="00CA2CC1" w:rsidRDefault="00FA4226" w:rsidP="0043303B">
      <w:pPr>
        <w:pStyle w:val="BodyText"/>
        <w:rPr>
          <w:rFonts w:cs="Calibri"/>
          <w:i/>
          <w:sz w:val="20"/>
        </w:rPr>
      </w:pPr>
    </w:p>
    <w:p w14:paraId="65A78257" w14:textId="77777777" w:rsidR="002F5BA1" w:rsidRPr="005B49BC" w:rsidRDefault="002F5BA1" w:rsidP="0043303B">
      <w:pPr>
        <w:pStyle w:val="Heading7"/>
        <w:numPr>
          <w:ilvl w:val="1"/>
          <w:numId w:val="4"/>
        </w:numPr>
        <w:spacing w:before="60"/>
        <w:ind w:left="0" w:firstLine="0"/>
        <w:jc w:val="left"/>
        <w:rPr>
          <w:rFonts w:cs="Calibri"/>
          <w:color w:val="000000" w:themeColor="text1"/>
        </w:rPr>
      </w:pPr>
      <w:r w:rsidRPr="005B49BC">
        <w:rPr>
          <w:rFonts w:cs="Calibri"/>
          <w:color w:val="000000" w:themeColor="text1"/>
        </w:rPr>
        <w:t xml:space="preserve">Related </w:t>
      </w:r>
      <w:r w:rsidRPr="005B49BC">
        <w:rPr>
          <w:rFonts w:cs="Calibri"/>
          <w:color w:val="000000" w:themeColor="text1"/>
          <w:spacing w:val="-2"/>
        </w:rPr>
        <w:t>parties</w:t>
      </w:r>
    </w:p>
    <w:p w14:paraId="664028FB" w14:textId="77777777" w:rsidR="002F5BA1" w:rsidRPr="00CA2CC1" w:rsidRDefault="002F5BA1" w:rsidP="0043303B">
      <w:pPr>
        <w:pStyle w:val="BodyText"/>
        <w:spacing w:before="112"/>
        <w:rPr>
          <w:rFonts w:cs="Calibri"/>
        </w:rPr>
      </w:pPr>
      <w:r w:rsidRPr="00CA2CC1">
        <w:rPr>
          <w:rFonts w:cs="Calibri"/>
          <w:color w:val="414042"/>
        </w:rPr>
        <w:t>Infrastructure</w:t>
      </w:r>
      <w:r w:rsidRPr="00CA2CC1">
        <w:rPr>
          <w:rFonts w:cs="Calibri"/>
          <w:color w:val="414042"/>
          <w:spacing w:val="-6"/>
        </w:rPr>
        <w:t xml:space="preserve"> </w:t>
      </w:r>
      <w:r w:rsidRPr="00CA2CC1">
        <w:rPr>
          <w:rFonts w:cs="Calibri"/>
          <w:color w:val="414042"/>
        </w:rPr>
        <w:t>Victoria</w:t>
      </w:r>
      <w:r w:rsidRPr="00CA2CC1">
        <w:rPr>
          <w:rFonts w:cs="Calibri"/>
          <w:color w:val="414042"/>
          <w:spacing w:val="-6"/>
        </w:rPr>
        <w:t xml:space="preserve"> </w:t>
      </w:r>
      <w:r w:rsidRPr="00CA2CC1">
        <w:rPr>
          <w:rFonts w:cs="Calibri"/>
          <w:color w:val="414042"/>
        </w:rPr>
        <w:t>is</w:t>
      </w:r>
      <w:r w:rsidRPr="00CA2CC1">
        <w:rPr>
          <w:rFonts w:cs="Calibri"/>
          <w:color w:val="414042"/>
          <w:spacing w:val="-6"/>
        </w:rPr>
        <w:t xml:space="preserve"> </w:t>
      </w:r>
      <w:r w:rsidRPr="00CA2CC1">
        <w:rPr>
          <w:rFonts w:cs="Calibri"/>
          <w:color w:val="414042"/>
        </w:rPr>
        <w:t>a</w:t>
      </w:r>
      <w:r w:rsidRPr="00CA2CC1">
        <w:rPr>
          <w:rFonts w:cs="Calibri"/>
          <w:color w:val="414042"/>
          <w:spacing w:val="-6"/>
        </w:rPr>
        <w:t xml:space="preserve"> </w:t>
      </w:r>
      <w:r w:rsidRPr="00CA2CC1">
        <w:rPr>
          <w:rFonts w:cs="Calibri"/>
          <w:color w:val="414042"/>
        </w:rPr>
        <w:t>wholly</w:t>
      </w:r>
      <w:r w:rsidRPr="00CA2CC1">
        <w:rPr>
          <w:rFonts w:cs="Calibri"/>
          <w:color w:val="414042"/>
          <w:spacing w:val="-6"/>
        </w:rPr>
        <w:t xml:space="preserve"> </w:t>
      </w:r>
      <w:r w:rsidRPr="00CA2CC1">
        <w:rPr>
          <w:rFonts w:cs="Calibri"/>
          <w:color w:val="414042"/>
        </w:rPr>
        <w:t>owned</w:t>
      </w:r>
      <w:r w:rsidRPr="00CA2CC1">
        <w:rPr>
          <w:rFonts w:cs="Calibri"/>
          <w:color w:val="414042"/>
          <w:spacing w:val="-6"/>
        </w:rPr>
        <w:t xml:space="preserve"> </w:t>
      </w:r>
      <w:r w:rsidRPr="00CA2CC1">
        <w:rPr>
          <w:rFonts w:cs="Calibri"/>
          <w:color w:val="414042"/>
        </w:rPr>
        <w:t>and</w:t>
      </w:r>
      <w:r w:rsidRPr="00CA2CC1">
        <w:rPr>
          <w:rFonts w:cs="Calibri"/>
          <w:color w:val="414042"/>
          <w:spacing w:val="-6"/>
        </w:rPr>
        <w:t xml:space="preserve"> </w:t>
      </w:r>
      <w:r w:rsidRPr="00CA2CC1">
        <w:rPr>
          <w:rFonts w:cs="Calibri"/>
          <w:color w:val="414042"/>
        </w:rPr>
        <w:t>controlled</w:t>
      </w:r>
      <w:r w:rsidRPr="00CA2CC1">
        <w:rPr>
          <w:rFonts w:cs="Calibri"/>
          <w:color w:val="414042"/>
          <w:spacing w:val="-6"/>
        </w:rPr>
        <w:t xml:space="preserve"> </w:t>
      </w:r>
      <w:r w:rsidRPr="00CA2CC1">
        <w:rPr>
          <w:rFonts w:cs="Calibri"/>
          <w:color w:val="414042"/>
        </w:rPr>
        <w:t>entity of the State of Victoria. Related parties of Infrastructure Victoria include:</w:t>
      </w:r>
    </w:p>
    <w:p w14:paraId="46711C2B" w14:textId="77777777" w:rsidR="002F5BA1" w:rsidRPr="00CA2CC1" w:rsidRDefault="002F5BA1" w:rsidP="0043303B">
      <w:pPr>
        <w:pStyle w:val="ListParagraph"/>
        <w:numPr>
          <w:ilvl w:val="0"/>
          <w:numId w:val="60"/>
        </w:numPr>
        <w:spacing w:before="117"/>
        <w:rPr>
          <w:rFonts w:cs="Calibri"/>
          <w:szCs w:val="22"/>
        </w:rPr>
      </w:pPr>
      <w:r w:rsidRPr="00CA2CC1">
        <w:rPr>
          <w:rFonts w:cs="Calibri"/>
          <w:color w:val="414042"/>
          <w:szCs w:val="22"/>
        </w:rPr>
        <w:t>all</w:t>
      </w:r>
      <w:r w:rsidRPr="00CA2CC1">
        <w:rPr>
          <w:rFonts w:cs="Calibri"/>
          <w:color w:val="414042"/>
          <w:spacing w:val="-6"/>
          <w:szCs w:val="22"/>
        </w:rPr>
        <w:t xml:space="preserve"> </w:t>
      </w:r>
      <w:r w:rsidRPr="00CA2CC1">
        <w:rPr>
          <w:rFonts w:cs="Calibri"/>
          <w:color w:val="414042"/>
          <w:szCs w:val="22"/>
        </w:rPr>
        <w:t>key</w:t>
      </w:r>
      <w:r w:rsidRPr="00CA2CC1">
        <w:rPr>
          <w:rFonts w:cs="Calibri"/>
          <w:color w:val="414042"/>
          <w:spacing w:val="-6"/>
          <w:szCs w:val="22"/>
        </w:rPr>
        <w:t xml:space="preserve"> </w:t>
      </w:r>
      <w:r w:rsidRPr="00CA2CC1">
        <w:rPr>
          <w:rFonts w:cs="Calibri"/>
          <w:color w:val="414042"/>
          <w:szCs w:val="22"/>
        </w:rPr>
        <w:t>management</w:t>
      </w:r>
      <w:r w:rsidRPr="00CA2CC1">
        <w:rPr>
          <w:rFonts w:cs="Calibri"/>
          <w:color w:val="414042"/>
          <w:spacing w:val="-6"/>
          <w:szCs w:val="22"/>
        </w:rPr>
        <w:t xml:space="preserve"> </w:t>
      </w:r>
      <w:r w:rsidRPr="00CA2CC1">
        <w:rPr>
          <w:rFonts w:cs="Calibri"/>
          <w:color w:val="414042"/>
          <w:szCs w:val="22"/>
        </w:rPr>
        <w:t>personnel</w:t>
      </w:r>
      <w:r w:rsidRPr="00CA2CC1">
        <w:rPr>
          <w:rFonts w:cs="Calibri"/>
          <w:color w:val="414042"/>
          <w:spacing w:val="-6"/>
          <w:szCs w:val="22"/>
        </w:rPr>
        <w:t xml:space="preserve"> </w:t>
      </w:r>
      <w:r w:rsidRPr="00CA2CC1">
        <w:rPr>
          <w:rFonts w:cs="Calibri"/>
          <w:color w:val="414042"/>
          <w:szCs w:val="22"/>
        </w:rPr>
        <w:t>and</w:t>
      </w:r>
      <w:r w:rsidRPr="00CA2CC1">
        <w:rPr>
          <w:rFonts w:cs="Calibri"/>
          <w:color w:val="414042"/>
          <w:spacing w:val="-6"/>
          <w:szCs w:val="22"/>
        </w:rPr>
        <w:t xml:space="preserve"> </w:t>
      </w:r>
      <w:r w:rsidRPr="00CA2CC1">
        <w:rPr>
          <w:rFonts w:cs="Calibri"/>
          <w:color w:val="414042"/>
          <w:szCs w:val="22"/>
        </w:rPr>
        <w:t>their</w:t>
      </w:r>
      <w:r w:rsidRPr="00CA2CC1">
        <w:rPr>
          <w:rFonts w:cs="Calibri"/>
          <w:color w:val="414042"/>
          <w:spacing w:val="-6"/>
          <w:szCs w:val="22"/>
        </w:rPr>
        <w:t xml:space="preserve"> </w:t>
      </w:r>
      <w:r w:rsidRPr="00CA2CC1">
        <w:rPr>
          <w:rFonts w:cs="Calibri"/>
          <w:color w:val="414042"/>
          <w:szCs w:val="22"/>
        </w:rPr>
        <w:t>close</w:t>
      </w:r>
      <w:r w:rsidRPr="00CA2CC1">
        <w:rPr>
          <w:rFonts w:cs="Calibri"/>
          <w:color w:val="414042"/>
          <w:spacing w:val="-6"/>
          <w:szCs w:val="22"/>
        </w:rPr>
        <w:t xml:space="preserve"> </w:t>
      </w:r>
      <w:r w:rsidRPr="00CA2CC1">
        <w:rPr>
          <w:rFonts w:cs="Calibri"/>
          <w:color w:val="414042"/>
          <w:szCs w:val="22"/>
        </w:rPr>
        <w:t xml:space="preserve">family </w:t>
      </w:r>
      <w:r w:rsidRPr="00CA2CC1">
        <w:rPr>
          <w:rFonts w:cs="Calibri"/>
          <w:color w:val="414042"/>
          <w:spacing w:val="-2"/>
          <w:szCs w:val="22"/>
        </w:rPr>
        <w:t>members;</w:t>
      </w:r>
    </w:p>
    <w:p w14:paraId="7C52888A" w14:textId="77777777" w:rsidR="002F5BA1" w:rsidRPr="00CA2CC1" w:rsidRDefault="002F5BA1" w:rsidP="0043303B">
      <w:pPr>
        <w:pStyle w:val="ListParagraph"/>
        <w:numPr>
          <w:ilvl w:val="0"/>
          <w:numId w:val="60"/>
        </w:numPr>
        <w:spacing w:before="111"/>
        <w:rPr>
          <w:rFonts w:cs="Calibri"/>
          <w:szCs w:val="22"/>
        </w:rPr>
      </w:pPr>
      <w:r w:rsidRPr="00CA2CC1">
        <w:rPr>
          <w:rFonts w:cs="Calibri"/>
          <w:color w:val="414042"/>
          <w:szCs w:val="22"/>
        </w:rPr>
        <w:t xml:space="preserve">all cabinet ministers and their close family members; </w:t>
      </w:r>
      <w:r w:rsidRPr="00CA2CC1">
        <w:rPr>
          <w:rFonts w:cs="Calibri"/>
          <w:color w:val="414042"/>
          <w:spacing w:val="-5"/>
          <w:szCs w:val="22"/>
        </w:rPr>
        <w:t>and</w:t>
      </w:r>
    </w:p>
    <w:p w14:paraId="4A9589D5" w14:textId="42FD9E34" w:rsidR="00FA4226" w:rsidRPr="00CA2CC1" w:rsidRDefault="002F5BA1" w:rsidP="0043303B">
      <w:pPr>
        <w:pStyle w:val="ListParagraph"/>
        <w:numPr>
          <w:ilvl w:val="0"/>
          <w:numId w:val="60"/>
        </w:numPr>
        <w:spacing w:before="118"/>
        <w:rPr>
          <w:rFonts w:cs="Calibri"/>
          <w:sz w:val="20"/>
        </w:rPr>
      </w:pPr>
      <w:r w:rsidRPr="00CA2CC1">
        <w:rPr>
          <w:rFonts w:cs="Calibri"/>
          <w:color w:val="414042"/>
          <w:szCs w:val="22"/>
        </w:rPr>
        <w:t>all departments and public sector entities that are controlled</w:t>
      </w:r>
      <w:r w:rsidRPr="00CA2CC1">
        <w:rPr>
          <w:rFonts w:cs="Calibri"/>
          <w:color w:val="414042"/>
          <w:spacing w:val="-6"/>
          <w:szCs w:val="22"/>
        </w:rPr>
        <w:t xml:space="preserve"> </w:t>
      </w:r>
      <w:r w:rsidRPr="00CA2CC1">
        <w:rPr>
          <w:rFonts w:cs="Calibri"/>
          <w:color w:val="414042"/>
          <w:szCs w:val="22"/>
        </w:rPr>
        <w:t>and</w:t>
      </w:r>
      <w:r w:rsidRPr="00CA2CC1">
        <w:rPr>
          <w:rFonts w:cs="Calibri"/>
          <w:color w:val="414042"/>
          <w:spacing w:val="-6"/>
          <w:szCs w:val="22"/>
        </w:rPr>
        <w:t xml:space="preserve"> </w:t>
      </w:r>
      <w:r w:rsidRPr="00CA2CC1">
        <w:rPr>
          <w:rFonts w:cs="Calibri"/>
          <w:color w:val="414042"/>
          <w:szCs w:val="22"/>
        </w:rPr>
        <w:t>consolidated</w:t>
      </w:r>
      <w:r w:rsidRPr="00CA2CC1">
        <w:rPr>
          <w:rFonts w:cs="Calibri"/>
          <w:color w:val="414042"/>
          <w:spacing w:val="-6"/>
          <w:szCs w:val="22"/>
        </w:rPr>
        <w:t xml:space="preserve"> </w:t>
      </w:r>
      <w:r w:rsidRPr="00CA2CC1">
        <w:rPr>
          <w:rFonts w:cs="Calibri"/>
          <w:color w:val="414042"/>
          <w:szCs w:val="22"/>
        </w:rPr>
        <w:t>into</w:t>
      </w:r>
      <w:r w:rsidRPr="00CA2CC1">
        <w:rPr>
          <w:rFonts w:cs="Calibri"/>
          <w:color w:val="414042"/>
          <w:spacing w:val="-6"/>
          <w:szCs w:val="22"/>
        </w:rPr>
        <w:t xml:space="preserve"> </w:t>
      </w:r>
      <w:r w:rsidRPr="00CA2CC1">
        <w:rPr>
          <w:rFonts w:cs="Calibri"/>
          <w:color w:val="414042"/>
          <w:szCs w:val="22"/>
        </w:rPr>
        <w:t>the</w:t>
      </w:r>
      <w:r w:rsidRPr="00CA2CC1">
        <w:rPr>
          <w:rFonts w:cs="Calibri"/>
          <w:color w:val="414042"/>
          <w:spacing w:val="-6"/>
          <w:szCs w:val="22"/>
        </w:rPr>
        <w:t xml:space="preserve"> </w:t>
      </w:r>
      <w:r w:rsidRPr="00CA2CC1">
        <w:rPr>
          <w:rFonts w:cs="Calibri"/>
          <w:color w:val="414042"/>
          <w:szCs w:val="22"/>
        </w:rPr>
        <w:t>whole</w:t>
      </w:r>
      <w:r w:rsidRPr="00CA2CC1">
        <w:rPr>
          <w:rFonts w:cs="Calibri"/>
          <w:color w:val="414042"/>
          <w:spacing w:val="-6"/>
          <w:szCs w:val="22"/>
        </w:rPr>
        <w:t xml:space="preserve"> </w:t>
      </w:r>
      <w:r w:rsidRPr="00CA2CC1">
        <w:rPr>
          <w:rFonts w:cs="Calibri"/>
          <w:color w:val="414042"/>
          <w:szCs w:val="22"/>
        </w:rPr>
        <w:t>of</w:t>
      </w:r>
      <w:r w:rsidRPr="00CA2CC1">
        <w:rPr>
          <w:rFonts w:cs="Calibri"/>
          <w:color w:val="414042"/>
          <w:spacing w:val="-6"/>
          <w:szCs w:val="22"/>
        </w:rPr>
        <w:t xml:space="preserve"> </w:t>
      </w:r>
      <w:r w:rsidRPr="00CA2CC1">
        <w:rPr>
          <w:rFonts w:cs="Calibri"/>
          <w:color w:val="414042"/>
          <w:szCs w:val="22"/>
        </w:rPr>
        <w:t>State consolidated financial statements.</w:t>
      </w:r>
    </w:p>
    <w:p w14:paraId="65D58B0B" w14:textId="77777777" w:rsidR="00FA4226" w:rsidRPr="00CA2CC1" w:rsidRDefault="00000000" w:rsidP="0043303B">
      <w:pPr>
        <w:pStyle w:val="BodyText"/>
        <w:spacing w:before="173"/>
        <w:rPr>
          <w:rFonts w:cs="Calibri"/>
        </w:rPr>
      </w:pPr>
      <w:r w:rsidRPr="00CA2CC1">
        <w:rPr>
          <w:rFonts w:cs="Calibri"/>
          <w:color w:val="414042"/>
        </w:rPr>
        <w:t>Significant</w:t>
      </w:r>
      <w:r w:rsidRPr="00CA2CC1">
        <w:rPr>
          <w:rFonts w:cs="Calibri"/>
          <w:color w:val="414042"/>
          <w:spacing w:val="-12"/>
        </w:rPr>
        <w:t xml:space="preserve"> </w:t>
      </w:r>
      <w:r w:rsidRPr="00CA2CC1">
        <w:rPr>
          <w:rFonts w:cs="Calibri"/>
          <w:color w:val="414042"/>
        </w:rPr>
        <w:t>transactions</w:t>
      </w:r>
      <w:r w:rsidRPr="00CA2CC1">
        <w:rPr>
          <w:rFonts w:cs="Calibri"/>
          <w:color w:val="414042"/>
          <w:spacing w:val="-12"/>
        </w:rPr>
        <w:t xml:space="preserve"> </w:t>
      </w:r>
      <w:r w:rsidRPr="00CA2CC1">
        <w:rPr>
          <w:rFonts w:cs="Calibri"/>
          <w:color w:val="414042"/>
        </w:rPr>
        <w:t>with</w:t>
      </w:r>
      <w:r w:rsidRPr="00CA2CC1">
        <w:rPr>
          <w:rFonts w:cs="Calibri"/>
          <w:color w:val="414042"/>
          <w:spacing w:val="-12"/>
        </w:rPr>
        <w:t xml:space="preserve"> </w:t>
      </w:r>
      <w:r w:rsidRPr="00CA2CC1">
        <w:rPr>
          <w:rFonts w:cs="Calibri"/>
          <w:color w:val="414042"/>
        </w:rPr>
        <w:t xml:space="preserve">government-related </w:t>
      </w:r>
      <w:r w:rsidRPr="00CA2CC1">
        <w:rPr>
          <w:rFonts w:cs="Calibri"/>
          <w:color w:val="414042"/>
          <w:spacing w:val="-2"/>
        </w:rPr>
        <w:t>entities</w:t>
      </w:r>
    </w:p>
    <w:p w14:paraId="680FC3DA" w14:textId="5E67776D" w:rsidR="00FA4226" w:rsidRPr="00CA2CC1" w:rsidRDefault="00000000" w:rsidP="0043303B">
      <w:pPr>
        <w:pStyle w:val="BodyText"/>
        <w:spacing w:before="118"/>
        <w:jc w:val="both"/>
        <w:rPr>
          <w:rFonts w:cs="Calibri"/>
        </w:rPr>
      </w:pPr>
      <w:r w:rsidRPr="00CA2CC1">
        <w:rPr>
          <w:rFonts w:cs="Calibri"/>
          <w:color w:val="414042"/>
        </w:rPr>
        <w:t>Infrastructure</w:t>
      </w:r>
      <w:r w:rsidRPr="00CA2CC1">
        <w:rPr>
          <w:rFonts w:cs="Calibri"/>
          <w:color w:val="414042"/>
          <w:spacing w:val="-8"/>
        </w:rPr>
        <w:t xml:space="preserve"> </w:t>
      </w:r>
      <w:r w:rsidRPr="00CA2CC1">
        <w:rPr>
          <w:rFonts w:cs="Calibri"/>
          <w:color w:val="414042"/>
        </w:rPr>
        <w:t>Victoria</w:t>
      </w:r>
      <w:r w:rsidRPr="00CA2CC1">
        <w:rPr>
          <w:rFonts w:cs="Calibri"/>
          <w:color w:val="414042"/>
          <w:spacing w:val="-8"/>
        </w:rPr>
        <w:t xml:space="preserve"> </w:t>
      </w:r>
      <w:r w:rsidRPr="00CA2CC1">
        <w:rPr>
          <w:rFonts w:cs="Calibri"/>
          <w:color w:val="414042"/>
        </w:rPr>
        <w:t>received</w:t>
      </w:r>
      <w:r w:rsidRPr="00CA2CC1">
        <w:rPr>
          <w:rFonts w:cs="Calibri"/>
          <w:color w:val="414042"/>
          <w:spacing w:val="-8"/>
        </w:rPr>
        <w:t xml:space="preserve"> </w:t>
      </w:r>
      <w:r w:rsidRPr="00CA2CC1">
        <w:rPr>
          <w:rFonts w:cs="Calibri"/>
          <w:color w:val="414042"/>
        </w:rPr>
        <w:t>grants</w:t>
      </w:r>
      <w:r w:rsidRPr="00CA2CC1">
        <w:rPr>
          <w:rFonts w:cs="Calibri"/>
          <w:color w:val="414042"/>
          <w:spacing w:val="-8"/>
        </w:rPr>
        <w:t xml:space="preserve"> </w:t>
      </w:r>
      <w:r w:rsidRPr="00CA2CC1">
        <w:rPr>
          <w:rFonts w:cs="Calibri"/>
          <w:color w:val="414042"/>
        </w:rPr>
        <w:t>from</w:t>
      </w:r>
      <w:r w:rsidRPr="00CA2CC1">
        <w:rPr>
          <w:rFonts w:cs="Calibri"/>
          <w:color w:val="414042"/>
          <w:spacing w:val="-8"/>
        </w:rPr>
        <w:t xml:space="preserve"> </w:t>
      </w:r>
      <w:r w:rsidRPr="00CA2CC1">
        <w:rPr>
          <w:rFonts w:cs="Calibri"/>
          <w:color w:val="414042"/>
        </w:rPr>
        <w:t>the</w:t>
      </w:r>
      <w:r w:rsidRPr="00CA2CC1">
        <w:rPr>
          <w:rFonts w:cs="Calibri"/>
          <w:color w:val="414042"/>
          <w:spacing w:val="-8"/>
        </w:rPr>
        <w:t xml:space="preserve"> </w:t>
      </w:r>
      <w:r w:rsidRPr="00CA2CC1">
        <w:rPr>
          <w:rFonts w:cs="Calibri"/>
          <w:color w:val="414042"/>
        </w:rPr>
        <w:t>Department of Treasury and Finance of $ 9.9 million in 2022-23</w:t>
      </w:r>
      <w:r w:rsidR="00F043EC" w:rsidRPr="00CA2CC1">
        <w:rPr>
          <w:rFonts w:cs="Calibri"/>
        </w:rPr>
        <w:t xml:space="preserve"> </w:t>
      </w:r>
      <w:r w:rsidRPr="00CA2CC1">
        <w:rPr>
          <w:rFonts w:cs="Calibri"/>
          <w:color w:val="414042"/>
        </w:rPr>
        <w:t>($9.8</w:t>
      </w:r>
      <w:r w:rsidRPr="00CA2CC1">
        <w:rPr>
          <w:rFonts w:cs="Calibri"/>
          <w:color w:val="414042"/>
          <w:spacing w:val="-2"/>
        </w:rPr>
        <w:t xml:space="preserve"> </w:t>
      </w:r>
      <w:r w:rsidRPr="00CA2CC1">
        <w:rPr>
          <w:rFonts w:cs="Calibri"/>
          <w:color w:val="414042"/>
        </w:rPr>
        <w:t>million in 2021-</w:t>
      </w:r>
      <w:r w:rsidRPr="00CA2CC1">
        <w:rPr>
          <w:rFonts w:cs="Calibri"/>
          <w:color w:val="414042"/>
          <w:spacing w:val="-4"/>
        </w:rPr>
        <w:t>22).</w:t>
      </w:r>
    </w:p>
    <w:p w14:paraId="12CBDE80" w14:textId="79B412ED" w:rsidR="00FA4226" w:rsidRPr="00CA2CC1" w:rsidRDefault="00000000" w:rsidP="0043303B">
      <w:pPr>
        <w:pStyle w:val="BodyText"/>
        <w:spacing w:before="120"/>
        <w:jc w:val="both"/>
        <w:rPr>
          <w:rFonts w:cs="Calibri"/>
        </w:rPr>
        <w:sectPr w:rsidR="00FA4226" w:rsidRPr="00CA2CC1" w:rsidSect="00E941A5">
          <w:type w:val="continuous"/>
          <w:pgSz w:w="11910" w:h="16840"/>
          <w:pgMar w:top="1134" w:right="1278" w:bottom="1134" w:left="1134" w:header="720" w:footer="720" w:gutter="0"/>
          <w:cols w:space="720"/>
        </w:sectPr>
      </w:pPr>
      <w:r w:rsidRPr="00CA2CC1">
        <w:rPr>
          <w:rFonts w:cs="Calibri"/>
          <w:color w:val="414042"/>
        </w:rPr>
        <w:t xml:space="preserve">The Key Management Personnel (KMP) of Infrastructure Victoria includes the Portfolio Minister being Tim Pallas MP and members of the Senior Executive team, which </w:t>
      </w:r>
      <w:r w:rsidRPr="00CA2CC1">
        <w:rPr>
          <w:rFonts w:cs="Calibri"/>
          <w:color w:val="414042"/>
          <w:spacing w:val="-2"/>
        </w:rPr>
        <w:t>includes:</w:t>
      </w:r>
    </w:p>
    <w:p w14:paraId="714E316F" w14:textId="77777777" w:rsidR="009B6516" w:rsidRPr="00CA2CC1" w:rsidRDefault="009B6516" w:rsidP="0043303B">
      <w:pPr>
        <w:pStyle w:val="IVBodyText"/>
        <w:spacing w:beforeLines="60" w:before="144" w:afterLines="60" w:after="144" w:line="240" w:lineRule="auto"/>
        <w:rPr>
          <w:rFonts w:ascii="Calibri" w:hAnsi="Calibri" w:cs="Calibri"/>
        </w:rPr>
      </w:pPr>
      <w:r w:rsidRPr="00CA2CC1">
        <w:rPr>
          <w:rFonts w:ascii="Calibri" w:hAnsi="Calibri" w:cs="Calibri"/>
        </w:rPr>
        <w:t>Key management personnel</w:t>
      </w:r>
    </w:p>
    <w:p w14:paraId="63CA2AA7" w14:textId="77777777" w:rsidR="00FA4226" w:rsidRPr="00CA2CC1" w:rsidRDefault="00FA4226" w:rsidP="0043303B">
      <w:pPr>
        <w:pStyle w:val="IVBodyText"/>
        <w:spacing w:beforeLines="60" w:before="144" w:afterLines="60" w:after="144" w:line="240" w:lineRule="auto"/>
        <w:rPr>
          <w:rFonts w:ascii="Calibri" w:hAnsi="Calibri" w:cs="Calibri"/>
          <w:sz w:val="20"/>
        </w:rPr>
        <w:sectPr w:rsidR="00FA4226" w:rsidRPr="00CA2CC1" w:rsidSect="00E941A5">
          <w:type w:val="continuous"/>
          <w:pgSz w:w="11910" w:h="16840"/>
          <w:pgMar w:top="1134" w:right="1278" w:bottom="1134" w:left="1134" w:header="720" w:footer="720" w:gutter="0"/>
          <w:cols w:space="720"/>
        </w:sectPr>
      </w:pPr>
    </w:p>
    <w:p w14:paraId="31B302D0" w14:textId="1FA416D8" w:rsidR="004A7871" w:rsidRPr="00CA2CC1" w:rsidRDefault="00000000" w:rsidP="0043303B">
      <w:pPr>
        <w:pStyle w:val="BodyText"/>
        <w:spacing w:before="0" w:after="0"/>
        <w:rPr>
          <w:rFonts w:cs="Calibri"/>
        </w:rPr>
      </w:pPr>
      <w:r w:rsidRPr="00CA2CC1">
        <w:rPr>
          <w:rFonts w:cs="Calibri"/>
          <w:color w:val="414042"/>
        </w:rPr>
        <w:t>James Miller</w:t>
      </w:r>
      <w:r w:rsidR="00CE4263" w:rsidRPr="00CA2CC1">
        <w:rPr>
          <w:rFonts w:cs="Calibri"/>
          <w:color w:val="414042"/>
        </w:rPr>
        <w:t>:</w:t>
      </w:r>
      <w:r w:rsidRPr="00CA2CC1">
        <w:rPr>
          <w:rFonts w:cs="Calibri"/>
          <w:color w:val="414042"/>
          <w:spacing w:val="40"/>
        </w:rPr>
        <w:t xml:space="preserve"> </w:t>
      </w:r>
      <w:r w:rsidR="004A7871" w:rsidRPr="00CA2CC1">
        <w:rPr>
          <w:rFonts w:cs="Calibri"/>
          <w:color w:val="414042"/>
        </w:rPr>
        <w:t>Chair</w:t>
      </w:r>
      <w:r w:rsidR="004A7871" w:rsidRPr="00CA2CC1">
        <w:rPr>
          <w:rFonts w:cs="Calibri"/>
          <w:color w:val="414042"/>
          <w:spacing w:val="5"/>
        </w:rPr>
        <w:t xml:space="preserve"> </w:t>
      </w:r>
      <w:r w:rsidR="004A7871" w:rsidRPr="00CA2CC1">
        <w:rPr>
          <w:rFonts w:cs="Calibri"/>
          <w:color w:val="414042"/>
          <w:spacing w:val="-4"/>
        </w:rPr>
        <w:t>Board</w:t>
      </w:r>
    </w:p>
    <w:p w14:paraId="7DEA5D75" w14:textId="750D199B" w:rsidR="004A7871" w:rsidRPr="00CA2CC1" w:rsidRDefault="00000000" w:rsidP="0043303B">
      <w:pPr>
        <w:pStyle w:val="BodyText"/>
        <w:spacing w:before="0" w:after="0"/>
        <w:rPr>
          <w:rFonts w:cs="Calibri"/>
        </w:rPr>
      </w:pPr>
      <w:r w:rsidRPr="00CA2CC1">
        <w:rPr>
          <w:rFonts w:cs="Calibri"/>
          <w:color w:val="414042"/>
        </w:rPr>
        <w:t>Maria Wilton</w:t>
      </w:r>
      <w:r w:rsidR="00CE4263" w:rsidRPr="00CA2CC1">
        <w:rPr>
          <w:rFonts w:cs="Calibri"/>
          <w:color w:val="414042"/>
        </w:rPr>
        <w:t>:</w:t>
      </w:r>
      <w:r w:rsidRPr="00CA2CC1">
        <w:rPr>
          <w:rFonts w:cs="Calibri"/>
          <w:color w:val="414042"/>
        </w:rPr>
        <w:t xml:space="preserve"> </w:t>
      </w:r>
      <w:r w:rsidR="004A7871" w:rsidRPr="00CA2CC1">
        <w:rPr>
          <w:rFonts w:cs="Calibri"/>
          <w:color w:val="414042"/>
        </w:rPr>
        <w:t xml:space="preserve">Deputy Chair Board &amp; Chair Audit &amp; Risk Committee </w:t>
      </w:r>
    </w:p>
    <w:p w14:paraId="26BD480C" w14:textId="129C57E8" w:rsidR="004A7871" w:rsidRPr="00CA2CC1" w:rsidRDefault="00000000" w:rsidP="0043303B">
      <w:pPr>
        <w:pStyle w:val="BodyText"/>
        <w:spacing w:before="0" w:after="0"/>
        <w:rPr>
          <w:rFonts w:cs="Calibri"/>
          <w:color w:val="414042"/>
        </w:rPr>
      </w:pPr>
      <w:r w:rsidRPr="00CA2CC1">
        <w:rPr>
          <w:rFonts w:cs="Calibri"/>
          <w:color w:val="414042"/>
        </w:rPr>
        <w:t>Jonathan Spear</w:t>
      </w:r>
      <w:r w:rsidR="00CE4263" w:rsidRPr="00CA2CC1">
        <w:rPr>
          <w:rFonts w:cs="Calibri"/>
          <w:color w:val="414042"/>
        </w:rPr>
        <w:t>:</w:t>
      </w:r>
      <w:r w:rsidRPr="00CA2CC1">
        <w:rPr>
          <w:rFonts w:cs="Calibri"/>
          <w:color w:val="414042"/>
        </w:rPr>
        <w:t xml:space="preserve"> </w:t>
      </w:r>
      <w:r w:rsidR="004A7871" w:rsidRPr="00CA2CC1">
        <w:rPr>
          <w:rFonts w:cs="Calibri"/>
          <w:color w:val="414042"/>
        </w:rPr>
        <w:t xml:space="preserve">Chief Executive Officer </w:t>
      </w:r>
    </w:p>
    <w:p w14:paraId="599F1AF4" w14:textId="12E517DB" w:rsidR="004A7871" w:rsidRPr="00CA2CC1" w:rsidRDefault="00000000" w:rsidP="0043303B">
      <w:pPr>
        <w:pStyle w:val="BodyText"/>
        <w:spacing w:before="0" w:after="0"/>
        <w:rPr>
          <w:rFonts w:cs="Calibri"/>
          <w:color w:val="414042"/>
        </w:rPr>
      </w:pPr>
      <w:r w:rsidRPr="00CA2CC1">
        <w:rPr>
          <w:rFonts w:cs="Calibri"/>
          <w:color w:val="414042"/>
        </w:rPr>
        <w:t>Allison Stewart</w:t>
      </w:r>
      <w:r w:rsidR="00CE4263" w:rsidRPr="00CA2CC1">
        <w:rPr>
          <w:rFonts w:cs="Calibri"/>
          <w:color w:val="414042"/>
        </w:rPr>
        <w:t>:</w:t>
      </w:r>
      <w:r w:rsidRPr="00CA2CC1">
        <w:rPr>
          <w:rFonts w:cs="Calibri"/>
          <w:color w:val="414042"/>
        </w:rPr>
        <w:t xml:space="preserve"> </w:t>
      </w:r>
      <w:r w:rsidR="004A7871" w:rsidRPr="00CA2CC1">
        <w:rPr>
          <w:rFonts w:cs="Calibri"/>
          <w:color w:val="414042"/>
        </w:rPr>
        <w:t xml:space="preserve">Deputy Chief Executive (26 July 2022 onwards) </w:t>
      </w:r>
    </w:p>
    <w:p w14:paraId="432FB29C" w14:textId="19797741" w:rsidR="004A7871" w:rsidRPr="00CA2CC1" w:rsidRDefault="00000000" w:rsidP="0043303B">
      <w:pPr>
        <w:pStyle w:val="BodyText"/>
        <w:spacing w:before="0" w:after="0"/>
        <w:rPr>
          <w:rFonts w:cs="Calibri"/>
        </w:rPr>
      </w:pPr>
      <w:r w:rsidRPr="00CA2CC1">
        <w:rPr>
          <w:rFonts w:cs="Calibri"/>
          <w:color w:val="414042"/>
        </w:rPr>
        <w:t>Margaret</w:t>
      </w:r>
      <w:r w:rsidRPr="00CA2CC1">
        <w:rPr>
          <w:rFonts w:cs="Calibri"/>
          <w:color w:val="414042"/>
          <w:spacing w:val="-13"/>
        </w:rPr>
        <w:t xml:space="preserve"> </w:t>
      </w:r>
      <w:r w:rsidRPr="00CA2CC1">
        <w:rPr>
          <w:rFonts w:cs="Calibri"/>
          <w:color w:val="414042"/>
        </w:rPr>
        <w:t>Gardner</w:t>
      </w:r>
      <w:r w:rsidR="00CE4263" w:rsidRPr="00CA2CC1">
        <w:rPr>
          <w:rFonts w:cs="Calibri"/>
          <w:color w:val="414042"/>
        </w:rPr>
        <w:t xml:space="preserve">: </w:t>
      </w:r>
      <w:r w:rsidR="004A7871" w:rsidRPr="00CA2CC1">
        <w:rPr>
          <w:rFonts w:cs="Calibri"/>
          <w:color w:val="414042"/>
        </w:rPr>
        <w:t>Board Member (1 July 2022 to 5 April 2023)</w:t>
      </w:r>
    </w:p>
    <w:p w14:paraId="40E263E6" w14:textId="77777777" w:rsidR="004E0D51" w:rsidRPr="00CA2CC1" w:rsidRDefault="00000000" w:rsidP="0043303B">
      <w:pPr>
        <w:pStyle w:val="BodyText"/>
        <w:spacing w:before="0" w:after="0"/>
        <w:rPr>
          <w:rFonts w:cs="Calibri"/>
          <w:color w:val="414042"/>
        </w:rPr>
      </w:pPr>
      <w:r w:rsidRPr="00CA2CC1">
        <w:rPr>
          <w:rFonts w:cs="Calibri"/>
          <w:color w:val="414042"/>
        </w:rPr>
        <w:t>Ann Sherry</w:t>
      </w:r>
      <w:r w:rsidR="00CE4263" w:rsidRPr="00CA2CC1">
        <w:rPr>
          <w:rFonts w:cs="Calibri"/>
          <w:color w:val="414042"/>
        </w:rPr>
        <w:t>:</w:t>
      </w:r>
      <w:r w:rsidRPr="00CA2CC1">
        <w:rPr>
          <w:rFonts w:cs="Calibri"/>
          <w:color w:val="414042"/>
          <w:spacing w:val="40"/>
        </w:rPr>
        <w:t xml:space="preserve"> </w:t>
      </w:r>
      <w:r w:rsidR="004A7871" w:rsidRPr="00CA2CC1">
        <w:rPr>
          <w:rFonts w:cs="Calibri"/>
          <w:color w:val="414042"/>
        </w:rPr>
        <w:t>Board</w:t>
      </w:r>
      <w:r w:rsidR="004A7871" w:rsidRPr="00CA2CC1">
        <w:rPr>
          <w:rFonts w:cs="Calibri"/>
          <w:color w:val="414042"/>
          <w:spacing w:val="-2"/>
        </w:rPr>
        <w:t xml:space="preserve"> </w:t>
      </w:r>
      <w:r w:rsidR="004A7871" w:rsidRPr="00CA2CC1">
        <w:rPr>
          <w:rFonts w:cs="Calibri"/>
          <w:color w:val="414042"/>
        </w:rPr>
        <w:t>Member</w:t>
      </w:r>
      <w:r w:rsidR="004A7871" w:rsidRPr="00CA2CC1">
        <w:rPr>
          <w:rFonts w:cs="Calibri"/>
          <w:color w:val="414042"/>
          <w:spacing w:val="-2"/>
        </w:rPr>
        <w:t xml:space="preserve"> </w:t>
      </w:r>
      <w:r w:rsidR="004A7871" w:rsidRPr="00CA2CC1">
        <w:rPr>
          <w:rFonts w:cs="Calibri"/>
          <w:color w:val="414042"/>
        </w:rPr>
        <w:t>(1</w:t>
      </w:r>
      <w:r w:rsidR="004A7871" w:rsidRPr="00CA2CC1">
        <w:rPr>
          <w:rFonts w:cs="Calibri"/>
          <w:color w:val="414042"/>
          <w:spacing w:val="-2"/>
        </w:rPr>
        <w:t xml:space="preserve"> </w:t>
      </w:r>
      <w:r w:rsidR="004A7871" w:rsidRPr="00CA2CC1">
        <w:rPr>
          <w:rFonts w:cs="Calibri"/>
          <w:color w:val="414042"/>
        </w:rPr>
        <w:t>July</w:t>
      </w:r>
      <w:r w:rsidR="004A7871" w:rsidRPr="00CA2CC1">
        <w:rPr>
          <w:rFonts w:cs="Calibri"/>
          <w:color w:val="414042"/>
          <w:spacing w:val="-2"/>
        </w:rPr>
        <w:t xml:space="preserve"> </w:t>
      </w:r>
      <w:r w:rsidR="004A7871" w:rsidRPr="00CA2CC1">
        <w:rPr>
          <w:rFonts w:cs="Calibri"/>
          <w:color w:val="414042"/>
        </w:rPr>
        <w:t>2022</w:t>
      </w:r>
      <w:r w:rsidR="004A7871" w:rsidRPr="00CA2CC1">
        <w:rPr>
          <w:rFonts w:cs="Calibri"/>
          <w:color w:val="414042"/>
          <w:spacing w:val="-2"/>
        </w:rPr>
        <w:t xml:space="preserve"> </w:t>
      </w:r>
      <w:r w:rsidR="004A7871" w:rsidRPr="00CA2CC1">
        <w:rPr>
          <w:rFonts w:cs="Calibri"/>
          <w:color w:val="414042"/>
        </w:rPr>
        <w:t>to</w:t>
      </w:r>
      <w:r w:rsidR="004A7871" w:rsidRPr="00CA2CC1">
        <w:rPr>
          <w:rFonts w:cs="Calibri"/>
          <w:color w:val="414042"/>
          <w:spacing w:val="-2"/>
        </w:rPr>
        <w:t xml:space="preserve"> </w:t>
      </w:r>
      <w:r w:rsidR="004A7871" w:rsidRPr="00CA2CC1">
        <w:rPr>
          <w:rFonts w:cs="Calibri"/>
          <w:color w:val="414042"/>
        </w:rPr>
        <w:t>30</w:t>
      </w:r>
      <w:r w:rsidR="004A7871" w:rsidRPr="00CA2CC1">
        <w:rPr>
          <w:rFonts w:cs="Calibri"/>
          <w:color w:val="414042"/>
          <w:spacing w:val="-2"/>
        </w:rPr>
        <w:t xml:space="preserve"> </w:t>
      </w:r>
      <w:r w:rsidR="004A7871" w:rsidRPr="00CA2CC1">
        <w:rPr>
          <w:rFonts w:cs="Calibri"/>
          <w:color w:val="414042"/>
        </w:rPr>
        <w:t>September</w:t>
      </w:r>
      <w:r w:rsidR="004A7871" w:rsidRPr="00CA2CC1">
        <w:rPr>
          <w:rFonts w:cs="Calibri"/>
          <w:color w:val="414042"/>
          <w:spacing w:val="-2"/>
        </w:rPr>
        <w:t xml:space="preserve"> </w:t>
      </w:r>
      <w:r w:rsidR="004A7871" w:rsidRPr="00CA2CC1">
        <w:rPr>
          <w:rFonts w:cs="Calibri"/>
          <w:color w:val="414042"/>
        </w:rPr>
        <w:t xml:space="preserve">2022) </w:t>
      </w:r>
    </w:p>
    <w:p w14:paraId="12BEB81E" w14:textId="481F3E81" w:rsidR="004A7871" w:rsidRPr="00CA2CC1" w:rsidRDefault="00000000" w:rsidP="0043303B">
      <w:pPr>
        <w:pStyle w:val="BodyText"/>
        <w:spacing w:before="0" w:after="0"/>
        <w:rPr>
          <w:rFonts w:cs="Calibri"/>
        </w:rPr>
      </w:pPr>
      <w:r w:rsidRPr="00CA2CC1">
        <w:rPr>
          <w:rFonts w:cs="Calibri"/>
          <w:color w:val="414042"/>
        </w:rPr>
        <w:t>Jeremi Moule*</w:t>
      </w:r>
      <w:r w:rsidR="00CE4263" w:rsidRPr="00CA2CC1">
        <w:rPr>
          <w:rFonts w:cs="Calibri"/>
          <w:color w:val="414042"/>
        </w:rPr>
        <w:t>:</w:t>
      </w:r>
      <w:r w:rsidRPr="00CA2CC1">
        <w:rPr>
          <w:rFonts w:cs="Calibri"/>
          <w:color w:val="414042"/>
        </w:rPr>
        <w:t xml:space="preserve"> </w:t>
      </w:r>
      <w:r w:rsidR="004A7871" w:rsidRPr="00CA2CC1">
        <w:rPr>
          <w:rFonts w:cs="Calibri"/>
          <w:color w:val="414042"/>
        </w:rPr>
        <w:t>Board Member</w:t>
      </w:r>
    </w:p>
    <w:p w14:paraId="75363461" w14:textId="2F08D7E6" w:rsidR="00F261B5" w:rsidRPr="00CA2CC1" w:rsidRDefault="00000000" w:rsidP="0043303B">
      <w:pPr>
        <w:pStyle w:val="BodyText"/>
        <w:spacing w:before="0" w:after="0"/>
        <w:rPr>
          <w:rFonts w:cs="Calibri"/>
          <w:color w:val="414042"/>
        </w:rPr>
      </w:pPr>
      <w:r w:rsidRPr="00CA2CC1">
        <w:rPr>
          <w:rFonts w:cs="Calibri"/>
          <w:color w:val="414042"/>
        </w:rPr>
        <w:t>John Bradley*</w:t>
      </w:r>
      <w:r w:rsidR="00CE4263" w:rsidRPr="00CA2CC1">
        <w:rPr>
          <w:rFonts w:cs="Calibri"/>
          <w:color w:val="414042"/>
        </w:rPr>
        <w:t>:</w:t>
      </w:r>
      <w:r w:rsidRPr="00CA2CC1">
        <w:rPr>
          <w:rFonts w:cs="Calibri"/>
          <w:color w:val="414042"/>
        </w:rPr>
        <w:t xml:space="preserve"> </w:t>
      </w:r>
      <w:r w:rsidR="00F261B5" w:rsidRPr="00CA2CC1">
        <w:rPr>
          <w:rFonts w:cs="Calibri"/>
          <w:color w:val="414042"/>
        </w:rPr>
        <w:t>Board</w:t>
      </w:r>
      <w:r w:rsidR="00F261B5" w:rsidRPr="00CA2CC1">
        <w:rPr>
          <w:rFonts w:cs="Calibri"/>
          <w:color w:val="414042"/>
          <w:spacing w:val="-1"/>
        </w:rPr>
        <w:t xml:space="preserve"> </w:t>
      </w:r>
      <w:r w:rsidR="00F261B5" w:rsidRPr="00CA2CC1">
        <w:rPr>
          <w:rFonts w:cs="Calibri"/>
          <w:color w:val="414042"/>
        </w:rPr>
        <w:t>Member</w:t>
      </w:r>
      <w:r w:rsidR="00F261B5" w:rsidRPr="00CA2CC1">
        <w:rPr>
          <w:rFonts w:cs="Calibri"/>
          <w:color w:val="414042"/>
          <w:spacing w:val="-1"/>
        </w:rPr>
        <w:t xml:space="preserve"> </w:t>
      </w:r>
      <w:r w:rsidR="00F261B5" w:rsidRPr="00CA2CC1">
        <w:rPr>
          <w:rFonts w:cs="Calibri"/>
          <w:color w:val="414042"/>
        </w:rPr>
        <w:t>(1</w:t>
      </w:r>
      <w:r w:rsidR="00F261B5" w:rsidRPr="00CA2CC1">
        <w:rPr>
          <w:rFonts w:cs="Calibri"/>
          <w:color w:val="414042"/>
          <w:spacing w:val="-1"/>
        </w:rPr>
        <w:t xml:space="preserve"> </w:t>
      </w:r>
      <w:r w:rsidR="00F261B5" w:rsidRPr="00CA2CC1">
        <w:rPr>
          <w:rFonts w:cs="Calibri"/>
          <w:color w:val="414042"/>
        </w:rPr>
        <w:t>July</w:t>
      </w:r>
      <w:r w:rsidR="00F261B5" w:rsidRPr="00CA2CC1">
        <w:rPr>
          <w:rFonts w:cs="Calibri"/>
          <w:color w:val="414042"/>
          <w:spacing w:val="-1"/>
        </w:rPr>
        <w:t xml:space="preserve"> </w:t>
      </w:r>
      <w:r w:rsidR="00F261B5" w:rsidRPr="00CA2CC1">
        <w:rPr>
          <w:rFonts w:cs="Calibri"/>
          <w:color w:val="414042"/>
        </w:rPr>
        <w:t>2022</w:t>
      </w:r>
      <w:r w:rsidR="00F261B5" w:rsidRPr="00CA2CC1">
        <w:rPr>
          <w:rFonts w:cs="Calibri"/>
          <w:color w:val="414042"/>
          <w:spacing w:val="-1"/>
        </w:rPr>
        <w:t xml:space="preserve"> </w:t>
      </w:r>
      <w:r w:rsidR="00F261B5" w:rsidRPr="00CA2CC1">
        <w:rPr>
          <w:rFonts w:cs="Calibri"/>
          <w:color w:val="414042"/>
        </w:rPr>
        <w:t>to</w:t>
      </w:r>
      <w:r w:rsidR="00F261B5" w:rsidRPr="00CA2CC1">
        <w:rPr>
          <w:rFonts w:cs="Calibri"/>
          <w:color w:val="414042"/>
          <w:spacing w:val="-1"/>
        </w:rPr>
        <w:t xml:space="preserve"> </w:t>
      </w:r>
      <w:r w:rsidR="00F261B5" w:rsidRPr="00CA2CC1">
        <w:rPr>
          <w:rFonts w:cs="Calibri"/>
          <w:color w:val="414042"/>
        </w:rPr>
        <w:t>1</w:t>
      </w:r>
      <w:r w:rsidR="00F261B5" w:rsidRPr="00CA2CC1">
        <w:rPr>
          <w:rFonts w:cs="Calibri"/>
          <w:color w:val="414042"/>
          <w:spacing w:val="-1"/>
        </w:rPr>
        <w:t xml:space="preserve"> </w:t>
      </w:r>
      <w:r w:rsidR="00F261B5" w:rsidRPr="00CA2CC1">
        <w:rPr>
          <w:rFonts w:cs="Calibri"/>
          <w:color w:val="414042"/>
        </w:rPr>
        <w:t>January</w:t>
      </w:r>
      <w:r w:rsidR="00F261B5" w:rsidRPr="00CA2CC1">
        <w:rPr>
          <w:rFonts w:cs="Calibri"/>
          <w:color w:val="414042"/>
          <w:spacing w:val="-1"/>
        </w:rPr>
        <w:t xml:space="preserve"> </w:t>
      </w:r>
      <w:r w:rsidR="00F261B5" w:rsidRPr="00CA2CC1">
        <w:rPr>
          <w:rFonts w:cs="Calibri"/>
          <w:color w:val="414042"/>
        </w:rPr>
        <w:t xml:space="preserve">2023) </w:t>
      </w:r>
    </w:p>
    <w:p w14:paraId="6754E423" w14:textId="014F5B77" w:rsidR="00F261B5" w:rsidRPr="00CA2CC1" w:rsidRDefault="00000000" w:rsidP="0043303B">
      <w:pPr>
        <w:pStyle w:val="BodyText"/>
        <w:spacing w:before="0" w:after="0"/>
        <w:rPr>
          <w:rFonts w:cs="Calibri"/>
        </w:rPr>
      </w:pPr>
      <w:r w:rsidRPr="00CA2CC1">
        <w:rPr>
          <w:rFonts w:cs="Calibri"/>
          <w:color w:val="414042"/>
        </w:rPr>
        <w:t>David Martine*</w:t>
      </w:r>
      <w:r w:rsidR="00CE4263" w:rsidRPr="00CA2CC1">
        <w:rPr>
          <w:rFonts w:cs="Calibri"/>
          <w:color w:val="414042"/>
        </w:rPr>
        <w:t>:</w:t>
      </w:r>
      <w:r w:rsidRPr="00CA2CC1">
        <w:rPr>
          <w:rFonts w:cs="Calibri"/>
          <w:color w:val="414042"/>
        </w:rPr>
        <w:t xml:space="preserve"> </w:t>
      </w:r>
      <w:r w:rsidR="00F261B5" w:rsidRPr="00CA2CC1">
        <w:rPr>
          <w:rFonts w:cs="Calibri"/>
          <w:color w:val="414042"/>
        </w:rPr>
        <w:t>Board Member</w:t>
      </w:r>
    </w:p>
    <w:p w14:paraId="543427AF" w14:textId="79DC5925" w:rsidR="00FA4226" w:rsidRPr="00CA2CC1" w:rsidRDefault="00000000" w:rsidP="0043303B">
      <w:pPr>
        <w:pStyle w:val="BodyText"/>
        <w:spacing w:before="0" w:after="0"/>
        <w:rPr>
          <w:rFonts w:cs="Calibri"/>
          <w:color w:val="414042"/>
          <w:spacing w:val="40"/>
        </w:rPr>
      </w:pPr>
      <w:r w:rsidRPr="00CA2CC1">
        <w:rPr>
          <w:rFonts w:cs="Calibri"/>
          <w:color w:val="414042"/>
        </w:rPr>
        <w:t>Paul Younis*</w:t>
      </w:r>
      <w:r w:rsidR="0037036F" w:rsidRPr="00CA2CC1">
        <w:rPr>
          <w:rFonts w:cs="Calibri"/>
          <w:color w:val="414042"/>
        </w:rPr>
        <w:t>:</w:t>
      </w:r>
      <w:r w:rsidR="00F261B5" w:rsidRPr="00CA2CC1">
        <w:rPr>
          <w:rFonts w:cs="Calibri"/>
          <w:color w:val="414042"/>
          <w:spacing w:val="40"/>
        </w:rPr>
        <w:t xml:space="preserve"> </w:t>
      </w:r>
      <w:r w:rsidRPr="00CA2CC1">
        <w:rPr>
          <w:rFonts w:cs="Calibri"/>
          <w:color w:val="414042"/>
        </w:rPr>
        <w:t>Board</w:t>
      </w:r>
      <w:r w:rsidRPr="00CA2CC1">
        <w:rPr>
          <w:rFonts w:cs="Calibri"/>
          <w:color w:val="414042"/>
          <w:spacing w:val="1"/>
        </w:rPr>
        <w:t xml:space="preserve"> </w:t>
      </w:r>
      <w:r w:rsidRPr="00CA2CC1">
        <w:rPr>
          <w:rFonts w:cs="Calibri"/>
          <w:color w:val="414042"/>
        </w:rPr>
        <w:t>Member</w:t>
      </w:r>
      <w:r w:rsidRPr="00CA2CC1">
        <w:rPr>
          <w:rFonts w:cs="Calibri"/>
          <w:color w:val="414042"/>
          <w:spacing w:val="4"/>
        </w:rPr>
        <w:t xml:space="preserve"> </w:t>
      </w:r>
      <w:r w:rsidRPr="00CA2CC1">
        <w:rPr>
          <w:rFonts w:cs="Calibri"/>
          <w:color w:val="414042"/>
        </w:rPr>
        <w:t>(1</w:t>
      </w:r>
      <w:r w:rsidRPr="00CA2CC1">
        <w:rPr>
          <w:rFonts w:cs="Calibri"/>
          <w:color w:val="414042"/>
          <w:spacing w:val="3"/>
        </w:rPr>
        <w:t xml:space="preserve"> </w:t>
      </w:r>
      <w:r w:rsidRPr="00CA2CC1">
        <w:rPr>
          <w:rFonts w:cs="Calibri"/>
          <w:color w:val="414042"/>
        </w:rPr>
        <w:t>January</w:t>
      </w:r>
      <w:r w:rsidRPr="00CA2CC1">
        <w:rPr>
          <w:rFonts w:cs="Calibri"/>
          <w:color w:val="414042"/>
          <w:spacing w:val="4"/>
        </w:rPr>
        <w:t xml:space="preserve"> </w:t>
      </w:r>
      <w:r w:rsidRPr="00CA2CC1">
        <w:rPr>
          <w:rFonts w:cs="Calibri"/>
          <w:color w:val="414042"/>
        </w:rPr>
        <w:t>2023</w:t>
      </w:r>
      <w:r w:rsidRPr="00CA2CC1">
        <w:rPr>
          <w:rFonts w:cs="Calibri"/>
          <w:color w:val="414042"/>
          <w:spacing w:val="4"/>
        </w:rPr>
        <w:t xml:space="preserve"> </w:t>
      </w:r>
      <w:r w:rsidRPr="00CA2CC1">
        <w:rPr>
          <w:rFonts w:cs="Calibri"/>
          <w:color w:val="414042"/>
          <w:spacing w:val="-2"/>
        </w:rPr>
        <w:t>onwards)</w:t>
      </w:r>
    </w:p>
    <w:p w14:paraId="6FE353C4" w14:textId="77777777" w:rsidR="00FA4226" w:rsidRPr="00CA2CC1" w:rsidRDefault="00FA4226" w:rsidP="0043303B">
      <w:pPr>
        <w:rPr>
          <w:rFonts w:cs="Calibri"/>
        </w:rPr>
        <w:sectPr w:rsidR="00FA4226" w:rsidRPr="00CA2CC1" w:rsidSect="00E941A5">
          <w:type w:val="continuous"/>
          <w:pgSz w:w="11910" w:h="16840"/>
          <w:pgMar w:top="1134" w:right="1278" w:bottom="1134" w:left="1134" w:header="720" w:footer="720" w:gutter="0"/>
          <w:cols w:space="720"/>
        </w:sectPr>
      </w:pPr>
    </w:p>
    <w:p w14:paraId="288FF72A" w14:textId="77777777" w:rsidR="00FA4226" w:rsidRPr="00CA2CC1" w:rsidRDefault="00FA4226" w:rsidP="0043303B">
      <w:pPr>
        <w:rPr>
          <w:rFonts w:cs="Calibri"/>
          <w:sz w:val="5"/>
        </w:rPr>
        <w:sectPr w:rsidR="00FA4226" w:rsidRPr="00CA2CC1" w:rsidSect="00E941A5">
          <w:type w:val="continuous"/>
          <w:pgSz w:w="11910" w:h="16840"/>
          <w:pgMar w:top="1134" w:right="1278" w:bottom="1134" w:left="1134" w:header="720" w:footer="720" w:gutter="0"/>
          <w:cols w:space="720"/>
        </w:sectPr>
      </w:pPr>
    </w:p>
    <w:p w14:paraId="3609CB91" w14:textId="77777777" w:rsidR="00FA4226" w:rsidRPr="00CA2CC1" w:rsidRDefault="00000000" w:rsidP="0043303B">
      <w:pPr>
        <w:rPr>
          <w:rFonts w:cs="Calibri"/>
          <w:i/>
          <w:sz w:val="16"/>
        </w:rPr>
      </w:pPr>
      <w:r w:rsidRPr="00CA2CC1">
        <w:rPr>
          <w:rFonts w:cs="Calibri"/>
          <w:color w:val="414042"/>
          <w:sz w:val="16"/>
        </w:rPr>
        <w:t>*</w:t>
      </w:r>
      <w:r w:rsidRPr="00CA2CC1">
        <w:rPr>
          <w:rFonts w:cs="Calibri"/>
          <w:i/>
          <w:color w:val="414042"/>
          <w:sz w:val="16"/>
        </w:rPr>
        <w:t xml:space="preserve">Departmental </w:t>
      </w:r>
      <w:r w:rsidRPr="00CA2CC1">
        <w:rPr>
          <w:rFonts w:cs="Calibri"/>
          <w:i/>
          <w:color w:val="414042"/>
          <w:spacing w:val="-2"/>
          <w:sz w:val="16"/>
        </w:rPr>
        <w:t>secretaries</w:t>
      </w:r>
    </w:p>
    <w:p w14:paraId="427BED51" w14:textId="77777777" w:rsidR="00520EA7" w:rsidRPr="00CA2CC1" w:rsidRDefault="00520EA7" w:rsidP="00520EA7">
      <w:pPr>
        <w:rPr>
          <w:rFonts w:cs="Calibri"/>
          <w:color w:val="414042"/>
        </w:rPr>
      </w:pPr>
    </w:p>
    <w:p w14:paraId="73D26F63" w14:textId="77777777" w:rsidR="004A4909" w:rsidRPr="00CA2CC1" w:rsidRDefault="004A4909">
      <w:pPr>
        <w:rPr>
          <w:rFonts w:cs="Calibri"/>
          <w:color w:val="414042"/>
        </w:rPr>
      </w:pPr>
      <w:r w:rsidRPr="00CA2CC1">
        <w:rPr>
          <w:rFonts w:cs="Calibri"/>
          <w:color w:val="414042"/>
        </w:rPr>
        <w:br w:type="page"/>
      </w:r>
    </w:p>
    <w:p w14:paraId="30D35431" w14:textId="024A34A6" w:rsidR="00FA4226" w:rsidRPr="00CA2CC1" w:rsidRDefault="00000000" w:rsidP="00520EA7">
      <w:pPr>
        <w:rPr>
          <w:rFonts w:cs="Calibri"/>
          <w:color w:val="414042"/>
          <w:szCs w:val="18"/>
        </w:rPr>
      </w:pPr>
      <w:r w:rsidRPr="00CA2CC1">
        <w:rPr>
          <w:rFonts w:cs="Calibri"/>
          <w:color w:val="414042"/>
        </w:rPr>
        <w:t>The</w:t>
      </w:r>
      <w:r w:rsidRPr="00CA2CC1">
        <w:rPr>
          <w:rFonts w:cs="Calibri"/>
          <w:color w:val="414042"/>
          <w:spacing w:val="-1"/>
        </w:rPr>
        <w:t xml:space="preserve"> </w:t>
      </w:r>
      <w:r w:rsidRPr="00CA2CC1">
        <w:rPr>
          <w:rFonts w:cs="Calibri"/>
          <w:color w:val="414042"/>
        </w:rPr>
        <w:t>compensation</w:t>
      </w:r>
      <w:r w:rsidRPr="00CA2CC1">
        <w:rPr>
          <w:rFonts w:cs="Calibri"/>
          <w:color w:val="414042"/>
          <w:spacing w:val="-1"/>
        </w:rPr>
        <w:t xml:space="preserve"> </w:t>
      </w:r>
      <w:r w:rsidRPr="00CA2CC1">
        <w:rPr>
          <w:rFonts w:cs="Calibri"/>
          <w:color w:val="414042"/>
        </w:rPr>
        <w:t>detailed</w:t>
      </w:r>
      <w:r w:rsidRPr="00CA2CC1">
        <w:rPr>
          <w:rFonts w:cs="Calibri"/>
          <w:color w:val="414042"/>
          <w:spacing w:val="-1"/>
        </w:rPr>
        <w:t xml:space="preserve"> </w:t>
      </w:r>
      <w:r w:rsidRPr="00CA2CC1">
        <w:rPr>
          <w:rFonts w:cs="Calibri"/>
          <w:color w:val="414042"/>
        </w:rPr>
        <w:t>below</w:t>
      </w:r>
      <w:r w:rsidRPr="00CA2CC1">
        <w:rPr>
          <w:rFonts w:cs="Calibri"/>
          <w:color w:val="414042"/>
          <w:spacing w:val="-1"/>
        </w:rPr>
        <w:t xml:space="preserve"> </w:t>
      </w:r>
      <w:r w:rsidRPr="00CA2CC1">
        <w:rPr>
          <w:rFonts w:cs="Calibri"/>
          <w:color w:val="414042"/>
        </w:rPr>
        <w:t>excludes</w:t>
      </w:r>
      <w:r w:rsidRPr="00CA2CC1">
        <w:rPr>
          <w:rFonts w:cs="Calibri"/>
          <w:color w:val="414042"/>
          <w:spacing w:val="-1"/>
        </w:rPr>
        <w:t xml:space="preserve"> </w:t>
      </w:r>
      <w:r w:rsidRPr="00CA2CC1">
        <w:rPr>
          <w:rFonts w:cs="Calibri"/>
          <w:color w:val="414042"/>
        </w:rPr>
        <w:t>the</w:t>
      </w:r>
      <w:r w:rsidRPr="00CA2CC1">
        <w:rPr>
          <w:rFonts w:cs="Calibri"/>
          <w:color w:val="414042"/>
          <w:spacing w:val="-1"/>
        </w:rPr>
        <w:t xml:space="preserve"> </w:t>
      </w:r>
      <w:r w:rsidRPr="00CA2CC1">
        <w:rPr>
          <w:rFonts w:cs="Calibri"/>
          <w:color w:val="414042"/>
        </w:rPr>
        <w:t>salaries</w:t>
      </w:r>
      <w:r w:rsidRPr="00CA2CC1">
        <w:rPr>
          <w:rFonts w:cs="Calibri"/>
          <w:color w:val="414042"/>
          <w:spacing w:val="-1"/>
        </w:rPr>
        <w:t xml:space="preserve"> </w:t>
      </w:r>
      <w:r w:rsidRPr="00CA2CC1">
        <w:rPr>
          <w:rFonts w:cs="Calibri"/>
          <w:color w:val="414042"/>
        </w:rPr>
        <w:t>and benefits</w:t>
      </w:r>
      <w:r w:rsidRPr="00CA2CC1">
        <w:rPr>
          <w:rFonts w:cs="Calibri"/>
          <w:color w:val="414042"/>
          <w:spacing w:val="-12"/>
        </w:rPr>
        <w:t xml:space="preserve"> </w:t>
      </w:r>
      <w:r w:rsidRPr="00CA2CC1">
        <w:rPr>
          <w:rFonts w:cs="Calibri"/>
          <w:color w:val="414042"/>
        </w:rPr>
        <w:t>of</w:t>
      </w:r>
      <w:r w:rsidRPr="00CA2CC1">
        <w:rPr>
          <w:rFonts w:cs="Calibri"/>
          <w:color w:val="414042"/>
          <w:spacing w:val="-12"/>
        </w:rPr>
        <w:t xml:space="preserve"> </w:t>
      </w:r>
      <w:r w:rsidRPr="00CA2CC1">
        <w:rPr>
          <w:rFonts w:cs="Calibri"/>
          <w:color w:val="414042"/>
        </w:rPr>
        <w:t>the</w:t>
      </w:r>
      <w:r w:rsidRPr="00CA2CC1">
        <w:rPr>
          <w:rFonts w:cs="Calibri"/>
          <w:color w:val="414042"/>
          <w:spacing w:val="-12"/>
        </w:rPr>
        <w:t xml:space="preserve"> </w:t>
      </w:r>
      <w:r w:rsidRPr="00CA2CC1">
        <w:rPr>
          <w:rFonts w:cs="Calibri"/>
          <w:color w:val="414042"/>
        </w:rPr>
        <w:t>Portfolio</w:t>
      </w:r>
      <w:r w:rsidRPr="00CA2CC1">
        <w:rPr>
          <w:rFonts w:cs="Calibri"/>
          <w:color w:val="414042"/>
          <w:spacing w:val="-12"/>
        </w:rPr>
        <w:t xml:space="preserve"> </w:t>
      </w:r>
      <w:r w:rsidRPr="00CA2CC1">
        <w:rPr>
          <w:rFonts w:cs="Calibri"/>
          <w:color w:val="414042"/>
        </w:rPr>
        <w:t>Minister.</w:t>
      </w:r>
      <w:r w:rsidRPr="00CA2CC1">
        <w:rPr>
          <w:rFonts w:cs="Calibri"/>
          <w:color w:val="414042"/>
          <w:spacing w:val="-12"/>
        </w:rPr>
        <w:t xml:space="preserve"> </w:t>
      </w:r>
      <w:r w:rsidRPr="00CA2CC1">
        <w:rPr>
          <w:rFonts w:cs="Calibri"/>
          <w:color w:val="414042"/>
        </w:rPr>
        <w:t>The</w:t>
      </w:r>
      <w:r w:rsidRPr="00CA2CC1">
        <w:rPr>
          <w:rFonts w:cs="Calibri"/>
          <w:color w:val="414042"/>
          <w:spacing w:val="-12"/>
        </w:rPr>
        <w:t xml:space="preserve"> </w:t>
      </w:r>
      <w:r w:rsidRPr="00CA2CC1">
        <w:rPr>
          <w:rFonts w:cs="Calibri"/>
          <w:color w:val="414042"/>
        </w:rPr>
        <w:t>Minister’s</w:t>
      </w:r>
      <w:r w:rsidRPr="00CA2CC1">
        <w:rPr>
          <w:rFonts w:cs="Calibri"/>
          <w:color w:val="414042"/>
          <w:spacing w:val="-12"/>
        </w:rPr>
        <w:t xml:space="preserve"> </w:t>
      </w:r>
      <w:r w:rsidRPr="00CA2CC1">
        <w:rPr>
          <w:rFonts w:cs="Calibri"/>
          <w:color w:val="414042"/>
        </w:rPr>
        <w:t xml:space="preserve">remuneration and allowances are set by the </w:t>
      </w:r>
      <w:r w:rsidRPr="00CA2CC1">
        <w:rPr>
          <w:rFonts w:cs="Calibri"/>
          <w:i/>
          <w:color w:val="414042"/>
        </w:rPr>
        <w:t xml:space="preserve">Parliamentary Salaries and Superannuation Act 1968 </w:t>
      </w:r>
      <w:r w:rsidRPr="00CA2CC1">
        <w:rPr>
          <w:rFonts w:cs="Calibri"/>
          <w:color w:val="414042"/>
        </w:rPr>
        <w:t>and is reported in the State’s annual financial report.</w:t>
      </w:r>
    </w:p>
    <w:p w14:paraId="745F4C87" w14:textId="2AE2807F" w:rsidR="00FA4226" w:rsidRPr="00CA2CC1" w:rsidRDefault="00000000" w:rsidP="0043303B">
      <w:pPr>
        <w:spacing w:before="6"/>
        <w:rPr>
          <w:rFonts w:cs="Calibri"/>
          <w:sz w:val="27"/>
        </w:rPr>
      </w:pPr>
      <w:r w:rsidRPr="00CA2CC1">
        <w:rPr>
          <w:rFonts w:cs="Calibri"/>
          <w:color w:val="414042"/>
        </w:rPr>
        <w:t>The</w:t>
      </w:r>
      <w:r w:rsidRPr="00CA2CC1">
        <w:rPr>
          <w:rFonts w:cs="Calibri"/>
          <w:color w:val="414042"/>
          <w:spacing w:val="-4"/>
        </w:rPr>
        <w:t xml:space="preserve"> </w:t>
      </w:r>
      <w:r w:rsidRPr="00CA2CC1">
        <w:rPr>
          <w:rFonts w:cs="Calibri"/>
          <w:color w:val="414042"/>
        </w:rPr>
        <w:t>compensation</w:t>
      </w:r>
      <w:r w:rsidRPr="00CA2CC1">
        <w:rPr>
          <w:rFonts w:cs="Calibri"/>
          <w:color w:val="414042"/>
          <w:spacing w:val="-4"/>
        </w:rPr>
        <w:t xml:space="preserve"> </w:t>
      </w:r>
      <w:r w:rsidRPr="00CA2CC1">
        <w:rPr>
          <w:rFonts w:cs="Calibri"/>
          <w:color w:val="414042"/>
        </w:rPr>
        <w:t>detailed</w:t>
      </w:r>
      <w:r w:rsidRPr="00CA2CC1">
        <w:rPr>
          <w:rFonts w:cs="Calibri"/>
          <w:color w:val="414042"/>
          <w:spacing w:val="-4"/>
        </w:rPr>
        <w:t xml:space="preserve"> </w:t>
      </w:r>
      <w:r w:rsidRPr="00CA2CC1">
        <w:rPr>
          <w:rFonts w:cs="Calibri"/>
          <w:color w:val="414042"/>
        </w:rPr>
        <w:t>below</w:t>
      </w:r>
      <w:r w:rsidRPr="00CA2CC1">
        <w:rPr>
          <w:rFonts w:cs="Calibri"/>
          <w:color w:val="414042"/>
          <w:spacing w:val="-4"/>
        </w:rPr>
        <w:t xml:space="preserve"> </w:t>
      </w:r>
      <w:r w:rsidRPr="00CA2CC1">
        <w:rPr>
          <w:rFonts w:cs="Calibri"/>
          <w:color w:val="414042"/>
        </w:rPr>
        <w:t>also</w:t>
      </w:r>
      <w:r w:rsidRPr="00CA2CC1">
        <w:rPr>
          <w:rFonts w:cs="Calibri"/>
          <w:color w:val="414042"/>
          <w:spacing w:val="-4"/>
        </w:rPr>
        <w:t xml:space="preserve"> </w:t>
      </w:r>
      <w:r w:rsidRPr="00CA2CC1">
        <w:rPr>
          <w:rFonts w:cs="Calibri"/>
          <w:color w:val="414042"/>
        </w:rPr>
        <w:t>excludes</w:t>
      </w:r>
      <w:r w:rsidRPr="00CA2CC1">
        <w:rPr>
          <w:rFonts w:cs="Calibri"/>
          <w:color w:val="414042"/>
          <w:spacing w:val="-4"/>
        </w:rPr>
        <w:t xml:space="preserve"> </w:t>
      </w:r>
      <w:r w:rsidRPr="00CA2CC1">
        <w:rPr>
          <w:rFonts w:cs="Calibri"/>
          <w:color w:val="414042"/>
        </w:rPr>
        <w:t>the</w:t>
      </w:r>
      <w:r w:rsidRPr="00CA2CC1">
        <w:rPr>
          <w:rFonts w:cs="Calibri"/>
          <w:color w:val="414042"/>
          <w:spacing w:val="-4"/>
        </w:rPr>
        <w:t xml:space="preserve"> </w:t>
      </w:r>
      <w:r w:rsidRPr="00CA2CC1">
        <w:rPr>
          <w:rFonts w:cs="Calibri"/>
          <w:color w:val="414042"/>
        </w:rPr>
        <w:t>salaries and benefits of the departmental secretaries who are also board</w:t>
      </w:r>
      <w:r w:rsidRPr="00CA2CC1">
        <w:rPr>
          <w:rFonts w:cs="Calibri"/>
          <w:color w:val="414042"/>
          <w:spacing w:val="-7"/>
        </w:rPr>
        <w:t xml:space="preserve"> </w:t>
      </w:r>
      <w:r w:rsidRPr="00CA2CC1">
        <w:rPr>
          <w:rFonts w:cs="Calibri"/>
          <w:color w:val="414042"/>
        </w:rPr>
        <w:t>members</w:t>
      </w:r>
      <w:r w:rsidRPr="00CA2CC1">
        <w:rPr>
          <w:rFonts w:cs="Calibri"/>
          <w:color w:val="414042"/>
          <w:spacing w:val="-7"/>
        </w:rPr>
        <w:t xml:space="preserve"> </w:t>
      </w:r>
      <w:r w:rsidRPr="00CA2CC1">
        <w:rPr>
          <w:rFonts w:cs="Calibri"/>
          <w:color w:val="414042"/>
        </w:rPr>
        <w:t>of</w:t>
      </w:r>
      <w:r w:rsidRPr="00CA2CC1">
        <w:rPr>
          <w:rFonts w:cs="Calibri"/>
          <w:color w:val="414042"/>
          <w:spacing w:val="-7"/>
        </w:rPr>
        <w:t xml:space="preserve"> </w:t>
      </w:r>
      <w:r w:rsidRPr="00CA2CC1">
        <w:rPr>
          <w:rFonts w:cs="Calibri"/>
          <w:color w:val="414042"/>
        </w:rPr>
        <w:t>Infrastructure</w:t>
      </w:r>
      <w:r w:rsidRPr="00CA2CC1">
        <w:rPr>
          <w:rFonts w:cs="Calibri"/>
          <w:color w:val="414042"/>
          <w:spacing w:val="-7"/>
        </w:rPr>
        <w:t xml:space="preserve"> </w:t>
      </w:r>
      <w:r w:rsidRPr="00CA2CC1">
        <w:rPr>
          <w:rFonts w:cs="Calibri"/>
          <w:color w:val="414042"/>
        </w:rPr>
        <w:t>Victoria;</w:t>
      </w:r>
      <w:r w:rsidRPr="00CA2CC1">
        <w:rPr>
          <w:rFonts w:cs="Calibri"/>
          <w:color w:val="414042"/>
          <w:spacing w:val="-7"/>
        </w:rPr>
        <w:t xml:space="preserve"> </w:t>
      </w:r>
      <w:r w:rsidRPr="00CA2CC1">
        <w:rPr>
          <w:rFonts w:cs="Calibri"/>
          <w:color w:val="414042"/>
        </w:rPr>
        <w:t>these</w:t>
      </w:r>
      <w:r w:rsidRPr="00CA2CC1">
        <w:rPr>
          <w:rFonts w:cs="Calibri"/>
          <w:color w:val="414042"/>
          <w:spacing w:val="-7"/>
        </w:rPr>
        <w:t xml:space="preserve"> </w:t>
      </w:r>
      <w:r w:rsidRPr="00CA2CC1">
        <w:rPr>
          <w:rFonts w:cs="Calibri"/>
          <w:color w:val="414042"/>
        </w:rPr>
        <w:t>are</w:t>
      </w:r>
      <w:r w:rsidRPr="00CA2CC1">
        <w:rPr>
          <w:rFonts w:cs="Calibri"/>
          <w:color w:val="414042"/>
          <w:spacing w:val="-7"/>
        </w:rPr>
        <w:t xml:space="preserve"> </w:t>
      </w:r>
      <w:r w:rsidRPr="00CA2CC1">
        <w:rPr>
          <w:rFonts w:cs="Calibri"/>
          <w:color w:val="414042"/>
        </w:rPr>
        <w:t>reported in the financial report of each respective department.</w:t>
      </w:r>
    </w:p>
    <w:p w14:paraId="0707CF02" w14:textId="77777777" w:rsidR="00FA4226" w:rsidRPr="00CA2CC1" w:rsidRDefault="00FA4226" w:rsidP="0043303B">
      <w:pPr>
        <w:rPr>
          <w:rFonts w:cs="Calibri"/>
        </w:rPr>
        <w:sectPr w:rsidR="00FA4226" w:rsidRPr="00CA2CC1" w:rsidSect="00E941A5">
          <w:type w:val="continuous"/>
          <w:pgSz w:w="11910" w:h="16840"/>
          <w:pgMar w:top="1134" w:right="1278" w:bottom="1134" w:left="1134" w:header="720" w:footer="720" w:gutter="0"/>
          <w:cols w:space="720"/>
        </w:sectPr>
      </w:pPr>
    </w:p>
    <w:p w14:paraId="519D2BDC" w14:textId="77777777" w:rsidR="00FA4226" w:rsidRPr="00CA2CC1" w:rsidRDefault="00FA4226" w:rsidP="0043303B">
      <w:pPr>
        <w:pStyle w:val="BodyText"/>
        <w:spacing w:before="7"/>
        <w:rPr>
          <w:rFonts w:cs="Calibri"/>
          <w:sz w:val="9"/>
        </w:rPr>
      </w:pPr>
    </w:p>
    <w:tbl>
      <w:tblPr>
        <w:tblW w:w="9637" w:type="dxa"/>
        <w:tblBorders>
          <w:top w:val="single" w:sz="4" w:space="0" w:color="C48F1B"/>
          <w:left w:val="single" w:sz="4" w:space="0" w:color="C48F1B"/>
          <w:bottom w:val="single" w:sz="4" w:space="0" w:color="C48F1B"/>
          <w:right w:val="single" w:sz="4" w:space="0" w:color="C48F1B"/>
          <w:insideH w:val="single" w:sz="4" w:space="0" w:color="C48F1B"/>
          <w:insideV w:val="single" w:sz="4" w:space="0" w:color="C48F1B"/>
        </w:tblBorders>
        <w:tblLayout w:type="fixed"/>
        <w:tblCellMar>
          <w:left w:w="0" w:type="dxa"/>
          <w:right w:w="0" w:type="dxa"/>
        </w:tblCellMar>
        <w:tblLook w:val="01E0" w:firstRow="1" w:lastRow="1" w:firstColumn="1" w:lastColumn="1" w:noHBand="0" w:noVBand="0"/>
      </w:tblPr>
      <w:tblGrid>
        <w:gridCol w:w="6633"/>
        <w:gridCol w:w="1502"/>
        <w:gridCol w:w="1502"/>
      </w:tblGrid>
      <w:tr w:rsidR="00FA4226" w:rsidRPr="00CA2CC1" w14:paraId="40A23A35" w14:textId="77777777" w:rsidTr="00223F33">
        <w:trPr>
          <w:trHeight w:val="544"/>
        </w:trPr>
        <w:tc>
          <w:tcPr>
            <w:tcW w:w="6633" w:type="dxa"/>
            <w:tcBorders>
              <w:top w:val="nil"/>
              <w:left w:val="nil"/>
              <w:right w:val="nil"/>
            </w:tcBorders>
          </w:tcPr>
          <w:p w14:paraId="15A8703D" w14:textId="77777777" w:rsidR="00FA4226" w:rsidRPr="00CA2CC1" w:rsidRDefault="00FA4226" w:rsidP="0043303B">
            <w:pPr>
              <w:pStyle w:val="TableParagraph"/>
              <w:spacing w:before="11"/>
              <w:jc w:val="left"/>
              <w:rPr>
                <w:rFonts w:cs="Calibri"/>
                <w:sz w:val="19"/>
              </w:rPr>
            </w:pPr>
          </w:p>
          <w:p w14:paraId="79E69B6A" w14:textId="77777777" w:rsidR="00FA4226" w:rsidRPr="00CA2CC1" w:rsidRDefault="00000000" w:rsidP="0043303B">
            <w:pPr>
              <w:pStyle w:val="TableParagraph"/>
              <w:jc w:val="left"/>
              <w:rPr>
                <w:rFonts w:cs="Calibri"/>
                <w:sz w:val="17"/>
              </w:rPr>
            </w:pPr>
            <w:r w:rsidRPr="00CA2CC1">
              <w:rPr>
                <w:rFonts w:cs="Calibri"/>
                <w:color w:val="F68C59"/>
                <w:sz w:val="17"/>
              </w:rPr>
              <w:t>Compensation</w:t>
            </w:r>
            <w:r w:rsidRPr="00CA2CC1">
              <w:rPr>
                <w:rFonts w:cs="Calibri"/>
                <w:color w:val="F68C59"/>
                <w:spacing w:val="9"/>
                <w:sz w:val="17"/>
              </w:rPr>
              <w:t xml:space="preserve"> </w:t>
            </w:r>
            <w:r w:rsidRPr="00CA2CC1">
              <w:rPr>
                <w:rFonts w:cs="Calibri"/>
                <w:color w:val="F68C59"/>
                <w:sz w:val="17"/>
              </w:rPr>
              <w:t>of</w:t>
            </w:r>
            <w:r w:rsidRPr="00CA2CC1">
              <w:rPr>
                <w:rFonts w:cs="Calibri"/>
                <w:color w:val="F68C59"/>
                <w:spacing w:val="12"/>
                <w:sz w:val="17"/>
              </w:rPr>
              <w:t xml:space="preserve"> </w:t>
            </w:r>
            <w:r w:rsidRPr="00CA2CC1">
              <w:rPr>
                <w:rFonts w:cs="Calibri"/>
                <w:color w:val="F68C59"/>
                <w:spacing w:val="-4"/>
                <w:sz w:val="17"/>
              </w:rPr>
              <w:t>KMPs</w:t>
            </w:r>
          </w:p>
        </w:tc>
        <w:tc>
          <w:tcPr>
            <w:tcW w:w="1502" w:type="dxa"/>
            <w:tcBorders>
              <w:top w:val="nil"/>
              <w:left w:val="nil"/>
              <w:right w:val="single" w:sz="8" w:space="0" w:color="FFFFFF"/>
            </w:tcBorders>
            <w:shd w:val="clear" w:color="auto" w:fill="FFF0E7"/>
            <w:tcMar>
              <w:right w:w="57" w:type="dxa"/>
            </w:tcMar>
          </w:tcPr>
          <w:p w14:paraId="1EE527BF" w14:textId="77777777" w:rsidR="00FA4226" w:rsidRPr="00CA2CC1" w:rsidRDefault="00000000" w:rsidP="0043303B">
            <w:pPr>
              <w:pStyle w:val="TableParagraph"/>
              <w:spacing w:before="39"/>
              <w:rPr>
                <w:rFonts w:cs="Calibri"/>
                <w:sz w:val="17"/>
              </w:rPr>
            </w:pPr>
            <w:r w:rsidRPr="00CA2CC1">
              <w:rPr>
                <w:rFonts w:cs="Calibri"/>
                <w:color w:val="F68C59"/>
                <w:spacing w:val="-4"/>
                <w:sz w:val="17"/>
              </w:rPr>
              <w:t>2023</w:t>
            </w:r>
          </w:p>
          <w:p w14:paraId="583295FD" w14:textId="77777777" w:rsidR="00FA4226" w:rsidRPr="00CA2CC1" w:rsidRDefault="00000000" w:rsidP="0043303B">
            <w:pPr>
              <w:pStyle w:val="TableParagraph"/>
              <w:spacing w:before="1"/>
              <w:rPr>
                <w:rFonts w:cs="Calibri"/>
                <w:sz w:val="17"/>
              </w:rPr>
            </w:pPr>
            <w:r w:rsidRPr="00CA2CC1">
              <w:rPr>
                <w:rFonts w:cs="Calibri"/>
                <w:color w:val="F68C59"/>
                <w:sz w:val="17"/>
              </w:rPr>
              <w:t>$</w:t>
            </w:r>
          </w:p>
        </w:tc>
        <w:tc>
          <w:tcPr>
            <w:tcW w:w="1502" w:type="dxa"/>
            <w:tcBorders>
              <w:top w:val="nil"/>
              <w:left w:val="single" w:sz="8" w:space="0" w:color="FFFFFF"/>
              <w:right w:val="nil"/>
            </w:tcBorders>
            <w:shd w:val="clear" w:color="auto" w:fill="EDEFF0"/>
            <w:tcMar>
              <w:right w:w="57" w:type="dxa"/>
            </w:tcMar>
          </w:tcPr>
          <w:p w14:paraId="27B0EF51" w14:textId="77777777" w:rsidR="00FA4226" w:rsidRPr="00CA2CC1" w:rsidRDefault="00000000" w:rsidP="0043303B">
            <w:pPr>
              <w:pStyle w:val="TableParagraph"/>
              <w:spacing w:before="39"/>
              <w:rPr>
                <w:rFonts w:cs="Calibri"/>
                <w:sz w:val="17"/>
              </w:rPr>
            </w:pPr>
            <w:r w:rsidRPr="00CA2CC1">
              <w:rPr>
                <w:rFonts w:cs="Calibri"/>
                <w:color w:val="F68C59"/>
                <w:spacing w:val="-4"/>
                <w:sz w:val="17"/>
              </w:rPr>
              <w:t>2022</w:t>
            </w:r>
          </w:p>
          <w:p w14:paraId="49D9B930" w14:textId="77777777" w:rsidR="00FA4226" w:rsidRPr="00CA2CC1" w:rsidRDefault="00000000" w:rsidP="0043303B">
            <w:pPr>
              <w:pStyle w:val="TableParagraph"/>
              <w:spacing w:before="1"/>
              <w:rPr>
                <w:rFonts w:cs="Calibri"/>
                <w:sz w:val="17"/>
              </w:rPr>
            </w:pPr>
            <w:r w:rsidRPr="00CA2CC1">
              <w:rPr>
                <w:rFonts w:cs="Calibri"/>
                <w:color w:val="F68C59"/>
                <w:sz w:val="17"/>
              </w:rPr>
              <w:t>$</w:t>
            </w:r>
          </w:p>
        </w:tc>
      </w:tr>
      <w:tr w:rsidR="00FA4226" w:rsidRPr="00CA2CC1" w14:paraId="682334C6" w14:textId="77777777" w:rsidTr="00223F33">
        <w:trPr>
          <w:trHeight w:val="281"/>
        </w:trPr>
        <w:tc>
          <w:tcPr>
            <w:tcW w:w="6633" w:type="dxa"/>
            <w:tcBorders>
              <w:left w:val="nil"/>
              <w:bottom w:val="single" w:sz="2" w:space="0" w:color="73777A"/>
              <w:right w:val="nil"/>
            </w:tcBorders>
          </w:tcPr>
          <w:p w14:paraId="2A9FDFF1" w14:textId="77777777" w:rsidR="00FA4226" w:rsidRPr="00CA2CC1" w:rsidRDefault="00000000" w:rsidP="0043303B">
            <w:pPr>
              <w:pStyle w:val="TableParagraph"/>
              <w:jc w:val="left"/>
              <w:rPr>
                <w:rFonts w:cs="Calibri"/>
                <w:sz w:val="18"/>
              </w:rPr>
            </w:pPr>
            <w:r w:rsidRPr="00CA2CC1">
              <w:rPr>
                <w:rFonts w:cs="Calibri"/>
                <w:color w:val="414042"/>
                <w:sz w:val="18"/>
              </w:rPr>
              <w:t>Short-term</w:t>
            </w:r>
            <w:r w:rsidRPr="00CA2CC1">
              <w:rPr>
                <w:rFonts w:cs="Calibri"/>
                <w:color w:val="414042"/>
                <w:spacing w:val="3"/>
                <w:sz w:val="18"/>
              </w:rPr>
              <w:t xml:space="preserve"> </w:t>
            </w:r>
            <w:r w:rsidRPr="00CA2CC1">
              <w:rPr>
                <w:rFonts w:cs="Calibri"/>
                <w:color w:val="414042"/>
                <w:sz w:val="18"/>
              </w:rPr>
              <w:t>employee</w:t>
            </w:r>
            <w:r w:rsidRPr="00CA2CC1">
              <w:rPr>
                <w:rFonts w:cs="Calibri"/>
                <w:color w:val="414042"/>
                <w:spacing w:val="3"/>
                <w:sz w:val="18"/>
              </w:rPr>
              <w:t xml:space="preserve"> </w:t>
            </w:r>
            <w:r w:rsidRPr="00CA2CC1">
              <w:rPr>
                <w:rFonts w:cs="Calibri"/>
                <w:color w:val="414042"/>
                <w:spacing w:val="-2"/>
                <w:sz w:val="18"/>
              </w:rPr>
              <w:t>benefits</w:t>
            </w:r>
          </w:p>
        </w:tc>
        <w:tc>
          <w:tcPr>
            <w:tcW w:w="1502" w:type="dxa"/>
            <w:tcBorders>
              <w:left w:val="nil"/>
              <w:bottom w:val="single" w:sz="2" w:space="0" w:color="73777A"/>
              <w:right w:val="single" w:sz="8" w:space="0" w:color="FFFFFF"/>
            </w:tcBorders>
            <w:shd w:val="clear" w:color="auto" w:fill="FFF0E7"/>
            <w:tcMar>
              <w:right w:w="57" w:type="dxa"/>
            </w:tcMar>
          </w:tcPr>
          <w:p w14:paraId="525EEE7A" w14:textId="77777777" w:rsidR="00FA4226" w:rsidRPr="00CA2CC1" w:rsidRDefault="00000000" w:rsidP="0043303B">
            <w:pPr>
              <w:pStyle w:val="TableParagraph"/>
              <w:rPr>
                <w:rFonts w:cs="Calibri"/>
                <w:sz w:val="18"/>
              </w:rPr>
            </w:pPr>
            <w:r w:rsidRPr="00CA2CC1">
              <w:rPr>
                <w:rFonts w:cs="Calibri"/>
                <w:color w:val="414042"/>
                <w:spacing w:val="-2"/>
                <w:sz w:val="18"/>
              </w:rPr>
              <w:t>930,060</w:t>
            </w:r>
          </w:p>
        </w:tc>
        <w:tc>
          <w:tcPr>
            <w:tcW w:w="1502" w:type="dxa"/>
            <w:tcBorders>
              <w:left w:val="single" w:sz="8" w:space="0" w:color="FFFFFF"/>
              <w:bottom w:val="single" w:sz="2" w:space="0" w:color="73777A"/>
              <w:right w:val="nil"/>
            </w:tcBorders>
            <w:shd w:val="clear" w:color="auto" w:fill="EDEFF0"/>
            <w:tcMar>
              <w:right w:w="57" w:type="dxa"/>
            </w:tcMar>
          </w:tcPr>
          <w:p w14:paraId="1EEF9491" w14:textId="77777777" w:rsidR="00FA4226" w:rsidRPr="00CA2CC1" w:rsidRDefault="00000000" w:rsidP="0043303B">
            <w:pPr>
              <w:pStyle w:val="TableParagraph"/>
              <w:rPr>
                <w:rFonts w:cs="Calibri"/>
                <w:sz w:val="18"/>
              </w:rPr>
            </w:pPr>
            <w:r w:rsidRPr="00CA2CC1">
              <w:rPr>
                <w:rFonts w:cs="Calibri"/>
                <w:color w:val="414042"/>
                <w:spacing w:val="-2"/>
                <w:sz w:val="18"/>
              </w:rPr>
              <w:t>902,687</w:t>
            </w:r>
          </w:p>
        </w:tc>
      </w:tr>
      <w:tr w:rsidR="00FA4226" w:rsidRPr="00CA2CC1" w14:paraId="369B6374" w14:textId="77777777" w:rsidTr="00223F33">
        <w:trPr>
          <w:trHeight w:val="283"/>
        </w:trPr>
        <w:tc>
          <w:tcPr>
            <w:tcW w:w="6633" w:type="dxa"/>
            <w:tcBorders>
              <w:top w:val="single" w:sz="2" w:space="0" w:color="73777A"/>
              <w:left w:val="nil"/>
              <w:bottom w:val="single" w:sz="2" w:space="0" w:color="73777A"/>
              <w:right w:val="nil"/>
            </w:tcBorders>
          </w:tcPr>
          <w:p w14:paraId="29AC6F51" w14:textId="77777777" w:rsidR="00FA4226" w:rsidRPr="00CA2CC1" w:rsidRDefault="00000000" w:rsidP="0043303B">
            <w:pPr>
              <w:pStyle w:val="TableParagraph"/>
              <w:jc w:val="left"/>
              <w:rPr>
                <w:rFonts w:cs="Calibri"/>
                <w:sz w:val="18"/>
              </w:rPr>
            </w:pPr>
            <w:r w:rsidRPr="00CA2CC1">
              <w:rPr>
                <w:rFonts w:cs="Calibri"/>
                <w:color w:val="414042"/>
                <w:sz w:val="18"/>
              </w:rPr>
              <w:t>Post-employment</w:t>
            </w:r>
            <w:r w:rsidRPr="00CA2CC1">
              <w:rPr>
                <w:rFonts w:cs="Calibri"/>
                <w:color w:val="414042"/>
                <w:spacing w:val="5"/>
                <w:sz w:val="18"/>
              </w:rPr>
              <w:t xml:space="preserve"> </w:t>
            </w:r>
            <w:r w:rsidRPr="00CA2CC1">
              <w:rPr>
                <w:rFonts w:cs="Calibri"/>
                <w:color w:val="414042"/>
                <w:spacing w:val="-2"/>
                <w:sz w:val="18"/>
              </w:rPr>
              <w:t>benefits</w:t>
            </w:r>
          </w:p>
        </w:tc>
        <w:tc>
          <w:tcPr>
            <w:tcW w:w="1502" w:type="dxa"/>
            <w:tcBorders>
              <w:top w:val="single" w:sz="2" w:space="0" w:color="73777A"/>
              <w:left w:val="nil"/>
              <w:bottom w:val="single" w:sz="2" w:space="0" w:color="73777A"/>
              <w:right w:val="single" w:sz="8" w:space="0" w:color="FFFFFF"/>
            </w:tcBorders>
            <w:shd w:val="clear" w:color="auto" w:fill="FFF0E7"/>
            <w:tcMar>
              <w:right w:w="57" w:type="dxa"/>
            </w:tcMar>
          </w:tcPr>
          <w:p w14:paraId="573732AB" w14:textId="77777777" w:rsidR="00FA4226" w:rsidRPr="00CA2CC1" w:rsidRDefault="00000000" w:rsidP="0043303B">
            <w:pPr>
              <w:pStyle w:val="TableParagraph"/>
              <w:rPr>
                <w:rFonts w:cs="Calibri"/>
                <w:sz w:val="18"/>
              </w:rPr>
            </w:pPr>
            <w:r w:rsidRPr="00CA2CC1">
              <w:rPr>
                <w:rFonts w:cs="Calibri"/>
                <w:color w:val="414042"/>
                <w:spacing w:val="-2"/>
                <w:sz w:val="18"/>
              </w:rPr>
              <w:t>50,422</w:t>
            </w:r>
          </w:p>
        </w:tc>
        <w:tc>
          <w:tcPr>
            <w:tcW w:w="1502" w:type="dxa"/>
            <w:tcBorders>
              <w:top w:val="single" w:sz="2" w:space="0" w:color="73777A"/>
              <w:left w:val="single" w:sz="8" w:space="0" w:color="FFFFFF"/>
              <w:bottom w:val="single" w:sz="2" w:space="0" w:color="73777A"/>
              <w:right w:val="nil"/>
            </w:tcBorders>
            <w:shd w:val="clear" w:color="auto" w:fill="EDEFF0"/>
            <w:tcMar>
              <w:right w:w="57" w:type="dxa"/>
            </w:tcMar>
          </w:tcPr>
          <w:p w14:paraId="7B9FA575" w14:textId="77777777" w:rsidR="00FA4226" w:rsidRPr="00CA2CC1" w:rsidRDefault="00000000" w:rsidP="0043303B">
            <w:pPr>
              <w:pStyle w:val="TableParagraph"/>
              <w:rPr>
                <w:rFonts w:cs="Calibri"/>
                <w:sz w:val="18"/>
              </w:rPr>
            </w:pPr>
            <w:r w:rsidRPr="00CA2CC1">
              <w:rPr>
                <w:rFonts w:cs="Calibri"/>
                <w:color w:val="414042"/>
                <w:spacing w:val="-2"/>
                <w:sz w:val="18"/>
              </w:rPr>
              <w:t>34,969</w:t>
            </w:r>
          </w:p>
        </w:tc>
      </w:tr>
      <w:tr w:rsidR="00FA4226" w:rsidRPr="00CA2CC1" w14:paraId="1BC0B8E2" w14:textId="77777777" w:rsidTr="00223F33">
        <w:trPr>
          <w:trHeight w:val="278"/>
        </w:trPr>
        <w:tc>
          <w:tcPr>
            <w:tcW w:w="6633" w:type="dxa"/>
            <w:tcBorders>
              <w:top w:val="single" w:sz="2" w:space="0" w:color="73777A"/>
              <w:left w:val="nil"/>
              <w:bottom w:val="single" w:sz="6" w:space="0" w:color="73777A"/>
              <w:right w:val="nil"/>
            </w:tcBorders>
          </w:tcPr>
          <w:p w14:paraId="02432CD7" w14:textId="77777777" w:rsidR="00FA4226" w:rsidRPr="00CA2CC1" w:rsidRDefault="00000000" w:rsidP="0043303B">
            <w:pPr>
              <w:pStyle w:val="TableParagraph"/>
              <w:jc w:val="left"/>
              <w:rPr>
                <w:rFonts w:cs="Calibri"/>
                <w:sz w:val="18"/>
              </w:rPr>
            </w:pPr>
            <w:r w:rsidRPr="00CA2CC1">
              <w:rPr>
                <w:rFonts w:cs="Calibri"/>
                <w:color w:val="414042"/>
                <w:sz w:val="18"/>
              </w:rPr>
              <w:t>Other</w:t>
            </w:r>
            <w:r w:rsidRPr="00CA2CC1">
              <w:rPr>
                <w:rFonts w:cs="Calibri"/>
                <w:color w:val="414042"/>
                <w:spacing w:val="2"/>
                <w:sz w:val="18"/>
              </w:rPr>
              <w:t xml:space="preserve"> </w:t>
            </w:r>
            <w:r w:rsidRPr="00CA2CC1">
              <w:rPr>
                <w:rFonts w:cs="Calibri"/>
                <w:color w:val="414042"/>
                <w:sz w:val="18"/>
              </w:rPr>
              <w:t>long-term</w:t>
            </w:r>
            <w:r w:rsidRPr="00CA2CC1">
              <w:rPr>
                <w:rFonts w:cs="Calibri"/>
                <w:color w:val="414042"/>
                <w:spacing w:val="4"/>
                <w:sz w:val="18"/>
              </w:rPr>
              <w:t xml:space="preserve"> </w:t>
            </w:r>
            <w:r w:rsidRPr="00CA2CC1">
              <w:rPr>
                <w:rFonts w:cs="Calibri"/>
                <w:color w:val="414042"/>
                <w:spacing w:val="-2"/>
                <w:sz w:val="18"/>
              </w:rPr>
              <w:t>benefits</w:t>
            </w:r>
          </w:p>
        </w:tc>
        <w:tc>
          <w:tcPr>
            <w:tcW w:w="1502" w:type="dxa"/>
            <w:tcBorders>
              <w:top w:val="single" w:sz="2" w:space="0" w:color="73777A"/>
              <w:left w:val="nil"/>
              <w:bottom w:val="single" w:sz="6" w:space="0" w:color="73777A"/>
              <w:right w:val="single" w:sz="8" w:space="0" w:color="FFFFFF"/>
            </w:tcBorders>
            <w:shd w:val="clear" w:color="auto" w:fill="FFF0E7"/>
            <w:tcMar>
              <w:right w:w="57" w:type="dxa"/>
            </w:tcMar>
          </w:tcPr>
          <w:p w14:paraId="661BE375" w14:textId="77777777" w:rsidR="00FA4226" w:rsidRPr="00CA2CC1" w:rsidRDefault="00000000" w:rsidP="0043303B">
            <w:pPr>
              <w:pStyle w:val="TableParagraph"/>
              <w:rPr>
                <w:rFonts w:cs="Calibri"/>
                <w:sz w:val="18"/>
              </w:rPr>
            </w:pPr>
            <w:r w:rsidRPr="00CA2CC1">
              <w:rPr>
                <w:rFonts w:cs="Calibri"/>
                <w:color w:val="414042"/>
                <w:spacing w:val="-2"/>
                <w:sz w:val="18"/>
              </w:rPr>
              <w:t>29,002</w:t>
            </w:r>
          </w:p>
        </w:tc>
        <w:tc>
          <w:tcPr>
            <w:tcW w:w="1502" w:type="dxa"/>
            <w:tcBorders>
              <w:top w:val="single" w:sz="2" w:space="0" w:color="73777A"/>
              <w:left w:val="single" w:sz="8" w:space="0" w:color="FFFFFF"/>
              <w:bottom w:val="single" w:sz="6" w:space="0" w:color="73777A"/>
              <w:right w:val="nil"/>
            </w:tcBorders>
            <w:shd w:val="clear" w:color="auto" w:fill="EDEFF0"/>
            <w:tcMar>
              <w:right w:w="57" w:type="dxa"/>
            </w:tcMar>
          </w:tcPr>
          <w:p w14:paraId="56F1F7EA" w14:textId="77777777" w:rsidR="00FA4226" w:rsidRPr="00CA2CC1" w:rsidRDefault="00000000" w:rsidP="0043303B">
            <w:pPr>
              <w:pStyle w:val="TableParagraph"/>
              <w:rPr>
                <w:rFonts w:cs="Calibri"/>
                <w:sz w:val="18"/>
              </w:rPr>
            </w:pPr>
            <w:r w:rsidRPr="00CA2CC1">
              <w:rPr>
                <w:rFonts w:cs="Calibri"/>
                <w:color w:val="414042"/>
                <w:spacing w:val="-2"/>
                <w:sz w:val="18"/>
              </w:rPr>
              <w:t>(33,464)</w:t>
            </w:r>
          </w:p>
        </w:tc>
      </w:tr>
      <w:tr w:rsidR="00FA4226" w:rsidRPr="00CA2CC1" w14:paraId="5E8BB395" w14:textId="77777777" w:rsidTr="00223F33">
        <w:trPr>
          <w:trHeight w:val="258"/>
        </w:trPr>
        <w:tc>
          <w:tcPr>
            <w:tcW w:w="6633" w:type="dxa"/>
            <w:tcBorders>
              <w:top w:val="single" w:sz="6" w:space="0" w:color="73777A"/>
              <w:left w:val="nil"/>
              <w:bottom w:val="double" w:sz="6" w:space="0" w:color="73777A"/>
              <w:right w:val="nil"/>
            </w:tcBorders>
          </w:tcPr>
          <w:p w14:paraId="4B8166A8" w14:textId="77777777" w:rsidR="00FA4226" w:rsidRPr="00CA2CC1" w:rsidRDefault="00000000" w:rsidP="0043303B">
            <w:pPr>
              <w:pStyle w:val="TableParagraph"/>
              <w:jc w:val="left"/>
              <w:rPr>
                <w:rFonts w:cs="Calibri"/>
                <w:sz w:val="18"/>
              </w:rPr>
            </w:pPr>
            <w:r w:rsidRPr="00CA2CC1">
              <w:rPr>
                <w:rFonts w:cs="Calibri"/>
                <w:color w:val="414042"/>
                <w:spacing w:val="-2"/>
                <w:sz w:val="18"/>
              </w:rPr>
              <w:t>Total</w:t>
            </w:r>
          </w:p>
        </w:tc>
        <w:tc>
          <w:tcPr>
            <w:tcW w:w="1502" w:type="dxa"/>
            <w:tcBorders>
              <w:top w:val="single" w:sz="6" w:space="0" w:color="73777A"/>
              <w:left w:val="nil"/>
              <w:bottom w:val="double" w:sz="4" w:space="0" w:color="73777A"/>
              <w:right w:val="single" w:sz="8" w:space="0" w:color="FFFFFF"/>
            </w:tcBorders>
            <w:shd w:val="clear" w:color="auto" w:fill="FFF0E7"/>
            <w:tcMar>
              <w:right w:w="57" w:type="dxa"/>
            </w:tcMar>
          </w:tcPr>
          <w:p w14:paraId="3E4C097B" w14:textId="77777777" w:rsidR="00FA4226" w:rsidRPr="00CA2CC1" w:rsidRDefault="00000000" w:rsidP="0043303B">
            <w:pPr>
              <w:pStyle w:val="TableParagraph"/>
              <w:rPr>
                <w:rFonts w:cs="Calibri"/>
                <w:sz w:val="18"/>
              </w:rPr>
            </w:pPr>
            <w:r w:rsidRPr="00CA2CC1">
              <w:rPr>
                <w:rFonts w:cs="Calibri"/>
                <w:color w:val="414042"/>
                <w:spacing w:val="-2"/>
                <w:sz w:val="18"/>
              </w:rPr>
              <w:t>1,009,484</w:t>
            </w:r>
          </w:p>
        </w:tc>
        <w:tc>
          <w:tcPr>
            <w:tcW w:w="1502" w:type="dxa"/>
            <w:tcBorders>
              <w:top w:val="single" w:sz="6" w:space="0" w:color="73777A"/>
              <w:left w:val="single" w:sz="8" w:space="0" w:color="FFFFFF"/>
              <w:bottom w:val="double" w:sz="4" w:space="0" w:color="73777A"/>
              <w:right w:val="nil"/>
            </w:tcBorders>
            <w:shd w:val="clear" w:color="auto" w:fill="EDEFF0"/>
            <w:tcMar>
              <w:right w:w="57" w:type="dxa"/>
            </w:tcMar>
          </w:tcPr>
          <w:p w14:paraId="06149458" w14:textId="77777777" w:rsidR="00FA4226" w:rsidRPr="00CA2CC1" w:rsidRDefault="00000000" w:rsidP="0043303B">
            <w:pPr>
              <w:pStyle w:val="TableParagraph"/>
              <w:rPr>
                <w:rFonts w:cs="Calibri"/>
                <w:sz w:val="18"/>
              </w:rPr>
            </w:pPr>
            <w:r w:rsidRPr="00CA2CC1">
              <w:rPr>
                <w:rFonts w:cs="Calibri"/>
                <w:color w:val="414042"/>
                <w:spacing w:val="-2"/>
                <w:sz w:val="18"/>
              </w:rPr>
              <w:t>904,192</w:t>
            </w:r>
          </w:p>
        </w:tc>
      </w:tr>
    </w:tbl>
    <w:p w14:paraId="1CB731AC" w14:textId="77777777" w:rsidR="00FA4226" w:rsidRPr="00CA2CC1" w:rsidRDefault="00FA4226" w:rsidP="0043303B">
      <w:pPr>
        <w:rPr>
          <w:rFonts w:cs="Calibri"/>
          <w:sz w:val="7"/>
        </w:rPr>
        <w:sectPr w:rsidR="00FA4226" w:rsidRPr="00CA2CC1" w:rsidSect="00E941A5">
          <w:type w:val="continuous"/>
          <w:pgSz w:w="11910" w:h="16840"/>
          <w:pgMar w:top="1134" w:right="1278" w:bottom="1134" w:left="1134" w:header="720" w:footer="720" w:gutter="0"/>
          <w:cols w:space="720"/>
        </w:sectPr>
      </w:pPr>
    </w:p>
    <w:p w14:paraId="6E896DC3" w14:textId="77777777" w:rsidR="00B76626" w:rsidRPr="00CA2CC1" w:rsidRDefault="00B76626" w:rsidP="0043303B">
      <w:pPr>
        <w:pStyle w:val="BodyText"/>
        <w:spacing w:before="67"/>
        <w:rPr>
          <w:rFonts w:cs="Calibri"/>
        </w:rPr>
      </w:pPr>
      <w:r w:rsidRPr="00CA2CC1">
        <w:rPr>
          <w:rFonts w:cs="Calibri"/>
          <w:color w:val="414042"/>
        </w:rPr>
        <w:t>Transactions</w:t>
      </w:r>
      <w:r w:rsidRPr="00CA2CC1">
        <w:rPr>
          <w:rFonts w:cs="Calibri"/>
          <w:color w:val="414042"/>
          <w:spacing w:val="-4"/>
        </w:rPr>
        <w:t xml:space="preserve"> </w:t>
      </w:r>
      <w:r w:rsidRPr="00CA2CC1">
        <w:rPr>
          <w:rFonts w:cs="Calibri"/>
          <w:color w:val="414042"/>
        </w:rPr>
        <w:t>with</w:t>
      </w:r>
      <w:r w:rsidRPr="00CA2CC1">
        <w:rPr>
          <w:rFonts w:cs="Calibri"/>
          <w:color w:val="414042"/>
          <w:spacing w:val="-3"/>
        </w:rPr>
        <w:t xml:space="preserve"> </w:t>
      </w:r>
      <w:r w:rsidRPr="00CA2CC1">
        <w:rPr>
          <w:rFonts w:cs="Calibri"/>
          <w:color w:val="414042"/>
        </w:rPr>
        <w:t>KMPs</w:t>
      </w:r>
      <w:r w:rsidRPr="00CA2CC1">
        <w:rPr>
          <w:rFonts w:cs="Calibri"/>
          <w:color w:val="414042"/>
          <w:spacing w:val="-4"/>
        </w:rPr>
        <w:t xml:space="preserve"> </w:t>
      </w:r>
      <w:r w:rsidRPr="00CA2CC1">
        <w:rPr>
          <w:rFonts w:cs="Calibri"/>
          <w:color w:val="414042"/>
        </w:rPr>
        <w:t>and</w:t>
      </w:r>
      <w:r w:rsidRPr="00CA2CC1">
        <w:rPr>
          <w:rFonts w:cs="Calibri"/>
          <w:color w:val="414042"/>
          <w:spacing w:val="-3"/>
        </w:rPr>
        <w:t xml:space="preserve"> </w:t>
      </w:r>
      <w:r w:rsidRPr="00CA2CC1">
        <w:rPr>
          <w:rFonts w:cs="Calibri"/>
          <w:color w:val="414042"/>
        </w:rPr>
        <w:t>other</w:t>
      </w:r>
      <w:r w:rsidRPr="00CA2CC1">
        <w:rPr>
          <w:rFonts w:cs="Calibri"/>
          <w:color w:val="414042"/>
          <w:spacing w:val="-4"/>
        </w:rPr>
        <w:t xml:space="preserve"> </w:t>
      </w:r>
      <w:r w:rsidRPr="00CA2CC1">
        <w:rPr>
          <w:rFonts w:cs="Calibri"/>
          <w:color w:val="414042"/>
        </w:rPr>
        <w:t>related</w:t>
      </w:r>
      <w:r w:rsidRPr="00CA2CC1">
        <w:rPr>
          <w:rFonts w:cs="Calibri"/>
          <w:color w:val="414042"/>
          <w:spacing w:val="-3"/>
        </w:rPr>
        <w:t xml:space="preserve"> </w:t>
      </w:r>
      <w:r w:rsidRPr="00CA2CC1">
        <w:rPr>
          <w:rFonts w:cs="Calibri"/>
          <w:color w:val="414042"/>
          <w:spacing w:val="-2"/>
        </w:rPr>
        <w:t>parties</w:t>
      </w:r>
    </w:p>
    <w:p w14:paraId="2944BAAB" w14:textId="77777777" w:rsidR="00B76626" w:rsidRPr="00CA2CC1" w:rsidRDefault="00B76626" w:rsidP="0043303B">
      <w:pPr>
        <w:pStyle w:val="BodyText"/>
        <w:spacing w:before="117"/>
        <w:rPr>
          <w:rFonts w:cs="Calibri"/>
        </w:rPr>
      </w:pPr>
      <w:r w:rsidRPr="00CA2CC1">
        <w:rPr>
          <w:rFonts w:cs="Calibri"/>
          <w:color w:val="414042"/>
        </w:rPr>
        <w:t>Given</w:t>
      </w:r>
      <w:r w:rsidRPr="00CA2CC1">
        <w:rPr>
          <w:rFonts w:cs="Calibri"/>
          <w:color w:val="414042"/>
          <w:spacing w:val="-5"/>
        </w:rPr>
        <w:t xml:space="preserve"> </w:t>
      </w:r>
      <w:r w:rsidRPr="00CA2CC1">
        <w:rPr>
          <w:rFonts w:cs="Calibri"/>
          <w:color w:val="414042"/>
        </w:rPr>
        <w:t>the</w:t>
      </w:r>
      <w:r w:rsidRPr="00CA2CC1">
        <w:rPr>
          <w:rFonts w:cs="Calibri"/>
          <w:color w:val="414042"/>
          <w:spacing w:val="-5"/>
        </w:rPr>
        <w:t xml:space="preserve"> </w:t>
      </w:r>
      <w:r w:rsidRPr="00CA2CC1">
        <w:rPr>
          <w:rFonts w:cs="Calibri"/>
          <w:color w:val="414042"/>
        </w:rPr>
        <w:t>breadth</w:t>
      </w:r>
      <w:r w:rsidRPr="00CA2CC1">
        <w:rPr>
          <w:rFonts w:cs="Calibri"/>
          <w:color w:val="414042"/>
          <w:spacing w:val="-5"/>
        </w:rPr>
        <w:t xml:space="preserve"> </w:t>
      </w:r>
      <w:r w:rsidRPr="00CA2CC1">
        <w:rPr>
          <w:rFonts w:cs="Calibri"/>
          <w:color w:val="414042"/>
        </w:rPr>
        <w:t>and</w:t>
      </w:r>
      <w:r w:rsidRPr="00CA2CC1">
        <w:rPr>
          <w:rFonts w:cs="Calibri"/>
          <w:color w:val="414042"/>
          <w:spacing w:val="-5"/>
        </w:rPr>
        <w:t xml:space="preserve"> </w:t>
      </w:r>
      <w:r w:rsidRPr="00CA2CC1">
        <w:rPr>
          <w:rFonts w:cs="Calibri"/>
          <w:color w:val="414042"/>
        </w:rPr>
        <w:t>depth</w:t>
      </w:r>
      <w:r w:rsidRPr="00CA2CC1">
        <w:rPr>
          <w:rFonts w:cs="Calibri"/>
          <w:color w:val="414042"/>
          <w:spacing w:val="-5"/>
        </w:rPr>
        <w:t xml:space="preserve"> </w:t>
      </w:r>
      <w:r w:rsidRPr="00CA2CC1">
        <w:rPr>
          <w:rFonts w:cs="Calibri"/>
          <w:color w:val="414042"/>
        </w:rPr>
        <w:t>of</w:t>
      </w:r>
      <w:r w:rsidRPr="00CA2CC1">
        <w:rPr>
          <w:rFonts w:cs="Calibri"/>
          <w:color w:val="414042"/>
          <w:spacing w:val="-5"/>
        </w:rPr>
        <w:t xml:space="preserve"> </w:t>
      </w:r>
      <w:r w:rsidRPr="00CA2CC1">
        <w:rPr>
          <w:rFonts w:cs="Calibri"/>
          <w:color w:val="414042"/>
        </w:rPr>
        <w:t>State</w:t>
      </w:r>
      <w:r w:rsidRPr="00CA2CC1">
        <w:rPr>
          <w:rFonts w:cs="Calibri"/>
          <w:color w:val="414042"/>
          <w:spacing w:val="-5"/>
        </w:rPr>
        <w:t xml:space="preserve"> </w:t>
      </w:r>
      <w:r w:rsidRPr="00CA2CC1">
        <w:rPr>
          <w:rFonts w:cs="Calibri"/>
          <w:color w:val="414042"/>
        </w:rPr>
        <w:t>government</w:t>
      </w:r>
      <w:r w:rsidRPr="00CA2CC1">
        <w:rPr>
          <w:rFonts w:cs="Calibri"/>
          <w:color w:val="414042"/>
          <w:spacing w:val="-5"/>
        </w:rPr>
        <w:t xml:space="preserve"> </w:t>
      </w:r>
      <w:r w:rsidRPr="00CA2CC1">
        <w:rPr>
          <w:rFonts w:cs="Calibri"/>
          <w:color w:val="414042"/>
        </w:rPr>
        <w:t>activities, related parties transact with the Victorian public sector in</w:t>
      </w:r>
      <w:r w:rsidRPr="00CA2CC1">
        <w:rPr>
          <w:rFonts w:cs="Calibri"/>
        </w:rPr>
        <w:t xml:space="preserve"> </w:t>
      </w:r>
      <w:r w:rsidRPr="00CA2CC1">
        <w:rPr>
          <w:rFonts w:cs="Calibri"/>
          <w:color w:val="414042"/>
        </w:rPr>
        <w:t>a manner consistent with other members of the public. Further</w:t>
      </w:r>
      <w:r w:rsidRPr="00CA2CC1">
        <w:rPr>
          <w:rFonts w:cs="Calibri"/>
          <w:color w:val="414042"/>
          <w:spacing w:val="-6"/>
        </w:rPr>
        <w:t xml:space="preserve"> </w:t>
      </w:r>
      <w:r w:rsidRPr="00CA2CC1">
        <w:rPr>
          <w:rFonts w:cs="Calibri"/>
          <w:color w:val="414042"/>
        </w:rPr>
        <w:t>employment</w:t>
      </w:r>
      <w:r w:rsidRPr="00CA2CC1">
        <w:rPr>
          <w:rFonts w:cs="Calibri"/>
          <w:color w:val="414042"/>
          <w:spacing w:val="-6"/>
        </w:rPr>
        <w:t xml:space="preserve"> </w:t>
      </w:r>
      <w:r w:rsidRPr="00CA2CC1">
        <w:rPr>
          <w:rFonts w:cs="Calibri"/>
          <w:color w:val="414042"/>
        </w:rPr>
        <w:t>of</w:t>
      </w:r>
      <w:r w:rsidRPr="00CA2CC1">
        <w:rPr>
          <w:rFonts w:cs="Calibri"/>
          <w:color w:val="414042"/>
          <w:spacing w:val="-6"/>
        </w:rPr>
        <w:t xml:space="preserve"> </w:t>
      </w:r>
      <w:r w:rsidRPr="00CA2CC1">
        <w:rPr>
          <w:rFonts w:cs="Calibri"/>
          <w:color w:val="414042"/>
        </w:rPr>
        <w:t>processes</w:t>
      </w:r>
      <w:r w:rsidRPr="00CA2CC1">
        <w:rPr>
          <w:rFonts w:cs="Calibri"/>
          <w:color w:val="414042"/>
          <w:spacing w:val="-6"/>
        </w:rPr>
        <w:t xml:space="preserve"> </w:t>
      </w:r>
      <w:r w:rsidRPr="00CA2CC1">
        <w:rPr>
          <w:rFonts w:cs="Calibri"/>
          <w:color w:val="414042"/>
        </w:rPr>
        <w:t>within</w:t>
      </w:r>
      <w:r w:rsidRPr="00CA2CC1">
        <w:rPr>
          <w:rFonts w:cs="Calibri"/>
          <w:color w:val="414042"/>
          <w:spacing w:val="-6"/>
        </w:rPr>
        <w:t xml:space="preserve"> </w:t>
      </w:r>
      <w:r w:rsidRPr="00CA2CC1">
        <w:rPr>
          <w:rFonts w:cs="Calibri"/>
          <w:color w:val="414042"/>
        </w:rPr>
        <w:t>the</w:t>
      </w:r>
      <w:r w:rsidRPr="00CA2CC1">
        <w:rPr>
          <w:rFonts w:cs="Calibri"/>
          <w:color w:val="414042"/>
          <w:spacing w:val="-6"/>
        </w:rPr>
        <w:t xml:space="preserve"> </w:t>
      </w:r>
      <w:r w:rsidRPr="00CA2CC1">
        <w:rPr>
          <w:rFonts w:cs="Calibri"/>
          <w:color w:val="414042"/>
        </w:rPr>
        <w:t>Victorian</w:t>
      </w:r>
      <w:r w:rsidRPr="00CA2CC1">
        <w:rPr>
          <w:rFonts w:cs="Calibri"/>
          <w:color w:val="414042"/>
          <w:spacing w:val="-6"/>
        </w:rPr>
        <w:t xml:space="preserve"> </w:t>
      </w:r>
      <w:r w:rsidRPr="00CA2CC1">
        <w:rPr>
          <w:rFonts w:cs="Calibri"/>
          <w:color w:val="414042"/>
        </w:rPr>
        <w:t xml:space="preserve">public sector occur on terms and conditions consistent with the </w:t>
      </w:r>
      <w:r w:rsidRPr="00CA2CC1">
        <w:rPr>
          <w:rFonts w:cs="Calibri"/>
          <w:i/>
          <w:color w:val="414042"/>
        </w:rPr>
        <w:t xml:space="preserve">Public Administration Act 2004 </w:t>
      </w:r>
      <w:r w:rsidRPr="00CA2CC1">
        <w:rPr>
          <w:rFonts w:cs="Calibri"/>
          <w:color w:val="414042"/>
        </w:rPr>
        <w:t>and Codes of Conduct</w:t>
      </w:r>
      <w:r w:rsidRPr="00CA2CC1">
        <w:rPr>
          <w:rFonts w:cs="Calibri"/>
        </w:rPr>
        <w:t xml:space="preserve"> </w:t>
      </w:r>
      <w:r w:rsidRPr="00CA2CC1">
        <w:rPr>
          <w:rFonts w:cs="Calibri"/>
          <w:color w:val="414042"/>
        </w:rPr>
        <w:t>and Standards issued by the Victorian Public Sector Commission. Procurement processes occur on terms and</w:t>
      </w:r>
      <w:r w:rsidRPr="00CA2CC1">
        <w:rPr>
          <w:rFonts w:cs="Calibri"/>
          <w:color w:val="414042"/>
          <w:spacing w:val="-6"/>
        </w:rPr>
        <w:t xml:space="preserve"> </w:t>
      </w:r>
      <w:r w:rsidRPr="00CA2CC1">
        <w:rPr>
          <w:rFonts w:cs="Calibri"/>
          <w:color w:val="414042"/>
        </w:rPr>
        <w:t>conditions</w:t>
      </w:r>
      <w:r w:rsidRPr="00CA2CC1">
        <w:rPr>
          <w:rFonts w:cs="Calibri"/>
          <w:color w:val="414042"/>
          <w:spacing w:val="-6"/>
        </w:rPr>
        <w:t xml:space="preserve"> </w:t>
      </w:r>
      <w:r w:rsidRPr="00CA2CC1">
        <w:rPr>
          <w:rFonts w:cs="Calibri"/>
          <w:color w:val="414042"/>
        </w:rPr>
        <w:t>consistent</w:t>
      </w:r>
      <w:r w:rsidRPr="00CA2CC1">
        <w:rPr>
          <w:rFonts w:cs="Calibri"/>
          <w:color w:val="414042"/>
          <w:spacing w:val="-6"/>
        </w:rPr>
        <w:t xml:space="preserve"> </w:t>
      </w:r>
      <w:r w:rsidRPr="00CA2CC1">
        <w:rPr>
          <w:rFonts w:cs="Calibri"/>
          <w:color w:val="414042"/>
        </w:rPr>
        <w:t>with</w:t>
      </w:r>
      <w:r w:rsidRPr="00CA2CC1">
        <w:rPr>
          <w:rFonts w:cs="Calibri"/>
          <w:color w:val="414042"/>
          <w:spacing w:val="-6"/>
        </w:rPr>
        <w:t xml:space="preserve"> </w:t>
      </w:r>
      <w:r w:rsidRPr="00CA2CC1">
        <w:rPr>
          <w:rFonts w:cs="Calibri"/>
          <w:color w:val="414042"/>
        </w:rPr>
        <w:t>the</w:t>
      </w:r>
      <w:r w:rsidRPr="00CA2CC1">
        <w:rPr>
          <w:rFonts w:cs="Calibri"/>
          <w:color w:val="414042"/>
          <w:spacing w:val="-6"/>
        </w:rPr>
        <w:t xml:space="preserve"> </w:t>
      </w:r>
      <w:r w:rsidRPr="00CA2CC1">
        <w:rPr>
          <w:rFonts w:cs="Calibri"/>
          <w:color w:val="414042"/>
        </w:rPr>
        <w:t>Victorian</w:t>
      </w:r>
      <w:r w:rsidRPr="00CA2CC1">
        <w:rPr>
          <w:rFonts w:cs="Calibri"/>
          <w:color w:val="414042"/>
          <w:spacing w:val="-6"/>
        </w:rPr>
        <w:t xml:space="preserve"> </w:t>
      </w:r>
      <w:r w:rsidRPr="00CA2CC1">
        <w:rPr>
          <w:rFonts w:cs="Calibri"/>
          <w:color w:val="414042"/>
        </w:rPr>
        <w:t>Government Purchasing Board requirements.</w:t>
      </w:r>
    </w:p>
    <w:p w14:paraId="4CB9EA18" w14:textId="77777777" w:rsidR="00B76626" w:rsidRPr="00CA2CC1" w:rsidRDefault="00B76626" w:rsidP="0043303B">
      <w:pPr>
        <w:pStyle w:val="BodyText"/>
        <w:spacing w:before="71"/>
        <w:rPr>
          <w:rFonts w:cs="Calibri"/>
        </w:rPr>
      </w:pPr>
      <w:r w:rsidRPr="00CA2CC1">
        <w:rPr>
          <w:rFonts w:cs="Calibri"/>
          <w:color w:val="414042"/>
        </w:rPr>
        <w:t>Outside of normal citizen type transactions with Infrastructure Victoria, there were no related party transactions</w:t>
      </w:r>
      <w:r w:rsidRPr="00CA2CC1">
        <w:rPr>
          <w:rFonts w:cs="Calibri"/>
          <w:color w:val="414042"/>
          <w:spacing w:val="-5"/>
        </w:rPr>
        <w:t xml:space="preserve"> </w:t>
      </w:r>
      <w:r w:rsidRPr="00CA2CC1">
        <w:rPr>
          <w:rFonts w:cs="Calibri"/>
          <w:color w:val="414042"/>
        </w:rPr>
        <w:t>that</w:t>
      </w:r>
      <w:r w:rsidRPr="00CA2CC1">
        <w:rPr>
          <w:rFonts w:cs="Calibri"/>
          <w:color w:val="414042"/>
          <w:spacing w:val="-5"/>
        </w:rPr>
        <w:t xml:space="preserve"> </w:t>
      </w:r>
      <w:r w:rsidRPr="00CA2CC1">
        <w:rPr>
          <w:rFonts w:cs="Calibri"/>
          <w:color w:val="414042"/>
        </w:rPr>
        <w:t>involved</w:t>
      </w:r>
      <w:r w:rsidRPr="00CA2CC1">
        <w:rPr>
          <w:rFonts w:cs="Calibri"/>
          <w:color w:val="414042"/>
          <w:spacing w:val="-5"/>
        </w:rPr>
        <w:t xml:space="preserve"> </w:t>
      </w:r>
      <w:r w:rsidRPr="00CA2CC1">
        <w:rPr>
          <w:rFonts w:cs="Calibri"/>
          <w:color w:val="414042"/>
        </w:rPr>
        <w:t>KMPs</w:t>
      </w:r>
      <w:r w:rsidRPr="00CA2CC1">
        <w:rPr>
          <w:rFonts w:cs="Calibri"/>
          <w:color w:val="414042"/>
          <w:spacing w:val="-5"/>
        </w:rPr>
        <w:t xml:space="preserve"> </w:t>
      </w:r>
      <w:r w:rsidRPr="00CA2CC1">
        <w:rPr>
          <w:rFonts w:cs="Calibri"/>
          <w:color w:val="414042"/>
        </w:rPr>
        <w:t>and</w:t>
      </w:r>
      <w:r w:rsidRPr="00CA2CC1">
        <w:rPr>
          <w:rFonts w:cs="Calibri"/>
          <w:color w:val="414042"/>
          <w:spacing w:val="-5"/>
        </w:rPr>
        <w:t xml:space="preserve"> </w:t>
      </w:r>
      <w:r w:rsidRPr="00CA2CC1">
        <w:rPr>
          <w:rFonts w:cs="Calibri"/>
          <w:color w:val="414042"/>
        </w:rPr>
        <w:t>their</w:t>
      </w:r>
      <w:r w:rsidRPr="00CA2CC1">
        <w:rPr>
          <w:rFonts w:cs="Calibri"/>
          <w:color w:val="414042"/>
          <w:spacing w:val="-5"/>
        </w:rPr>
        <w:t xml:space="preserve"> </w:t>
      </w:r>
      <w:r w:rsidRPr="00CA2CC1">
        <w:rPr>
          <w:rFonts w:cs="Calibri"/>
          <w:color w:val="414042"/>
        </w:rPr>
        <w:t>close</w:t>
      </w:r>
      <w:r w:rsidRPr="00CA2CC1">
        <w:rPr>
          <w:rFonts w:cs="Calibri"/>
          <w:color w:val="414042"/>
          <w:spacing w:val="-5"/>
        </w:rPr>
        <w:t xml:space="preserve"> </w:t>
      </w:r>
      <w:r w:rsidRPr="00CA2CC1">
        <w:rPr>
          <w:rFonts w:cs="Calibri"/>
          <w:color w:val="414042"/>
        </w:rPr>
        <w:t>family members. No provision has been required, nor any expense recognised, for impairment of receivables from related parties.</w:t>
      </w:r>
    </w:p>
    <w:p w14:paraId="1356687F" w14:textId="77777777" w:rsidR="00B76626" w:rsidRPr="00CA2CC1" w:rsidRDefault="00B76626" w:rsidP="0043303B">
      <w:pPr>
        <w:pStyle w:val="BodyText"/>
        <w:spacing w:before="71"/>
        <w:rPr>
          <w:rFonts w:cs="Calibri"/>
        </w:rPr>
      </w:pPr>
    </w:p>
    <w:p w14:paraId="74F39871" w14:textId="77777777" w:rsidR="00B76626" w:rsidRPr="005B49BC" w:rsidRDefault="00B76626" w:rsidP="0043303B">
      <w:pPr>
        <w:pStyle w:val="Heading7"/>
        <w:numPr>
          <w:ilvl w:val="1"/>
          <w:numId w:val="4"/>
        </w:numPr>
        <w:spacing w:before="60"/>
        <w:ind w:left="0" w:firstLine="0"/>
        <w:jc w:val="left"/>
        <w:rPr>
          <w:rFonts w:cs="Calibri"/>
          <w:color w:val="000000" w:themeColor="text1"/>
        </w:rPr>
      </w:pPr>
      <w:r w:rsidRPr="005B49BC">
        <w:rPr>
          <w:rFonts w:cs="Calibri"/>
          <w:color w:val="000000" w:themeColor="text1"/>
        </w:rPr>
        <w:t xml:space="preserve">Remuneration of </w:t>
      </w:r>
      <w:r w:rsidRPr="005B49BC">
        <w:rPr>
          <w:rFonts w:cs="Calibri"/>
          <w:color w:val="000000" w:themeColor="text1"/>
          <w:spacing w:val="-2"/>
        </w:rPr>
        <w:t>auditors</w:t>
      </w:r>
    </w:p>
    <w:p w14:paraId="402C0BC1" w14:textId="77777777" w:rsidR="00B76626" w:rsidRPr="00CA2CC1" w:rsidRDefault="00B76626" w:rsidP="0043303B">
      <w:pPr>
        <w:pStyle w:val="BodyText"/>
        <w:spacing w:before="6"/>
        <w:rPr>
          <w:rFonts w:cs="Calibri"/>
          <w:sz w:val="9"/>
        </w:rPr>
      </w:pPr>
    </w:p>
    <w:tbl>
      <w:tblPr>
        <w:tblW w:w="9633" w:type="dxa"/>
        <w:tblBorders>
          <w:top w:val="single" w:sz="4" w:space="0" w:color="C48F1B"/>
          <w:left w:val="single" w:sz="4" w:space="0" w:color="C48F1B"/>
          <w:bottom w:val="single" w:sz="4" w:space="0" w:color="C48F1B"/>
          <w:right w:val="single" w:sz="4" w:space="0" w:color="C48F1B"/>
          <w:insideH w:val="single" w:sz="4" w:space="0" w:color="C48F1B"/>
          <w:insideV w:val="single" w:sz="4" w:space="0" w:color="C48F1B"/>
        </w:tblBorders>
        <w:tblLayout w:type="fixed"/>
        <w:tblCellMar>
          <w:left w:w="0" w:type="dxa"/>
          <w:right w:w="0" w:type="dxa"/>
        </w:tblCellMar>
        <w:tblLook w:val="01E0" w:firstRow="1" w:lastRow="1" w:firstColumn="1" w:lastColumn="1" w:noHBand="0" w:noVBand="0"/>
      </w:tblPr>
      <w:tblGrid>
        <w:gridCol w:w="6633"/>
        <w:gridCol w:w="1500"/>
        <w:gridCol w:w="1500"/>
      </w:tblGrid>
      <w:tr w:rsidR="00B76626" w:rsidRPr="00CA2CC1" w14:paraId="0E0D34E9" w14:textId="77777777" w:rsidTr="00223F33">
        <w:trPr>
          <w:trHeight w:val="557"/>
        </w:trPr>
        <w:tc>
          <w:tcPr>
            <w:tcW w:w="6633" w:type="dxa"/>
            <w:tcBorders>
              <w:top w:val="nil"/>
              <w:left w:val="nil"/>
              <w:right w:val="nil"/>
            </w:tcBorders>
          </w:tcPr>
          <w:p w14:paraId="74CBC9BF" w14:textId="77777777" w:rsidR="00B76626" w:rsidRPr="00CA2CC1" w:rsidRDefault="00B76626" w:rsidP="0043303B">
            <w:pPr>
              <w:pStyle w:val="TableParagraph"/>
              <w:jc w:val="left"/>
              <w:rPr>
                <w:rFonts w:cs="Calibri"/>
                <w:sz w:val="16"/>
              </w:rPr>
            </w:pPr>
          </w:p>
        </w:tc>
        <w:tc>
          <w:tcPr>
            <w:tcW w:w="1500" w:type="dxa"/>
            <w:tcBorders>
              <w:top w:val="nil"/>
              <w:left w:val="nil"/>
              <w:right w:val="single" w:sz="8" w:space="0" w:color="FFFFFF"/>
            </w:tcBorders>
            <w:shd w:val="clear" w:color="auto" w:fill="FFF0E7"/>
            <w:tcMar>
              <w:right w:w="57" w:type="dxa"/>
            </w:tcMar>
          </w:tcPr>
          <w:p w14:paraId="49078E09" w14:textId="77777777" w:rsidR="00B76626" w:rsidRPr="00CA2CC1" w:rsidRDefault="00B76626" w:rsidP="0043303B">
            <w:pPr>
              <w:pStyle w:val="TableParagraph"/>
              <w:spacing w:before="52"/>
              <w:rPr>
                <w:rFonts w:cs="Calibri"/>
                <w:sz w:val="17"/>
              </w:rPr>
            </w:pPr>
            <w:r w:rsidRPr="00CA2CC1">
              <w:rPr>
                <w:rFonts w:cs="Calibri"/>
                <w:color w:val="F68C59"/>
                <w:spacing w:val="-4"/>
                <w:sz w:val="17"/>
              </w:rPr>
              <w:t>2023</w:t>
            </w:r>
          </w:p>
          <w:p w14:paraId="41E0CD74" w14:textId="77777777" w:rsidR="00B76626" w:rsidRPr="00CA2CC1" w:rsidRDefault="00B76626" w:rsidP="0043303B">
            <w:pPr>
              <w:pStyle w:val="TableParagraph"/>
              <w:spacing w:before="1"/>
              <w:rPr>
                <w:rFonts w:cs="Calibri"/>
                <w:sz w:val="17"/>
              </w:rPr>
            </w:pPr>
            <w:r w:rsidRPr="00CA2CC1">
              <w:rPr>
                <w:rFonts w:cs="Calibri"/>
                <w:color w:val="F68C59"/>
                <w:sz w:val="17"/>
              </w:rPr>
              <w:t>$</w:t>
            </w:r>
          </w:p>
        </w:tc>
        <w:tc>
          <w:tcPr>
            <w:tcW w:w="1500" w:type="dxa"/>
            <w:tcBorders>
              <w:top w:val="nil"/>
              <w:left w:val="single" w:sz="8" w:space="0" w:color="FFFFFF"/>
              <w:right w:val="nil"/>
            </w:tcBorders>
            <w:shd w:val="clear" w:color="auto" w:fill="EDEFF0"/>
            <w:tcMar>
              <w:right w:w="57" w:type="dxa"/>
            </w:tcMar>
          </w:tcPr>
          <w:p w14:paraId="6836C157" w14:textId="77777777" w:rsidR="00B76626" w:rsidRPr="00CA2CC1" w:rsidRDefault="00B76626" w:rsidP="0043303B">
            <w:pPr>
              <w:pStyle w:val="TableParagraph"/>
              <w:spacing w:before="52"/>
              <w:rPr>
                <w:rFonts w:cs="Calibri"/>
                <w:sz w:val="17"/>
              </w:rPr>
            </w:pPr>
            <w:r w:rsidRPr="00CA2CC1">
              <w:rPr>
                <w:rFonts w:cs="Calibri"/>
                <w:color w:val="F68C59"/>
                <w:spacing w:val="-4"/>
                <w:sz w:val="17"/>
              </w:rPr>
              <w:t>2022</w:t>
            </w:r>
          </w:p>
          <w:p w14:paraId="17A41D85" w14:textId="77777777" w:rsidR="00B76626" w:rsidRPr="00CA2CC1" w:rsidRDefault="00B76626" w:rsidP="0043303B">
            <w:pPr>
              <w:pStyle w:val="TableParagraph"/>
              <w:spacing w:before="1"/>
              <w:rPr>
                <w:rFonts w:cs="Calibri"/>
                <w:sz w:val="17"/>
              </w:rPr>
            </w:pPr>
            <w:r w:rsidRPr="00CA2CC1">
              <w:rPr>
                <w:rFonts w:cs="Calibri"/>
                <w:color w:val="F68C59"/>
                <w:sz w:val="17"/>
              </w:rPr>
              <w:t>$</w:t>
            </w:r>
          </w:p>
        </w:tc>
      </w:tr>
      <w:tr w:rsidR="00B76626" w:rsidRPr="00CA2CC1" w14:paraId="2AFD7E3F" w14:textId="77777777" w:rsidTr="00223F33">
        <w:trPr>
          <w:trHeight w:val="281"/>
        </w:trPr>
        <w:tc>
          <w:tcPr>
            <w:tcW w:w="6633" w:type="dxa"/>
            <w:tcBorders>
              <w:left w:val="nil"/>
              <w:bottom w:val="single" w:sz="2" w:space="0" w:color="73777A"/>
              <w:right w:val="nil"/>
            </w:tcBorders>
          </w:tcPr>
          <w:p w14:paraId="2BB38DF6" w14:textId="77777777" w:rsidR="00B76626" w:rsidRPr="00CA2CC1" w:rsidRDefault="00B76626" w:rsidP="0043303B">
            <w:pPr>
              <w:pStyle w:val="TableParagraph"/>
              <w:jc w:val="left"/>
              <w:rPr>
                <w:rFonts w:cs="Calibri"/>
                <w:sz w:val="18"/>
              </w:rPr>
            </w:pPr>
            <w:r w:rsidRPr="00CA2CC1">
              <w:rPr>
                <w:rFonts w:cs="Calibri"/>
                <w:color w:val="F68C59"/>
                <w:sz w:val="18"/>
              </w:rPr>
              <w:t>Audit</w:t>
            </w:r>
            <w:r w:rsidRPr="00CA2CC1">
              <w:rPr>
                <w:rFonts w:cs="Calibri"/>
                <w:color w:val="F68C59"/>
                <w:spacing w:val="5"/>
                <w:sz w:val="18"/>
              </w:rPr>
              <w:t xml:space="preserve"> </w:t>
            </w:r>
            <w:r w:rsidRPr="00CA2CC1">
              <w:rPr>
                <w:rFonts w:cs="Calibri"/>
                <w:color w:val="F68C59"/>
                <w:sz w:val="18"/>
              </w:rPr>
              <w:t>fees</w:t>
            </w:r>
            <w:r w:rsidRPr="00CA2CC1">
              <w:rPr>
                <w:rFonts w:cs="Calibri"/>
                <w:color w:val="F68C59"/>
                <w:spacing w:val="6"/>
                <w:sz w:val="18"/>
              </w:rPr>
              <w:t xml:space="preserve"> </w:t>
            </w:r>
            <w:r w:rsidRPr="00CA2CC1">
              <w:rPr>
                <w:rFonts w:cs="Calibri"/>
                <w:color w:val="F68C59"/>
                <w:sz w:val="18"/>
              </w:rPr>
              <w:t>paid</w:t>
            </w:r>
            <w:r w:rsidRPr="00CA2CC1">
              <w:rPr>
                <w:rFonts w:cs="Calibri"/>
                <w:color w:val="F68C59"/>
                <w:spacing w:val="6"/>
                <w:sz w:val="18"/>
              </w:rPr>
              <w:t xml:space="preserve"> </w:t>
            </w:r>
            <w:r w:rsidRPr="00CA2CC1">
              <w:rPr>
                <w:rFonts w:cs="Calibri"/>
                <w:color w:val="F68C59"/>
                <w:sz w:val="18"/>
              </w:rPr>
              <w:t>or</w:t>
            </w:r>
            <w:r w:rsidRPr="00CA2CC1">
              <w:rPr>
                <w:rFonts w:cs="Calibri"/>
                <w:color w:val="F68C59"/>
                <w:spacing w:val="5"/>
                <w:sz w:val="18"/>
              </w:rPr>
              <w:t xml:space="preserve"> </w:t>
            </w:r>
            <w:r w:rsidRPr="00CA2CC1">
              <w:rPr>
                <w:rFonts w:cs="Calibri"/>
                <w:color w:val="F68C59"/>
                <w:sz w:val="18"/>
              </w:rPr>
              <w:t>payable</w:t>
            </w:r>
            <w:r w:rsidRPr="00CA2CC1">
              <w:rPr>
                <w:rFonts w:cs="Calibri"/>
                <w:color w:val="F68C59"/>
                <w:spacing w:val="6"/>
                <w:sz w:val="18"/>
              </w:rPr>
              <w:t xml:space="preserve"> </w:t>
            </w:r>
            <w:r w:rsidRPr="00CA2CC1">
              <w:rPr>
                <w:rFonts w:cs="Calibri"/>
                <w:color w:val="F68C59"/>
                <w:sz w:val="18"/>
              </w:rPr>
              <w:t>to</w:t>
            </w:r>
            <w:r w:rsidRPr="00CA2CC1">
              <w:rPr>
                <w:rFonts w:cs="Calibri"/>
                <w:color w:val="F68C59"/>
                <w:spacing w:val="6"/>
                <w:sz w:val="18"/>
              </w:rPr>
              <w:t xml:space="preserve"> </w:t>
            </w:r>
            <w:r w:rsidRPr="00CA2CC1">
              <w:rPr>
                <w:rFonts w:cs="Calibri"/>
                <w:color w:val="F68C59"/>
                <w:sz w:val="18"/>
              </w:rPr>
              <w:t>the</w:t>
            </w:r>
            <w:r w:rsidRPr="00CA2CC1">
              <w:rPr>
                <w:rFonts w:cs="Calibri"/>
                <w:color w:val="F68C59"/>
                <w:spacing w:val="5"/>
                <w:sz w:val="18"/>
              </w:rPr>
              <w:t xml:space="preserve"> </w:t>
            </w:r>
            <w:r w:rsidRPr="00CA2CC1">
              <w:rPr>
                <w:rFonts w:cs="Calibri"/>
                <w:color w:val="F68C59"/>
                <w:sz w:val="18"/>
              </w:rPr>
              <w:t>Victorian</w:t>
            </w:r>
            <w:r w:rsidRPr="00CA2CC1">
              <w:rPr>
                <w:rFonts w:cs="Calibri"/>
                <w:color w:val="F68C59"/>
                <w:spacing w:val="6"/>
                <w:sz w:val="18"/>
              </w:rPr>
              <w:t xml:space="preserve"> </w:t>
            </w:r>
            <w:r w:rsidRPr="00CA2CC1">
              <w:rPr>
                <w:rFonts w:cs="Calibri"/>
                <w:color w:val="F68C59"/>
                <w:sz w:val="18"/>
              </w:rPr>
              <w:t>Auditor-General’s</w:t>
            </w:r>
            <w:r w:rsidRPr="00CA2CC1">
              <w:rPr>
                <w:rFonts w:cs="Calibri"/>
                <w:color w:val="F68C59"/>
                <w:spacing w:val="6"/>
                <w:sz w:val="18"/>
              </w:rPr>
              <w:t xml:space="preserve"> </w:t>
            </w:r>
            <w:r w:rsidRPr="00CA2CC1">
              <w:rPr>
                <w:rFonts w:cs="Calibri"/>
                <w:color w:val="F68C59"/>
                <w:spacing w:val="-2"/>
                <w:sz w:val="18"/>
              </w:rPr>
              <w:t>Office</w:t>
            </w:r>
          </w:p>
        </w:tc>
        <w:tc>
          <w:tcPr>
            <w:tcW w:w="1500" w:type="dxa"/>
            <w:tcBorders>
              <w:left w:val="nil"/>
              <w:bottom w:val="single" w:sz="2" w:space="0" w:color="73777A"/>
              <w:right w:val="single" w:sz="8" w:space="0" w:color="FFFFFF"/>
            </w:tcBorders>
            <w:shd w:val="clear" w:color="auto" w:fill="FFF0E7"/>
            <w:tcMar>
              <w:right w:w="57" w:type="dxa"/>
            </w:tcMar>
          </w:tcPr>
          <w:p w14:paraId="2259DC81" w14:textId="77777777" w:rsidR="00B76626" w:rsidRPr="00CA2CC1" w:rsidRDefault="00B76626" w:rsidP="0043303B">
            <w:pPr>
              <w:pStyle w:val="TableParagraph"/>
              <w:jc w:val="left"/>
              <w:rPr>
                <w:rFonts w:cs="Calibri"/>
                <w:sz w:val="16"/>
              </w:rPr>
            </w:pPr>
          </w:p>
        </w:tc>
        <w:tc>
          <w:tcPr>
            <w:tcW w:w="1500" w:type="dxa"/>
            <w:tcBorders>
              <w:left w:val="single" w:sz="8" w:space="0" w:color="FFFFFF"/>
              <w:bottom w:val="single" w:sz="2" w:space="0" w:color="73777A"/>
              <w:right w:val="nil"/>
            </w:tcBorders>
            <w:shd w:val="clear" w:color="auto" w:fill="EDEFF0"/>
            <w:tcMar>
              <w:right w:w="57" w:type="dxa"/>
            </w:tcMar>
          </w:tcPr>
          <w:p w14:paraId="6C6CF4F0" w14:textId="77777777" w:rsidR="00B76626" w:rsidRPr="00CA2CC1" w:rsidRDefault="00B76626" w:rsidP="0043303B">
            <w:pPr>
              <w:pStyle w:val="TableParagraph"/>
              <w:jc w:val="left"/>
              <w:rPr>
                <w:rFonts w:cs="Calibri"/>
                <w:sz w:val="16"/>
              </w:rPr>
            </w:pPr>
          </w:p>
        </w:tc>
      </w:tr>
      <w:tr w:rsidR="00B76626" w:rsidRPr="00CA2CC1" w14:paraId="2EFE24CD" w14:textId="77777777" w:rsidTr="00223F33">
        <w:trPr>
          <w:trHeight w:val="278"/>
        </w:trPr>
        <w:tc>
          <w:tcPr>
            <w:tcW w:w="6633" w:type="dxa"/>
            <w:tcBorders>
              <w:top w:val="single" w:sz="2" w:space="0" w:color="73777A"/>
              <w:left w:val="nil"/>
              <w:bottom w:val="single" w:sz="6" w:space="0" w:color="73777A"/>
              <w:right w:val="nil"/>
            </w:tcBorders>
          </w:tcPr>
          <w:p w14:paraId="59E0EF4E" w14:textId="77777777" w:rsidR="00B76626" w:rsidRPr="00CA2CC1" w:rsidRDefault="00B76626" w:rsidP="0043303B">
            <w:pPr>
              <w:pStyle w:val="TableParagraph"/>
              <w:jc w:val="left"/>
              <w:rPr>
                <w:rFonts w:cs="Calibri"/>
                <w:sz w:val="18"/>
              </w:rPr>
            </w:pPr>
            <w:r w:rsidRPr="00CA2CC1">
              <w:rPr>
                <w:rFonts w:cs="Calibri"/>
                <w:color w:val="414042"/>
                <w:sz w:val="18"/>
              </w:rPr>
              <w:t>Audit</w:t>
            </w:r>
            <w:r w:rsidRPr="00CA2CC1">
              <w:rPr>
                <w:rFonts w:cs="Calibri"/>
                <w:color w:val="414042"/>
                <w:spacing w:val="4"/>
                <w:sz w:val="18"/>
              </w:rPr>
              <w:t xml:space="preserve"> </w:t>
            </w:r>
            <w:r w:rsidRPr="00CA2CC1">
              <w:rPr>
                <w:rFonts w:cs="Calibri"/>
                <w:color w:val="414042"/>
                <w:sz w:val="18"/>
              </w:rPr>
              <w:t>of</w:t>
            </w:r>
            <w:r w:rsidRPr="00CA2CC1">
              <w:rPr>
                <w:rFonts w:cs="Calibri"/>
                <w:color w:val="414042"/>
                <w:spacing w:val="4"/>
                <w:sz w:val="18"/>
              </w:rPr>
              <w:t xml:space="preserve"> </w:t>
            </w:r>
            <w:r w:rsidRPr="00CA2CC1">
              <w:rPr>
                <w:rFonts w:cs="Calibri"/>
                <w:color w:val="414042"/>
                <w:sz w:val="18"/>
              </w:rPr>
              <w:t>the</w:t>
            </w:r>
            <w:r w:rsidRPr="00CA2CC1">
              <w:rPr>
                <w:rFonts w:cs="Calibri"/>
                <w:color w:val="414042"/>
                <w:spacing w:val="5"/>
                <w:sz w:val="18"/>
              </w:rPr>
              <w:t xml:space="preserve"> </w:t>
            </w:r>
            <w:r w:rsidRPr="00CA2CC1">
              <w:rPr>
                <w:rFonts w:cs="Calibri"/>
                <w:color w:val="414042"/>
                <w:sz w:val="18"/>
              </w:rPr>
              <w:t>Annual</w:t>
            </w:r>
            <w:r w:rsidRPr="00CA2CC1">
              <w:rPr>
                <w:rFonts w:cs="Calibri"/>
                <w:color w:val="414042"/>
                <w:spacing w:val="4"/>
                <w:sz w:val="18"/>
              </w:rPr>
              <w:t xml:space="preserve"> </w:t>
            </w:r>
            <w:r w:rsidRPr="00CA2CC1">
              <w:rPr>
                <w:rFonts w:cs="Calibri"/>
                <w:color w:val="414042"/>
                <w:sz w:val="18"/>
              </w:rPr>
              <w:t>Financial</w:t>
            </w:r>
            <w:r w:rsidRPr="00CA2CC1">
              <w:rPr>
                <w:rFonts w:cs="Calibri"/>
                <w:color w:val="414042"/>
                <w:spacing w:val="5"/>
                <w:sz w:val="18"/>
              </w:rPr>
              <w:t xml:space="preserve"> </w:t>
            </w:r>
            <w:r w:rsidRPr="00CA2CC1">
              <w:rPr>
                <w:rFonts w:cs="Calibri"/>
                <w:color w:val="414042"/>
                <w:spacing w:val="-2"/>
                <w:sz w:val="18"/>
              </w:rPr>
              <w:t>Statements</w:t>
            </w:r>
          </w:p>
        </w:tc>
        <w:tc>
          <w:tcPr>
            <w:tcW w:w="1500" w:type="dxa"/>
            <w:tcBorders>
              <w:top w:val="single" w:sz="2" w:space="0" w:color="73777A"/>
              <w:left w:val="nil"/>
              <w:bottom w:val="single" w:sz="6" w:space="0" w:color="73777A"/>
              <w:right w:val="single" w:sz="8" w:space="0" w:color="FFFFFF"/>
            </w:tcBorders>
            <w:shd w:val="clear" w:color="auto" w:fill="FFF0E7"/>
            <w:tcMar>
              <w:right w:w="57" w:type="dxa"/>
            </w:tcMar>
          </w:tcPr>
          <w:p w14:paraId="25497AEC" w14:textId="77777777" w:rsidR="00B76626" w:rsidRPr="00CA2CC1" w:rsidRDefault="00B76626" w:rsidP="0043303B">
            <w:pPr>
              <w:pStyle w:val="TableParagraph"/>
              <w:rPr>
                <w:rFonts w:cs="Calibri"/>
                <w:sz w:val="18"/>
              </w:rPr>
            </w:pPr>
            <w:r w:rsidRPr="00CA2CC1">
              <w:rPr>
                <w:rFonts w:cs="Calibri"/>
                <w:color w:val="414042"/>
                <w:spacing w:val="-2"/>
                <w:sz w:val="18"/>
              </w:rPr>
              <w:t>21,000</w:t>
            </w:r>
          </w:p>
        </w:tc>
        <w:tc>
          <w:tcPr>
            <w:tcW w:w="1500" w:type="dxa"/>
            <w:tcBorders>
              <w:top w:val="single" w:sz="2" w:space="0" w:color="73777A"/>
              <w:left w:val="single" w:sz="8" w:space="0" w:color="FFFFFF"/>
              <w:bottom w:val="single" w:sz="6" w:space="0" w:color="73777A"/>
              <w:right w:val="nil"/>
            </w:tcBorders>
            <w:shd w:val="clear" w:color="auto" w:fill="EDEFF0"/>
            <w:tcMar>
              <w:right w:w="57" w:type="dxa"/>
            </w:tcMar>
          </w:tcPr>
          <w:p w14:paraId="0EFD85AE" w14:textId="77777777" w:rsidR="00B76626" w:rsidRPr="00CA2CC1" w:rsidRDefault="00B76626" w:rsidP="0043303B">
            <w:pPr>
              <w:pStyle w:val="TableParagraph"/>
              <w:rPr>
                <w:rFonts w:cs="Calibri"/>
                <w:sz w:val="18"/>
              </w:rPr>
            </w:pPr>
            <w:r w:rsidRPr="00CA2CC1">
              <w:rPr>
                <w:rFonts w:cs="Calibri"/>
                <w:color w:val="414042"/>
                <w:spacing w:val="-2"/>
                <w:sz w:val="18"/>
              </w:rPr>
              <w:t>17,000</w:t>
            </w:r>
          </w:p>
        </w:tc>
      </w:tr>
      <w:tr w:rsidR="00B76626" w:rsidRPr="00CA2CC1" w14:paraId="0F40AEF6" w14:textId="77777777" w:rsidTr="00223F33">
        <w:trPr>
          <w:trHeight w:val="258"/>
        </w:trPr>
        <w:tc>
          <w:tcPr>
            <w:tcW w:w="6633" w:type="dxa"/>
            <w:tcBorders>
              <w:top w:val="single" w:sz="6" w:space="0" w:color="73777A"/>
              <w:left w:val="nil"/>
              <w:bottom w:val="double" w:sz="6" w:space="0" w:color="73777A"/>
              <w:right w:val="nil"/>
            </w:tcBorders>
          </w:tcPr>
          <w:p w14:paraId="66D695FA" w14:textId="77777777" w:rsidR="00B76626" w:rsidRPr="00CA2CC1" w:rsidRDefault="00B76626" w:rsidP="0043303B">
            <w:pPr>
              <w:pStyle w:val="TableParagraph"/>
              <w:jc w:val="left"/>
              <w:rPr>
                <w:rFonts w:cs="Calibri"/>
                <w:sz w:val="18"/>
              </w:rPr>
            </w:pPr>
            <w:r w:rsidRPr="00CA2CC1">
              <w:rPr>
                <w:rFonts w:cs="Calibri"/>
                <w:color w:val="414042"/>
                <w:spacing w:val="-2"/>
                <w:sz w:val="18"/>
              </w:rPr>
              <w:t>Total</w:t>
            </w:r>
          </w:p>
        </w:tc>
        <w:tc>
          <w:tcPr>
            <w:tcW w:w="1500" w:type="dxa"/>
            <w:tcBorders>
              <w:top w:val="single" w:sz="6" w:space="0" w:color="73777A"/>
              <w:left w:val="nil"/>
              <w:bottom w:val="double" w:sz="4" w:space="0" w:color="73777A"/>
              <w:right w:val="single" w:sz="8" w:space="0" w:color="FFFFFF"/>
            </w:tcBorders>
            <w:shd w:val="clear" w:color="auto" w:fill="FFF0E7"/>
            <w:tcMar>
              <w:right w:w="57" w:type="dxa"/>
            </w:tcMar>
          </w:tcPr>
          <w:p w14:paraId="514478ED" w14:textId="77777777" w:rsidR="00B76626" w:rsidRPr="00CA2CC1" w:rsidRDefault="00B76626" w:rsidP="0043303B">
            <w:pPr>
              <w:pStyle w:val="TableParagraph"/>
              <w:rPr>
                <w:rFonts w:cs="Calibri"/>
                <w:sz w:val="18"/>
              </w:rPr>
            </w:pPr>
            <w:r w:rsidRPr="00CA2CC1">
              <w:rPr>
                <w:rFonts w:cs="Calibri"/>
                <w:color w:val="414042"/>
                <w:spacing w:val="-2"/>
                <w:sz w:val="18"/>
              </w:rPr>
              <w:t>21,000</w:t>
            </w:r>
          </w:p>
        </w:tc>
        <w:tc>
          <w:tcPr>
            <w:tcW w:w="1500" w:type="dxa"/>
            <w:tcBorders>
              <w:top w:val="single" w:sz="6" w:space="0" w:color="73777A"/>
              <w:left w:val="single" w:sz="8" w:space="0" w:color="FFFFFF"/>
              <w:bottom w:val="double" w:sz="4" w:space="0" w:color="73777A"/>
              <w:right w:val="nil"/>
            </w:tcBorders>
            <w:shd w:val="clear" w:color="auto" w:fill="EDEFF0"/>
            <w:tcMar>
              <w:right w:w="57" w:type="dxa"/>
            </w:tcMar>
          </w:tcPr>
          <w:p w14:paraId="4AE00585" w14:textId="77777777" w:rsidR="00B76626" w:rsidRPr="00CA2CC1" w:rsidRDefault="00B76626" w:rsidP="0043303B">
            <w:pPr>
              <w:pStyle w:val="TableParagraph"/>
              <w:rPr>
                <w:rFonts w:cs="Calibri"/>
                <w:sz w:val="18"/>
              </w:rPr>
            </w:pPr>
            <w:r w:rsidRPr="00CA2CC1">
              <w:rPr>
                <w:rFonts w:cs="Calibri"/>
                <w:color w:val="414042"/>
                <w:spacing w:val="-2"/>
                <w:sz w:val="18"/>
              </w:rPr>
              <w:t>17,000</w:t>
            </w:r>
          </w:p>
        </w:tc>
      </w:tr>
    </w:tbl>
    <w:p w14:paraId="3F84DF92" w14:textId="77777777" w:rsidR="00B76626" w:rsidRPr="00CA2CC1" w:rsidRDefault="00B76626" w:rsidP="0043303B">
      <w:pPr>
        <w:pStyle w:val="BodyText"/>
        <w:spacing w:before="3"/>
        <w:rPr>
          <w:rFonts w:cs="Calibri"/>
          <w:sz w:val="9"/>
        </w:rPr>
      </w:pPr>
    </w:p>
    <w:p w14:paraId="6781B376" w14:textId="77777777" w:rsidR="00B76626" w:rsidRPr="00CA2CC1" w:rsidRDefault="00B76626" w:rsidP="0043303B">
      <w:pPr>
        <w:rPr>
          <w:rFonts w:cs="Calibri"/>
          <w:sz w:val="9"/>
        </w:rPr>
        <w:sectPr w:rsidR="00B76626" w:rsidRPr="00CA2CC1" w:rsidSect="00B76626">
          <w:type w:val="continuous"/>
          <w:pgSz w:w="11910" w:h="16840"/>
          <w:pgMar w:top="1134" w:right="1278" w:bottom="1134" w:left="1134" w:header="720" w:footer="720" w:gutter="0"/>
          <w:cols w:space="720"/>
        </w:sectPr>
      </w:pPr>
    </w:p>
    <w:p w14:paraId="75CEA462" w14:textId="77777777" w:rsidR="00B76626" w:rsidRPr="005B49BC" w:rsidRDefault="00B76626" w:rsidP="0043303B">
      <w:pPr>
        <w:pStyle w:val="ListParagraph"/>
        <w:numPr>
          <w:ilvl w:val="1"/>
          <w:numId w:val="4"/>
        </w:numPr>
        <w:spacing w:before="60"/>
        <w:ind w:left="0" w:firstLine="0"/>
        <w:jc w:val="left"/>
        <w:rPr>
          <w:rFonts w:cs="Calibri"/>
          <w:szCs w:val="22"/>
        </w:rPr>
      </w:pPr>
      <w:r w:rsidRPr="005B49BC">
        <w:rPr>
          <w:rFonts w:cs="Calibri"/>
          <w:szCs w:val="22"/>
        </w:rPr>
        <w:t>Correction</w:t>
      </w:r>
      <w:r w:rsidRPr="005B49BC">
        <w:rPr>
          <w:rFonts w:cs="Calibri"/>
          <w:spacing w:val="-3"/>
          <w:szCs w:val="22"/>
        </w:rPr>
        <w:t xml:space="preserve"> </w:t>
      </w:r>
      <w:r w:rsidRPr="005B49BC">
        <w:rPr>
          <w:rFonts w:cs="Calibri"/>
          <w:szCs w:val="22"/>
        </w:rPr>
        <w:t>of</w:t>
      </w:r>
      <w:r w:rsidRPr="005B49BC">
        <w:rPr>
          <w:rFonts w:cs="Calibri"/>
          <w:spacing w:val="-1"/>
          <w:szCs w:val="22"/>
        </w:rPr>
        <w:t xml:space="preserve"> </w:t>
      </w:r>
      <w:r w:rsidRPr="005B49BC">
        <w:rPr>
          <w:rFonts w:cs="Calibri"/>
          <w:szCs w:val="22"/>
        </w:rPr>
        <w:t>prior</w:t>
      </w:r>
      <w:r w:rsidRPr="005B49BC">
        <w:rPr>
          <w:rFonts w:cs="Calibri"/>
          <w:spacing w:val="-1"/>
          <w:szCs w:val="22"/>
        </w:rPr>
        <w:t xml:space="preserve"> </w:t>
      </w:r>
      <w:r w:rsidRPr="005B49BC">
        <w:rPr>
          <w:rFonts w:cs="Calibri"/>
          <w:szCs w:val="22"/>
        </w:rPr>
        <w:t>period</w:t>
      </w:r>
      <w:r w:rsidRPr="005B49BC">
        <w:rPr>
          <w:rFonts w:cs="Calibri"/>
          <w:spacing w:val="-1"/>
          <w:szCs w:val="22"/>
        </w:rPr>
        <w:t xml:space="preserve"> </w:t>
      </w:r>
      <w:r w:rsidRPr="005B49BC">
        <w:rPr>
          <w:rFonts w:cs="Calibri"/>
          <w:spacing w:val="-2"/>
          <w:szCs w:val="22"/>
        </w:rPr>
        <w:t>errors</w:t>
      </w:r>
    </w:p>
    <w:p w14:paraId="138540BC" w14:textId="77777777" w:rsidR="00B76626" w:rsidRPr="00CA2CC1" w:rsidRDefault="00B76626" w:rsidP="0043303B">
      <w:pPr>
        <w:pStyle w:val="BodyText"/>
        <w:spacing w:before="112"/>
        <w:rPr>
          <w:rFonts w:cs="Calibri"/>
        </w:rPr>
      </w:pPr>
      <w:r w:rsidRPr="00CA2CC1">
        <w:rPr>
          <w:rFonts w:cs="Calibri"/>
          <w:color w:val="414042"/>
        </w:rPr>
        <w:t>In the 2021-22 financial year, two leased motor vehicles controlled by another government entity were incorrectly recognised in Infrastructure Victoria’s financial statements. This error had the effect of overstating assets by $39,086, overstating</w:t>
      </w:r>
      <w:r w:rsidRPr="00CA2CC1">
        <w:rPr>
          <w:rFonts w:cs="Calibri"/>
          <w:color w:val="414042"/>
          <w:spacing w:val="-1"/>
        </w:rPr>
        <w:t xml:space="preserve"> </w:t>
      </w:r>
      <w:r w:rsidRPr="00CA2CC1">
        <w:rPr>
          <w:rFonts w:cs="Calibri"/>
          <w:color w:val="414042"/>
        </w:rPr>
        <w:t>liabilitites</w:t>
      </w:r>
      <w:r w:rsidRPr="00CA2CC1">
        <w:rPr>
          <w:rFonts w:cs="Calibri"/>
          <w:color w:val="414042"/>
          <w:spacing w:val="-1"/>
        </w:rPr>
        <w:t xml:space="preserve"> </w:t>
      </w:r>
      <w:r w:rsidRPr="00CA2CC1">
        <w:rPr>
          <w:rFonts w:cs="Calibri"/>
          <w:color w:val="414042"/>
        </w:rPr>
        <w:t>by $38,781,</w:t>
      </w:r>
      <w:r w:rsidRPr="00CA2CC1">
        <w:rPr>
          <w:rFonts w:cs="Calibri"/>
          <w:color w:val="414042"/>
          <w:spacing w:val="-1"/>
        </w:rPr>
        <w:t xml:space="preserve"> </w:t>
      </w:r>
      <w:r w:rsidRPr="00CA2CC1">
        <w:rPr>
          <w:rFonts w:cs="Calibri"/>
          <w:color w:val="414042"/>
        </w:rPr>
        <w:t>overstating net</w:t>
      </w:r>
      <w:r w:rsidRPr="00CA2CC1">
        <w:rPr>
          <w:rFonts w:cs="Calibri"/>
          <w:color w:val="414042"/>
          <w:spacing w:val="-1"/>
        </w:rPr>
        <w:t xml:space="preserve"> </w:t>
      </w:r>
      <w:r w:rsidRPr="00CA2CC1">
        <w:rPr>
          <w:rFonts w:cs="Calibri"/>
          <w:color w:val="414042"/>
        </w:rPr>
        <w:t xml:space="preserve">results </w:t>
      </w:r>
      <w:r w:rsidRPr="00CA2CC1">
        <w:rPr>
          <w:rFonts w:cs="Calibri"/>
          <w:color w:val="414042"/>
          <w:spacing w:val="-5"/>
        </w:rPr>
        <w:t>by</w:t>
      </w:r>
      <w:r w:rsidRPr="00CA2CC1">
        <w:rPr>
          <w:rFonts w:cs="Calibri"/>
        </w:rPr>
        <w:t xml:space="preserve"> </w:t>
      </w:r>
      <w:r w:rsidRPr="00CA2CC1">
        <w:rPr>
          <w:rFonts w:cs="Calibri"/>
          <w:color w:val="414042"/>
        </w:rPr>
        <w:t>$306</w:t>
      </w:r>
      <w:r w:rsidRPr="00CA2CC1">
        <w:rPr>
          <w:rFonts w:cs="Calibri"/>
          <w:color w:val="414042"/>
          <w:spacing w:val="-6"/>
        </w:rPr>
        <w:t xml:space="preserve"> </w:t>
      </w:r>
      <w:r w:rsidRPr="00CA2CC1">
        <w:rPr>
          <w:rFonts w:cs="Calibri"/>
          <w:color w:val="414042"/>
        </w:rPr>
        <w:t>and</w:t>
      </w:r>
      <w:r w:rsidRPr="00CA2CC1">
        <w:rPr>
          <w:rFonts w:cs="Calibri"/>
          <w:color w:val="414042"/>
          <w:spacing w:val="-6"/>
        </w:rPr>
        <w:t xml:space="preserve"> </w:t>
      </w:r>
      <w:r w:rsidRPr="00CA2CC1">
        <w:rPr>
          <w:rFonts w:cs="Calibri"/>
          <w:color w:val="414042"/>
        </w:rPr>
        <w:t>mis-classifing</w:t>
      </w:r>
      <w:r w:rsidRPr="00CA2CC1">
        <w:rPr>
          <w:rFonts w:cs="Calibri"/>
          <w:color w:val="414042"/>
          <w:spacing w:val="-6"/>
        </w:rPr>
        <w:t xml:space="preserve"> </w:t>
      </w:r>
      <w:r w:rsidRPr="00CA2CC1">
        <w:rPr>
          <w:rFonts w:cs="Calibri"/>
          <w:color w:val="414042"/>
        </w:rPr>
        <w:t>operating</w:t>
      </w:r>
      <w:r w:rsidRPr="00CA2CC1">
        <w:rPr>
          <w:rFonts w:cs="Calibri"/>
          <w:color w:val="414042"/>
          <w:spacing w:val="-6"/>
        </w:rPr>
        <w:t xml:space="preserve"> </w:t>
      </w:r>
      <w:r w:rsidRPr="00CA2CC1">
        <w:rPr>
          <w:rFonts w:cs="Calibri"/>
          <w:color w:val="414042"/>
        </w:rPr>
        <w:t>and</w:t>
      </w:r>
      <w:r w:rsidRPr="00CA2CC1">
        <w:rPr>
          <w:rFonts w:cs="Calibri"/>
          <w:color w:val="414042"/>
          <w:spacing w:val="-6"/>
        </w:rPr>
        <w:t xml:space="preserve"> </w:t>
      </w:r>
      <w:r w:rsidRPr="00CA2CC1">
        <w:rPr>
          <w:rFonts w:cs="Calibri"/>
          <w:color w:val="414042"/>
        </w:rPr>
        <w:t>financing</w:t>
      </w:r>
      <w:r w:rsidRPr="00CA2CC1">
        <w:rPr>
          <w:rFonts w:cs="Calibri"/>
          <w:color w:val="414042"/>
          <w:spacing w:val="-6"/>
        </w:rPr>
        <w:t xml:space="preserve"> </w:t>
      </w:r>
      <w:r w:rsidRPr="00CA2CC1">
        <w:rPr>
          <w:rFonts w:cs="Calibri"/>
          <w:color w:val="414042"/>
        </w:rPr>
        <w:t>cashflows by $421.</w:t>
      </w:r>
    </w:p>
    <w:p w14:paraId="7EE73BD6" w14:textId="3F69E607" w:rsidR="00FA4226" w:rsidRPr="00CA2CC1" w:rsidRDefault="00000000" w:rsidP="001A07CB">
      <w:pPr>
        <w:rPr>
          <w:rFonts w:cs="Calibri"/>
          <w:sz w:val="20"/>
        </w:rPr>
      </w:pPr>
      <w:r w:rsidRPr="00CA2CC1">
        <w:rPr>
          <w:rFonts w:cs="Calibri"/>
          <w:color w:val="414042"/>
        </w:rPr>
        <w:t>Additionally,</w:t>
      </w:r>
      <w:r w:rsidRPr="00CA2CC1">
        <w:rPr>
          <w:rFonts w:cs="Calibri"/>
          <w:color w:val="414042"/>
          <w:spacing w:val="-9"/>
        </w:rPr>
        <w:t xml:space="preserve"> </w:t>
      </w:r>
      <w:r w:rsidRPr="00CA2CC1">
        <w:rPr>
          <w:rFonts w:cs="Calibri"/>
          <w:color w:val="414042"/>
        </w:rPr>
        <w:t>in</w:t>
      </w:r>
      <w:r w:rsidRPr="00CA2CC1">
        <w:rPr>
          <w:rFonts w:cs="Calibri"/>
          <w:color w:val="414042"/>
          <w:spacing w:val="-9"/>
        </w:rPr>
        <w:t xml:space="preserve"> </w:t>
      </w:r>
      <w:r w:rsidRPr="00CA2CC1">
        <w:rPr>
          <w:rFonts w:cs="Calibri"/>
          <w:color w:val="414042"/>
        </w:rPr>
        <w:t>the</w:t>
      </w:r>
      <w:r w:rsidRPr="00CA2CC1">
        <w:rPr>
          <w:rFonts w:cs="Calibri"/>
          <w:color w:val="414042"/>
          <w:spacing w:val="-9"/>
        </w:rPr>
        <w:t xml:space="preserve"> </w:t>
      </w:r>
      <w:r w:rsidRPr="00CA2CC1">
        <w:rPr>
          <w:rFonts w:cs="Calibri"/>
          <w:color w:val="414042"/>
        </w:rPr>
        <w:t>2021-22</w:t>
      </w:r>
      <w:r w:rsidRPr="00CA2CC1">
        <w:rPr>
          <w:rFonts w:cs="Calibri"/>
          <w:color w:val="414042"/>
          <w:spacing w:val="-9"/>
        </w:rPr>
        <w:t xml:space="preserve"> </w:t>
      </w:r>
      <w:r w:rsidRPr="00CA2CC1">
        <w:rPr>
          <w:rFonts w:cs="Calibri"/>
          <w:color w:val="414042"/>
        </w:rPr>
        <w:t>financial</w:t>
      </w:r>
      <w:r w:rsidRPr="00CA2CC1">
        <w:rPr>
          <w:rFonts w:cs="Calibri"/>
          <w:color w:val="414042"/>
          <w:spacing w:val="-9"/>
        </w:rPr>
        <w:t xml:space="preserve"> </w:t>
      </w:r>
      <w:r w:rsidRPr="00CA2CC1">
        <w:rPr>
          <w:rFonts w:cs="Calibri"/>
          <w:color w:val="414042"/>
        </w:rPr>
        <w:t>year,</w:t>
      </w:r>
      <w:r w:rsidRPr="00CA2CC1">
        <w:rPr>
          <w:rFonts w:cs="Calibri"/>
          <w:color w:val="414042"/>
          <w:spacing w:val="-9"/>
        </w:rPr>
        <w:t xml:space="preserve"> </w:t>
      </w:r>
      <w:r w:rsidRPr="00CA2CC1">
        <w:rPr>
          <w:rFonts w:cs="Calibri"/>
          <w:color w:val="414042"/>
        </w:rPr>
        <w:t>$4,577</w:t>
      </w:r>
      <w:r w:rsidRPr="00CA2CC1">
        <w:rPr>
          <w:rFonts w:cs="Calibri"/>
          <w:color w:val="414042"/>
          <w:spacing w:val="-9"/>
        </w:rPr>
        <w:t xml:space="preserve"> </w:t>
      </w:r>
      <w:r w:rsidRPr="00CA2CC1">
        <w:rPr>
          <w:rFonts w:cs="Calibri"/>
          <w:color w:val="414042"/>
        </w:rPr>
        <w:t>of</w:t>
      </w:r>
      <w:r w:rsidRPr="00CA2CC1">
        <w:rPr>
          <w:rFonts w:cs="Calibri"/>
          <w:color w:val="414042"/>
          <w:spacing w:val="-9"/>
        </w:rPr>
        <w:t xml:space="preserve"> </w:t>
      </w:r>
      <w:r w:rsidRPr="00CA2CC1">
        <w:rPr>
          <w:rFonts w:cs="Calibri"/>
          <w:color w:val="414042"/>
        </w:rPr>
        <w:t>interest expense relating to the leased building was incorrectly recognised in other operating expenses.</w:t>
      </w:r>
    </w:p>
    <w:p w14:paraId="07EF6B98" w14:textId="77777777" w:rsidR="00FA4226" w:rsidRPr="00CA2CC1" w:rsidRDefault="00000000" w:rsidP="0043303B">
      <w:pPr>
        <w:pStyle w:val="BodyText"/>
        <w:spacing w:before="116"/>
        <w:rPr>
          <w:rFonts w:cs="Calibri"/>
        </w:rPr>
      </w:pPr>
      <w:r w:rsidRPr="00CA2CC1">
        <w:rPr>
          <w:rFonts w:cs="Calibri"/>
          <w:color w:val="414042"/>
        </w:rPr>
        <w:t>These</w:t>
      </w:r>
      <w:r w:rsidRPr="00CA2CC1">
        <w:rPr>
          <w:rFonts w:cs="Calibri"/>
          <w:color w:val="414042"/>
          <w:spacing w:val="-5"/>
        </w:rPr>
        <w:t xml:space="preserve"> </w:t>
      </w:r>
      <w:r w:rsidRPr="00CA2CC1">
        <w:rPr>
          <w:rFonts w:cs="Calibri"/>
          <w:color w:val="414042"/>
        </w:rPr>
        <w:t>errors</w:t>
      </w:r>
      <w:r w:rsidRPr="00CA2CC1">
        <w:rPr>
          <w:rFonts w:cs="Calibri"/>
          <w:color w:val="414042"/>
          <w:spacing w:val="-5"/>
        </w:rPr>
        <w:t xml:space="preserve"> </w:t>
      </w:r>
      <w:r w:rsidRPr="00CA2CC1">
        <w:rPr>
          <w:rFonts w:cs="Calibri"/>
          <w:color w:val="414042"/>
        </w:rPr>
        <w:t>have</w:t>
      </w:r>
      <w:r w:rsidRPr="00CA2CC1">
        <w:rPr>
          <w:rFonts w:cs="Calibri"/>
          <w:color w:val="414042"/>
          <w:spacing w:val="-5"/>
        </w:rPr>
        <w:t xml:space="preserve"> </w:t>
      </w:r>
      <w:r w:rsidRPr="00CA2CC1">
        <w:rPr>
          <w:rFonts w:cs="Calibri"/>
          <w:color w:val="414042"/>
        </w:rPr>
        <w:t>been</w:t>
      </w:r>
      <w:r w:rsidRPr="00CA2CC1">
        <w:rPr>
          <w:rFonts w:cs="Calibri"/>
          <w:color w:val="414042"/>
          <w:spacing w:val="-5"/>
        </w:rPr>
        <w:t xml:space="preserve"> </w:t>
      </w:r>
      <w:r w:rsidRPr="00CA2CC1">
        <w:rPr>
          <w:rFonts w:cs="Calibri"/>
          <w:color w:val="414042"/>
        </w:rPr>
        <w:t>corrected</w:t>
      </w:r>
      <w:r w:rsidRPr="00CA2CC1">
        <w:rPr>
          <w:rFonts w:cs="Calibri"/>
          <w:color w:val="414042"/>
          <w:spacing w:val="-5"/>
        </w:rPr>
        <w:t xml:space="preserve"> </w:t>
      </w:r>
      <w:r w:rsidRPr="00CA2CC1">
        <w:rPr>
          <w:rFonts w:cs="Calibri"/>
          <w:color w:val="414042"/>
        </w:rPr>
        <w:t>by</w:t>
      </w:r>
      <w:r w:rsidRPr="00CA2CC1">
        <w:rPr>
          <w:rFonts w:cs="Calibri"/>
          <w:color w:val="414042"/>
          <w:spacing w:val="-5"/>
        </w:rPr>
        <w:t xml:space="preserve"> </w:t>
      </w:r>
      <w:r w:rsidRPr="00CA2CC1">
        <w:rPr>
          <w:rFonts w:cs="Calibri"/>
          <w:color w:val="414042"/>
        </w:rPr>
        <w:t>restating</w:t>
      </w:r>
      <w:r w:rsidRPr="00CA2CC1">
        <w:rPr>
          <w:rFonts w:cs="Calibri"/>
          <w:color w:val="414042"/>
          <w:spacing w:val="-5"/>
        </w:rPr>
        <w:t xml:space="preserve"> </w:t>
      </w:r>
      <w:r w:rsidRPr="00CA2CC1">
        <w:rPr>
          <w:rFonts w:cs="Calibri"/>
          <w:color w:val="414042"/>
        </w:rPr>
        <w:t>each</w:t>
      </w:r>
      <w:r w:rsidRPr="00CA2CC1">
        <w:rPr>
          <w:rFonts w:cs="Calibri"/>
          <w:color w:val="414042"/>
          <w:spacing w:val="-5"/>
        </w:rPr>
        <w:t xml:space="preserve"> </w:t>
      </w:r>
      <w:r w:rsidRPr="00CA2CC1">
        <w:rPr>
          <w:rFonts w:cs="Calibri"/>
          <w:color w:val="414042"/>
        </w:rPr>
        <w:t>of</w:t>
      </w:r>
      <w:r w:rsidRPr="00CA2CC1">
        <w:rPr>
          <w:rFonts w:cs="Calibri"/>
          <w:color w:val="414042"/>
          <w:spacing w:val="-5"/>
        </w:rPr>
        <w:t xml:space="preserve"> </w:t>
      </w:r>
      <w:r w:rsidRPr="00CA2CC1">
        <w:rPr>
          <w:rFonts w:cs="Calibri"/>
          <w:color w:val="414042"/>
        </w:rPr>
        <w:t>the affected line items for the 2021-22 comparative year as shown in the tables below.</w:t>
      </w:r>
    </w:p>
    <w:p w14:paraId="06FF5A73" w14:textId="77777777" w:rsidR="00FA4226" w:rsidRPr="00CA2CC1" w:rsidRDefault="00FA4226" w:rsidP="0043303B">
      <w:pPr>
        <w:rPr>
          <w:rFonts w:cs="Calibri"/>
        </w:rPr>
        <w:sectPr w:rsidR="00FA4226" w:rsidRPr="00CA2CC1" w:rsidSect="00E941A5">
          <w:type w:val="continuous"/>
          <w:pgSz w:w="11910" w:h="16840"/>
          <w:pgMar w:top="1134" w:right="1278" w:bottom="1134" w:left="1134" w:header="720" w:footer="720" w:gutter="0"/>
          <w:cols w:space="720"/>
        </w:sectPr>
      </w:pPr>
    </w:p>
    <w:p w14:paraId="0D3D920C" w14:textId="7E27840B" w:rsidR="006D01C8" w:rsidRPr="00CA2CC1" w:rsidRDefault="006D01C8">
      <w:pPr>
        <w:rPr>
          <w:rFonts w:cs="Calibri"/>
          <w:color w:val="000000" w:themeColor="text1"/>
          <w:sz w:val="27"/>
          <w:szCs w:val="18"/>
        </w:rPr>
      </w:pPr>
      <w:r w:rsidRPr="00CA2CC1">
        <w:rPr>
          <w:rFonts w:cs="Calibri"/>
          <w:sz w:val="27"/>
        </w:rPr>
        <w:br w:type="page"/>
      </w:r>
    </w:p>
    <w:p w14:paraId="0E18868B" w14:textId="77777777" w:rsidR="00FA4226" w:rsidRPr="005B49BC" w:rsidRDefault="00000000" w:rsidP="0043303B">
      <w:pPr>
        <w:pStyle w:val="Heading7"/>
        <w:spacing w:before="60"/>
        <w:rPr>
          <w:rFonts w:cs="Calibri"/>
          <w:color w:val="000000" w:themeColor="text1"/>
        </w:rPr>
      </w:pPr>
      <w:r w:rsidRPr="005B49BC">
        <w:rPr>
          <w:rFonts w:cs="Calibri"/>
          <w:color w:val="000000" w:themeColor="text1"/>
        </w:rPr>
        <w:t>Impact</w:t>
      </w:r>
      <w:r w:rsidRPr="005B49BC">
        <w:rPr>
          <w:rFonts w:cs="Calibri"/>
          <w:color w:val="000000" w:themeColor="text1"/>
          <w:spacing w:val="-4"/>
        </w:rPr>
        <w:t xml:space="preserve"> </w:t>
      </w:r>
      <w:r w:rsidRPr="005B49BC">
        <w:rPr>
          <w:rFonts w:cs="Calibri"/>
          <w:color w:val="000000" w:themeColor="text1"/>
        </w:rPr>
        <w:t>of</w:t>
      </w:r>
      <w:r w:rsidRPr="005B49BC">
        <w:rPr>
          <w:rFonts w:cs="Calibri"/>
          <w:color w:val="000000" w:themeColor="text1"/>
          <w:spacing w:val="-1"/>
        </w:rPr>
        <w:t xml:space="preserve"> </w:t>
      </w:r>
      <w:r w:rsidRPr="005B49BC">
        <w:rPr>
          <w:rFonts w:cs="Calibri"/>
          <w:color w:val="000000" w:themeColor="text1"/>
        </w:rPr>
        <w:t>correction</w:t>
      </w:r>
      <w:r w:rsidRPr="005B49BC">
        <w:rPr>
          <w:rFonts w:cs="Calibri"/>
          <w:color w:val="000000" w:themeColor="text1"/>
          <w:spacing w:val="-1"/>
        </w:rPr>
        <w:t xml:space="preserve"> </w:t>
      </w:r>
      <w:r w:rsidRPr="005B49BC">
        <w:rPr>
          <w:rFonts w:cs="Calibri"/>
          <w:color w:val="000000" w:themeColor="text1"/>
        </w:rPr>
        <w:t>of</w:t>
      </w:r>
      <w:r w:rsidRPr="005B49BC">
        <w:rPr>
          <w:rFonts w:cs="Calibri"/>
          <w:color w:val="000000" w:themeColor="text1"/>
          <w:spacing w:val="-2"/>
        </w:rPr>
        <w:t xml:space="preserve"> </w:t>
      </w:r>
      <w:r w:rsidRPr="005B49BC">
        <w:rPr>
          <w:rFonts w:cs="Calibri"/>
          <w:color w:val="000000" w:themeColor="text1"/>
        </w:rPr>
        <w:t>error</w:t>
      </w:r>
      <w:r w:rsidRPr="005B49BC">
        <w:rPr>
          <w:rFonts w:cs="Calibri"/>
          <w:color w:val="000000" w:themeColor="text1"/>
          <w:spacing w:val="-1"/>
        </w:rPr>
        <w:t xml:space="preserve"> </w:t>
      </w:r>
      <w:r w:rsidRPr="005B49BC">
        <w:rPr>
          <w:rFonts w:cs="Calibri"/>
          <w:color w:val="000000" w:themeColor="text1"/>
        </w:rPr>
        <w:t>on</w:t>
      </w:r>
      <w:r w:rsidRPr="005B49BC">
        <w:rPr>
          <w:rFonts w:cs="Calibri"/>
          <w:color w:val="000000" w:themeColor="text1"/>
          <w:spacing w:val="-1"/>
        </w:rPr>
        <w:t xml:space="preserve"> </w:t>
      </w:r>
      <w:r w:rsidRPr="005B49BC">
        <w:rPr>
          <w:rFonts w:cs="Calibri"/>
          <w:color w:val="000000" w:themeColor="text1"/>
        </w:rPr>
        <w:t>the</w:t>
      </w:r>
      <w:r w:rsidRPr="005B49BC">
        <w:rPr>
          <w:rFonts w:cs="Calibri"/>
          <w:color w:val="000000" w:themeColor="text1"/>
          <w:spacing w:val="-2"/>
        </w:rPr>
        <w:t xml:space="preserve"> </w:t>
      </w:r>
      <w:r w:rsidRPr="005B49BC">
        <w:rPr>
          <w:rFonts w:cs="Calibri"/>
          <w:color w:val="000000" w:themeColor="text1"/>
        </w:rPr>
        <w:t>comprehensive</w:t>
      </w:r>
      <w:r w:rsidRPr="005B49BC">
        <w:rPr>
          <w:rFonts w:cs="Calibri"/>
          <w:color w:val="000000" w:themeColor="text1"/>
          <w:spacing w:val="-1"/>
        </w:rPr>
        <w:t xml:space="preserve"> </w:t>
      </w:r>
      <w:r w:rsidRPr="005B49BC">
        <w:rPr>
          <w:rFonts w:cs="Calibri"/>
          <w:color w:val="000000" w:themeColor="text1"/>
        </w:rPr>
        <w:t>operating</w:t>
      </w:r>
      <w:r w:rsidRPr="005B49BC">
        <w:rPr>
          <w:rFonts w:cs="Calibri"/>
          <w:color w:val="000000" w:themeColor="text1"/>
          <w:spacing w:val="-1"/>
        </w:rPr>
        <w:t xml:space="preserve"> </w:t>
      </w:r>
      <w:r w:rsidRPr="005B49BC">
        <w:rPr>
          <w:rFonts w:cs="Calibri"/>
          <w:color w:val="000000" w:themeColor="text1"/>
          <w:spacing w:val="-2"/>
        </w:rPr>
        <w:t>statement</w:t>
      </w:r>
    </w:p>
    <w:p w14:paraId="5DEE2E1A" w14:textId="77777777" w:rsidR="00FA4226" w:rsidRPr="00CA2CC1" w:rsidRDefault="00FA4226" w:rsidP="0043303B">
      <w:pPr>
        <w:pStyle w:val="BodyText"/>
        <w:spacing w:before="5" w:after="1"/>
        <w:rPr>
          <w:rFonts w:cs="Calibri"/>
          <w:sz w:val="9"/>
        </w:rPr>
      </w:pPr>
    </w:p>
    <w:tbl>
      <w:tblPr>
        <w:tblW w:w="9642" w:type="dxa"/>
        <w:tblBorders>
          <w:top w:val="single" w:sz="4" w:space="0" w:color="C48F1B"/>
          <w:left w:val="single" w:sz="4" w:space="0" w:color="C48F1B"/>
          <w:bottom w:val="single" w:sz="4" w:space="0" w:color="C48F1B"/>
          <w:right w:val="single" w:sz="4" w:space="0" w:color="C48F1B"/>
          <w:insideH w:val="single" w:sz="4" w:space="0" w:color="C48F1B"/>
          <w:insideV w:val="single" w:sz="4" w:space="0" w:color="C48F1B"/>
        </w:tblBorders>
        <w:tblLayout w:type="fixed"/>
        <w:tblCellMar>
          <w:left w:w="0" w:type="dxa"/>
          <w:right w:w="0" w:type="dxa"/>
        </w:tblCellMar>
        <w:tblLook w:val="01E0" w:firstRow="1" w:lastRow="1" w:firstColumn="1" w:lastColumn="1" w:noHBand="0" w:noVBand="0"/>
      </w:tblPr>
      <w:tblGrid>
        <w:gridCol w:w="2127"/>
        <w:gridCol w:w="1503"/>
        <w:gridCol w:w="1503"/>
        <w:gridCol w:w="1503"/>
        <w:gridCol w:w="1503"/>
        <w:gridCol w:w="1503"/>
      </w:tblGrid>
      <w:tr w:rsidR="00FA4226" w:rsidRPr="00CA2CC1" w14:paraId="46D6B281" w14:textId="77777777" w:rsidTr="00223F33">
        <w:trPr>
          <w:trHeight w:val="1344"/>
        </w:trPr>
        <w:tc>
          <w:tcPr>
            <w:tcW w:w="2127" w:type="dxa"/>
            <w:tcBorders>
              <w:top w:val="nil"/>
              <w:left w:val="nil"/>
              <w:right w:val="nil"/>
            </w:tcBorders>
          </w:tcPr>
          <w:p w14:paraId="156B90B6" w14:textId="77777777" w:rsidR="00FA4226" w:rsidRPr="00CA2CC1" w:rsidRDefault="00FA4226" w:rsidP="0043303B">
            <w:pPr>
              <w:pStyle w:val="TableParagraph"/>
              <w:jc w:val="left"/>
              <w:rPr>
                <w:rFonts w:cs="Calibri"/>
                <w:sz w:val="16"/>
              </w:rPr>
            </w:pPr>
          </w:p>
        </w:tc>
        <w:tc>
          <w:tcPr>
            <w:tcW w:w="1503" w:type="dxa"/>
            <w:tcBorders>
              <w:top w:val="nil"/>
              <w:left w:val="nil"/>
              <w:right w:val="single" w:sz="8" w:space="0" w:color="FFFFFF"/>
            </w:tcBorders>
            <w:shd w:val="clear" w:color="auto" w:fill="FFF0E7"/>
            <w:tcMar>
              <w:right w:w="57" w:type="dxa"/>
            </w:tcMar>
            <w:vAlign w:val="bottom"/>
          </w:tcPr>
          <w:p w14:paraId="5A9B53DB" w14:textId="77777777" w:rsidR="00FA4226" w:rsidRPr="00CA2CC1" w:rsidRDefault="00FA4226" w:rsidP="00223F33">
            <w:pPr>
              <w:pStyle w:val="TableParagraph"/>
              <w:rPr>
                <w:rFonts w:cs="Calibri"/>
                <w:sz w:val="20"/>
              </w:rPr>
            </w:pPr>
          </w:p>
          <w:p w14:paraId="13ECEC2D" w14:textId="77777777" w:rsidR="00FA4226" w:rsidRPr="00CA2CC1" w:rsidRDefault="00FA4226" w:rsidP="00223F33">
            <w:pPr>
              <w:pStyle w:val="TableParagraph"/>
              <w:rPr>
                <w:rFonts w:cs="Calibri"/>
                <w:sz w:val="20"/>
              </w:rPr>
            </w:pPr>
          </w:p>
          <w:p w14:paraId="032D383E" w14:textId="77777777" w:rsidR="00FA4226" w:rsidRPr="00CA2CC1" w:rsidRDefault="00FA4226" w:rsidP="00223F33">
            <w:pPr>
              <w:pStyle w:val="TableParagraph"/>
              <w:spacing w:before="1"/>
              <w:rPr>
                <w:rFonts w:cs="Calibri"/>
                <w:sz w:val="21"/>
              </w:rPr>
            </w:pPr>
          </w:p>
          <w:p w14:paraId="78D35758" w14:textId="77777777" w:rsidR="00FA4226" w:rsidRPr="00CA2CC1" w:rsidRDefault="00000000" w:rsidP="00223F33">
            <w:pPr>
              <w:pStyle w:val="TableParagraph"/>
              <w:rPr>
                <w:rFonts w:cs="Calibri"/>
                <w:sz w:val="17"/>
              </w:rPr>
            </w:pPr>
            <w:r w:rsidRPr="00CA2CC1">
              <w:rPr>
                <w:rFonts w:cs="Calibri"/>
                <w:color w:val="F68C59"/>
                <w:spacing w:val="-4"/>
                <w:sz w:val="17"/>
              </w:rPr>
              <w:t>2023</w:t>
            </w:r>
          </w:p>
          <w:p w14:paraId="5ECACD58" w14:textId="77777777" w:rsidR="00FA4226" w:rsidRPr="00CA2CC1" w:rsidRDefault="00000000" w:rsidP="00223F33">
            <w:pPr>
              <w:pStyle w:val="TableParagraph"/>
              <w:spacing w:before="1"/>
              <w:rPr>
                <w:rFonts w:cs="Calibri"/>
                <w:sz w:val="17"/>
              </w:rPr>
            </w:pPr>
            <w:r w:rsidRPr="00CA2CC1">
              <w:rPr>
                <w:rFonts w:cs="Calibri"/>
                <w:color w:val="F68C59"/>
                <w:sz w:val="17"/>
              </w:rPr>
              <w:t>$</w:t>
            </w:r>
          </w:p>
        </w:tc>
        <w:tc>
          <w:tcPr>
            <w:tcW w:w="1503" w:type="dxa"/>
            <w:tcBorders>
              <w:top w:val="nil"/>
              <w:left w:val="single" w:sz="8" w:space="0" w:color="FFFFFF"/>
              <w:right w:val="single" w:sz="8" w:space="0" w:color="FFFFFF"/>
            </w:tcBorders>
            <w:shd w:val="clear" w:color="auto" w:fill="EDEFF0"/>
            <w:tcMar>
              <w:right w:w="57" w:type="dxa"/>
            </w:tcMar>
            <w:vAlign w:val="bottom"/>
          </w:tcPr>
          <w:p w14:paraId="25349BD6" w14:textId="77777777" w:rsidR="00FA4226" w:rsidRPr="00CA2CC1" w:rsidRDefault="00FA4226" w:rsidP="00223F33">
            <w:pPr>
              <w:pStyle w:val="TableParagraph"/>
              <w:spacing w:before="9"/>
              <w:rPr>
                <w:rFonts w:cs="Calibri"/>
                <w:sz w:val="23"/>
              </w:rPr>
            </w:pPr>
          </w:p>
          <w:p w14:paraId="6E4B25AC" w14:textId="77777777" w:rsidR="00FA4226" w:rsidRPr="00CA2CC1" w:rsidRDefault="00000000" w:rsidP="00223F33">
            <w:pPr>
              <w:pStyle w:val="TableParagraph"/>
              <w:rPr>
                <w:rFonts w:cs="Calibri"/>
                <w:sz w:val="17"/>
              </w:rPr>
            </w:pPr>
            <w:r w:rsidRPr="00CA2CC1">
              <w:rPr>
                <w:rFonts w:cs="Calibri"/>
                <w:color w:val="F68C59"/>
                <w:spacing w:val="-4"/>
                <w:sz w:val="17"/>
              </w:rPr>
              <w:t>2022</w:t>
            </w:r>
          </w:p>
          <w:p w14:paraId="53F13BE2" w14:textId="56C53F59" w:rsidR="00FA4226" w:rsidRPr="00CA2CC1" w:rsidRDefault="00000000" w:rsidP="00223F33">
            <w:pPr>
              <w:pStyle w:val="TableParagraph"/>
              <w:spacing w:before="108"/>
              <w:rPr>
                <w:rFonts w:cs="Calibri"/>
                <w:sz w:val="17"/>
              </w:rPr>
            </w:pPr>
            <w:r w:rsidRPr="00CA2CC1">
              <w:rPr>
                <w:rFonts w:cs="Calibri"/>
                <w:color w:val="F68C59"/>
                <w:spacing w:val="-2"/>
                <w:sz w:val="17"/>
              </w:rPr>
              <w:t xml:space="preserve">(restated </w:t>
            </w:r>
            <w:r w:rsidR="00223F33">
              <w:rPr>
                <w:rFonts w:cs="Calibri"/>
                <w:color w:val="F68C59"/>
                <w:spacing w:val="-2"/>
                <w:sz w:val="17"/>
              </w:rPr>
              <w:br/>
            </w:r>
            <w:r w:rsidRPr="00CA2CC1">
              <w:rPr>
                <w:rFonts w:cs="Calibri"/>
                <w:color w:val="F68C59"/>
                <w:spacing w:val="-2"/>
                <w:sz w:val="17"/>
              </w:rPr>
              <w:t>balance)</w:t>
            </w:r>
          </w:p>
          <w:p w14:paraId="68932571" w14:textId="77777777" w:rsidR="00FA4226" w:rsidRPr="00CA2CC1" w:rsidRDefault="00000000" w:rsidP="00223F33">
            <w:pPr>
              <w:pStyle w:val="TableParagraph"/>
              <w:spacing w:before="6"/>
              <w:rPr>
                <w:rFonts w:cs="Calibri"/>
                <w:sz w:val="17"/>
              </w:rPr>
            </w:pPr>
            <w:r w:rsidRPr="00CA2CC1">
              <w:rPr>
                <w:rFonts w:cs="Calibri"/>
                <w:color w:val="F68C59"/>
                <w:sz w:val="17"/>
              </w:rPr>
              <w:t>$</w:t>
            </w:r>
          </w:p>
        </w:tc>
        <w:tc>
          <w:tcPr>
            <w:tcW w:w="1503" w:type="dxa"/>
            <w:tcBorders>
              <w:top w:val="nil"/>
              <w:left w:val="single" w:sz="8" w:space="0" w:color="FFFFFF"/>
              <w:right w:val="single" w:sz="8" w:space="0" w:color="FFFFFF"/>
            </w:tcBorders>
            <w:shd w:val="clear" w:color="auto" w:fill="FFF0E7"/>
            <w:tcMar>
              <w:right w:w="57" w:type="dxa"/>
            </w:tcMar>
            <w:vAlign w:val="bottom"/>
          </w:tcPr>
          <w:p w14:paraId="70103FCE" w14:textId="53478C33" w:rsidR="00FA4226" w:rsidRPr="00CA2CC1" w:rsidRDefault="00000000" w:rsidP="00223F33">
            <w:pPr>
              <w:pStyle w:val="TableParagraph"/>
              <w:spacing w:before="66"/>
              <w:rPr>
                <w:rFonts w:cs="Calibri"/>
                <w:sz w:val="17"/>
              </w:rPr>
            </w:pPr>
            <w:r w:rsidRPr="00CA2CC1">
              <w:rPr>
                <w:rFonts w:cs="Calibri"/>
                <w:color w:val="F68C59"/>
                <w:spacing w:val="-2"/>
                <w:sz w:val="17"/>
              </w:rPr>
              <w:t xml:space="preserve">Correction </w:t>
            </w:r>
            <w:r w:rsidR="00223F33">
              <w:rPr>
                <w:rFonts w:cs="Calibri"/>
                <w:color w:val="F68C59"/>
                <w:spacing w:val="-2"/>
                <w:sz w:val="17"/>
              </w:rPr>
              <w:br/>
            </w:r>
            <w:r w:rsidRPr="00CA2CC1">
              <w:rPr>
                <w:rFonts w:cs="Calibri"/>
                <w:color w:val="F68C59"/>
                <w:sz w:val="17"/>
              </w:rPr>
              <w:t>of</w:t>
            </w:r>
            <w:r w:rsidRPr="00CA2CC1">
              <w:rPr>
                <w:rFonts w:cs="Calibri"/>
                <w:color w:val="F68C59"/>
                <w:spacing w:val="1"/>
                <w:sz w:val="17"/>
              </w:rPr>
              <w:t xml:space="preserve"> </w:t>
            </w:r>
            <w:r w:rsidRPr="00CA2CC1">
              <w:rPr>
                <w:rFonts w:cs="Calibri"/>
                <w:color w:val="F68C59"/>
                <w:spacing w:val="-2"/>
                <w:sz w:val="17"/>
              </w:rPr>
              <w:t>leased</w:t>
            </w:r>
          </w:p>
          <w:p w14:paraId="3A6CC749" w14:textId="7ADA5C76" w:rsidR="00FA4226" w:rsidRPr="00CA2CC1" w:rsidRDefault="00000000" w:rsidP="00223F33">
            <w:pPr>
              <w:pStyle w:val="TableParagraph"/>
              <w:rPr>
                <w:rFonts w:cs="Calibri"/>
                <w:sz w:val="10"/>
              </w:rPr>
            </w:pPr>
            <w:r w:rsidRPr="00CA2CC1">
              <w:rPr>
                <w:rFonts w:cs="Calibri"/>
                <w:color w:val="F68C59"/>
                <w:spacing w:val="-2"/>
                <w:sz w:val="17"/>
              </w:rPr>
              <w:t xml:space="preserve">motor vehicle </w:t>
            </w:r>
            <w:r w:rsidR="00223F33">
              <w:rPr>
                <w:rFonts w:cs="Calibri"/>
                <w:color w:val="F68C59"/>
                <w:spacing w:val="-2"/>
                <w:sz w:val="17"/>
              </w:rPr>
              <w:br/>
            </w:r>
            <w:r w:rsidRPr="00CA2CC1">
              <w:rPr>
                <w:rFonts w:cs="Calibri"/>
                <w:color w:val="F68C59"/>
                <w:sz w:val="17"/>
              </w:rPr>
              <w:t xml:space="preserve">error </w:t>
            </w:r>
            <w:r w:rsidRPr="00CA2CC1">
              <w:rPr>
                <w:rFonts w:cs="Calibri"/>
                <w:color w:val="F68C59"/>
                <w:position w:val="6"/>
                <w:sz w:val="10"/>
              </w:rPr>
              <w:t>(i)</w:t>
            </w:r>
          </w:p>
          <w:p w14:paraId="7A260253" w14:textId="77777777" w:rsidR="00FA4226" w:rsidRPr="00CA2CC1" w:rsidRDefault="00000000" w:rsidP="00223F33">
            <w:pPr>
              <w:pStyle w:val="TableParagraph"/>
              <w:spacing w:before="4"/>
              <w:rPr>
                <w:rFonts w:cs="Calibri"/>
                <w:sz w:val="17"/>
              </w:rPr>
            </w:pPr>
            <w:r w:rsidRPr="00CA2CC1">
              <w:rPr>
                <w:rFonts w:cs="Calibri"/>
                <w:color w:val="F68C59"/>
                <w:sz w:val="17"/>
              </w:rPr>
              <w:t>$</w:t>
            </w:r>
          </w:p>
        </w:tc>
        <w:tc>
          <w:tcPr>
            <w:tcW w:w="1503" w:type="dxa"/>
            <w:tcBorders>
              <w:top w:val="nil"/>
              <w:left w:val="single" w:sz="8" w:space="0" w:color="FFFFFF"/>
              <w:right w:val="single" w:sz="8" w:space="0" w:color="FFFFFF"/>
            </w:tcBorders>
            <w:shd w:val="clear" w:color="auto" w:fill="EDEFF0"/>
            <w:tcMar>
              <w:right w:w="57" w:type="dxa"/>
            </w:tcMar>
            <w:vAlign w:val="bottom"/>
          </w:tcPr>
          <w:p w14:paraId="1F341CF2" w14:textId="77777777" w:rsidR="00FA4226" w:rsidRPr="00CA2CC1" w:rsidRDefault="00FA4226" w:rsidP="00223F33">
            <w:pPr>
              <w:pStyle w:val="TableParagraph"/>
              <w:spacing w:before="5"/>
              <w:rPr>
                <w:rFonts w:cs="Calibri"/>
                <w:sz w:val="19"/>
              </w:rPr>
            </w:pPr>
          </w:p>
          <w:p w14:paraId="2D472DE2" w14:textId="77777777" w:rsidR="00FA4226" w:rsidRPr="00CA2CC1" w:rsidRDefault="00000000" w:rsidP="00223F33">
            <w:pPr>
              <w:pStyle w:val="TableParagraph"/>
              <w:rPr>
                <w:rFonts w:cs="Calibri"/>
                <w:sz w:val="17"/>
              </w:rPr>
            </w:pPr>
            <w:r w:rsidRPr="00CA2CC1">
              <w:rPr>
                <w:rFonts w:cs="Calibri"/>
                <w:color w:val="F68C59"/>
                <w:spacing w:val="-2"/>
                <w:sz w:val="17"/>
              </w:rPr>
              <w:t xml:space="preserve">Correction </w:t>
            </w:r>
            <w:r w:rsidRPr="00CA2CC1">
              <w:rPr>
                <w:rFonts w:cs="Calibri"/>
                <w:color w:val="F68C59"/>
                <w:sz w:val="17"/>
              </w:rPr>
              <w:t>of</w:t>
            </w:r>
            <w:r w:rsidRPr="00CA2CC1">
              <w:rPr>
                <w:rFonts w:cs="Calibri"/>
                <w:color w:val="F68C59"/>
                <w:spacing w:val="-12"/>
                <w:sz w:val="17"/>
              </w:rPr>
              <w:t xml:space="preserve"> </w:t>
            </w:r>
            <w:r w:rsidRPr="00CA2CC1">
              <w:rPr>
                <w:rFonts w:cs="Calibri"/>
                <w:color w:val="F68C59"/>
                <w:sz w:val="17"/>
              </w:rPr>
              <w:t xml:space="preserve">interest </w:t>
            </w:r>
            <w:r w:rsidRPr="00CA2CC1">
              <w:rPr>
                <w:rFonts w:cs="Calibri"/>
                <w:color w:val="F68C59"/>
                <w:spacing w:val="-2"/>
                <w:sz w:val="17"/>
              </w:rPr>
              <w:t>expense</w:t>
            </w:r>
          </w:p>
          <w:p w14:paraId="1EB7F2E6" w14:textId="77777777" w:rsidR="00FA4226" w:rsidRPr="00CA2CC1" w:rsidRDefault="00000000" w:rsidP="00223F33">
            <w:pPr>
              <w:pStyle w:val="TableParagraph"/>
              <w:rPr>
                <w:rFonts w:cs="Calibri"/>
                <w:sz w:val="17"/>
              </w:rPr>
            </w:pPr>
            <w:r w:rsidRPr="00CA2CC1">
              <w:rPr>
                <w:rFonts w:cs="Calibri"/>
                <w:color w:val="F68C59"/>
                <w:spacing w:val="-2"/>
                <w:sz w:val="17"/>
              </w:rPr>
              <w:t>error</w:t>
            </w:r>
          </w:p>
          <w:p w14:paraId="11EE1316" w14:textId="77777777" w:rsidR="00FA4226" w:rsidRPr="00CA2CC1" w:rsidRDefault="00000000" w:rsidP="00223F33">
            <w:pPr>
              <w:pStyle w:val="TableParagraph"/>
              <w:spacing w:before="2"/>
              <w:rPr>
                <w:rFonts w:cs="Calibri"/>
                <w:sz w:val="17"/>
              </w:rPr>
            </w:pPr>
            <w:r w:rsidRPr="00CA2CC1">
              <w:rPr>
                <w:rFonts w:cs="Calibri"/>
                <w:color w:val="F68C59"/>
                <w:sz w:val="17"/>
              </w:rPr>
              <w:t>$</w:t>
            </w:r>
          </w:p>
        </w:tc>
        <w:tc>
          <w:tcPr>
            <w:tcW w:w="1503" w:type="dxa"/>
            <w:tcBorders>
              <w:top w:val="nil"/>
              <w:left w:val="single" w:sz="8" w:space="0" w:color="FFFFFF"/>
              <w:right w:val="nil"/>
            </w:tcBorders>
            <w:shd w:val="clear" w:color="auto" w:fill="FFF0E7"/>
            <w:tcMar>
              <w:right w:w="57" w:type="dxa"/>
            </w:tcMar>
            <w:vAlign w:val="bottom"/>
          </w:tcPr>
          <w:p w14:paraId="755EE8F0" w14:textId="77777777" w:rsidR="00FA4226" w:rsidRPr="00CA2CC1" w:rsidRDefault="00000000" w:rsidP="00223F33">
            <w:pPr>
              <w:pStyle w:val="TableParagraph"/>
              <w:spacing w:before="125"/>
              <w:rPr>
                <w:rFonts w:cs="Calibri"/>
                <w:sz w:val="17"/>
              </w:rPr>
            </w:pPr>
            <w:r w:rsidRPr="00CA2CC1">
              <w:rPr>
                <w:rFonts w:cs="Calibri"/>
                <w:color w:val="F68C59"/>
                <w:spacing w:val="-4"/>
                <w:sz w:val="17"/>
              </w:rPr>
              <w:t>2022</w:t>
            </w:r>
          </w:p>
          <w:p w14:paraId="551B36FF" w14:textId="261A1633" w:rsidR="00FA4226" w:rsidRPr="00CA2CC1" w:rsidRDefault="00000000" w:rsidP="00223F33">
            <w:pPr>
              <w:pStyle w:val="TableParagraph"/>
              <w:spacing w:before="108"/>
              <w:rPr>
                <w:rFonts w:cs="Calibri"/>
                <w:sz w:val="17"/>
              </w:rPr>
            </w:pPr>
            <w:r w:rsidRPr="00CA2CC1">
              <w:rPr>
                <w:rFonts w:cs="Calibri"/>
                <w:color w:val="F68C59"/>
                <w:spacing w:val="-2"/>
                <w:sz w:val="17"/>
              </w:rPr>
              <w:t xml:space="preserve">(previously presented </w:t>
            </w:r>
            <w:r w:rsidR="00223F33">
              <w:rPr>
                <w:rFonts w:cs="Calibri"/>
                <w:color w:val="F68C59"/>
                <w:spacing w:val="-2"/>
                <w:sz w:val="17"/>
              </w:rPr>
              <w:br/>
            </w:r>
            <w:r w:rsidRPr="00CA2CC1">
              <w:rPr>
                <w:rFonts w:cs="Calibri"/>
                <w:color w:val="F68C59"/>
                <w:spacing w:val="-2"/>
                <w:sz w:val="17"/>
              </w:rPr>
              <w:t>balance)</w:t>
            </w:r>
          </w:p>
          <w:p w14:paraId="1019BF90" w14:textId="77777777" w:rsidR="00FA4226" w:rsidRPr="00CA2CC1" w:rsidRDefault="00000000" w:rsidP="00223F33">
            <w:pPr>
              <w:pStyle w:val="TableParagraph"/>
              <w:spacing w:before="5"/>
              <w:rPr>
                <w:rFonts w:cs="Calibri"/>
                <w:sz w:val="17"/>
              </w:rPr>
            </w:pPr>
            <w:r w:rsidRPr="00CA2CC1">
              <w:rPr>
                <w:rFonts w:cs="Calibri"/>
                <w:color w:val="F68C59"/>
                <w:sz w:val="17"/>
              </w:rPr>
              <w:t>$</w:t>
            </w:r>
          </w:p>
        </w:tc>
      </w:tr>
      <w:tr w:rsidR="00FA4226" w:rsidRPr="00CA2CC1" w14:paraId="5A8F190E" w14:textId="77777777" w:rsidTr="00223F33">
        <w:trPr>
          <w:trHeight w:val="281"/>
        </w:trPr>
        <w:tc>
          <w:tcPr>
            <w:tcW w:w="2127" w:type="dxa"/>
            <w:tcBorders>
              <w:left w:val="nil"/>
              <w:bottom w:val="single" w:sz="2" w:space="0" w:color="73777A"/>
              <w:right w:val="nil"/>
            </w:tcBorders>
          </w:tcPr>
          <w:p w14:paraId="358AEBBC" w14:textId="77777777" w:rsidR="00FA4226" w:rsidRPr="00CA2CC1" w:rsidRDefault="00000000" w:rsidP="0043303B">
            <w:pPr>
              <w:pStyle w:val="TableParagraph"/>
              <w:jc w:val="left"/>
              <w:rPr>
                <w:rFonts w:cs="Calibri"/>
                <w:sz w:val="18"/>
              </w:rPr>
            </w:pPr>
            <w:r w:rsidRPr="00CA2CC1">
              <w:rPr>
                <w:rFonts w:cs="Calibri"/>
                <w:color w:val="F68C59"/>
                <w:sz w:val="18"/>
              </w:rPr>
              <w:t>Income</w:t>
            </w:r>
            <w:r w:rsidRPr="00CA2CC1">
              <w:rPr>
                <w:rFonts w:cs="Calibri"/>
                <w:color w:val="F68C59"/>
                <w:spacing w:val="5"/>
                <w:sz w:val="18"/>
              </w:rPr>
              <w:t xml:space="preserve"> </w:t>
            </w:r>
            <w:r w:rsidRPr="00CA2CC1">
              <w:rPr>
                <w:rFonts w:cs="Calibri"/>
                <w:color w:val="F68C59"/>
                <w:sz w:val="18"/>
              </w:rPr>
              <w:t>from</w:t>
            </w:r>
            <w:r w:rsidRPr="00CA2CC1">
              <w:rPr>
                <w:rFonts w:cs="Calibri"/>
                <w:color w:val="F68C59"/>
                <w:spacing w:val="7"/>
                <w:sz w:val="18"/>
              </w:rPr>
              <w:t xml:space="preserve"> </w:t>
            </w:r>
            <w:r w:rsidRPr="00CA2CC1">
              <w:rPr>
                <w:rFonts w:cs="Calibri"/>
                <w:color w:val="F68C59"/>
                <w:spacing w:val="-2"/>
                <w:sz w:val="18"/>
              </w:rPr>
              <w:t>transactions</w:t>
            </w:r>
          </w:p>
        </w:tc>
        <w:tc>
          <w:tcPr>
            <w:tcW w:w="1503" w:type="dxa"/>
            <w:tcBorders>
              <w:left w:val="nil"/>
              <w:bottom w:val="single" w:sz="2" w:space="0" w:color="73777A"/>
              <w:right w:val="single" w:sz="8" w:space="0" w:color="FFFFFF"/>
            </w:tcBorders>
            <w:shd w:val="clear" w:color="auto" w:fill="FFF0E7"/>
            <w:tcMar>
              <w:right w:w="57" w:type="dxa"/>
            </w:tcMar>
          </w:tcPr>
          <w:p w14:paraId="2D826237" w14:textId="77777777" w:rsidR="00FA4226" w:rsidRPr="00CA2CC1" w:rsidRDefault="00FA4226" w:rsidP="0043303B">
            <w:pPr>
              <w:pStyle w:val="TableParagraph"/>
              <w:jc w:val="left"/>
              <w:rPr>
                <w:rFonts w:cs="Calibri"/>
                <w:sz w:val="16"/>
              </w:rPr>
            </w:pPr>
          </w:p>
        </w:tc>
        <w:tc>
          <w:tcPr>
            <w:tcW w:w="1503" w:type="dxa"/>
            <w:tcBorders>
              <w:left w:val="single" w:sz="8" w:space="0" w:color="FFFFFF"/>
              <w:bottom w:val="single" w:sz="2" w:space="0" w:color="73777A"/>
              <w:right w:val="single" w:sz="8" w:space="0" w:color="FFFFFF"/>
            </w:tcBorders>
            <w:shd w:val="clear" w:color="auto" w:fill="EDEFF0"/>
            <w:tcMar>
              <w:right w:w="57" w:type="dxa"/>
            </w:tcMar>
          </w:tcPr>
          <w:p w14:paraId="7DFEA66D" w14:textId="77777777" w:rsidR="00FA4226" w:rsidRPr="00CA2CC1" w:rsidRDefault="00FA4226" w:rsidP="0043303B">
            <w:pPr>
              <w:pStyle w:val="TableParagraph"/>
              <w:jc w:val="left"/>
              <w:rPr>
                <w:rFonts w:cs="Calibri"/>
                <w:sz w:val="16"/>
              </w:rPr>
            </w:pPr>
          </w:p>
        </w:tc>
        <w:tc>
          <w:tcPr>
            <w:tcW w:w="1503" w:type="dxa"/>
            <w:tcBorders>
              <w:left w:val="single" w:sz="8" w:space="0" w:color="FFFFFF"/>
              <w:bottom w:val="single" w:sz="2" w:space="0" w:color="73777A"/>
              <w:right w:val="single" w:sz="8" w:space="0" w:color="FFFFFF"/>
            </w:tcBorders>
            <w:shd w:val="clear" w:color="auto" w:fill="FFF0E7"/>
            <w:tcMar>
              <w:right w:w="57" w:type="dxa"/>
            </w:tcMar>
          </w:tcPr>
          <w:p w14:paraId="2D43AA9F" w14:textId="77777777" w:rsidR="00FA4226" w:rsidRPr="00CA2CC1" w:rsidRDefault="00FA4226" w:rsidP="0043303B">
            <w:pPr>
              <w:pStyle w:val="TableParagraph"/>
              <w:jc w:val="left"/>
              <w:rPr>
                <w:rFonts w:cs="Calibri"/>
                <w:sz w:val="16"/>
              </w:rPr>
            </w:pPr>
          </w:p>
        </w:tc>
        <w:tc>
          <w:tcPr>
            <w:tcW w:w="1503" w:type="dxa"/>
            <w:tcBorders>
              <w:left w:val="single" w:sz="8" w:space="0" w:color="FFFFFF"/>
              <w:bottom w:val="single" w:sz="2" w:space="0" w:color="73777A"/>
              <w:right w:val="single" w:sz="8" w:space="0" w:color="FFFFFF"/>
            </w:tcBorders>
            <w:shd w:val="clear" w:color="auto" w:fill="EDEFF0"/>
            <w:tcMar>
              <w:right w:w="57" w:type="dxa"/>
            </w:tcMar>
          </w:tcPr>
          <w:p w14:paraId="17F55561" w14:textId="77777777" w:rsidR="00FA4226" w:rsidRPr="00CA2CC1" w:rsidRDefault="00FA4226" w:rsidP="0043303B">
            <w:pPr>
              <w:pStyle w:val="TableParagraph"/>
              <w:jc w:val="left"/>
              <w:rPr>
                <w:rFonts w:cs="Calibri"/>
                <w:sz w:val="16"/>
              </w:rPr>
            </w:pPr>
          </w:p>
        </w:tc>
        <w:tc>
          <w:tcPr>
            <w:tcW w:w="1503" w:type="dxa"/>
            <w:tcBorders>
              <w:left w:val="single" w:sz="8" w:space="0" w:color="FFFFFF"/>
              <w:bottom w:val="single" w:sz="2" w:space="0" w:color="73777A"/>
              <w:right w:val="nil"/>
            </w:tcBorders>
            <w:shd w:val="clear" w:color="auto" w:fill="FFF0E7"/>
            <w:tcMar>
              <w:right w:w="57" w:type="dxa"/>
            </w:tcMar>
          </w:tcPr>
          <w:p w14:paraId="39D925E2" w14:textId="77777777" w:rsidR="00FA4226" w:rsidRPr="00CA2CC1" w:rsidRDefault="00FA4226" w:rsidP="0043303B">
            <w:pPr>
              <w:pStyle w:val="TableParagraph"/>
              <w:jc w:val="left"/>
              <w:rPr>
                <w:rFonts w:cs="Calibri"/>
                <w:sz w:val="16"/>
              </w:rPr>
            </w:pPr>
          </w:p>
        </w:tc>
      </w:tr>
      <w:tr w:rsidR="00FA4226" w:rsidRPr="00CA2CC1" w14:paraId="5DD5B47A" w14:textId="77777777" w:rsidTr="00223F33">
        <w:trPr>
          <w:trHeight w:val="283"/>
        </w:trPr>
        <w:tc>
          <w:tcPr>
            <w:tcW w:w="2127" w:type="dxa"/>
            <w:tcBorders>
              <w:top w:val="single" w:sz="2" w:space="0" w:color="73777A"/>
              <w:left w:val="nil"/>
              <w:bottom w:val="single" w:sz="2" w:space="0" w:color="73777A"/>
              <w:right w:val="nil"/>
            </w:tcBorders>
          </w:tcPr>
          <w:p w14:paraId="3EC112A4" w14:textId="77777777" w:rsidR="00FA4226" w:rsidRPr="00CA2CC1" w:rsidRDefault="00000000" w:rsidP="0043303B">
            <w:pPr>
              <w:pStyle w:val="TableParagraph"/>
              <w:jc w:val="left"/>
              <w:rPr>
                <w:rFonts w:cs="Calibri"/>
                <w:sz w:val="18"/>
              </w:rPr>
            </w:pPr>
            <w:r w:rsidRPr="00CA2CC1">
              <w:rPr>
                <w:rFonts w:cs="Calibri"/>
                <w:color w:val="414042"/>
                <w:sz w:val="18"/>
              </w:rPr>
              <w:t>Grant</w:t>
            </w:r>
            <w:r w:rsidRPr="00CA2CC1">
              <w:rPr>
                <w:rFonts w:cs="Calibri"/>
                <w:color w:val="414042"/>
                <w:spacing w:val="3"/>
                <w:sz w:val="18"/>
              </w:rPr>
              <w:t xml:space="preserve"> </w:t>
            </w:r>
            <w:r w:rsidRPr="00CA2CC1">
              <w:rPr>
                <w:rFonts w:cs="Calibri"/>
                <w:color w:val="414042"/>
                <w:spacing w:val="-2"/>
                <w:sz w:val="18"/>
              </w:rPr>
              <w:t>income</w:t>
            </w:r>
          </w:p>
        </w:tc>
        <w:tc>
          <w:tcPr>
            <w:tcW w:w="1503" w:type="dxa"/>
            <w:tcBorders>
              <w:top w:val="single" w:sz="2" w:space="0" w:color="73777A"/>
              <w:left w:val="nil"/>
              <w:bottom w:val="single" w:sz="2" w:space="0" w:color="73777A"/>
              <w:right w:val="single" w:sz="8" w:space="0" w:color="FFFFFF"/>
            </w:tcBorders>
            <w:shd w:val="clear" w:color="auto" w:fill="FFF0E7"/>
            <w:tcMar>
              <w:right w:w="57" w:type="dxa"/>
            </w:tcMar>
          </w:tcPr>
          <w:p w14:paraId="0FF4EE47" w14:textId="77777777" w:rsidR="00FA4226" w:rsidRPr="00CA2CC1" w:rsidRDefault="00000000" w:rsidP="0043303B">
            <w:pPr>
              <w:pStyle w:val="TableParagraph"/>
              <w:rPr>
                <w:rFonts w:cs="Calibri"/>
                <w:sz w:val="18"/>
              </w:rPr>
            </w:pPr>
            <w:r w:rsidRPr="00CA2CC1">
              <w:rPr>
                <w:rFonts w:cs="Calibri"/>
                <w:color w:val="414042"/>
                <w:spacing w:val="-2"/>
                <w:sz w:val="18"/>
              </w:rPr>
              <w:t>9,922,138</w:t>
            </w:r>
          </w:p>
        </w:tc>
        <w:tc>
          <w:tcPr>
            <w:tcW w:w="1503" w:type="dxa"/>
            <w:tcBorders>
              <w:top w:val="single" w:sz="2" w:space="0" w:color="73777A"/>
              <w:left w:val="single" w:sz="8" w:space="0" w:color="FFFFFF"/>
              <w:bottom w:val="single" w:sz="2" w:space="0" w:color="73777A"/>
              <w:right w:val="single" w:sz="8" w:space="0" w:color="FFFFFF"/>
            </w:tcBorders>
            <w:shd w:val="clear" w:color="auto" w:fill="EDEFF0"/>
            <w:tcMar>
              <w:right w:w="57" w:type="dxa"/>
            </w:tcMar>
          </w:tcPr>
          <w:p w14:paraId="4265E552" w14:textId="77777777" w:rsidR="00FA4226" w:rsidRPr="00CA2CC1" w:rsidRDefault="00000000" w:rsidP="0043303B">
            <w:pPr>
              <w:pStyle w:val="TableParagraph"/>
              <w:rPr>
                <w:rFonts w:cs="Calibri"/>
                <w:sz w:val="18"/>
              </w:rPr>
            </w:pPr>
            <w:r w:rsidRPr="00CA2CC1">
              <w:rPr>
                <w:rFonts w:cs="Calibri"/>
                <w:color w:val="414042"/>
                <w:spacing w:val="-2"/>
                <w:sz w:val="18"/>
              </w:rPr>
              <w:t>9,849,369</w:t>
            </w:r>
          </w:p>
        </w:tc>
        <w:tc>
          <w:tcPr>
            <w:tcW w:w="1503" w:type="dxa"/>
            <w:tcBorders>
              <w:top w:val="single" w:sz="2" w:space="0" w:color="73777A"/>
              <w:left w:val="single" w:sz="8" w:space="0" w:color="FFFFFF"/>
              <w:bottom w:val="single" w:sz="2" w:space="0" w:color="73777A"/>
              <w:right w:val="single" w:sz="8" w:space="0" w:color="FFFFFF"/>
            </w:tcBorders>
            <w:shd w:val="clear" w:color="auto" w:fill="FFF0E7"/>
            <w:tcMar>
              <w:right w:w="57" w:type="dxa"/>
            </w:tcMar>
          </w:tcPr>
          <w:p w14:paraId="5A1B5839" w14:textId="77777777" w:rsidR="00FA4226" w:rsidRPr="00CA2CC1" w:rsidRDefault="00000000" w:rsidP="0043303B">
            <w:pPr>
              <w:pStyle w:val="TableParagraph"/>
              <w:rPr>
                <w:rFonts w:cs="Calibri"/>
                <w:sz w:val="18"/>
              </w:rPr>
            </w:pPr>
            <w:r w:rsidRPr="00CA2CC1">
              <w:rPr>
                <w:rFonts w:cs="Calibri"/>
                <w:color w:val="414042"/>
                <w:sz w:val="18"/>
              </w:rPr>
              <w:t>-</w:t>
            </w:r>
          </w:p>
        </w:tc>
        <w:tc>
          <w:tcPr>
            <w:tcW w:w="1503" w:type="dxa"/>
            <w:tcBorders>
              <w:top w:val="single" w:sz="2" w:space="0" w:color="73777A"/>
              <w:left w:val="single" w:sz="8" w:space="0" w:color="FFFFFF"/>
              <w:bottom w:val="single" w:sz="2" w:space="0" w:color="73777A"/>
              <w:right w:val="single" w:sz="8" w:space="0" w:color="FFFFFF"/>
            </w:tcBorders>
            <w:shd w:val="clear" w:color="auto" w:fill="EDEFF0"/>
            <w:tcMar>
              <w:right w:w="57" w:type="dxa"/>
            </w:tcMar>
          </w:tcPr>
          <w:p w14:paraId="66146FF3" w14:textId="77777777" w:rsidR="00FA4226" w:rsidRPr="00CA2CC1" w:rsidRDefault="00000000" w:rsidP="0043303B">
            <w:pPr>
              <w:pStyle w:val="TableParagraph"/>
              <w:rPr>
                <w:rFonts w:cs="Calibri"/>
                <w:sz w:val="18"/>
              </w:rPr>
            </w:pPr>
            <w:r w:rsidRPr="00CA2CC1">
              <w:rPr>
                <w:rFonts w:cs="Calibri"/>
                <w:color w:val="414042"/>
                <w:sz w:val="18"/>
              </w:rPr>
              <w:t>-</w:t>
            </w:r>
          </w:p>
        </w:tc>
        <w:tc>
          <w:tcPr>
            <w:tcW w:w="1503" w:type="dxa"/>
            <w:tcBorders>
              <w:top w:val="single" w:sz="2" w:space="0" w:color="73777A"/>
              <w:left w:val="single" w:sz="8" w:space="0" w:color="FFFFFF"/>
              <w:bottom w:val="single" w:sz="2" w:space="0" w:color="73777A"/>
              <w:right w:val="nil"/>
            </w:tcBorders>
            <w:shd w:val="clear" w:color="auto" w:fill="FFF0E7"/>
            <w:tcMar>
              <w:right w:w="57" w:type="dxa"/>
            </w:tcMar>
          </w:tcPr>
          <w:p w14:paraId="3917B709" w14:textId="77777777" w:rsidR="00FA4226" w:rsidRPr="00CA2CC1" w:rsidRDefault="00000000" w:rsidP="0043303B">
            <w:pPr>
              <w:pStyle w:val="TableParagraph"/>
              <w:rPr>
                <w:rFonts w:cs="Calibri"/>
                <w:sz w:val="18"/>
              </w:rPr>
            </w:pPr>
            <w:r w:rsidRPr="00CA2CC1">
              <w:rPr>
                <w:rFonts w:cs="Calibri"/>
                <w:color w:val="414042"/>
                <w:spacing w:val="-2"/>
                <w:sz w:val="18"/>
              </w:rPr>
              <w:t>9,849,369</w:t>
            </w:r>
          </w:p>
        </w:tc>
      </w:tr>
      <w:tr w:rsidR="00FA4226" w:rsidRPr="00CA2CC1" w14:paraId="7366842A" w14:textId="77777777" w:rsidTr="00223F33">
        <w:trPr>
          <w:trHeight w:val="278"/>
        </w:trPr>
        <w:tc>
          <w:tcPr>
            <w:tcW w:w="2127" w:type="dxa"/>
            <w:tcBorders>
              <w:top w:val="single" w:sz="2" w:space="0" w:color="73777A"/>
              <w:left w:val="nil"/>
              <w:bottom w:val="single" w:sz="6" w:space="0" w:color="73777A"/>
              <w:right w:val="nil"/>
            </w:tcBorders>
          </w:tcPr>
          <w:p w14:paraId="6A798ED9" w14:textId="77777777" w:rsidR="00FA4226" w:rsidRPr="00CA2CC1" w:rsidRDefault="00000000" w:rsidP="0043303B">
            <w:pPr>
              <w:pStyle w:val="TableParagraph"/>
              <w:jc w:val="left"/>
              <w:rPr>
                <w:rFonts w:cs="Calibri"/>
                <w:sz w:val="18"/>
              </w:rPr>
            </w:pPr>
            <w:r w:rsidRPr="00CA2CC1">
              <w:rPr>
                <w:rFonts w:cs="Calibri"/>
                <w:color w:val="414042"/>
                <w:sz w:val="18"/>
              </w:rPr>
              <w:t>Total</w:t>
            </w:r>
            <w:r w:rsidRPr="00CA2CC1">
              <w:rPr>
                <w:rFonts w:cs="Calibri"/>
                <w:color w:val="414042"/>
                <w:spacing w:val="2"/>
                <w:sz w:val="18"/>
              </w:rPr>
              <w:t xml:space="preserve"> </w:t>
            </w:r>
            <w:r w:rsidRPr="00CA2CC1">
              <w:rPr>
                <w:rFonts w:cs="Calibri"/>
                <w:color w:val="414042"/>
                <w:sz w:val="18"/>
              </w:rPr>
              <w:t>income</w:t>
            </w:r>
            <w:r w:rsidRPr="00CA2CC1">
              <w:rPr>
                <w:rFonts w:cs="Calibri"/>
                <w:color w:val="414042"/>
                <w:spacing w:val="2"/>
                <w:sz w:val="18"/>
              </w:rPr>
              <w:t xml:space="preserve"> </w:t>
            </w:r>
            <w:r w:rsidRPr="00CA2CC1">
              <w:rPr>
                <w:rFonts w:cs="Calibri"/>
                <w:color w:val="414042"/>
                <w:sz w:val="18"/>
              </w:rPr>
              <w:t>from</w:t>
            </w:r>
            <w:r w:rsidRPr="00CA2CC1">
              <w:rPr>
                <w:rFonts w:cs="Calibri"/>
                <w:color w:val="414042"/>
                <w:spacing w:val="3"/>
                <w:sz w:val="18"/>
              </w:rPr>
              <w:t xml:space="preserve"> </w:t>
            </w:r>
            <w:r w:rsidRPr="00CA2CC1">
              <w:rPr>
                <w:rFonts w:cs="Calibri"/>
                <w:color w:val="414042"/>
                <w:spacing w:val="-2"/>
                <w:sz w:val="18"/>
              </w:rPr>
              <w:t>transactions</w:t>
            </w:r>
          </w:p>
        </w:tc>
        <w:tc>
          <w:tcPr>
            <w:tcW w:w="1503" w:type="dxa"/>
            <w:tcBorders>
              <w:top w:val="single" w:sz="2" w:space="0" w:color="73777A"/>
              <w:left w:val="nil"/>
              <w:bottom w:val="single" w:sz="6" w:space="0" w:color="73777A"/>
              <w:right w:val="single" w:sz="8" w:space="0" w:color="FFFFFF"/>
            </w:tcBorders>
            <w:shd w:val="clear" w:color="auto" w:fill="FFF0E7"/>
            <w:tcMar>
              <w:right w:w="57" w:type="dxa"/>
            </w:tcMar>
          </w:tcPr>
          <w:p w14:paraId="546A1590" w14:textId="77777777" w:rsidR="00FA4226" w:rsidRPr="00CA2CC1" w:rsidRDefault="00000000" w:rsidP="0043303B">
            <w:pPr>
              <w:pStyle w:val="TableParagraph"/>
              <w:rPr>
                <w:rFonts w:cs="Calibri"/>
                <w:sz w:val="18"/>
              </w:rPr>
            </w:pPr>
            <w:r w:rsidRPr="00CA2CC1">
              <w:rPr>
                <w:rFonts w:cs="Calibri"/>
                <w:color w:val="414042"/>
                <w:spacing w:val="-2"/>
                <w:sz w:val="18"/>
              </w:rPr>
              <w:t>9,922,138</w:t>
            </w:r>
          </w:p>
        </w:tc>
        <w:tc>
          <w:tcPr>
            <w:tcW w:w="1503" w:type="dxa"/>
            <w:tcBorders>
              <w:top w:val="single" w:sz="2" w:space="0" w:color="73777A"/>
              <w:left w:val="single" w:sz="8" w:space="0" w:color="FFFFFF"/>
              <w:bottom w:val="single" w:sz="6" w:space="0" w:color="73777A"/>
              <w:right w:val="single" w:sz="8" w:space="0" w:color="FFFFFF"/>
            </w:tcBorders>
            <w:shd w:val="clear" w:color="auto" w:fill="EDEFF0"/>
            <w:tcMar>
              <w:right w:w="57" w:type="dxa"/>
            </w:tcMar>
          </w:tcPr>
          <w:p w14:paraId="04CA2363" w14:textId="77777777" w:rsidR="00FA4226" w:rsidRPr="00CA2CC1" w:rsidRDefault="00000000" w:rsidP="0043303B">
            <w:pPr>
              <w:pStyle w:val="TableParagraph"/>
              <w:rPr>
                <w:rFonts w:cs="Calibri"/>
                <w:sz w:val="18"/>
              </w:rPr>
            </w:pPr>
            <w:r w:rsidRPr="00CA2CC1">
              <w:rPr>
                <w:rFonts w:cs="Calibri"/>
                <w:color w:val="414042"/>
                <w:spacing w:val="-2"/>
                <w:sz w:val="18"/>
              </w:rPr>
              <w:t>9,849,369</w:t>
            </w:r>
          </w:p>
        </w:tc>
        <w:tc>
          <w:tcPr>
            <w:tcW w:w="1503" w:type="dxa"/>
            <w:tcBorders>
              <w:top w:val="single" w:sz="2" w:space="0" w:color="73777A"/>
              <w:left w:val="single" w:sz="8" w:space="0" w:color="FFFFFF"/>
              <w:bottom w:val="single" w:sz="6" w:space="0" w:color="73777A"/>
              <w:right w:val="single" w:sz="8" w:space="0" w:color="FFFFFF"/>
            </w:tcBorders>
            <w:shd w:val="clear" w:color="auto" w:fill="FFF0E7"/>
            <w:tcMar>
              <w:right w:w="57" w:type="dxa"/>
            </w:tcMar>
          </w:tcPr>
          <w:p w14:paraId="59BC39EC" w14:textId="77777777" w:rsidR="00FA4226" w:rsidRPr="00CA2CC1" w:rsidRDefault="00000000" w:rsidP="0043303B">
            <w:pPr>
              <w:pStyle w:val="TableParagraph"/>
              <w:rPr>
                <w:rFonts w:cs="Calibri"/>
                <w:sz w:val="18"/>
              </w:rPr>
            </w:pPr>
            <w:r w:rsidRPr="00CA2CC1">
              <w:rPr>
                <w:rFonts w:cs="Calibri"/>
                <w:color w:val="414042"/>
                <w:sz w:val="18"/>
              </w:rPr>
              <w:t>-</w:t>
            </w:r>
          </w:p>
        </w:tc>
        <w:tc>
          <w:tcPr>
            <w:tcW w:w="1503" w:type="dxa"/>
            <w:tcBorders>
              <w:top w:val="single" w:sz="2" w:space="0" w:color="73777A"/>
              <w:left w:val="single" w:sz="8" w:space="0" w:color="FFFFFF"/>
              <w:bottom w:val="single" w:sz="6" w:space="0" w:color="73777A"/>
              <w:right w:val="single" w:sz="8" w:space="0" w:color="FFFFFF"/>
            </w:tcBorders>
            <w:shd w:val="clear" w:color="auto" w:fill="EDEFF0"/>
            <w:tcMar>
              <w:right w:w="57" w:type="dxa"/>
            </w:tcMar>
          </w:tcPr>
          <w:p w14:paraId="2506EBFA" w14:textId="77777777" w:rsidR="00FA4226" w:rsidRPr="00CA2CC1" w:rsidRDefault="00000000" w:rsidP="0043303B">
            <w:pPr>
              <w:pStyle w:val="TableParagraph"/>
              <w:rPr>
                <w:rFonts w:cs="Calibri"/>
                <w:sz w:val="18"/>
              </w:rPr>
            </w:pPr>
            <w:r w:rsidRPr="00CA2CC1">
              <w:rPr>
                <w:rFonts w:cs="Calibri"/>
                <w:color w:val="414042"/>
                <w:sz w:val="18"/>
              </w:rPr>
              <w:t>-</w:t>
            </w:r>
          </w:p>
        </w:tc>
        <w:tc>
          <w:tcPr>
            <w:tcW w:w="1503" w:type="dxa"/>
            <w:tcBorders>
              <w:top w:val="single" w:sz="2" w:space="0" w:color="73777A"/>
              <w:left w:val="single" w:sz="8" w:space="0" w:color="FFFFFF"/>
              <w:bottom w:val="single" w:sz="6" w:space="0" w:color="73777A"/>
              <w:right w:val="nil"/>
            </w:tcBorders>
            <w:shd w:val="clear" w:color="auto" w:fill="FFF0E7"/>
            <w:tcMar>
              <w:right w:w="57" w:type="dxa"/>
            </w:tcMar>
          </w:tcPr>
          <w:p w14:paraId="1597961D" w14:textId="77777777" w:rsidR="00FA4226" w:rsidRPr="00CA2CC1" w:rsidRDefault="00000000" w:rsidP="0043303B">
            <w:pPr>
              <w:pStyle w:val="TableParagraph"/>
              <w:rPr>
                <w:rFonts w:cs="Calibri"/>
                <w:sz w:val="18"/>
              </w:rPr>
            </w:pPr>
            <w:r w:rsidRPr="00CA2CC1">
              <w:rPr>
                <w:rFonts w:cs="Calibri"/>
                <w:color w:val="414042"/>
                <w:spacing w:val="-2"/>
                <w:sz w:val="18"/>
              </w:rPr>
              <w:t>9,849,369</w:t>
            </w:r>
          </w:p>
        </w:tc>
      </w:tr>
      <w:tr w:rsidR="00FA4226" w:rsidRPr="00CA2CC1" w14:paraId="13A9BCA8" w14:textId="77777777" w:rsidTr="00223F33">
        <w:trPr>
          <w:trHeight w:val="278"/>
        </w:trPr>
        <w:tc>
          <w:tcPr>
            <w:tcW w:w="2127" w:type="dxa"/>
            <w:tcBorders>
              <w:top w:val="single" w:sz="6" w:space="0" w:color="73777A"/>
              <w:left w:val="nil"/>
              <w:bottom w:val="single" w:sz="2" w:space="0" w:color="73777A"/>
              <w:right w:val="nil"/>
            </w:tcBorders>
          </w:tcPr>
          <w:p w14:paraId="3EE930D9" w14:textId="77777777" w:rsidR="00FA4226" w:rsidRPr="00CA2CC1" w:rsidRDefault="00000000" w:rsidP="0043303B">
            <w:pPr>
              <w:pStyle w:val="TableParagraph"/>
              <w:jc w:val="left"/>
              <w:rPr>
                <w:rFonts w:cs="Calibri"/>
                <w:sz w:val="18"/>
              </w:rPr>
            </w:pPr>
            <w:r w:rsidRPr="00CA2CC1">
              <w:rPr>
                <w:rFonts w:cs="Calibri"/>
                <w:color w:val="F68C59"/>
                <w:sz w:val="18"/>
              </w:rPr>
              <w:t>Expenses</w:t>
            </w:r>
            <w:r w:rsidRPr="00CA2CC1">
              <w:rPr>
                <w:rFonts w:cs="Calibri"/>
                <w:color w:val="F68C59"/>
                <w:spacing w:val="11"/>
                <w:sz w:val="18"/>
              </w:rPr>
              <w:t xml:space="preserve"> </w:t>
            </w:r>
            <w:r w:rsidRPr="00CA2CC1">
              <w:rPr>
                <w:rFonts w:cs="Calibri"/>
                <w:color w:val="F68C59"/>
                <w:sz w:val="18"/>
              </w:rPr>
              <w:t>from</w:t>
            </w:r>
            <w:r w:rsidRPr="00CA2CC1">
              <w:rPr>
                <w:rFonts w:cs="Calibri"/>
                <w:color w:val="F68C59"/>
                <w:spacing w:val="11"/>
                <w:sz w:val="18"/>
              </w:rPr>
              <w:t xml:space="preserve"> </w:t>
            </w:r>
            <w:r w:rsidRPr="00CA2CC1">
              <w:rPr>
                <w:rFonts w:cs="Calibri"/>
                <w:color w:val="F68C59"/>
                <w:spacing w:val="-2"/>
                <w:sz w:val="18"/>
              </w:rPr>
              <w:t>transactions</w:t>
            </w:r>
          </w:p>
        </w:tc>
        <w:tc>
          <w:tcPr>
            <w:tcW w:w="1503" w:type="dxa"/>
            <w:tcBorders>
              <w:top w:val="single" w:sz="6" w:space="0" w:color="73777A"/>
              <w:left w:val="nil"/>
              <w:bottom w:val="single" w:sz="2" w:space="0" w:color="73777A"/>
              <w:right w:val="single" w:sz="8" w:space="0" w:color="FFFFFF"/>
            </w:tcBorders>
            <w:shd w:val="clear" w:color="auto" w:fill="FFF0E7"/>
            <w:tcMar>
              <w:right w:w="57" w:type="dxa"/>
            </w:tcMar>
          </w:tcPr>
          <w:p w14:paraId="1303DCC3" w14:textId="77777777" w:rsidR="00FA4226" w:rsidRPr="00CA2CC1" w:rsidRDefault="00FA4226" w:rsidP="0043303B">
            <w:pPr>
              <w:pStyle w:val="TableParagraph"/>
              <w:jc w:val="left"/>
              <w:rPr>
                <w:rFonts w:cs="Calibri"/>
                <w:sz w:val="16"/>
              </w:rPr>
            </w:pPr>
          </w:p>
        </w:tc>
        <w:tc>
          <w:tcPr>
            <w:tcW w:w="1503" w:type="dxa"/>
            <w:tcBorders>
              <w:top w:val="single" w:sz="6" w:space="0" w:color="73777A"/>
              <w:left w:val="single" w:sz="8" w:space="0" w:color="FFFFFF"/>
              <w:bottom w:val="single" w:sz="2" w:space="0" w:color="73777A"/>
              <w:right w:val="single" w:sz="8" w:space="0" w:color="FFFFFF"/>
            </w:tcBorders>
            <w:shd w:val="clear" w:color="auto" w:fill="EDEFF0"/>
            <w:tcMar>
              <w:right w:w="57" w:type="dxa"/>
            </w:tcMar>
          </w:tcPr>
          <w:p w14:paraId="1638D5D9" w14:textId="77777777" w:rsidR="00FA4226" w:rsidRPr="00CA2CC1" w:rsidRDefault="00FA4226" w:rsidP="0043303B">
            <w:pPr>
              <w:pStyle w:val="TableParagraph"/>
              <w:jc w:val="left"/>
              <w:rPr>
                <w:rFonts w:cs="Calibri"/>
                <w:sz w:val="16"/>
              </w:rPr>
            </w:pPr>
          </w:p>
        </w:tc>
        <w:tc>
          <w:tcPr>
            <w:tcW w:w="1503" w:type="dxa"/>
            <w:tcBorders>
              <w:top w:val="single" w:sz="6" w:space="0" w:color="73777A"/>
              <w:left w:val="single" w:sz="8" w:space="0" w:color="FFFFFF"/>
              <w:bottom w:val="single" w:sz="2" w:space="0" w:color="73777A"/>
              <w:right w:val="single" w:sz="8" w:space="0" w:color="FFFFFF"/>
            </w:tcBorders>
            <w:shd w:val="clear" w:color="auto" w:fill="FFF0E7"/>
            <w:tcMar>
              <w:right w:w="57" w:type="dxa"/>
            </w:tcMar>
          </w:tcPr>
          <w:p w14:paraId="1D70915E" w14:textId="77777777" w:rsidR="00FA4226" w:rsidRPr="00CA2CC1" w:rsidRDefault="00FA4226" w:rsidP="0043303B">
            <w:pPr>
              <w:pStyle w:val="TableParagraph"/>
              <w:jc w:val="left"/>
              <w:rPr>
                <w:rFonts w:cs="Calibri"/>
                <w:sz w:val="16"/>
              </w:rPr>
            </w:pPr>
          </w:p>
        </w:tc>
        <w:tc>
          <w:tcPr>
            <w:tcW w:w="1503" w:type="dxa"/>
            <w:tcBorders>
              <w:top w:val="single" w:sz="6" w:space="0" w:color="73777A"/>
              <w:left w:val="single" w:sz="8" w:space="0" w:color="FFFFFF"/>
              <w:bottom w:val="single" w:sz="2" w:space="0" w:color="73777A"/>
              <w:right w:val="single" w:sz="8" w:space="0" w:color="FFFFFF"/>
            </w:tcBorders>
            <w:shd w:val="clear" w:color="auto" w:fill="EDEFF0"/>
            <w:tcMar>
              <w:right w:w="57" w:type="dxa"/>
            </w:tcMar>
          </w:tcPr>
          <w:p w14:paraId="02858B15" w14:textId="77777777" w:rsidR="00FA4226" w:rsidRPr="00CA2CC1" w:rsidRDefault="00FA4226" w:rsidP="0043303B">
            <w:pPr>
              <w:pStyle w:val="TableParagraph"/>
              <w:jc w:val="left"/>
              <w:rPr>
                <w:rFonts w:cs="Calibri"/>
                <w:sz w:val="16"/>
              </w:rPr>
            </w:pPr>
          </w:p>
        </w:tc>
        <w:tc>
          <w:tcPr>
            <w:tcW w:w="1503" w:type="dxa"/>
            <w:tcBorders>
              <w:top w:val="single" w:sz="6" w:space="0" w:color="73777A"/>
              <w:left w:val="single" w:sz="8" w:space="0" w:color="FFFFFF"/>
              <w:bottom w:val="single" w:sz="2" w:space="0" w:color="73777A"/>
              <w:right w:val="nil"/>
            </w:tcBorders>
            <w:shd w:val="clear" w:color="auto" w:fill="FFF0E7"/>
            <w:tcMar>
              <w:right w:w="57" w:type="dxa"/>
            </w:tcMar>
          </w:tcPr>
          <w:p w14:paraId="5835667D" w14:textId="77777777" w:rsidR="00FA4226" w:rsidRPr="00CA2CC1" w:rsidRDefault="00FA4226" w:rsidP="0043303B">
            <w:pPr>
              <w:pStyle w:val="TableParagraph"/>
              <w:jc w:val="left"/>
              <w:rPr>
                <w:rFonts w:cs="Calibri"/>
                <w:sz w:val="16"/>
              </w:rPr>
            </w:pPr>
          </w:p>
        </w:tc>
      </w:tr>
      <w:tr w:rsidR="00FA4226" w:rsidRPr="00CA2CC1" w14:paraId="36809560" w14:textId="77777777" w:rsidTr="00223F33">
        <w:trPr>
          <w:trHeight w:val="283"/>
        </w:trPr>
        <w:tc>
          <w:tcPr>
            <w:tcW w:w="2127" w:type="dxa"/>
            <w:tcBorders>
              <w:top w:val="single" w:sz="2" w:space="0" w:color="73777A"/>
              <w:left w:val="nil"/>
              <w:bottom w:val="single" w:sz="2" w:space="0" w:color="73777A"/>
              <w:right w:val="nil"/>
            </w:tcBorders>
          </w:tcPr>
          <w:p w14:paraId="71B72B15" w14:textId="77777777" w:rsidR="00FA4226" w:rsidRPr="00CA2CC1" w:rsidRDefault="00000000" w:rsidP="0043303B">
            <w:pPr>
              <w:pStyle w:val="TableParagraph"/>
              <w:jc w:val="left"/>
              <w:rPr>
                <w:rFonts w:cs="Calibri"/>
                <w:sz w:val="18"/>
              </w:rPr>
            </w:pPr>
            <w:r w:rsidRPr="00CA2CC1">
              <w:rPr>
                <w:rFonts w:cs="Calibri"/>
                <w:color w:val="414042"/>
                <w:sz w:val="18"/>
              </w:rPr>
              <w:t>Employee</w:t>
            </w:r>
            <w:r w:rsidRPr="00CA2CC1">
              <w:rPr>
                <w:rFonts w:cs="Calibri"/>
                <w:color w:val="414042"/>
                <w:spacing w:val="5"/>
                <w:sz w:val="18"/>
              </w:rPr>
              <w:t xml:space="preserve"> </w:t>
            </w:r>
            <w:r w:rsidRPr="00CA2CC1">
              <w:rPr>
                <w:rFonts w:cs="Calibri"/>
                <w:color w:val="414042"/>
                <w:sz w:val="18"/>
              </w:rPr>
              <w:t>benefit</w:t>
            </w:r>
            <w:r w:rsidRPr="00CA2CC1">
              <w:rPr>
                <w:rFonts w:cs="Calibri"/>
                <w:color w:val="414042"/>
                <w:spacing w:val="5"/>
                <w:sz w:val="18"/>
              </w:rPr>
              <w:t xml:space="preserve"> </w:t>
            </w:r>
            <w:r w:rsidRPr="00CA2CC1">
              <w:rPr>
                <w:rFonts w:cs="Calibri"/>
                <w:color w:val="414042"/>
                <w:spacing w:val="-2"/>
                <w:sz w:val="18"/>
              </w:rPr>
              <w:t>expense</w:t>
            </w:r>
          </w:p>
        </w:tc>
        <w:tc>
          <w:tcPr>
            <w:tcW w:w="1503" w:type="dxa"/>
            <w:tcBorders>
              <w:top w:val="single" w:sz="2" w:space="0" w:color="73777A"/>
              <w:left w:val="nil"/>
              <w:bottom w:val="single" w:sz="2" w:space="0" w:color="73777A"/>
              <w:right w:val="single" w:sz="8" w:space="0" w:color="FFFFFF"/>
            </w:tcBorders>
            <w:shd w:val="clear" w:color="auto" w:fill="FFF0E7"/>
            <w:tcMar>
              <w:right w:w="57" w:type="dxa"/>
            </w:tcMar>
          </w:tcPr>
          <w:p w14:paraId="1AFCAB5C" w14:textId="77777777" w:rsidR="00FA4226" w:rsidRPr="00CA2CC1" w:rsidRDefault="00000000" w:rsidP="0043303B">
            <w:pPr>
              <w:pStyle w:val="TableParagraph"/>
              <w:rPr>
                <w:rFonts w:cs="Calibri"/>
                <w:sz w:val="18"/>
              </w:rPr>
            </w:pPr>
            <w:r w:rsidRPr="00CA2CC1">
              <w:rPr>
                <w:rFonts w:cs="Calibri"/>
                <w:color w:val="414042"/>
                <w:spacing w:val="-2"/>
                <w:sz w:val="18"/>
              </w:rPr>
              <w:t>(6,536,110)</w:t>
            </w:r>
          </w:p>
        </w:tc>
        <w:tc>
          <w:tcPr>
            <w:tcW w:w="1503" w:type="dxa"/>
            <w:tcBorders>
              <w:top w:val="single" w:sz="2" w:space="0" w:color="73777A"/>
              <w:left w:val="single" w:sz="8" w:space="0" w:color="FFFFFF"/>
              <w:bottom w:val="single" w:sz="2" w:space="0" w:color="73777A"/>
              <w:right w:val="single" w:sz="8" w:space="0" w:color="FFFFFF"/>
            </w:tcBorders>
            <w:shd w:val="clear" w:color="auto" w:fill="EDEFF0"/>
            <w:tcMar>
              <w:right w:w="57" w:type="dxa"/>
            </w:tcMar>
          </w:tcPr>
          <w:p w14:paraId="6A469D18" w14:textId="77777777" w:rsidR="00FA4226" w:rsidRPr="00CA2CC1" w:rsidRDefault="00000000" w:rsidP="0043303B">
            <w:pPr>
              <w:pStyle w:val="TableParagraph"/>
              <w:rPr>
                <w:rFonts w:cs="Calibri"/>
                <w:sz w:val="18"/>
              </w:rPr>
            </w:pPr>
            <w:r w:rsidRPr="00CA2CC1">
              <w:rPr>
                <w:rFonts w:cs="Calibri"/>
                <w:color w:val="414042"/>
                <w:spacing w:val="-2"/>
                <w:sz w:val="18"/>
              </w:rPr>
              <w:t>(5,998,293)</w:t>
            </w:r>
          </w:p>
        </w:tc>
        <w:tc>
          <w:tcPr>
            <w:tcW w:w="1503" w:type="dxa"/>
            <w:tcBorders>
              <w:top w:val="single" w:sz="2" w:space="0" w:color="73777A"/>
              <w:left w:val="single" w:sz="8" w:space="0" w:color="FFFFFF"/>
              <w:bottom w:val="single" w:sz="2" w:space="0" w:color="73777A"/>
              <w:right w:val="single" w:sz="8" w:space="0" w:color="FFFFFF"/>
            </w:tcBorders>
            <w:shd w:val="clear" w:color="auto" w:fill="FFF0E7"/>
            <w:tcMar>
              <w:right w:w="57" w:type="dxa"/>
            </w:tcMar>
          </w:tcPr>
          <w:p w14:paraId="32059629" w14:textId="77777777" w:rsidR="00FA4226" w:rsidRPr="00CA2CC1" w:rsidRDefault="00000000" w:rsidP="0043303B">
            <w:pPr>
              <w:pStyle w:val="TableParagraph"/>
              <w:rPr>
                <w:rFonts w:cs="Calibri"/>
                <w:sz w:val="18"/>
              </w:rPr>
            </w:pPr>
            <w:r w:rsidRPr="00CA2CC1">
              <w:rPr>
                <w:rFonts w:cs="Calibri"/>
                <w:color w:val="414042"/>
                <w:sz w:val="18"/>
              </w:rPr>
              <w:t>-</w:t>
            </w:r>
          </w:p>
        </w:tc>
        <w:tc>
          <w:tcPr>
            <w:tcW w:w="1503" w:type="dxa"/>
            <w:tcBorders>
              <w:top w:val="single" w:sz="2" w:space="0" w:color="73777A"/>
              <w:left w:val="single" w:sz="8" w:space="0" w:color="FFFFFF"/>
              <w:bottom w:val="single" w:sz="2" w:space="0" w:color="73777A"/>
              <w:right w:val="single" w:sz="8" w:space="0" w:color="FFFFFF"/>
            </w:tcBorders>
            <w:shd w:val="clear" w:color="auto" w:fill="EDEFF0"/>
            <w:tcMar>
              <w:right w:w="57" w:type="dxa"/>
            </w:tcMar>
          </w:tcPr>
          <w:p w14:paraId="1B5E60B7" w14:textId="77777777" w:rsidR="00FA4226" w:rsidRPr="00CA2CC1" w:rsidRDefault="00000000" w:rsidP="0043303B">
            <w:pPr>
              <w:pStyle w:val="TableParagraph"/>
              <w:rPr>
                <w:rFonts w:cs="Calibri"/>
                <w:sz w:val="18"/>
              </w:rPr>
            </w:pPr>
            <w:r w:rsidRPr="00CA2CC1">
              <w:rPr>
                <w:rFonts w:cs="Calibri"/>
                <w:color w:val="414042"/>
                <w:sz w:val="18"/>
              </w:rPr>
              <w:t>-</w:t>
            </w:r>
          </w:p>
        </w:tc>
        <w:tc>
          <w:tcPr>
            <w:tcW w:w="1503" w:type="dxa"/>
            <w:tcBorders>
              <w:top w:val="single" w:sz="2" w:space="0" w:color="73777A"/>
              <w:left w:val="single" w:sz="8" w:space="0" w:color="FFFFFF"/>
              <w:bottom w:val="single" w:sz="2" w:space="0" w:color="73777A"/>
              <w:right w:val="nil"/>
            </w:tcBorders>
            <w:shd w:val="clear" w:color="auto" w:fill="FFF0E7"/>
            <w:tcMar>
              <w:right w:w="57" w:type="dxa"/>
            </w:tcMar>
          </w:tcPr>
          <w:p w14:paraId="0EB0FA57" w14:textId="77777777" w:rsidR="00FA4226" w:rsidRPr="00CA2CC1" w:rsidRDefault="00000000" w:rsidP="0043303B">
            <w:pPr>
              <w:pStyle w:val="TableParagraph"/>
              <w:rPr>
                <w:rFonts w:cs="Calibri"/>
                <w:sz w:val="18"/>
              </w:rPr>
            </w:pPr>
            <w:r w:rsidRPr="00CA2CC1">
              <w:rPr>
                <w:rFonts w:cs="Calibri"/>
                <w:color w:val="414042"/>
                <w:spacing w:val="-2"/>
                <w:sz w:val="18"/>
              </w:rPr>
              <w:t>(5,998,293)</w:t>
            </w:r>
          </w:p>
        </w:tc>
      </w:tr>
      <w:tr w:rsidR="00FA4226" w:rsidRPr="00CA2CC1" w14:paraId="0DEBD9EA" w14:textId="77777777" w:rsidTr="00223F33">
        <w:trPr>
          <w:trHeight w:val="283"/>
        </w:trPr>
        <w:tc>
          <w:tcPr>
            <w:tcW w:w="2127" w:type="dxa"/>
            <w:tcBorders>
              <w:top w:val="single" w:sz="2" w:space="0" w:color="73777A"/>
              <w:left w:val="nil"/>
              <w:bottom w:val="single" w:sz="2" w:space="0" w:color="73777A"/>
              <w:right w:val="nil"/>
            </w:tcBorders>
          </w:tcPr>
          <w:p w14:paraId="7DEF5F6F" w14:textId="77777777" w:rsidR="00FA4226" w:rsidRPr="00CA2CC1" w:rsidRDefault="00000000" w:rsidP="0043303B">
            <w:pPr>
              <w:pStyle w:val="TableParagraph"/>
              <w:jc w:val="left"/>
              <w:rPr>
                <w:rFonts w:cs="Calibri"/>
                <w:sz w:val="18"/>
              </w:rPr>
            </w:pPr>
            <w:r w:rsidRPr="00CA2CC1">
              <w:rPr>
                <w:rFonts w:cs="Calibri"/>
                <w:color w:val="414042"/>
                <w:sz w:val="18"/>
              </w:rPr>
              <w:t>Depreciation</w:t>
            </w:r>
            <w:r w:rsidRPr="00CA2CC1">
              <w:rPr>
                <w:rFonts w:cs="Calibri"/>
                <w:color w:val="414042"/>
                <w:spacing w:val="4"/>
                <w:sz w:val="18"/>
              </w:rPr>
              <w:t xml:space="preserve"> </w:t>
            </w:r>
            <w:r w:rsidRPr="00CA2CC1">
              <w:rPr>
                <w:rFonts w:cs="Calibri"/>
                <w:color w:val="414042"/>
                <w:sz w:val="18"/>
              </w:rPr>
              <w:t>and</w:t>
            </w:r>
            <w:r w:rsidRPr="00CA2CC1">
              <w:rPr>
                <w:rFonts w:cs="Calibri"/>
                <w:color w:val="414042"/>
                <w:spacing w:val="7"/>
                <w:sz w:val="18"/>
              </w:rPr>
              <w:t xml:space="preserve"> </w:t>
            </w:r>
            <w:r w:rsidRPr="00CA2CC1">
              <w:rPr>
                <w:rFonts w:cs="Calibri"/>
                <w:color w:val="414042"/>
                <w:spacing w:val="-2"/>
                <w:sz w:val="18"/>
              </w:rPr>
              <w:t>amoritsation</w:t>
            </w:r>
          </w:p>
        </w:tc>
        <w:tc>
          <w:tcPr>
            <w:tcW w:w="1503" w:type="dxa"/>
            <w:tcBorders>
              <w:top w:val="single" w:sz="2" w:space="0" w:color="73777A"/>
              <w:left w:val="nil"/>
              <w:bottom w:val="single" w:sz="2" w:space="0" w:color="73777A"/>
              <w:right w:val="single" w:sz="8" w:space="0" w:color="FFFFFF"/>
            </w:tcBorders>
            <w:shd w:val="clear" w:color="auto" w:fill="FFF0E7"/>
            <w:tcMar>
              <w:right w:w="57" w:type="dxa"/>
            </w:tcMar>
          </w:tcPr>
          <w:p w14:paraId="632D242D" w14:textId="77777777" w:rsidR="00FA4226" w:rsidRPr="00CA2CC1" w:rsidRDefault="00000000" w:rsidP="0043303B">
            <w:pPr>
              <w:pStyle w:val="TableParagraph"/>
              <w:rPr>
                <w:rFonts w:cs="Calibri"/>
                <w:sz w:val="18"/>
              </w:rPr>
            </w:pPr>
            <w:r w:rsidRPr="00CA2CC1">
              <w:rPr>
                <w:rFonts w:cs="Calibri"/>
                <w:color w:val="414042"/>
                <w:spacing w:val="-2"/>
                <w:sz w:val="18"/>
              </w:rPr>
              <w:t>(407,892)</w:t>
            </w:r>
          </w:p>
        </w:tc>
        <w:tc>
          <w:tcPr>
            <w:tcW w:w="1503" w:type="dxa"/>
            <w:tcBorders>
              <w:top w:val="single" w:sz="2" w:space="0" w:color="73777A"/>
              <w:left w:val="single" w:sz="8" w:space="0" w:color="FFFFFF"/>
              <w:bottom w:val="single" w:sz="2" w:space="0" w:color="73777A"/>
              <w:right w:val="single" w:sz="8" w:space="0" w:color="FFFFFF"/>
            </w:tcBorders>
            <w:shd w:val="clear" w:color="auto" w:fill="EDEFF0"/>
            <w:tcMar>
              <w:right w:w="57" w:type="dxa"/>
            </w:tcMar>
          </w:tcPr>
          <w:p w14:paraId="55D1C01E" w14:textId="77777777" w:rsidR="00FA4226" w:rsidRPr="00CA2CC1" w:rsidRDefault="00000000" w:rsidP="0043303B">
            <w:pPr>
              <w:pStyle w:val="TableParagraph"/>
              <w:rPr>
                <w:rFonts w:cs="Calibri"/>
                <w:sz w:val="18"/>
              </w:rPr>
            </w:pPr>
            <w:r w:rsidRPr="00CA2CC1">
              <w:rPr>
                <w:rFonts w:cs="Calibri"/>
                <w:color w:val="414042"/>
                <w:spacing w:val="-2"/>
                <w:sz w:val="18"/>
              </w:rPr>
              <w:t>(404,396)</w:t>
            </w:r>
          </w:p>
        </w:tc>
        <w:tc>
          <w:tcPr>
            <w:tcW w:w="1503" w:type="dxa"/>
            <w:tcBorders>
              <w:top w:val="single" w:sz="2" w:space="0" w:color="73777A"/>
              <w:left w:val="single" w:sz="8" w:space="0" w:color="FFFFFF"/>
              <w:bottom w:val="single" w:sz="2" w:space="0" w:color="73777A"/>
              <w:right w:val="single" w:sz="8" w:space="0" w:color="FFFFFF"/>
            </w:tcBorders>
            <w:shd w:val="clear" w:color="auto" w:fill="FFF0E7"/>
            <w:tcMar>
              <w:right w:w="57" w:type="dxa"/>
            </w:tcMar>
          </w:tcPr>
          <w:p w14:paraId="6AC41CB5" w14:textId="77777777" w:rsidR="00FA4226" w:rsidRPr="00CA2CC1" w:rsidRDefault="00000000" w:rsidP="0043303B">
            <w:pPr>
              <w:pStyle w:val="TableParagraph"/>
              <w:rPr>
                <w:rFonts w:cs="Calibri"/>
                <w:sz w:val="18"/>
              </w:rPr>
            </w:pPr>
            <w:r w:rsidRPr="00CA2CC1">
              <w:rPr>
                <w:rFonts w:cs="Calibri"/>
                <w:color w:val="414042"/>
                <w:spacing w:val="-5"/>
                <w:sz w:val="18"/>
              </w:rPr>
              <w:t>27</w:t>
            </w:r>
          </w:p>
        </w:tc>
        <w:tc>
          <w:tcPr>
            <w:tcW w:w="1503" w:type="dxa"/>
            <w:tcBorders>
              <w:top w:val="single" w:sz="2" w:space="0" w:color="73777A"/>
              <w:left w:val="single" w:sz="8" w:space="0" w:color="FFFFFF"/>
              <w:bottom w:val="single" w:sz="2" w:space="0" w:color="73777A"/>
              <w:right w:val="single" w:sz="8" w:space="0" w:color="FFFFFF"/>
            </w:tcBorders>
            <w:shd w:val="clear" w:color="auto" w:fill="EDEFF0"/>
            <w:tcMar>
              <w:right w:w="57" w:type="dxa"/>
            </w:tcMar>
          </w:tcPr>
          <w:p w14:paraId="008E357B" w14:textId="77777777" w:rsidR="00FA4226" w:rsidRPr="00CA2CC1" w:rsidRDefault="00000000" w:rsidP="0043303B">
            <w:pPr>
              <w:pStyle w:val="TableParagraph"/>
              <w:rPr>
                <w:rFonts w:cs="Calibri"/>
                <w:sz w:val="18"/>
              </w:rPr>
            </w:pPr>
            <w:r w:rsidRPr="00CA2CC1">
              <w:rPr>
                <w:rFonts w:cs="Calibri"/>
                <w:color w:val="414042"/>
                <w:sz w:val="18"/>
              </w:rPr>
              <w:t>-</w:t>
            </w:r>
          </w:p>
        </w:tc>
        <w:tc>
          <w:tcPr>
            <w:tcW w:w="1503" w:type="dxa"/>
            <w:tcBorders>
              <w:top w:val="single" w:sz="2" w:space="0" w:color="73777A"/>
              <w:left w:val="single" w:sz="8" w:space="0" w:color="FFFFFF"/>
              <w:bottom w:val="single" w:sz="2" w:space="0" w:color="73777A"/>
              <w:right w:val="nil"/>
            </w:tcBorders>
            <w:shd w:val="clear" w:color="auto" w:fill="FFF0E7"/>
            <w:tcMar>
              <w:right w:w="57" w:type="dxa"/>
            </w:tcMar>
          </w:tcPr>
          <w:p w14:paraId="6AA66E8C" w14:textId="77777777" w:rsidR="00FA4226" w:rsidRPr="00CA2CC1" w:rsidRDefault="00000000" w:rsidP="0043303B">
            <w:pPr>
              <w:pStyle w:val="TableParagraph"/>
              <w:rPr>
                <w:rFonts w:cs="Calibri"/>
                <w:sz w:val="18"/>
              </w:rPr>
            </w:pPr>
            <w:r w:rsidRPr="00CA2CC1">
              <w:rPr>
                <w:rFonts w:cs="Calibri"/>
                <w:color w:val="414042"/>
                <w:spacing w:val="-2"/>
                <w:sz w:val="18"/>
              </w:rPr>
              <w:t>(404,423)</w:t>
            </w:r>
          </w:p>
        </w:tc>
      </w:tr>
      <w:tr w:rsidR="00FA4226" w:rsidRPr="00CA2CC1" w14:paraId="5B2A021C" w14:textId="77777777" w:rsidTr="00223F33">
        <w:trPr>
          <w:trHeight w:val="283"/>
        </w:trPr>
        <w:tc>
          <w:tcPr>
            <w:tcW w:w="2127" w:type="dxa"/>
            <w:tcBorders>
              <w:top w:val="single" w:sz="2" w:space="0" w:color="73777A"/>
              <w:left w:val="nil"/>
              <w:bottom w:val="single" w:sz="2" w:space="0" w:color="73777A"/>
              <w:right w:val="nil"/>
            </w:tcBorders>
          </w:tcPr>
          <w:p w14:paraId="2C1397E9" w14:textId="77777777" w:rsidR="00FA4226" w:rsidRPr="00CA2CC1" w:rsidRDefault="00000000" w:rsidP="0043303B">
            <w:pPr>
              <w:pStyle w:val="TableParagraph"/>
              <w:jc w:val="left"/>
              <w:rPr>
                <w:rFonts w:cs="Calibri"/>
                <w:sz w:val="18"/>
              </w:rPr>
            </w:pPr>
            <w:r w:rsidRPr="00CA2CC1">
              <w:rPr>
                <w:rFonts w:cs="Calibri"/>
                <w:color w:val="414042"/>
                <w:sz w:val="18"/>
              </w:rPr>
              <w:t>Interest</w:t>
            </w:r>
            <w:r w:rsidRPr="00CA2CC1">
              <w:rPr>
                <w:rFonts w:cs="Calibri"/>
                <w:color w:val="414042"/>
                <w:spacing w:val="4"/>
                <w:sz w:val="18"/>
              </w:rPr>
              <w:t xml:space="preserve"> </w:t>
            </w:r>
            <w:r w:rsidRPr="00CA2CC1">
              <w:rPr>
                <w:rFonts w:cs="Calibri"/>
                <w:color w:val="414042"/>
                <w:spacing w:val="-2"/>
                <w:sz w:val="18"/>
              </w:rPr>
              <w:t>expense</w:t>
            </w:r>
          </w:p>
        </w:tc>
        <w:tc>
          <w:tcPr>
            <w:tcW w:w="1503" w:type="dxa"/>
            <w:tcBorders>
              <w:top w:val="single" w:sz="2" w:space="0" w:color="73777A"/>
              <w:left w:val="nil"/>
              <w:bottom w:val="single" w:sz="2" w:space="0" w:color="73777A"/>
              <w:right w:val="single" w:sz="8" w:space="0" w:color="FFFFFF"/>
            </w:tcBorders>
            <w:shd w:val="clear" w:color="auto" w:fill="FFF0E7"/>
            <w:tcMar>
              <w:right w:w="57" w:type="dxa"/>
            </w:tcMar>
          </w:tcPr>
          <w:p w14:paraId="06B79E70" w14:textId="77777777" w:rsidR="00FA4226" w:rsidRPr="00CA2CC1" w:rsidRDefault="00000000" w:rsidP="0043303B">
            <w:pPr>
              <w:pStyle w:val="TableParagraph"/>
              <w:rPr>
                <w:rFonts w:cs="Calibri"/>
                <w:sz w:val="18"/>
              </w:rPr>
            </w:pPr>
            <w:r w:rsidRPr="00CA2CC1">
              <w:rPr>
                <w:rFonts w:cs="Calibri"/>
                <w:color w:val="414042"/>
                <w:spacing w:val="-2"/>
                <w:sz w:val="18"/>
              </w:rPr>
              <w:t>(57,129)</w:t>
            </w:r>
          </w:p>
        </w:tc>
        <w:tc>
          <w:tcPr>
            <w:tcW w:w="1503" w:type="dxa"/>
            <w:tcBorders>
              <w:top w:val="single" w:sz="2" w:space="0" w:color="73777A"/>
              <w:left w:val="single" w:sz="8" w:space="0" w:color="FFFFFF"/>
              <w:bottom w:val="single" w:sz="2" w:space="0" w:color="73777A"/>
              <w:right w:val="single" w:sz="8" w:space="0" w:color="FFFFFF"/>
            </w:tcBorders>
            <w:shd w:val="clear" w:color="auto" w:fill="EDEFF0"/>
            <w:tcMar>
              <w:right w:w="57" w:type="dxa"/>
            </w:tcMar>
          </w:tcPr>
          <w:p w14:paraId="4D45EB87" w14:textId="77777777" w:rsidR="00FA4226" w:rsidRPr="00CA2CC1" w:rsidRDefault="00000000" w:rsidP="0043303B">
            <w:pPr>
              <w:pStyle w:val="TableParagraph"/>
              <w:rPr>
                <w:rFonts w:cs="Calibri"/>
                <w:sz w:val="18"/>
              </w:rPr>
            </w:pPr>
            <w:r w:rsidRPr="00CA2CC1">
              <w:rPr>
                <w:rFonts w:cs="Calibri"/>
                <w:color w:val="414042"/>
                <w:spacing w:val="-2"/>
                <w:sz w:val="18"/>
              </w:rPr>
              <w:t>(65,486)</w:t>
            </w:r>
          </w:p>
        </w:tc>
        <w:tc>
          <w:tcPr>
            <w:tcW w:w="1503" w:type="dxa"/>
            <w:tcBorders>
              <w:top w:val="single" w:sz="2" w:space="0" w:color="73777A"/>
              <w:left w:val="single" w:sz="8" w:space="0" w:color="FFFFFF"/>
              <w:bottom w:val="single" w:sz="2" w:space="0" w:color="73777A"/>
              <w:right w:val="single" w:sz="8" w:space="0" w:color="FFFFFF"/>
            </w:tcBorders>
            <w:shd w:val="clear" w:color="auto" w:fill="FFF0E7"/>
            <w:tcMar>
              <w:right w:w="57" w:type="dxa"/>
            </w:tcMar>
          </w:tcPr>
          <w:p w14:paraId="0E6986C4" w14:textId="77777777" w:rsidR="00FA4226" w:rsidRPr="00CA2CC1" w:rsidRDefault="00000000" w:rsidP="0043303B">
            <w:pPr>
              <w:pStyle w:val="TableParagraph"/>
              <w:rPr>
                <w:rFonts w:cs="Calibri"/>
                <w:sz w:val="18"/>
              </w:rPr>
            </w:pPr>
            <w:r w:rsidRPr="00CA2CC1">
              <w:rPr>
                <w:rFonts w:cs="Calibri"/>
                <w:color w:val="414042"/>
                <w:spacing w:val="-2"/>
                <w:sz w:val="18"/>
              </w:rPr>
              <w:t>(374)</w:t>
            </w:r>
          </w:p>
        </w:tc>
        <w:tc>
          <w:tcPr>
            <w:tcW w:w="1503" w:type="dxa"/>
            <w:tcBorders>
              <w:top w:val="single" w:sz="2" w:space="0" w:color="73777A"/>
              <w:left w:val="single" w:sz="8" w:space="0" w:color="FFFFFF"/>
              <w:bottom w:val="single" w:sz="2" w:space="0" w:color="73777A"/>
              <w:right w:val="single" w:sz="8" w:space="0" w:color="FFFFFF"/>
            </w:tcBorders>
            <w:shd w:val="clear" w:color="auto" w:fill="EDEFF0"/>
            <w:tcMar>
              <w:right w:w="57" w:type="dxa"/>
            </w:tcMar>
          </w:tcPr>
          <w:p w14:paraId="0163D630" w14:textId="77777777" w:rsidR="00FA4226" w:rsidRPr="00CA2CC1" w:rsidRDefault="00000000" w:rsidP="0043303B">
            <w:pPr>
              <w:pStyle w:val="TableParagraph"/>
              <w:rPr>
                <w:rFonts w:cs="Calibri"/>
                <w:sz w:val="18"/>
              </w:rPr>
            </w:pPr>
            <w:r w:rsidRPr="00CA2CC1">
              <w:rPr>
                <w:rFonts w:cs="Calibri"/>
                <w:color w:val="414042"/>
                <w:spacing w:val="-2"/>
                <w:sz w:val="18"/>
              </w:rPr>
              <w:t>(4,577)</w:t>
            </w:r>
          </w:p>
        </w:tc>
        <w:tc>
          <w:tcPr>
            <w:tcW w:w="1503" w:type="dxa"/>
            <w:tcBorders>
              <w:top w:val="single" w:sz="2" w:space="0" w:color="73777A"/>
              <w:left w:val="single" w:sz="8" w:space="0" w:color="FFFFFF"/>
              <w:bottom w:val="single" w:sz="2" w:space="0" w:color="73777A"/>
              <w:right w:val="nil"/>
            </w:tcBorders>
            <w:shd w:val="clear" w:color="auto" w:fill="FFF0E7"/>
            <w:tcMar>
              <w:right w:w="57" w:type="dxa"/>
            </w:tcMar>
          </w:tcPr>
          <w:p w14:paraId="6E1C9FC4" w14:textId="77777777" w:rsidR="00FA4226" w:rsidRPr="00CA2CC1" w:rsidRDefault="00000000" w:rsidP="0043303B">
            <w:pPr>
              <w:pStyle w:val="TableParagraph"/>
              <w:rPr>
                <w:rFonts w:cs="Calibri"/>
                <w:sz w:val="18"/>
              </w:rPr>
            </w:pPr>
            <w:r w:rsidRPr="00CA2CC1">
              <w:rPr>
                <w:rFonts w:cs="Calibri"/>
                <w:color w:val="414042"/>
                <w:spacing w:val="-2"/>
                <w:sz w:val="18"/>
              </w:rPr>
              <w:t>(60,535)</w:t>
            </w:r>
          </w:p>
        </w:tc>
      </w:tr>
      <w:tr w:rsidR="00FA4226" w:rsidRPr="00CA2CC1" w14:paraId="5C1A8DDD" w14:textId="77777777" w:rsidTr="00223F33">
        <w:trPr>
          <w:trHeight w:val="283"/>
        </w:trPr>
        <w:tc>
          <w:tcPr>
            <w:tcW w:w="2127" w:type="dxa"/>
            <w:tcBorders>
              <w:top w:val="single" w:sz="2" w:space="0" w:color="73777A"/>
              <w:left w:val="nil"/>
              <w:bottom w:val="single" w:sz="2" w:space="0" w:color="73777A"/>
              <w:right w:val="nil"/>
            </w:tcBorders>
          </w:tcPr>
          <w:p w14:paraId="759FE4BB" w14:textId="77777777" w:rsidR="00FA4226" w:rsidRPr="00CA2CC1" w:rsidRDefault="00000000" w:rsidP="0043303B">
            <w:pPr>
              <w:pStyle w:val="TableParagraph"/>
              <w:jc w:val="left"/>
              <w:rPr>
                <w:rFonts w:cs="Calibri"/>
                <w:sz w:val="18"/>
              </w:rPr>
            </w:pPr>
            <w:r w:rsidRPr="00CA2CC1">
              <w:rPr>
                <w:rFonts w:cs="Calibri"/>
                <w:color w:val="414042"/>
                <w:sz w:val="18"/>
              </w:rPr>
              <w:t>Other</w:t>
            </w:r>
            <w:r w:rsidRPr="00CA2CC1">
              <w:rPr>
                <w:rFonts w:cs="Calibri"/>
                <w:color w:val="414042"/>
                <w:spacing w:val="5"/>
                <w:sz w:val="18"/>
              </w:rPr>
              <w:t xml:space="preserve"> </w:t>
            </w:r>
            <w:r w:rsidRPr="00CA2CC1">
              <w:rPr>
                <w:rFonts w:cs="Calibri"/>
                <w:color w:val="414042"/>
                <w:sz w:val="18"/>
              </w:rPr>
              <w:t>operating</w:t>
            </w:r>
            <w:r w:rsidRPr="00CA2CC1">
              <w:rPr>
                <w:rFonts w:cs="Calibri"/>
                <w:color w:val="414042"/>
                <w:spacing w:val="7"/>
                <w:sz w:val="18"/>
              </w:rPr>
              <w:t xml:space="preserve"> </w:t>
            </w:r>
            <w:r w:rsidRPr="00CA2CC1">
              <w:rPr>
                <w:rFonts w:cs="Calibri"/>
                <w:color w:val="414042"/>
                <w:spacing w:val="-2"/>
                <w:sz w:val="18"/>
              </w:rPr>
              <w:t>expenses</w:t>
            </w:r>
          </w:p>
        </w:tc>
        <w:tc>
          <w:tcPr>
            <w:tcW w:w="1503" w:type="dxa"/>
            <w:tcBorders>
              <w:top w:val="single" w:sz="2" w:space="0" w:color="73777A"/>
              <w:left w:val="nil"/>
              <w:bottom w:val="single" w:sz="2" w:space="0" w:color="73777A"/>
              <w:right w:val="single" w:sz="8" w:space="0" w:color="FFFFFF"/>
            </w:tcBorders>
            <w:shd w:val="clear" w:color="auto" w:fill="FFF0E7"/>
            <w:tcMar>
              <w:right w:w="57" w:type="dxa"/>
            </w:tcMar>
          </w:tcPr>
          <w:p w14:paraId="1216BDBE" w14:textId="77777777" w:rsidR="00FA4226" w:rsidRPr="00CA2CC1" w:rsidRDefault="00000000" w:rsidP="0043303B">
            <w:pPr>
              <w:pStyle w:val="TableParagraph"/>
              <w:rPr>
                <w:rFonts w:cs="Calibri"/>
                <w:sz w:val="18"/>
              </w:rPr>
            </w:pPr>
            <w:r w:rsidRPr="00CA2CC1">
              <w:rPr>
                <w:rFonts w:cs="Calibri"/>
                <w:color w:val="414042"/>
                <w:spacing w:val="-2"/>
                <w:sz w:val="18"/>
              </w:rPr>
              <w:t>(2,974,970)</w:t>
            </w:r>
          </w:p>
        </w:tc>
        <w:tc>
          <w:tcPr>
            <w:tcW w:w="1503" w:type="dxa"/>
            <w:tcBorders>
              <w:top w:val="single" w:sz="2" w:space="0" w:color="73777A"/>
              <w:left w:val="single" w:sz="8" w:space="0" w:color="FFFFFF"/>
              <w:bottom w:val="single" w:sz="2" w:space="0" w:color="73777A"/>
              <w:right w:val="single" w:sz="8" w:space="0" w:color="FFFFFF"/>
            </w:tcBorders>
            <w:shd w:val="clear" w:color="auto" w:fill="EDEFF0"/>
            <w:tcMar>
              <w:right w:w="57" w:type="dxa"/>
            </w:tcMar>
          </w:tcPr>
          <w:p w14:paraId="0D79D368" w14:textId="77777777" w:rsidR="00FA4226" w:rsidRPr="00CA2CC1" w:rsidRDefault="00000000" w:rsidP="0043303B">
            <w:pPr>
              <w:pStyle w:val="TableParagraph"/>
              <w:rPr>
                <w:rFonts w:cs="Calibri"/>
                <w:sz w:val="18"/>
              </w:rPr>
            </w:pPr>
            <w:r w:rsidRPr="00CA2CC1">
              <w:rPr>
                <w:rFonts w:cs="Calibri"/>
                <w:color w:val="414042"/>
                <w:spacing w:val="-2"/>
                <w:sz w:val="18"/>
              </w:rPr>
              <w:t>(2,842,947)</w:t>
            </w:r>
          </w:p>
        </w:tc>
        <w:tc>
          <w:tcPr>
            <w:tcW w:w="1503" w:type="dxa"/>
            <w:tcBorders>
              <w:top w:val="single" w:sz="2" w:space="0" w:color="73777A"/>
              <w:left w:val="single" w:sz="8" w:space="0" w:color="FFFFFF"/>
              <w:bottom w:val="single" w:sz="2" w:space="0" w:color="73777A"/>
              <w:right w:val="single" w:sz="8" w:space="0" w:color="FFFFFF"/>
            </w:tcBorders>
            <w:shd w:val="clear" w:color="auto" w:fill="FFF0E7"/>
            <w:tcMar>
              <w:right w:w="57" w:type="dxa"/>
            </w:tcMar>
          </w:tcPr>
          <w:p w14:paraId="15AFE4CC" w14:textId="77777777" w:rsidR="00FA4226" w:rsidRPr="00CA2CC1" w:rsidRDefault="00000000" w:rsidP="0043303B">
            <w:pPr>
              <w:pStyle w:val="TableParagraph"/>
              <w:rPr>
                <w:rFonts w:cs="Calibri"/>
                <w:sz w:val="18"/>
              </w:rPr>
            </w:pPr>
            <w:r w:rsidRPr="00CA2CC1">
              <w:rPr>
                <w:rFonts w:cs="Calibri"/>
                <w:color w:val="414042"/>
                <w:spacing w:val="-5"/>
                <w:sz w:val="18"/>
              </w:rPr>
              <w:t>41</w:t>
            </w:r>
          </w:p>
        </w:tc>
        <w:tc>
          <w:tcPr>
            <w:tcW w:w="1503" w:type="dxa"/>
            <w:tcBorders>
              <w:top w:val="single" w:sz="2" w:space="0" w:color="73777A"/>
              <w:left w:val="single" w:sz="8" w:space="0" w:color="FFFFFF"/>
              <w:bottom w:val="single" w:sz="2" w:space="0" w:color="73777A"/>
              <w:right w:val="single" w:sz="8" w:space="0" w:color="FFFFFF"/>
            </w:tcBorders>
            <w:shd w:val="clear" w:color="auto" w:fill="EDEFF0"/>
            <w:tcMar>
              <w:right w:w="57" w:type="dxa"/>
            </w:tcMar>
          </w:tcPr>
          <w:p w14:paraId="17E91970" w14:textId="77777777" w:rsidR="00FA4226" w:rsidRPr="00CA2CC1" w:rsidRDefault="00000000" w:rsidP="0043303B">
            <w:pPr>
              <w:pStyle w:val="TableParagraph"/>
              <w:rPr>
                <w:rFonts w:cs="Calibri"/>
                <w:sz w:val="18"/>
              </w:rPr>
            </w:pPr>
            <w:r w:rsidRPr="00CA2CC1">
              <w:rPr>
                <w:rFonts w:cs="Calibri"/>
                <w:color w:val="414042"/>
                <w:spacing w:val="-2"/>
                <w:sz w:val="18"/>
              </w:rPr>
              <w:t>4,577</w:t>
            </w:r>
          </w:p>
        </w:tc>
        <w:tc>
          <w:tcPr>
            <w:tcW w:w="1503" w:type="dxa"/>
            <w:tcBorders>
              <w:top w:val="single" w:sz="2" w:space="0" w:color="73777A"/>
              <w:left w:val="single" w:sz="8" w:space="0" w:color="FFFFFF"/>
              <w:bottom w:val="single" w:sz="2" w:space="0" w:color="73777A"/>
              <w:right w:val="nil"/>
            </w:tcBorders>
            <w:shd w:val="clear" w:color="auto" w:fill="FFF0E7"/>
            <w:tcMar>
              <w:right w:w="57" w:type="dxa"/>
            </w:tcMar>
          </w:tcPr>
          <w:p w14:paraId="6481A16C" w14:textId="77777777" w:rsidR="00FA4226" w:rsidRPr="00CA2CC1" w:rsidRDefault="00000000" w:rsidP="0043303B">
            <w:pPr>
              <w:pStyle w:val="TableParagraph"/>
              <w:rPr>
                <w:rFonts w:cs="Calibri"/>
                <w:sz w:val="18"/>
              </w:rPr>
            </w:pPr>
            <w:r w:rsidRPr="00CA2CC1">
              <w:rPr>
                <w:rFonts w:cs="Calibri"/>
                <w:color w:val="414042"/>
                <w:spacing w:val="-2"/>
                <w:sz w:val="18"/>
              </w:rPr>
              <w:t>(2,847,565)</w:t>
            </w:r>
          </w:p>
        </w:tc>
      </w:tr>
      <w:tr w:rsidR="00FA4226" w:rsidRPr="00CA2CC1" w14:paraId="1B932817" w14:textId="77777777" w:rsidTr="00223F33">
        <w:trPr>
          <w:trHeight w:val="278"/>
        </w:trPr>
        <w:tc>
          <w:tcPr>
            <w:tcW w:w="2127" w:type="dxa"/>
            <w:tcBorders>
              <w:top w:val="single" w:sz="2" w:space="0" w:color="73777A"/>
              <w:left w:val="nil"/>
              <w:bottom w:val="single" w:sz="6" w:space="0" w:color="73777A"/>
              <w:right w:val="nil"/>
            </w:tcBorders>
          </w:tcPr>
          <w:p w14:paraId="01C14B21" w14:textId="77777777" w:rsidR="00FA4226" w:rsidRPr="00CA2CC1" w:rsidRDefault="00000000" w:rsidP="0043303B">
            <w:pPr>
              <w:pStyle w:val="TableParagraph"/>
              <w:jc w:val="left"/>
              <w:rPr>
                <w:rFonts w:cs="Calibri"/>
                <w:sz w:val="18"/>
              </w:rPr>
            </w:pPr>
            <w:r w:rsidRPr="00CA2CC1">
              <w:rPr>
                <w:rFonts w:cs="Calibri"/>
                <w:color w:val="414042"/>
                <w:sz w:val="18"/>
              </w:rPr>
              <w:t>Total</w:t>
            </w:r>
            <w:r w:rsidRPr="00CA2CC1">
              <w:rPr>
                <w:rFonts w:cs="Calibri"/>
                <w:color w:val="414042"/>
                <w:spacing w:val="1"/>
                <w:sz w:val="18"/>
              </w:rPr>
              <w:t xml:space="preserve"> </w:t>
            </w:r>
            <w:r w:rsidRPr="00CA2CC1">
              <w:rPr>
                <w:rFonts w:cs="Calibri"/>
                <w:color w:val="414042"/>
                <w:sz w:val="18"/>
              </w:rPr>
              <w:t>expenses</w:t>
            </w:r>
            <w:r w:rsidRPr="00CA2CC1">
              <w:rPr>
                <w:rFonts w:cs="Calibri"/>
                <w:color w:val="414042"/>
                <w:spacing w:val="3"/>
                <w:sz w:val="18"/>
              </w:rPr>
              <w:t xml:space="preserve"> </w:t>
            </w:r>
            <w:r w:rsidRPr="00CA2CC1">
              <w:rPr>
                <w:rFonts w:cs="Calibri"/>
                <w:color w:val="414042"/>
                <w:sz w:val="18"/>
              </w:rPr>
              <w:t>from</w:t>
            </w:r>
            <w:r w:rsidRPr="00CA2CC1">
              <w:rPr>
                <w:rFonts w:cs="Calibri"/>
                <w:color w:val="414042"/>
                <w:spacing w:val="4"/>
                <w:sz w:val="18"/>
              </w:rPr>
              <w:t xml:space="preserve"> </w:t>
            </w:r>
            <w:r w:rsidRPr="00CA2CC1">
              <w:rPr>
                <w:rFonts w:cs="Calibri"/>
                <w:color w:val="414042"/>
                <w:spacing w:val="-2"/>
                <w:sz w:val="18"/>
              </w:rPr>
              <w:t>transactions</w:t>
            </w:r>
          </w:p>
        </w:tc>
        <w:tc>
          <w:tcPr>
            <w:tcW w:w="1503" w:type="dxa"/>
            <w:tcBorders>
              <w:top w:val="single" w:sz="2" w:space="0" w:color="73777A"/>
              <w:left w:val="nil"/>
              <w:bottom w:val="single" w:sz="6" w:space="0" w:color="73777A"/>
              <w:right w:val="single" w:sz="8" w:space="0" w:color="FFFFFF"/>
            </w:tcBorders>
            <w:shd w:val="clear" w:color="auto" w:fill="FFF0E7"/>
            <w:tcMar>
              <w:right w:w="57" w:type="dxa"/>
            </w:tcMar>
          </w:tcPr>
          <w:p w14:paraId="6F6BDD6B" w14:textId="77777777" w:rsidR="00FA4226" w:rsidRPr="00CA2CC1" w:rsidRDefault="00000000" w:rsidP="0043303B">
            <w:pPr>
              <w:pStyle w:val="TableParagraph"/>
              <w:rPr>
                <w:rFonts w:cs="Calibri"/>
                <w:sz w:val="18"/>
              </w:rPr>
            </w:pPr>
            <w:r w:rsidRPr="00CA2CC1">
              <w:rPr>
                <w:rFonts w:cs="Calibri"/>
                <w:color w:val="414042"/>
                <w:spacing w:val="-2"/>
                <w:sz w:val="18"/>
              </w:rPr>
              <w:t>(9,976,101)</w:t>
            </w:r>
          </w:p>
        </w:tc>
        <w:tc>
          <w:tcPr>
            <w:tcW w:w="1503" w:type="dxa"/>
            <w:tcBorders>
              <w:top w:val="single" w:sz="2" w:space="0" w:color="73777A"/>
              <w:left w:val="single" w:sz="8" w:space="0" w:color="FFFFFF"/>
              <w:bottom w:val="single" w:sz="6" w:space="0" w:color="73777A"/>
              <w:right w:val="single" w:sz="8" w:space="0" w:color="FFFFFF"/>
            </w:tcBorders>
            <w:shd w:val="clear" w:color="auto" w:fill="EDEFF0"/>
            <w:tcMar>
              <w:right w:w="57" w:type="dxa"/>
            </w:tcMar>
          </w:tcPr>
          <w:p w14:paraId="181A4710" w14:textId="77777777" w:rsidR="00FA4226" w:rsidRPr="00CA2CC1" w:rsidRDefault="00000000" w:rsidP="0043303B">
            <w:pPr>
              <w:pStyle w:val="TableParagraph"/>
              <w:rPr>
                <w:rFonts w:cs="Calibri"/>
                <w:sz w:val="18"/>
              </w:rPr>
            </w:pPr>
            <w:r w:rsidRPr="00CA2CC1">
              <w:rPr>
                <w:rFonts w:cs="Calibri"/>
                <w:color w:val="414042"/>
                <w:spacing w:val="-2"/>
                <w:sz w:val="18"/>
              </w:rPr>
              <w:t>(9,311,122)</w:t>
            </w:r>
          </w:p>
        </w:tc>
        <w:tc>
          <w:tcPr>
            <w:tcW w:w="1503" w:type="dxa"/>
            <w:tcBorders>
              <w:top w:val="single" w:sz="2" w:space="0" w:color="73777A"/>
              <w:left w:val="single" w:sz="8" w:space="0" w:color="FFFFFF"/>
              <w:bottom w:val="single" w:sz="6" w:space="0" w:color="73777A"/>
              <w:right w:val="single" w:sz="8" w:space="0" w:color="FFFFFF"/>
            </w:tcBorders>
            <w:shd w:val="clear" w:color="auto" w:fill="FFF0E7"/>
            <w:tcMar>
              <w:right w:w="57" w:type="dxa"/>
            </w:tcMar>
          </w:tcPr>
          <w:p w14:paraId="4324FE83" w14:textId="77777777" w:rsidR="00FA4226" w:rsidRPr="00CA2CC1" w:rsidRDefault="00000000" w:rsidP="0043303B">
            <w:pPr>
              <w:pStyle w:val="TableParagraph"/>
              <w:rPr>
                <w:rFonts w:cs="Calibri"/>
                <w:sz w:val="18"/>
              </w:rPr>
            </w:pPr>
            <w:r w:rsidRPr="00CA2CC1">
              <w:rPr>
                <w:rFonts w:cs="Calibri"/>
                <w:color w:val="414042"/>
                <w:spacing w:val="-2"/>
                <w:sz w:val="18"/>
              </w:rPr>
              <w:t>(306)</w:t>
            </w:r>
          </w:p>
        </w:tc>
        <w:tc>
          <w:tcPr>
            <w:tcW w:w="1503" w:type="dxa"/>
            <w:tcBorders>
              <w:top w:val="single" w:sz="2" w:space="0" w:color="73777A"/>
              <w:left w:val="single" w:sz="8" w:space="0" w:color="FFFFFF"/>
              <w:bottom w:val="single" w:sz="6" w:space="0" w:color="73777A"/>
              <w:right w:val="single" w:sz="8" w:space="0" w:color="FFFFFF"/>
            </w:tcBorders>
            <w:shd w:val="clear" w:color="auto" w:fill="EDEFF0"/>
            <w:tcMar>
              <w:right w:w="57" w:type="dxa"/>
            </w:tcMar>
          </w:tcPr>
          <w:p w14:paraId="7D44CF4A" w14:textId="77777777" w:rsidR="00FA4226" w:rsidRPr="00CA2CC1" w:rsidRDefault="00000000" w:rsidP="0043303B">
            <w:pPr>
              <w:pStyle w:val="TableParagraph"/>
              <w:rPr>
                <w:rFonts w:cs="Calibri"/>
                <w:sz w:val="18"/>
              </w:rPr>
            </w:pPr>
            <w:r w:rsidRPr="00CA2CC1">
              <w:rPr>
                <w:rFonts w:cs="Calibri"/>
                <w:color w:val="414042"/>
                <w:sz w:val="18"/>
              </w:rPr>
              <w:t>-</w:t>
            </w:r>
          </w:p>
        </w:tc>
        <w:tc>
          <w:tcPr>
            <w:tcW w:w="1503" w:type="dxa"/>
            <w:tcBorders>
              <w:top w:val="single" w:sz="2" w:space="0" w:color="73777A"/>
              <w:left w:val="single" w:sz="8" w:space="0" w:color="FFFFFF"/>
              <w:bottom w:val="single" w:sz="6" w:space="0" w:color="73777A"/>
              <w:right w:val="nil"/>
            </w:tcBorders>
            <w:shd w:val="clear" w:color="auto" w:fill="FFF0E7"/>
            <w:tcMar>
              <w:right w:w="57" w:type="dxa"/>
            </w:tcMar>
          </w:tcPr>
          <w:p w14:paraId="53D132B5" w14:textId="77777777" w:rsidR="00FA4226" w:rsidRPr="00CA2CC1" w:rsidRDefault="00000000" w:rsidP="0043303B">
            <w:pPr>
              <w:pStyle w:val="TableParagraph"/>
              <w:rPr>
                <w:rFonts w:cs="Calibri"/>
                <w:sz w:val="18"/>
              </w:rPr>
            </w:pPr>
            <w:r w:rsidRPr="00CA2CC1">
              <w:rPr>
                <w:rFonts w:cs="Calibri"/>
                <w:color w:val="414042"/>
                <w:spacing w:val="-2"/>
                <w:sz w:val="18"/>
              </w:rPr>
              <w:t>(9,310,816)</w:t>
            </w:r>
          </w:p>
        </w:tc>
      </w:tr>
      <w:tr w:rsidR="00FA4226" w:rsidRPr="00CA2CC1" w14:paraId="4A97AFD5" w14:textId="77777777" w:rsidTr="00223F33">
        <w:trPr>
          <w:trHeight w:val="273"/>
        </w:trPr>
        <w:tc>
          <w:tcPr>
            <w:tcW w:w="2127" w:type="dxa"/>
            <w:tcBorders>
              <w:top w:val="single" w:sz="6" w:space="0" w:color="73777A"/>
              <w:left w:val="nil"/>
              <w:bottom w:val="single" w:sz="6" w:space="0" w:color="73777A"/>
              <w:right w:val="nil"/>
            </w:tcBorders>
          </w:tcPr>
          <w:p w14:paraId="7775C821" w14:textId="77777777" w:rsidR="00FA4226" w:rsidRPr="00CA2CC1" w:rsidRDefault="00000000" w:rsidP="0043303B">
            <w:pPr>
              <w:pStyle w:val="TableParagraph"/>
              <w:jc w:val="left"/>
              <w:rPr>
                <w:rFonts w:cs="Calibri"/>
                <w:sz w:val="18"/>
              </w:rPr>
            </w:pPr>
            <w:r w:rsidRPr="00CA2CC1">
              <w:rPr>
                <w:rFonts w:cs="Calibri"/>
                <w:color w:val="414042"/>
                <w:sz w:val="18"/>
              </w:rPr>
              <w:t>Net</w:t>
            </w:r>
            <w:r w:rsidRPr="00CA2CC1">
              <w:rPr>
                <w:rFonts w:cs="Calibri"/>
                <w:color w:val="414042"/>
                <w:spacing w:val="3"/>
                <w:sz w:val="18"/>
              </w:rPr>
              <w:t xml:space="preserve"> </w:t>
            </w:r>
            <w:r w:rsidRPr="00CA2CC1">
              <w:rPr>
                <w:rFonts w:cs="Calibri"/>
                <w:color w:val="414042"/>
                <w:sz w:val="18"/>
              </w:rPr>
              <w:t>result</w:t>
            </w:r>
            <w:r w:rsidRPr="00CA2CC1">
              <w:rPr>
                <w:rFonts w:cs="Calibri"/>
                <w:color w:val="414042"/>
                <w:spacing w:val="6"/>
                <w:sz w:val="18"/>
              </w:rPr>
              <w:t xml:space="preserve"> </w:t>
            </w:r>
            <w:r w:rsidRPr="00CA2CC1">
              <w:rPr>
                <w:rFonts w:cs="Calibri"/>
                <w:color w:val="414042"/>
                <w:sz w:val="18"/>
              </w:rPr>
              <w:t>from</w:t>
            </w:r>
            <w:r w:rsidRPr="00CA2CC1">
              <w:rPr>
                <w:rFonts w:cs="Calibri"/>
                <w:color w:val="414042"/>
                <w:spacing w:val="6"/>
                <w:sz w:val="18"/>
              </w:rPr>
              <w:t xml:space="preserve"> </w:t>
            </w:r>
            <w:r w:rsidRPr="00CA2CC1">
              <w:rPr>
                <w:rFonts w:cs="Calibri"/>
                <w:color w:val="414042"/>
                <w:spacing w:val="-2"/>
                <w:sz w:val="18"/>
              </w:rPr>
              <w:t>transactions</w:t>
            </w:r>
          </w:p>
        </w:tc>
        <w:tc>
          <w:tcPr>
            <w:tcW w:w="1503" w:type="dxa"/>
            <w:tcBorders>
              <w:top w:val="single" w:sz="6" w:space="0" w:color="73777A"/>
              <w:left w:val="nil"/>
              <w:bottom w:val="single" w:sz="6" w:space="0" w:color="73777A"/>
              <w:right w:val="single" w:sz="8" w:space="0" w:color="FFFFFF"/>
            </w:tcBorders>
            <w:shd w:val="clear" w:color="auto" w:fill="FFF0E7"/>
            <w:tcMar>
              <w:right w:w="57" w:type="dxa"/>
            </w:tcMar>
          </w:tcPr>
          <w:p w14:paraId="7C8B88A7" w14:textId="77777777" w:rsidR="00FA4226" w:rsidRPr="00CA2CC1" w:rsidRDefault="00000000" w:rsidP="0043303B">
            <w:pPr>
              <w:pStyle w:val="TableParagraph"/>
              <w:rPr>
                <w:rFonts w:cs="Calibri"/>
                <w:sz w:val="18"/>
              </w:rPr>
            </w:pPr>
            <w:r w:rsidRPr="00CA2CC1">
              <w:rPr>
                <w:rFonts w:cs="Calibri"/>
                <w:color w:val="414042"/>
                <w:spacing w:val="-2"/>
                <w:sz w:val="18"/>
              </w:rPr>
              <w:t>(53,963)</w:t>
            </w:r>
          </w:p>
        </w:tc>
        <w:tc>
          <w:tcPr>
            <w:tcW w:w="1503" w:type="dxa"/>
            <w:tcBorders>
              <w:top w:val="single" w:sz="6" w:space="0" w:color="73777A"/>
              <w:left w:val="single" w:sz="8" w:space="0" w:color="FFFFFF"/>
              <w:bottom w:val="single" w:sz="6" w:space="0" w:color="73777A"/>
              <w:right w:val="single" w:sz="8" w:space="0" w:color="FFFFFF"/>
            </w:tcBorders>
            <w:shd w:val="clear" w:color="auto" w:fill="EDEFF0"/>
            <w:tcMar>
              <w:right w:w="57" w:type="dxa"/>
            </w:tcMar>
          </w:tcPr>
          <w:p w14:paraId="100679D0" w14:textId="77777777" w:rsidR="00FA4226" w:rsidRPr="00CA2CC1" w:rsidRDefault="00000000" w:rsidP="0043303B">
            <w:pPr>
              <w:pStyle w:val="TableParagraph"/>
              <w:rPr>
                <w:rFonts w:cs="Calibri"/>
                <w:sz w:val="18"/>
              </w:rPr>
            </w:pPr>
            <w:r w:rsidRPr="00CA2CC1">
              <w:rPr>
                <w:rFonts w:cs="Calibri"/>
                <w:color w:val="414042"/>
                <w:spacing w:val="-2"/>
                <w:sz w:val="18"/>
              </w:rPr>
              <w:t>538,247</w:t>
            </w:r>
          </w:p>
        </w:tc>
        <w:tc>
          <w:tcPr>
            <w:tcW w:w="1503" w:type="dxa"/>
            <w:tcBorders>
              <w:top w:val="single" w:sz="6" w:space="0" w:color="73777A"/>
              <w:left w:val="single" w:sz="8" w:space="0" w:color="FFFFFF"/>
              <w:bottom w:val="single" w:sz="6" w:space="0" w:color="73777A"/>
              <w:right w:val="single" w:sz="8" w:space="0" w:color="FFFFFF"/>
            </w:tcBorders>
            <w:shd w:val="clear" w:color="auto" w:fill="FFF0E7"/>
            <w:tcMar>
              <w:right w:w="57" w:type="dxa"/>
            </w:tcMar>
          </w:tcPr>
          <w:p w14:paraId="637BDFE0" w14:textId="77777777" w:rsidR="00FA4226" w:rsidRPr="00CA2CC1" w:rsidRDefault="00000000" w:rsidP="0043303B">
            <w:pPr>
              <w:pStyle w:val="TableParagraph"/>
              <w:rPr>
                <w:rFonts w:cs="Calibri"/>
                <w:sz w:val="18"/>
              </w:rPr>
            </w:pPr>
            <w:r w:rsidRPr="00CA2CC1">
              <w:rPr>
                <w:rFonts w:cs="Calibri"/>
                <w:color w:val="414042"/>
                <w:spacing w:val="-2"/>
                <w:sz w:val="18"/>
              </w:rPr>
              <w:t>(306)</w:t>
            </w:r>
          </w:p>
        </w:tc>
        <w:tc>
          <w:tcPr>
            <w:tcW w:w="1503" w:type="dxa"/>
            <w:tcBorders>
              <w:top w:val="single" w:sz="6" w:space="0" w:color="73777A"/>
              <w:left w:val="single" w:sz="8" w:space="0" w:color="FFFFFF"/>
              <w:bottom w:val="single" w:sz="6" w:space="0" w:color="73777A"/>
              <w:right w:val="single" w:sz="8" w:space="0" w:color="FFFFFF"/>
            </w:tcBorders>
            <w:shd w:val="clear" w:color="auto" w:fill="EDEFF0"/>
            <w:tcMar>
              <w:right w:w="57" w:type="dxa"/>
            </w:tcMar>
          </w:tcPr>
          <w:p w14:paraId="224880E0" w14:textId="77777777" w:rsidR="00FA4226" w:rsidRPr="00CA2CC1" w:rsidRDefault="00000000" w:rsidP="0043303B">
            <w:pPr>
              <w:pStyle w:val="TableParagraph"/>
              <w:rPr>
                <w:rFonts w:cs="Calibri"/>
                <w:sz w:val="18"/>
              </w:rPr>
            </w:pPr>
            <w:r w:rsidRPr="00CA2CC1">
              <w:rPr>
                <w:rFonts w:cs="Calibri"/>
                <w:color w:val="414042"/>
                <w:sz w:val="18"/>
              </w:rPr>
              <w:t>-</w:t>
            </w:r>
          </w:p>
        </w:tc>
        <w:tc>
          <w:tcPr>
            <w:tcW w:w="1503" w:type="dxa"/>
            <w:tcBorders>
              <w:top w:val="single" w:sz="6" w:space="0" w:color="73777A"/>
              <w:left w:val="single" w:sz="8" w:space="0" w:color="FFFFFF"/>
              <w:bottom w:val="single" w:sz="6" w:space="0" w:color="73777A"/>
              <w:right w:val="nil"/>
            </w:tcBorders>
            <w:shd w:val="clear" w:color="auto" w:fill="FFF0E7"/>
            <w:tcMar>
              <w:right w:w="57" w:type="dxa"/>
            </w:tcMar>
          </w:tcPr>
          <w:p w14:paraId="5284C573" w14:textId="77777777" w:rsidR="00FA4226" w:rsidRPr="00CA2CC1" w:rsidRDefault="00000000" w:rsidP="0043303B">
            <w:pPr>
              <w:pStyle w:val="TableParagraph"/>
              <w:rPr>
                <w:rFonts w:cs="Calibri"/>
                <w:sz w:val="18"/>
              </w:rPr>
            </w:pPr>
            <w:r w:rsidRPr="00CA2CC1">
              <w:rPr>
                <w:rFonts w:cs="Calibri"/>
                <w:color w:val="414042"/>
                <w:spacing w:val="-2"/>
                <w:sz w:val="18"/>
              </w:rPr>
              <w:t>538,553</w:t>
            </w:r>
          </w:p>
        </w:tc>
      </w:tr>
      <w:tr w:rsidR="00FA4226" w:rsidRPr="00CA2CC1" w14:paraId="7253AFE8" w14:textId="77777777" w:rsidTr="00223F33">
        <w:trPr>
          <w:trHeight w:val="493"/>
        </w:trPr>
        <w:tc>
          <w:tcPr>
            <w:tcW w:w="2127" w:type="dxa"/>
            <w:tcBorders>
              <w:top w:val="single" w:sz="6" w:space="0" w:color="73777A"/>
              <w:left w:val="nil"/>
              <w:bottom w:val="single" w:sz="6" w:space="0" w:color="73777A"/>
              <w:right w:val="nil"/>
            </w:tcBorders>
          </w:tcPr>
          <w:p w14:paraId="38415D2A" w14:textId="77777777" w:rsidR="00FA4226" w:rsidRPr="00CA2CC1" w:rsidRDefault="00000000" w:rsidP="0043303B">
            <w:pPr>
              <w:pStyle w:val="TableParagraph"/>
              <w:spacing w:before="16"/>
              <w:jc w:val="left"/>
              <w:rPr>
                <w:rFonts w:cs="Calibri"/>
                <w:sz w:val="18"/>
              </w:rPr>
            </w:pPr>
            <w:r w:rsidRPr="00CA2CC1">
              <w:rPr>
                <w:rFonts w:cs="Calibri"/>
                <w:color w:val="414042"/>
                <w:sz w:val="18"/>
              </w:rPr>
              <w:t>Other economic flows included in net result</w:t>
            </w:r>
          </w:p>
        </w:tc>
        <w:tc>
          <w:tcPr>
            <w:tcW w:w="1503" w:type="dxa"/>
            <w:tcBorders>
              <w:top w:val="single" w:sz="6" w:space="0" w:color="73777A"/>
              <w:left w:val="nil"/>
              <w:bottom w:val="single" w:sz="6" w:space="0" w:color="73777A"/>
              <w:right w:val="single" w:sz="8" w:space="0" w:color="FFFFFF"/>
            </w:tcBorders>
            <w:shd w:val="clear" w:color="auto" w:fill="FFF0E7"/>
            <w:tcMar>
              <w:right w:w="57" w:type="dxa"/>
            </w:tcMar>
          </w:tcPr>
          <w:p w14:paraId="3E9FE57B" w14:textId="77777777" w:rsidR="00FA4226" w:rsidRPr="00CA2CC1" w:rsidRDefault="00FA4226" w:rsidP="0043303B">
            <w:pPr>
              <w:pStyle w:val="TableParagraph"/>
              <w:jc w:val="left"/>
              <w:rPr>
                <w:rFonts w:cs="Calibri"/>
                <w:sz w:val="16"/>
              </w:rPr>
            </w:pPr>
          </w:p>
        </w:tc>
        <w:tc>
          <w:tcPr>
            <w:tcW w:w="1503" w:type="dxa"/>
            <w:tcBorders>
              <w:top w:val="single" w:sz="6" w:space="0" w:color="73777A"/>
              <w:left w:val="single" w:sz="8" w:space="0" w:color="FFFFFF"/>
              <w:bottom w:val="single" w:sz="6" w:space="0" w:color="73777A"/>
              <w:right w:val="single" w:sz="8" w:space="0" w:color="FFFFFF"/>
            </w:tcBorders>
            <w:shd w:val="clear" w:color="auto" w:fill="EDEFF0"/>
            <w:tcMar>
              <w:right w:w="57" w:type="dxa"/>
            </w:tcMar>
          </w:tcPr>
          <w:p w14:paraId="173375A1" w14:textId="77777777" w:rsidR="00FA4226" w:rsidRPr="00CA2CC1" w:rsidRDefault="00FA4226" w:rsidP="0043303B">
            <w:pPr>
              <w:pStyle w:val="TableParagraph"/>
              <w:jc w:val="left"/>
              <w:rPr>
                <w:rFonts w:cs="Calibri"/>
                <w:sz w:val="16"/>
              </w:rPr>
            </w:pPr>
          </w:p>
        </w:tc>
        <w:tc>
          <w:tcPr>
            <w:tcW w:w="1503" w:type="dxa"/>
            <w:tcBorders>
              <w:top w:val="single" w:sz="6" w:space="0" w:color="73777A"/>
              <w:left w:val="single" w:sz="8" w:space="0" w:color="FFFFFF"/>
              <w:bottom w:val="single" w:sz="6" w:space="0" w:color="73777A"/>
              <w:right w:val="single" w:sz="8" w:space="0" w:color="FFFFFF"/>
            </w:tcBorders>
            <w:shd w:val="clear" w:color="auto" w:fill="FFF0E7"/>
            <w:tcMar>
              <w:right w:w="57" w:type="dxa"/>
            </w:tcMar>
          </w:tcPr>
          <w:p w14:paraId="2C346214" w14:textId="77777777" w:rsidR="00FA4226" w:rsidRPr="00CA2CC1" w:rsidRDefault="00FA4226" w:rsidP="0043303B">
            <w:pPr>
              <w:pStyle w:val="TableParagraph"/>
              <w:jc w:val="left"/>
              <w:rPr>
                <w:rFonts w:cs="Calibri"/>
                <w:sz w:val="16"/>
              </w:rPr>
            </w:pPr>
          </w:p>
        </w:tc>
        <w:tc>
          <w:tcPr>
            <w:tcW w:w="1503" w:type="dxa"/>
            <w:tcBorders>
              <w:top w:val="single" w:sz="6" w:space="0" w:color="73777A"/>
              <w:left w:val="single" w:sz="8" w:space="0" w:color="FFFFFF"/>
              <w:bottom w:val="single" w:sz="6" w:space="0" w:color="73777A"/>
              <w:right w:val="single" w:sz="8" w:space="0" w:color="FFFFFF"/>
            </w:tcBorders>
            <w:shd w:val="clear" w:color="auto" w:fill="EDEFF0"/>
            <w:tcMar>
              <w:right w:w="57" w:type="dxa"/>
            </w:tcMar>
          </w:tcPr>
          <w:p w14:paraId="70A362C5" w14:textId="77777777" w:rsidR="00FA4226" w:rsidRPr="00CA2CC1" w:rsidRDefault="00FA4226" w:rsidP="0043303B">
            <w:pPr>
              <w:pStyle w:val="TableParagraph"/>
              <w:jc w:val="left"/>
              <w:rPr>
                <w:rFonts w:cs="Calibri"/>
                <w:sz w:val="16"/>
              </w:rPr>
            </w:pPr>
          </w:p>
        </w:tc>
        <w:tc>
          <w:tcPr>
            <w:tcW w:w="1503" w:type="dxa"/>
            <w:tcBorders>
              <w:top w:val="single" w:sz="6" w:space="0" w:color="73777A"/>
              <w:left w:val="single" w:sz="8" w:space="0" w:color="FFFFFF"/>
              <w:bottom w:val="single" w:sz="6" w:space="0" w:color="73777A"/>
              <w:right w:val="nil"/>
            </w:tcBorders>
            <w:shd w:val="clear" w:color="auto" w:fill="FFF0E7"/>
            <w:tcMar>
              <w:right w:w="57" w:type="dxa"/>
            </w:tcMar>
          </w:tcPr>
          <w:p w14:paraId="471100AC" w14:textId="77777777" w:rsidR="00FA4226" w:rsidRPr="00CA2CC1" w:rsidRDefault="00FA4226" w:rsidP="0043303B">
            <w:pPr>
              <w:pStyle w:val="TableParagraph"/>
              <w:jc w:val="left"/>
              <w:rPr>
                <w:rFonts w:cs="Calibri"/>
                <w:sz w:val="16"/>
              </w:rPr>
            </w:pPr>
          </w:p>
        </w:tc>
      </w:tr>
      <w:tr w:rsidR="00FA4226" w:rsidRPr="00CA2CC1" w14:paraId="7A82714B" w14:textId="77777777" w:rsidTr="00223F33">
        <w:trPr>
          <w:trHeight w:val="498"/>
        </w:trPr>
        <w:tc>
          <w:tcPr>
            <w:tcW w:w="2127" w:type="dxa"/>
            <w:tcBorders>
              <w:top w:val="single" w:sz="6" w:space="0" w:color="73777A"/>
              <w:left w:val="nil"/>
              <w:bottom w:val="single" w:sz="2" w:space="0" w:color="73777A"/>
              <w:right w:val="nil"/>
            </w:tcBorders>
          </w:tcPr>
          <w:p w14:paraId="0F9046ED" w14:textId="77777777" w:rsidR="00FA4226" w:rsidRPr="00CA2CC1" w:rsidRDefault="00000000" w:rsidP="0043303B">
            <w:pPr>
              <w:pStyle w:val="TableParagraph"/>
              <w:spacing w:before="14"/>
              <w:jc w:val="left"/>
              <w:rPr>
                <w:rFonts w:cs="Calibri"/>
                <w:sz w:val="18"/>
              </w:rPr>
            </w:pPr>
            <w:r w:rsidRPr="00CA2CC1">
              <w:rPr>
                <w:rFonts w:cs="Calibri"/>
                <w:color w:val="414042"/>
                <w:sz w:val="18"/>
              </w:rPr>
              <w:t>Net</w:t>
            </w:r>
            <w:r w:rsidRPr="00CA2CC1">
              <w:rPr>
                <w:rFonts w:cs="Calibri"/>
                <w:color w:val="414042"/>
                <w:spacing w:val="-5"/>
                <w:sz w:val="18"/>
              </w:rPr>
              <w:t xml:space="preserve"> </w:t>
            </w:r>
            <w:r w:rsidRPr="00CA2CC1">
              <w:rPr>
                <w:rFonts w:cs="Calibri"/>
                <w:color w:val="414042"/>
                <w:sz w:val="18"/>
              </w:rPr>
              <w:t>gain/(loss)</w:t>
            </w:r>
            <w:r w:rsidRPr="00CA2CC1">
              <w:rPr>
                <w:rFonts w:cs="Calibri"/>
                <w:color w:val="414042"/>
                <w:spacing w:val="-5"/>
                <w:sz w:val="18"/>
              </w:rPr>
              <w:t xml:space="preserve"> </w:t>
            </w:r>
            <w:r w:rsidRPr="00CA2CC1">
              <w:rPr>
                <w:rFonts w:cs="Calibri"/>
                <w:color w:val="414042"/>
                <w:sz w:val="18"/>
              </w:rPr>
              <w:t>from</w:t>
            </w:r>
            <w:r w:rsidRPr="00CA2CC1">
              <w:rPr>
                <w:rFonts w:cs="Calibri"/>
                <w:color w:val="414042"/>
                <w:spacing w:val="-5"/>
                <w:sz w:val="18"/>
              </w:rPr>
              <w:t xml:space="preserve"> </w:t>
            </w:r>
            <w:r w:rsidRPr="00CA2CC1">
              <w:rPr>
                <w:rFonts w:cs="Calibri"/>
                <w:color w:val="414042"/>
                <w:sz w:val="18"/>
              </w:rPr>
              <w:t>revaluation of leave liabilities</w:t>
            </w:r>
          </w:p>
        </w:tc>
        <w:tc>
          <w:tcPr>
            <w:tcW w:w="1503" w:type="dxa"/>
            <w:tcBorders>
              <w:top w:val="single" w:sz="6" w:space="0" w:color="73777A"/>
              <w:left w:val="nil"/>
              <w:bottom w:val="single" w:sz="2" w:space="0" w:color="73777A"/>
              <w:right w:val="single" w:sz="8" w:space="0" w:color="FFFFFF"/>
            </w:tcBorders>
            <w:shd w:val="clear" w:color="auto" w:fill="FFF0E7"/>
            <w:tcMar>
              <w:right w:w="57" w:type="dxa"/>
            </w:tcMar>
          </w:tcPr>
          <w:p w14:paraId="2CFDBE4D" w14:textId="77777777" w:rsidR="00FA4226" w:rsidRPr="00CA2CC1" w:rsidRDefault="00000000" w:rsidP="0043303B">
            <w:pPr>
              <w:pStyle w:val="TableParagraph"/>
              <w:rPr>
                <w:rFonts w:cs="Calibri"/>
                <w:sz w:val="18"/>
              </w:rPr>
            </w:pPr>
            <w:r w:rsidRPr="00CA2CC1">
              <w:rPr>
                <w:rFonts w:cs="Calibri"/>
                <w:color w:val="414042"/>
                <w:spacing w:val="-2"/>
                <w:sz w:val="18"/>
              </w:rPr>
              <w:t>(7,801)</w:t>
            </w:r>
          </w:p>
        </w:tc>
        <w:tc>
          <w:tcPr>
            <w:tcW w:w="1503" w:type="dxa"/>
            <w:tcBorders>
              <w:top w:val="single" w:sz="6" w:space="0" w:color="73777A"/>
              <w:left w:val="single" w:sz="8" w:space="0" w:color="FFFFFF"/>
              <w:bottom w:val="single" w:sz="2" w:space="0" w:color="73777A"/>
              <w:right w:val="single" w:sz="8" w:space="0" w:color="FFFFFF"/>
            </w:tcBorders>
            <w:shd w:val="clear" w:color="auto" w:fill="EDEFF0"/>
            <w:tcMar>
              <w:right w:w="57" w:type="dxa"/>
            </w:tcMar>
          </w:tcPr>
          <w:p w14:paraId="1D7A5F66" w14:textId="77777777" w:rsidR="00FA4226" w:rsidRPr="00CA2CC1" w:rsidRDefault="00000000" w:rsidP="0043303B">
            <w:pPr>
              <w:pStyle w:val="TableParagraph"/>
              <w:rPr>
                <w:rFonts w:cs="Calibri"/>
                <w:sz w:val="18"/>
              </w:rPr>
            </w:pPr>
            <w:r w:rsidRPr="00CA2CC1">
              <w:rPr>
                <w:rFonts w:cs="Calibri"/>
                <w:color w:val="414042"/>
                <w:spacing w:val="-2"/>
                <w:sz w:val="18"/>
              </w:rPr>
              <w:t>53,806</w:t>
            </w:r>
          </w:p>
        </w:tc>
        <w:tc>
          <w:tcPr>
            <w:tcW w:w="1503" w:type="dxa"/>
            <w:tcBorders>
              <w:top w:val="single" w:sz="6" w:space="0" w:color="73777A"/>
              <w:left w:val="single" w:sz="8" w:space="0" w:color="FFFFFF"/>
              <w:bottom w:val="single" w:sz="2" w:space="0" w:color="73777A"/>
              <w:right w:val="single" w:sz="8" w:space="0" w:color="FFFFFF"/>
            </w:tcBorders>
            <w:shd w:val="clear" w:color="auto" w:fill="FFF0E7"/>
            <w:tcMar>
              <w:right w:w="57" w:type="dxa"/>
            </w:tcMar>
          </w:tcPr>
          <w:p w14:paraId="7AAA9435" w14:textId="77777777" w:rsidR="00FA4226" w:rsidRPr="00CA2CC1" w:rsidRDefault="00000000" w:rsidP="0043303B">
            <w:pPr>
              <w:pStyle w:val="TableParagraph"/>
              <w:rPr>
                <w:rFonts w:cs="Calibri"/>
                <w:sz w:val="18"/>
              </w:rPr>
            </w:pPr>
            <w:r w:rsidRPr="00CA2CC1">
              <w:rPr>
                <w:rFonts w:cs="Calibri"/>
                <w:color w:val="414042"/>
                <w:sz w:val="18"/>
              </w:rPr>
              <w:t>-</w:t>
            </w:r>
          </w:p>
        </w:tc>
        <w:tc>
          <w:tcPr>
            <w:tcW w:w="1503" w:type="dxa"/>
            <w:tcBorders>
              <w:top w:val="single" w:sz="6" w:space="0" w:color="73777A"/>
              <w:left w:val="single" w:sz="8" w:space="0" w:color="FFFFFF"/>
              <w:bottom w:val="single" w:sz="2" w:space="0" w:color="73777A"/>
              <w:right w:val="single" w:sz="8" w:space="0" w:color="FFFFFF"/>
            </w:tcBorders>
            <w:shd w:val="clear" w:color="auto" w:fill="EDEFF0"/>
            <w:tcMar>
              <w:right w:w="57" w:type="dxa"/>
            </w:tcMar>
          </w:tcPr>
          <w:p w14:paraId="7D04B261" w14:textId="77777777" w:rsidR="00FA4226" w:rsidRPr="00CA2CC1" w:rsidRDefault="00000000" w:rsidP="0043303B">
            <w:pPr>
              <w:pStyle w:val="TableParagraph"/>
              <w:rPr>
                <w:rFonts w:cs="Calibri"/>
                <w:sz w:val="18"/>
              </w:rPr>
            </w:pPr>
            <w:r w:rsidRPr="00CA2CC1">
              <w:rPr>
                <w:rFonts w:cs="Calibri"/>
                <w:color w:val="414042"/>
                <w:sz w:val="18"/>
              </w:rPr>
              <w:t>-</w:t>
            </w:r>
          </w:p>
        </w:tc>
        <w:tc>
          <w:tcPr>
            <w:tcW w:w="1503" w:type="dxa"/>
            <w:tcBorders>
              <w:top w:val="single" w:sz="6" w:space="0" w:color="73777A"/>
              <w:left w:val="single" w:sz="8" w:space="0" w:color="FFFFFF"/>
              <w:bottom w:val="single" w:sz="2" w:space="0" w:color="73777A"/>
              <w:right w:val="nil"/>
            </w:tcBorders>
            <w:shd w:val="clear" w:color="auto" w:fill="FFF0E7"/>
            <w:tcMar>
              <w:right w:w="57" w:type="dxa"/>
            </w:tcMar>
          </w:tcPr>
          <w:p w14:paraId="383C407B" w14:textId="77777777" w:rsidR="00FA4226" w:rsidRPr="00CA2CC1" w:rsidRDefault="00000000" w:rsidP="0043303B">
            <w:pPr>
              <w:pStyle w:val="TableParagraph"/>
              <w:rPr>
                <w:rFonts w:cs="Calibri"/>
                <w:sz w:val="18"/>
              </w:rPr>
            </w:pPr>
            <w:r w:rsidRPr="00CA2CC1">
              <w:rPr>
                <w:rFonts w:cs="Calibri"/>
                <w:color w:val="414042"/>
                <w:spacing w:val="-2"/>
                <w:sz w:val="18"/>
              </w:rPr>
              <w:t>53,806</w:t>
            </w:r>
          </w:p>
        </w:tc>
      </w:tr>
      <w:tr w:rsidR="00FA4226" w:rsidRPr="00CA2CC1" w14:paraId="28852BBD" w14:textId="77777777" w:rsidTr="00223F33">
        <w:trPr>
          <w:trHeight w:val="498"/>
        </w:trPr>
        <w:tc>
          <w:tcPr>
            <w:tcW w:w="2127" w:type="dxa"/>
            <w:tcBorders>
              <w:top w:val="single" w:sz="2" w:space="0" w:color="73777A"/>
              <w:left w:val="nil"/>
              <w:bottom w:val="single" w:sz="6" w:space="0" w:color="73777A"/>
              <w:right w:val="nil"/>
            </w:tcBorders>
          </w:tcPr>
          <w:p w14:paraId="79413670" w14:textId="77777777" w:rsidR="00FA4226" w:rsidRPr="00CA2CC1" w:rsidRDefault="00000000" w:rsidP="0043303B">
            <w:pPr>
              <w:pStyle w:val="TableParagraph"/>
              <w:spacing w:before="21"/>
              <w:jc w:val="left"/>
              <w:rPr>
                <w:rFonts w:cs="Calibri"/>
                <w:sz w:val="18"/>
              </w:rPr>
            </w:pPr>
            <w:r w:rsidRPr="00CA2CC1">
              <w:rPr>
                <w:rFonts w:cs="Calibri"/>
                <w:color w:val="414042"/>
                <w:sz w:val="18"/>
              </w:rPr>
              <w:t>Total</w:t>
            </w:r>
            <w:r w:rsidRPr="00CA2CC1">
              <w:rPr>
                <w:rFonts w:cs="Calibri"/>
                <w:color w:val="414042"/>
                <w:spacing w:val="-2"/>
                <w:sz w:val="18"/>
              </w:rPr>
              <w:t xml:space="preserve"> </w:t>
            </w:r>
            <w:r w:rsidRPr="00CA2CC1">
              <w:rPr>
                <w:rFonts w:cs="Calibri"/>
                <w:color w:val="414042"/>
                <w:sz w:val="18"/>
              </w:rPr>
              <w:t>other</w:t>
            </w:r>
            <w:r w:rsidRPr="00CA2CC1">
              <w:rPr>
                <w:rFonts w:cs="Calibri"/>
                <w:color w:val="414042"/>
                <w:spacing w:val="-2"/>
                <w:sz w:val="18"/>
              </w:rPr>
              <w:t xml:space="preserve"> </w:t>
            </w:r>
            <w:r w:rsidRPr="00CA2CC1">
              <w:rPr>
                <w:rFonts w:cs="Calibri"/>
                <w:color w:val="414042"/>
                <w:sz w:val="18"/>
              </w:rPr>
              <w:t>economic</w:t>
            </w:r>
            <w:r w:rsidRPr="00CA2CC1">
              <w:rPr>
                <w:rFonts w:cs="Calibri"/>
                <w:color w:val="414042"/>
                <w:spacing w:val="-2"/>
                <w:sz w:val="18"/>
              </w:rPr>
              <w:t xml:space="preserve"> </w:t>
            </w:r>
            <w:r w:rsidRPr="00CA2CC1">
              <w:rPr>
                <w:rFonts w:cs="Calibri"/>
                <w:color w:val="414042"/>
                <w:sz w:val="18"/>
              </w:rPr>
              <w:t>flows</w:t>
            </w:r>
            <w:r w:rsidRPr="00CA2CC1">
              <w:rPr>
                <w:rFonts w:cs="Calibri"/>
                <w:color w:val="414042"/>
                <w:spacing w:val="-2"/>
                <w:sz w:val="18"/>
              </w:rPr>
              <w:t xml:space="preserve"> </w:t>
            </w:r>
            <w:r w:rsidRPr="00CA2CC1">
              <w:rPr>
                <w:rFonts w:cs="Calibri"/>
                <w:color w:val="414042"/>
                <w:sz w:val="18"/>
              </w:rPr>
              <w:t>included in net result</w:t>
            </w:r>
          </w:p>
        </w:tc>
        <w:tc>
          <w:tcPr>
            <w:tcW w:w="1503" w:type="dxa"/>
            <w:tcBorders>
              <w:top w:val="single" w:sz="2" w:space="0" w:color="73777A"/>
              <w:left w:val="nil"/>
              <w:bottom w:val="single" w:sz="6" w:space="0" w:color="73777A"/>
              <w:right w:val="single" w:sz="8" w:space="0" w:color="FFFFFF"/>
            </w:tcBorders>
            <w:shd w:val="clear" w:color="auto" w:fill="FFF0E7"/>
            <w:tcMar>
              <w:right w:w="57" w:type="dxa"/>
            </w:tcMar>
          </w:tcPr>
          <w:p w14:paraId="55D271FA" w14:textId="77777777" w:rsidR="00FA4226" w:rsidRPr="00CA2CC1" w:rsidRDefault="00FA4226" w:rsidP="0043303B">
            <w:pPr>
              <w:pStyle w:val="TableParagraph"/>
              <w:spacing w:before="12"/>
              <w:jc w:val="left"/>
              <w:rPr>
                <w:rFonts w:cs="Calibri"/>
                <w:sz w:val="15"/>
              </w:rPr>
            </w:pPr>
          </w:p>
          <w:p w14:paraId="056B7770" w14:textId="77777777" w:rsidR="00FA4226" w:rsidRPr="00CA2CC1" w:rsidRDefault="00000000" w:rsidP="0043303B">
            <w:pPr>
              <w:pStyle w:val="TableParagraph"/>
              <w:rPr>
                <w:rFonts w:cs="Calibri"/>
                <w:sz w:val="18"/>
              </w:rPr>
            </w:pPr>
            <w:r w:rsidRPr="00CA2CC1">
              <w:rPr>
                <w:rFonts w:cs="Calibri"/>
                <w:color w:val="414042"/>
                <w:spacing w:val="-2"/>
                <w:sz w:val="18"/>
              </w:rPr>
              <w:t>(7,801)</w:t>
            </w:r>
          </w:p>
        </w:tc>
        <w:tc>
          <w:tcPr>
            <w:tcW w:w="1503" w:type="dxa"/>
            <w:tcBorders>
              <w:top w:val="single" w:sz="2" w:space="0" w:color="73777A"/>
              <w:left w:val="single" w:sz="8" w:space="0" w:color="FFFFFF"/>
              <w:bottom w:val="single" w:sz="6" w:space="0" w:color="73777A"/>
              <w:right w:val="single" w:sz="8" w:space="0" w:color="FFFFFF"/>
            </w:tcBorders>
            <w:shd w:val="clear" w:color="auto" w:fill="EDEFF0"/>
            <w:tcMar>
              <w:right w:w="57" w:type="dxa"/>
            </w:tcMar>
          </w:tcPr>
          <w:p w14:paraId="06D1C195" w14:textId="77777777" w:rsidR="00FA4226" w:rsidRPr="00CA2CC1" w:rsidRDefault="00FA4226" w:rsidP="0043303B">
            <w:pPr>
              <w:pStyle w:val="TableParagraph"/>
              <w:spacing w:before="12"/>
              <w:jc w:val="left"/>
              <w:rPr>
                <w:rFonts w:cs="Calibri"/>
                <w:sz w:val="15"/>
              </w:rPr>
            </w:pPr>
          </w:p>
          <w:p w14:paraId="37FC25F4" w14:textId="77777777" w:rsidR="00FA4226" w:rsidRPr="00CA2CC1" w:rsidRDefault="00000000" w:rsidP="0043303B">
            <w:pPr>
              <w:pStyle w:val="TableParagraph"/>
              <w:rPr>
                <w:rFonts w:cs="Calibri"/>
                <w:sz w:val="18"/>
              </w:rPr>
            </w:pPr>
            <w:r w:rsidRPr="00CA2CC1">
              <w:rPr>
                <w:rFonts w:cs="Calibri"/>
                <w:color w:val="414042"/>
                <w:spacing w:val="-2"/>
                <w:sz w:val="18"/>
              </w:rPr>
              <w:t>53,806</w:t>
            </w:r>
          </w:p>
        </w:tc>
        <w:tc>
          <w:tcPr>
            <w:tcW w:w="1503" w:type="dxa"/>
            <w:tcBorders>
              <w:top w:val="single" w:sz="2" w:space="0" w:color="73777A"/>
              <w:left w:val="single" w:sz="8" w:space="0" w:color="FFFFFF"/>
              <w:bottom w:val="single" w:sz="6" w:space="0" w:color="73777A"/>
              <w:right w:val="single" w:sz="8" w:space="0" w:color="FFFFFF"/>
            </w:tcBorders>
            <w:shd w:val="clear" w:color="auto" w:fill="FFF0E7"/>
            <w:tcMar>
              <w:right w:w="57" w:type="dxa"/>
            </w:tcMar>
          </w:tcPr>
          <w:p w14:paraId="5F48DDA7" w14:textId="77777777" w:rsidR="00FA4226" w:rsidRPr="00CA2CC1" w:rsidRDefault="00FA4226" w:rsidP="0043303B">
            <w:pPr>
              <w:pStyle w:val="TableParagraph"/>
              <w:spacing w:before="12"/>
              <w:jc w:val="left"/>
              <w:rPr>
                <w:rFonts w:cs="Calibri"/>
                <w:sz w:val="15"/>
              </w:rPr>
            </w:pPr>
          </w:p>
          <w:p w14:paraId="096C2B9C" w14:textId="77777777" w:rsidR="00FA4226" w:rsidRPr="00CA2CC1" w:rsidRDefault="00000000" w:rsidP="0043303B">
            <w:pPr>
              <w:pStyle w:val="TableParagraph"/>
              <w:rPr>
                <w:rFonts w:cs="Calibri"/>
                <w:sz w:val="18"/>
              </w:rPr>
            </w:pPr>
            <w:r w:rsidRPr="00CA2CC1">
              <w:rPr>
                <w:rFonts w:cs="Calibri"/>
                <w:color w:val="414042"/>
                <w:sz w:val="18"/>
              </w:rPr>
              <w:t>-</w:t>
            </w:r>
          </w:p>
        </w:tc>
        <w:tc>
          <w:tcPr>
            <w:tcW w:w="1503" w:type="dxa"/>
            <w:tcBorders>
              <w:top w:val="single" w:sz="2" w:space="0" w:color="73777A"/>
              <w:left w:val="single" w:sz="8" w:space="0" w:color="FFFFFF"/>
              <w:bottom w:val="single" w:sz="6" w:space="0" w:color="73777A"/>
              <w:right w:val="single" w:sz="8" w:space="0" w:color="FFFFFF"/>
            </w:tcBorders>
            <w:shd w:val="clear" w:color="auto" w:fill="EDEFF0"/>
            <w:tcMar>
              <w:right w:w="57" w:type="dxa"/>
            </w:tcMar>
          </w:tcPr>
          <w:p w14:paraId="15D1AE48" w14:textId="77777777" w:rsidR="00FA4226" w:rsidRPr="00CA2CC1" w:rsidRDefault="00FA4226" w:rsidP="0043303B">
            <w:pPr>
              <w:pStyle w:val="TableParagraph"/>
              <w:spacing w:before="12"/>
              <w:jc w:val="left"/>
              <w:rPr>
                <w:rFonts w:cs="Calibri"/>
                <w:sz w:val="15"/>
              </w:rPr>
            </w:pPr>
          </w:p>
          <w:p w14:paraId="2817B2E2" w14:textId="77777777" w:rsidR="00FA4226" w:rsidRPr="00CA2CC1" w:rsidRDefault="00000000" w:rsidP="0043303B">
            <w:pPr>
              <w:pStyle w:val="TableParagraph"/>
              <w:rPr>
                <w:rFonts w:cs="Calibri"/>
                <w:sz w:val="18"/>
              </w:rPr>
            </w:pPr>
            <w:r w:rsidRPr="00CA2CC1">
              <w:rPr>
                <w:rFonts w:cs="Calibri"/>
                <w:color w:val="414042"/>
                <w:sz w:val="18"/>
              </w:rPr>
              <w:t>-</w:t>
            </w:r>
          </w:p>
        </w:tc>
        <w:tc>
          <w:tcPr>
            <w:tcW w:w="1503" w:type="dxa"/>
            <w:tcBorders>
              <w:top w:val="single" w:sz="2" w:space="0" w:color="73777A"/>
              <w:left w:val="single" w:sz="8" w:space="0" w:color="FFFFFF"/>
              <w:bottom w:val="single" w:sz="6" w:space="0" w:color="73777A"/>
              <w:right w:val="nil"/>
            </w:tcBorders>
            <w:shd w:val="clear" w:color="auto" w:fill="FFF0E7"/>
            <w:tcMar>
              <w:right w:w="57" w:type="dxa"/>
            </w:tcMar>
          </w:tcPr>
          <w:p w14:paraId="303660D1" w14:textId="77777777" w:rsidR="00FA4226" w:rsidRPr="00CA2CC1" w:rsidRDefault="00FA4226" w:rsidP="0043303B">
            <w:pPr>
              <w:pStyle w:val="TableParagraph"/>
              <w:spacing w:before="12"/>
              <w:jc w:val="left"/>
              <w:rPr>
                <w:rFonts w:cs="Calibri"/>
                <w:sz w:val="15"/>
              </w:rPr>
            </w:pPr>
          </w:p>
          <w:p w14:paraId="312D0E2A" w14:textId="77777777" w:rsidR="00FA4226" w:rsidRPr="00CA2CC1" w:rsidRDefault="00000000" w:rsidP="0043303B">
            <w:pPr>
              <w:pStyle w:val="TableParagraph"/>
              <w:rPr>
                <w:rFonts w:cs="Calibri"/>
                <w:sz w:val="18"/>
              </w:rPr>
            </w:pPr>
            <w:r w:rsidRPr="00CA2CC1">
              <w:rPr>
                <w:rFonts w:cs="Calibri"/>
                <w:color w:val="414042"/>
                <w:spacing w:val="-2"/>
                <w:sz w:val="18"/>
              </w:rPr>
              <w:t>53,806</w:t>
            </w:r>
          </w:p>
        </w:tc>
      </w:tr>
      <w:tr w:rsidR="00FA4226" w:rsidRPr="00CA2CC1" w14:paraId="3C0D4439" w14:textId="77777777" w:rsidTr="00223F33">
        <w:trPr>
          <w:trHeight w:val="273"/>
        </w:trPr>
        <w:tc>
          <w:tcPr>
            <w:tcW w:w="2127" w:type="dxa"/>
            <w:tcBorders>
              <w:top w:val="single" w:sz="6" w:space="0" w:color="73777A"/>
              <w:left w:val="nil"/>
              <w:bottom w:val="single" w:sz="6" w:space="0" w:color="73777A"/>
              <w:right w:val="nil"/>
            </w:tcBorders>
          </w:tcPr>
          <w:p w14:paraId="17EBBA45" w14:textId="77777777" w:rsidR="00FA4226" w:rsidRPr="00CA2CC1" w:rsidRDefault="00000000" w:rsidP="0043303B">
            <w:pPr>
              <w:pStyle w:val="TableParagraph"/>
              <w:jc w:val="left"/>
              <w:rPr>
                <w:rFonts w:cs="Calibri"/>
                <w:sz w:val="18"/>
              </w:rPr>
            </w:pPr>
            <w:r w:rsidRPr="00CA2CC1">
              <w:rPr>
                <w:rFonts w:cs="Calibri"/>
                <w:color w:val="414042"/>
                <w:sz w:val="18"/>
              </w:rPr>
              <w:t>Net</w:t>
            </w:r>
            <w:r w:rsidRPr="00CA2CC1">
              <w:rPr>
                <w:rFonts w:cs="Calibri"/>
                <w:color w:val="414042"/>
                <w:spacing w:val="3"/>
                <w:sz w:val="18"/>
              </w:rPr>
              <w:t xml:space="preserve"> </w:t>
            </w:r>
            <w:r w:rsidRPr="00CA2CC1">
              <w:rPr>
                <w:rFonts w:cs="Calibri"/>
                <w:color w:val="414042"/>
                <w:spacing w:val="-2"/>
                <w:sz w:val="18"/>
              </w:rPr>
              <w:t>result</w:t>
            </w:r>
          </w:p>
        </w:tc>
        <w:tc>
          <w:tcPr>
            <w:tcW w:w="1503" w:type="dxa"/>
            <w:tcBorders>
              <w:top w:val="single" w:sz="6" w:space="0" w:color="73777A"/>
              <w:left w:val="nil"/>
              <w:bottom w:val="single" w:sz="6" w:space="0" w:color="73777A"/>
              <w:right w:val="single" w:sz="8" w:space="0" w:color="FFFFFF"/>
            </w:tcBorders>
            <w:shd w:val="clear" w:color="auto" w:fill="FFF0E7"/>
            <w:tcMar>
              <w:right w:w="57" w:type="dxa"/>
            </w:tcMar>
          </w:tcPr>
          <w:p w14:paraId="49559CEB" w14:textId="77777777" w:rsidR="00FA4226" w:rsidRPr="00CA2CC1" w:rsidRDefault="00000000" w:rsidP="0043303B">
            <w:pPr>
              <w:pStyle w:val="TableParagraph"/>
              <w:rPr>
                <w:rFonts w:cs="Calibri"/>
                <w:sz w:val="18"/>
              </w:rPr>
            </w:pPr>
            <w:r w:rsidRPr="00CA2CC1">
              <w:rPr>
                <w:rFonts w:cs="Calibri"/>
                <w:color w:val="414042"/>
                <w:spacing w:val="-2"/>
                <w:sz w:val="18"/>
              </w:rPr>
              <w:t>(61,764)</w:t>
            </w:r>
          </w:p>
        </w:tc>
        <w:tc>
          <w:tcPr>
            <w:tcW w:w="1503" w:type="dxa"/>
            <w:tcBorders>
              <w:top w:val="single" w:sz="6" w:space="0" w:color="73777A"/>
              <w:left w:val="single" w:sz="8" w:space="0" w:color="FFFFFF"/>
              <w:bottom w:val="single" w:sz="6" w:space="0" w:color="73777A"/>
              <w:right w:val="single" w:sz="8" w:space="0" w:color="FFFFFF"/>
            </w:tcBorders>
            <w:shd w:val="clear" w:color="auto" w:fill="EDEFF0"/>
            <w:tcMar>
              <w:right w:w="57" w:type="dxa"/>
            </w:tcMar>
          </w:tcPr>
          <w:p w14:paraId="7471B185" w14:textId="77777777" w:rsidR="00FA4226" w:rsidRPr="00CA2CC1" w:rsidRDefault="00000000" w:rsidP="0043303B">
            <w:pPr>
              <w:pStyle w:val="TableParagraph"/>
              <w:rPr>
                <w:rFonts w:cs="Calibri"/>
                <w:sz w:val="18"/>
              </w:rPr>
            </w:pPr>
            <w:r w:rsidRPr="00CA2CC1">
              <w:rPr>
                <w:rFonts w:cs="Calibri"/>
                <w:color w:val="414042"/>
                <w:spacing w:val="-2"/>
                <w:sz w:val="18"/>
              </w:rPr>
              <w:t>592,053</w:t>
            </w:r>
          </w:p>
        </w:tc>
        <w:tc>
          <w:tcPr>
            <w:tcW w:w="1503" w:type="dxa"/>
            <w:tcBorders>
              <w:top w:val="single" w:sz="6" w:space="0" w:color="73777A"/>
              <w:left w:val="single" w:sz="8" w:space="0" w:color="FFFFFF"/>
              <w:bottom w:val="single" w:sz="6" w:space="0" w:color="73777A"/>
              <w:right w:val="single" w:sz="8" w:space="0" w:color="FFFFFF"/>
            </w:tcBorders>
            <w:shd w:val="clear" w:color="auto" w:fill="FFF0E7"/>
            <w:tcMar>
              <w:right w:w="57" w:type="dxa"/>
            </w:tcMar>
          </w:tcPr>
          <w:p w14:paraId="48B42677" w14:textId="77777777" w:rsidR="00FA4226" w:rsidRPr="00CA2CC1" w:rsidRDefault="00000000" w:rsidP="0043303B">
            <w:pPr>
              <w:pStyle w:val="TableParagraph"/>
              <w:rPr>
                <w:rFonts w:cs="Calibri"/>
                <w:sz w:val="18"/>
              </w:rPr>
            </w:pPr>
            <w:r w:rsidRPr="00CA2CC1">
              <w:rPr>
                <w:rFonts w:cs="Calibri"/>
                <w:color w:val="414042"/>
                <w:spacing w:val="-2"/>
                <w:sz w:val="18"/>
              </w:rPr>
              <w:t>(306)</w:t>
            </w:r>
          </w:p>
        </w:tc>
        <w:tc>
          <w:tcPr>
            <w:tcW w:w="1503" w:type="dxa"/>
            <w:tcBorders>
              <w:top w:val="single" w:sz="6" w:space="0" w:color="73777A"/>
              <w:left w:val="single" w:sz="8" w:space="0" w:color="FFFFFF"/>
              <w:bottom w:val="single" w:sz="6" w:space="0" w:color="73777A"/>
              <w:right w:val="single" w:sz="8" w:space="0" w:color="FFFFFF"/>
            </w:tcBorders>
            <w:shd w:val="clear" w:color="auto" w:fill="EDEFF0"/>
            <w:tcMar>
              <w:right w:w="57" w:type="dxa"/>
            </w:tcMar>
          </w:tcPr>
          <w:p w14:paraId="42347354" w14:textId="77777777" w:rsidR="00FA4226" w:rsidRPr="00CA2CC1" w:rsidRDefault="00000000" w:rsidP="0043303B">
            <w:pPr>
              <w:pStyle w:val="TableParagraph"/>
              <w:rPr>
                <w:rFonts w:cs="Calibri"/>
                <w:sz w:val="18"/>
              </w:rPr>
            </w:pPr>
            <w:r w:rsidRPr="00CA2CC1">
              <w:rPr>
                <w:rFonts w:cs="Calibri"/>
                <w:color w:val="414042"/>
                <w:sz w:val="18"/>
              </w:rPr>
              <w:t>-</w:t>
            </w:r>
          </w:p>
        </w:tc>
        <w:tc>
          <w:tcPr>
            <w:tcW w:w="1503" w:type="dxa"/>
            <w:tcBorders>
              <w:top w:val="single" w:sz="6" w:space="0" w:color="73777A"/>
              <w:left w:val="single" w:sz="8" w:space="0" w:color="FFFFFF"/>
              <w:bottom w:val="single" w:sz="6" w:space="0" w:color="73777A"/>
              <w:right w:val="nil"/>
            </w:tcBorders>
            <w:shd w:val="clear" w:color="auto" w:fill="FFF0E7"/>
            <w:tcMar>
              <w:right w:w="57" w:type="dxa"/>
            </w:tcMar>
          </w:tcPr>
          <w:p w14:paraId="71393E05" w14:textId="77777777" w:rsidR="00FA4226" w:rsidRPr="00CA2CC1" w:rsidRDefault="00000000" w:rsidP="0043303B">
            <w:pPr>
              <w:pStyle w:val="TableParagraph"/>
              <w:rPr>
                <w:rFonts w:cs="Calibri"/>
                <w:sz w:val="18"/>
              </w:rPr>
            </w:pPr>
            <w:r w:rsidRPr="00CA2CC1">
              <w:rPr>
                <w:rFonts w:cs="Calibri"/>
                <w:color w:val="414042"/>
                <w:spacing w:val="-2"/>
                <w:sz w:val="18"/>
              </w:rPr>
              <w:t>592,359</w:t>
            </w:r>
          </w:p>
        </w:tc>
      </w:tr>
      <w:tr w:rsidR="00FA4226" w:rsidRPr="00CA2CC1" w14:paraId="20BF00D1" w14:textId="77777777" w:rsidTr="00223F33">
        <w:trPr>
          <w:trHeight w:val="258"/>
        </w:trPr>
        <w:tc>
          <w:tcPr>
            <w:tcW w:w="2127" w:type="dxa"/>
            <w:tcBorders>
              <w:top w:val="single" w:sz="6" w:space="0" w:color="73777A"/>
              <w:left w:val="nil"/>
              <w:bottom w:val="double" w:sz="6" w:space="0" w:color="73777A"/>
              <w:right w:val="nil"/>
            </w:tcBorders>
          </w:tcPr>
          <w:p w14:paraId="63FF02AA" w14:textId="77777777" w:rsidR="00FA4226" w:rsidRPr="00CA2CC1" w:rsidRDefault="00000000" w:rsidP="0043303B">
            <w:pPr>
              <w:pStyle w:val="TableParagraph"/>
              <w:jc w:val="left"/>
              <w:rPr>
                <w:rFonts w:cs="Calibri"/>
                <w:sz w:val="18"/>
              </w:rPr>
            </w:pPr>
            <w:r w:rsidRPr="00CA2CC1">
              <w:rPr>
                <w:rFonts w:cs="Calibri"/>
                <w:color w:val="414042"/>
                <w:sz w:val="18"/>
              </w:rPr>
              <w:t>Comprehensive</w:t>
            </w:r>
            <w:r w:rsidRPr="00CA2CC1">
              <w:rPr>
                <w:rFonts w:cs="Calibri"/>
                <w:color w:val="414042"/>
                <w:spacing w:val="17"/>
                <w:sz w:val="18"/>
              </w:rPr>
              <w:t xml:space="preserve"> </w:t>
            </w:r>
            <w:r w:rsidRPr="00CA2CC1">
              <w:rPr>
                <w:rFonts w:cs="Calibri"/>
                <w:color w:val="414042"/>
                <w:spacing w:val="-2"/>
                <w:sz w:val="18"/>
              </w:rPr>
              <w:t>result</w:t>
            </w:r>
          </w:p>
        </w:tc>
        <w:tc>
          <w:tcPr>
            <w:tcW w:w="1503" w:type="dxa"/>
            <w:tcBorders>
              <w:top w:val="single" w:sz="6" w:space="0" w:color="73777A"/>
              <w:left w:val="nil"/>
              <w:bottom w:val="double" w:sz="4" w:space="0" w:color="73777A"/>
              <w:right w:val="single" w:sz="8" w:space="0" w:color="FFFFFF"/>
            </w:tcBorders>
            <w:shd w:val="clear" w:color="auto" w:fill="FFF0E7"/>
            <w:tcMar>
              <w:right w:w="57" w:type="dxa"/>
            </w:tcMar>
          </w:tcPr>
          <w:p w14:paraId="49162A4B" w14:textId="77777777" w:rsidR="00FA4226" w:rsidRPr="00CA2CC1" w:rsidRDefault="00000000" w:rsidP="0043303B">
            <w:pPr>
              <w:pStyle w:val="TableParagraph"/>
              <w:rPr>
                <w:rFonts w:cs="Calibri"/>
                <w:sz w:val="18"/>
              </w:rPr>
            </w:pPr>
            <w:r w:rsidRPr="00CA2CC1">
              <w:rPr>
                <w:rFonts w:cs="Calibri"/>
                <w:color w:val="414042"/>
                <w:spacing w:val="-2"/>
                <w:sz w:val="18"/>
              </w:rPr>
              <w:t>(61,764)</w:t>
            </w:r>
          </w:p>
        </w:tc>
        <w:tc>
          <w:tcPr>
            <w:tcW w:w="1503" w:type="dxa"/>
            <w:tcBorders>
              <w:top w:val="single" w:sz="6" w:space="0" w:color="73777A"/>
              <w:left w:val="single" w:sz="8" w:space="0" w:color="FFFFFF"/>
              <w:bottom w:val="double" w:sz="4" w:space="0" w:color="73777A"/>
              <w:right w:val="single" w:sz="8" w:space="0" w:color="FFFFFF"/>
            </w:tcBorders>
            <w:shd w:val="clear" w:color="auto" w:fill="EDEFF0"/>
            <w:tcMar>
              <w:right w:w="57" w:type="dxa"/>
            </w:tcMar>
          </w:tcPr>
          <w:p w14:paraId="726166B8" w14:textId="77777777" w:rsidR="00FA4226" w:rsidRPr="00CA2CC1" w:rsidRDefault="00000000" w:rsidP="0043303B">
            <w:pPr>
              <w:pStyle w:val="TableParagraph"/>
              <w:rPr>
                <w:rFonts w:cs="Calibri"/>
                <w:sz w:val="18"/>
              </w:rPr>
            </w:pPr>
            <w:r w:rsidRPr="00CA2CC1">
              <w:rPr>
                <w:rFonts w:cs="Calibri"/>
                <w:color w:val="414042"/>
                <w:spacing w:val="-2"/>
                <w:sz w:val="18"/>
              </w:rPr>
              <w:t>592,053</w:t>
            </w:r>
          </w:p>
        </w:tc>
        <w:tc>
          <w:tcPr>
            <w:tcW w:w="1503" w:type="dxa"/>
            <w:tcBorders>
              <w:top w:val="single" w:sz="6" w:space="0" w:color="73777A"/>
              <w:left w:val="single" w:sz="8" w:space="0" w:color="FFFFFF"/>
              <w:bottom w:val="double" w:sz="4" w:space="0" w:color="73777A"/>
              <w:right w:val="single" w:sz="8" w:space="0" w:color="FFFFFF"/>
            </w:tcBorders>
            <w:shd w:val="clear" w:color="auto" w:fill="FFF0E7"/>
            <w:tcMar>
              <w:right w:w="57" w:type="dxa"/>
            </w:tcMar>
          </w:tcPr>
          <w:p w14:paraId="1DAE9B21" w14:textId="77777777" w:rsidR="00FA4226" w:rsidRPr="00CA2CC1" w:rsidRDefault="00000000" w:rsidP="0043303B">
            <w:pPr>
              <w:pStyle w:val="TableParagraph"/>
              <w:rPr>
                <w:rFonts w:cs="Calibri"/>
                <w:sz w:val="18"/>
              </w:rPr>
            </w:pPr>
            <w:r w:rsidRPr="00CA2CC1">
              <w:rPr>
                <w:rFonts w:cs="Calibri"/>
                <w:color w:val="414042"/>
                <w:spacing w:val="-2"/>
                <w:sz w:val="18"/>
              </w:rPr>
              <w:t>(306)</w:t>
            </w:r>
          </w:p>
        </w:tc>
        <w:tc>
          <w:tcPr>
            <w:tcW w:w="1503" w:type="dxa"/>
            <w:tcBorders>
              <w:top w:val="single" w:sz="6" w:space="0" w:color="73777A"/>
              <w:left w:val="single" w:sz="8" w:space="0" w:color="FFFFFF"/>
              <w:bottom w:val="double" w:sz="4" w:space="0" w:color="73777A"/>
              <w:right w:val="single" w:sz="8" w:space="0" w:color="FFFFFF"/>
            </w:tcBorders>
            <w:shd w:val="clear" w:color="auto" w:fill="EDEFF0"/>
            <w:tcMar>
              <w:right w:w="57" w:type="dxa"/>
            </w:tcMar>
          </w:tcPr>
          <w:p w14:paraId="4E82053F" w14:textId="77777777" w:rsidR="00FA4226" w:rsidRPr="00CA2CC1" w:rsidRDefault="00000000" w:rsidP="0043303B">
            <w:pPr>
              <w:pStyle w:val="TableParagraph"/>
              <w:rPr>
                <w:rFonts w:cs="Calibri"/>
                <w:sz w:val="18"/>
              </w:rPr>
            </w:pPr>
            <w:r w:rsidRPr="00CA2CC1">
              <w:rPr>
                <w:rFonts w:cs="Calibri"/>
                <w:color w:val="414042"/>
                <w:sz w:val="18"/>
              </w:rPr>
              <w:t>-</w:t>
            </w:r>
          </w:p>
        </w:tc>
        <w:tc>
          <w:tcPr>
            <w:tcW w:w="1503" w:type="dxa"/>
            <w:tcBorders>
              <w:top w:val="single" w:sz="6" w:space="0" w:color="73777A"/>
              <w:left w:val="single" w:sz="8" w:space="0" w:color="FFFFFF"/>
              <w:bottom w:val="double" w:sz="4" w:space="0" w:color="73777A"/>
              <w:right w:val="nil"/>
            </w:tcBorders>
            <w:shd w:val="clear" w:color="auto" w:fill="FFF0E7"/>
            <w:tcMar>
              <w:right w:w="57" w:type="dxa"/>
            </w:tcMar>
          </w:tcPr>
          <w:p w14:paraId="6D102DEE" w14:textId="77777777" w:rsidR="00FA4226" w:rsidRPr="00CA2CC1" w:rsidRDefault="00000000" w:rsidP="0043303B">
            <w:pPr>
              <w:pStyle w:val="TableParagraph"/>
              <w:rPr>
                <w:rFonts w:cs="Calibri"/>
                <w:sz w:val="18"/>
              </w:rPr>
            </w:pPr>
            <w:r w:rsidRPr="00CA2CC1">
              <w:rPr>
                <w:rFonts w:cs="Calibri"/>
                <w:color w:val="414042"/>
                <w:spacing w:val="-2"/>
                <w:sz w:val="18"/>
              </w:rPr>
              <w:t>592,359</w:t>
            </w:r>
          </w:p>
        </w:tc>
      </w:tr>
    </w:tbl>
    <w:p w14:paraId="5A8F276B" w14:textId="77777777" w:rsidR="00FA4226" w:rsidRPr="00CA2CC1" w:rsidRDefault="00FA4226" w:rsidP="0043303B">
      <w:pPr>
        <w:pStyle w:val="BodyText"/>
        <w:spacing w:before="3"/>
        <w:rPr>
          <w:rFonts w:cs="Calibri"/>
        </w:rPr>
      </w:pPr>
    </w:p>
    <w:p w14:paraId="40E81760" w14:textId="77777777" w:rsidR="00FA4226" w:rsidRPr="00CA2CC1" w:rsidRDefault="00000000" w:rsidP="0043303B">
      <w:pPr>
        <w:rPr>
          <w:rFonts w:cs="Calibri"/>
          <w:i/>
          <w:sz w:val="16"/>
        </w:rPr>
      </w:pPr>
      <w:r w:rsidRPr="00CA2CC1">
        <w:rPr>
          <w:rFonts w:cs="Calibri"/>
          <w:i/>
          <w:color w:val="414042"/>
          <w:sz w:val="16"/>
        </w:rPr>
        <w:t xml:space="preserve">(i) This correction contains a minor rounding </w:t>
      </w:r>
      <w:r w:rsidRPr="00CA2CC1">
        <w:rPr>
          <w:rFonts w:cs="Calibri"/>
          <w:i/>
          <w:color w:val="414042"/>
          <w:spacing w:val="-2"/>
          <w:sz w:val="16"/>
        </w:rPr>
        <w:t>error.</w:t>
      </w:r>
    </w:p>
    <w:p w14:paraId="670B62C6" w14:textId="77777777" w:rsidR="00FA4226" w:rsidRPr="00CA2CC1" w:rsidRDefault="00FA4226" w:rsidP="0043303B">
      <w:pPr>
        <w:jc w:val="right"/>
        <w:rPr>
          <w:rFonts w:cs="Calibri"/>
          <w:sz w:val="16"/>
        </w:rPr>
        <w:sectPr w:rsidR="00FA4226" w:rsidRPr="00CA2CC1" w:rsidSect="00E941A5">
          <w:type w:val="continuous"/>
          <w:pgSz w:w="11910" w:h="16840"/>
          <w:pgMar w:top="1134" w:right="1278" w:bottom="1134" w:left="1134" w:header="720" w:footer="720" w:gutter="0"/>
          <w:cols w:space="720"/>
        </w:sectPr>
      </w:pPr>
    </w:p>
    <w:p w14:paraId="3AD9466F" w14:textId="77777777" w:rsidR="00FA4226" w:rsidRPr="00CA2CC1" w:rsidRDefault="00FA4226" w:rsidP="0043303B">
      <w:pPr>
        <w:pStyle w:val="BodyText"/>
        <w:spacing w:before="8"/>
        <w:rPr>
          <w:rFonts w:cs="Calibri"/>
        </w:rPr>
      </w:pPr>
    </w:p>
    <w:p w14:paraId="3C6FD782" w14:textId="77777777" w:rsidR="00FA4226" w:rsidRPr="005B49BC" w:rsidRDefault="00000000" w:rsidP="0043303B">
      <w:pPr>
        <w:pStyle w:val="Heading7"/>
        <w:spacing w:before="60"/>
        <w:rPr>
          <w:rFonts w:cs="Calibri"/>
          <w:color w:val="000000" w:themeColor="text1"/>
        </w:rPr>
      </w:pPr>
      <w:r w:rsidRPr="005B49BC">
        <w:rPr>
          <w:rFonts w:cs="Calibri"/>
          <w:color w:val="000000" w:themeColor="text1"/>
        </w:rPr>
        <w:t>Impact</w:t>
      </w:r>
      <w:r w:rsidRPr="005B49BC">
        <w:rPr>
          <w:rFonts w:cs="Calibri"/>
          <w:color w:val="000000" w:themeColor="text1"/>
          <w:spacing w:val="-1"/>
        </w:rPr>
        <w:t xml:space="preserve"> </w:t>
      </w:r>
      <w:r w:rsidRPr="005B49BC">
        <w:rPr>
          <w:rFonts w:cs="Calibri"/>
          <w:color w:val="000000" w:themeColor="text1"/>
        </w:rPr>
        <w:t>of</w:t>
      </w:r>
      <w:r w:rsidRPr="005B49BC">
        <w:rPr>
          <w:rFonts w:cs="Calibri"/>
          <w:color w:val="000000" w:themeColor="text1"/>
          <w:spacing w:val="-1"/>
        </w:rPr>
        <w:t xml:space="preserve"> </w:t>
      </w:r>
      <w:r w:rsidRPr="005B49BC">
        <w:rPr>
          <w:rFonts w:cs="Calibri"/>
          <w:color w:val="000000" w:themeColor="text1"/>
        </w:rPr>
        <w:t>correction</w:t>
      </w:r>
      <w:r w:rsidRPr="005B49BC">
        <w:rPr>
          <w:rFonts w:cs="Calibri"/>
          <w:color w:val="000000" w:themeColor="text1"/>
          <w:spacing w:val="-1"/>
        </w:rPr>
        <w:t xml:space="preserve"> </w:t>
      </w:r>
      <w:r w:rsidRPr="005B49BC">
        <w:rPr>
          <w:rFonts w:cs="Calibri"/>
          <w:color w:val="000000" w:themeColor="text1"/>
        </w:rPr>
        <w:t>of</w:t>
      </w:r>
      <w:r w:rsidRPr="005B49BC">
        <w:rPr>
          <w:rFonts w:cs="Calibri"/>
          <w:color w:val="000000" w:themeColor="text1"/>
          <w:spacing w:val="-1"/>
        </w:rPr>
        <w:t xml:space="preserve"> </w:t>
      </w:r>
      <w:r w:rsidRPr="005B49BC">
        <w:rPr>
          <w:rFonts w:cs="Calibri"/>
          <w:color w:val="000000" w:themeColor="text1"/>
        </w:rPr>
        <w:t>error</w:t>
      </w:r>
      <w:r w:rsidRPr="005B49BC">
        <w:rPr>
          <w:rFonts w:cs="Calibri"/>
          <w:color w:val="000000" w:themeColor="text1"/>
          <w:spacing w:val="-1"/>
        </w:rPr>
        <w:t xml:space="preserve"> </w:t>
      </w:r>
      <w:r w:rsidRPr="005B49BC">
        <w:rPr>
          <w:rFonts w:cs="Calibri"/>
          <w:color w:val="000000" w:themeColor="text1"/>
        </w:rPr>
        <w:t>on</w:t>
      </w:r>
      <w:r w:rsidRPr="005B49BC">
        <w:rPr>
          <w:rFonts w:cs="Calibri"/>
          <w:color w:val="000000" w:themeColor="text1"/>
          <w:spacing w:val="-1"/>
        </w:rPr>
        <w:t xml:space="preserve"> </w:t>
      </w:r>
      <w:r w:rsidRPr="005B49BC">
        <w:rPr>
          <w:rFonts w:cs="Calibri"/>
          <w:color w:val="000000" w:themeColor="text1"/>
        </w:rPr>
        <w:t>the</w:t>
      </w:r>
      <w:r w:rsidRPr="005B49BC">
        <w:rPr>
          <w:rFonts w:cs="Calibri"/>
          <w:color w:val="000000" w:themeColor="text1"/>
          <w:spacing w:val="-1"/>
        </w:rPr>
        <w:t xml:space="preserve"> </w:t>
      </w:r>
      <w:r w:rsidRPr="005B49BC">
        <w:rPr>
          <w:rFonts w:cs="Calibri"/>
          <w:color w:val="000000" w:themeColor="text1"/>
        </w:rPr>
        <w:t>balance</w:t>
      </w:r>
      <w:r w:rsidRPr="005B49BC">
        <w:rPr>
          <w:rFonts w:cs="Calibri"/>
          <w:color w:val="000000" w:themeColor="text1"/>
          <w:spacing w:val="-1"/>
        </w:rPr>
        <w:t xml:space="preserve"> </w:t>
      </w:r>
      <w:r w:rsidRPr="005B49BC">
        <w:rPr>
          <w:rFonts w:cs="Calibri"/>
          <w:color w:val="000000" w:themeColor="text1"/>
          <w:spacing w:val="-2"/>
        </w:rPr>
        <w:t>sheet</w:t>
      </w:r>
    </w:p>
    <w:p w14:paraId="29AB5F22" w14:textId="77777777" w:rsidR="00FA4226" w:rsidRPr="00CA2CC1" w:rsidRDefault="00FA4226" w:rsidP="0043303B">
      <w:pPr>
        <w:pStyle w:val="BodyText"/>
        <w:spacing w:before="6"/>
        <w:rPr>
          <w:rFonts w:cs="Calibri"/>
          <w:sz w:val="9"/>
        </w:rPr>
      </w:pPr>
    </w:p>
    <w:tbl>
      <w:tblPr>
        <w:tblW w:w="9637" w:type="dxa"/>
        <w:tblBorders>
          <w:top w:val="single" w:sz="4" w:space="0" w:color="C48F1B"/>
          <w:left w:val="single" w:sz="4" w:space="0" w:color="C48F1B"/>
          <w:bottom w:val="single" w:sz="4" w:space="0" w:color="C48F1B"/>
          <w:right w:val="single" w:sz="4" w:space="0" w:color="C48F1B"/>
          <w:insideH w:val="single" w:sz="4" w:space="0" w:color="C48F1B"/>
          <w:insideV w:val="single" w:sz="4" w:space="0" w:color="C48F1B"/>
        </w:tblBorders>
        <w:tblLayout w:type="fixed"/>
        <w:tblCellMar>
          <w:left w:w="0" w:type="dxa"/>
          <w:right w:w="0" w:type="dxa"/>
        </w:tblCellMar>
        <w:tblLook w:val="01E0" w:firstRow="1" w:lastRow="1" w:firstColumn="1" w:lastColumn="1" w:noHBand="0" w:noVBand="0"/>
      </w:tblPr>
      <w:tblGrid>
        <w:gridCol w:w="3402"/>
        <w:gridCol w:w="1247"/>
        <w:gridCol w:w="1247"/>
        <w:gridCol w:w="1247"/>
        <w:gridCol w:w="1247"/>
        <w:gridCol w:w="1247"/>
      </w:tblGrid>
      <w:tr w:rsidR="00FA4226" w:rsidRPr="00CA2CC1" w14:paraId="624EC36D" w14:textId="77777777" w:rsidTr="00DF1CBC">
        <w:trPr>
          <w:trHeight w:val="1344"/>
        </w:trPr>
        <w:tc>
          <w:tcPr>
            <w:tcW w:w="3402" w:type="dxa"/>
            <w:tcBorders>
              <w:top w:val="nil"/>
              <w:left w:val="nil"/>
              <w:right w:val="nil"/>
            </w:tcBorders>
          </w:tcPr>
          <w:p w14:paraId="2E6D6B14" w14:textId="77777777" w:rsidR="00FA4226" w:rsidRPr="00CA2CC1" w:rsidRDefault="00FA4226" w:rsidP="0043303B">
            <w:pPr>
              <w:pStyle w:val="TableParagraph"/>
              <w:jc w:val="left"/>
              <w:rPr>
                <w:rFonts w:cs="Calibri"/>
                <w:sz w:val="16"/>
              </w:rPr>
            </w:pPr>
          </w:p>
        </w:tc>
        <w:tc>
          <w:tcPr>
            <w:tcW w:w="1247" w:type="dxa"/>
            <w:tcBorders>
              <w:top w:val="nil"/>
              <w:left w:val="nil"/>
              <w:right w:val="single" w:sz="8" w:space="0" w:color="FFFFFF"/>
            </w:tcBorders>
            <w:shd w:val="clear" w:color="auto" w:fill="FFF0E7"/>
            <w:tcMar>
              <w:right w:w="57" w:type="dxa"/>
            </w:tcMar>
            <w:vAlign w:val="bottom"/>
          </w:tcPr>
          <w:p w14:paraId="36B19BEF" w14:textId="77777777" w:rsidR="00FA4226" w:rsidRPr="00CA2CC1" w:rsidRDefault="00FA4226" w:rsidP="0043303B">
            <w:pPr>
              <w:pStyle w:val="TableParagraph"/>
              <w:rPr>
                <w:rFonts w:cs="Calibri"/>
                <w:sz w:val="20"/>
              </w:rPr>
            </w:pPr>
          </w:p>
          <w:p w14:paraId="56B7E61B" w14:textId="77777777" w:rsidR="00FA4226" w:rsidRPr="00CA2CC1" w:rsidRDefault="00FA4226" w:rsidP="0043303B">
            <w:pPr>
              <w:pStyle w:val="TableParagraph"/>
              <w:rPr>
                <w:rFonts w:cs="Calibri"/>
                <w:sz w:val="20"/>
              </w:rPr>
            </w:pPr>
          </w:p>
          <w:p w14:paraId="6803822E" w14:textId="77777777" w:rsidR="00FA4226" w:rsidRPr="00CA2CC1" w:rsidRDefault="00FA4226" w:rsidP="0043303B">
            <w:pPr>
              <w:pStyle w:val="TableParagraph"/>
              <w:spacing w:before="1"/>
              <w:rPr>
                <w:rFonts w:cs="Calibri"/>
                <w:sz w:val="21"/>
              </w:rPr>
            </w:pPr>
          </w:p>
          <w:p w14:paraId="69A61FE3" w14:textId="77777777" w:rsidR="00FA4226" w:rsidRPr="00CA2CC1" w:rsidRDefault="00000000" w:rsidP="0043303B">
            <w:pPr>
              <w:pStyle w:val="TableParagraph"/>
              <w:rPr>
                <w:rFonts w:cs="Calibri"/>
                <w:sz w:val="17"/>
              </w:rPr>
            </w:pPr>
            <w:r w:rsidRPr="00CA2CC1">
              <w:rPr>
                <w:rFonts w:cs="Calibri"/>
                <w:color w:val="F68C59"/>
                <w:spacing w:val="-4"/>
                <w:sz w:val="17"/>
              </w:rPr>
              <w:t>2023</w:t>
            </w:r>
          </w:p>
          <w:p w14:paraId="25222700" w14:textId="77777777" w:rsidR="00FA4226" w:rsidRPr="00CA2CC1" w:rsidRDefault="00000000" w:rsidP="0043303B">
            <w:pPr>
              <w:pStyle w:val="TableParagraph"/>
              <w:spacing w:before="1"/>
              <w:rPr>
                <w:rFonts w:cs="Calibri"/>
                <w:sz w:val="17"/>
              </w:rPr>
            </w:pPr>
            <w:r w:rsidRPr="00CA2CC1">
              <w:rPr>
                <w:rFonts w:cs="Calibri"/>
                <w:color w:val="F68C59"/>
                <w:sz w:val="17"/>
              </w:rPr>
              <w:t>$</w:t>
            </w:r>
          </w:p>
        </w:tc>
        <w:tc>
          <w:tcPr>
            <w:tcW w:w="1247" w:type="dxa"/>
            <w:tcBorders>
              <w:top w:val="nil"/>
              <w:left w:val="single" w:sz="8" w:space="0" w:color="FFFFFF"/>
              <w:right w:val="single" w:sz="8" w:space="0" w:color="FFFFFF"/>
            </w:tcBorders>
            <w:shd w:val="clear" w:color="auto" w:fill="EDEFF0"/>
            <w:tcMar>
              <w:right w:w="57" w:type="dxa"/>
            </w:tcMar>
            <w:vAlign w:val="bottom"/>
          </w:tcPr>
          <w:p w14:paraId="2A3EF52E" w14:textId="77777777" w:rsidR="00FA4226" w:rsidRPr="00CA2CC1" w:rsidRDefault="00FA4226" w:rsidP="0043303B">
            <w:pPr>
              <w:pStyle w:val="TableParagraph"/>
              <w:spacing w:before="9"/>
              <w:rPr>
                <w:rFonts w:cs="Calibri"/>
                <w:sz w:val="23"/>
              </w:rPr>
            </w:pPr>
          </w:p>
          <w:p w14:paraId="4C50B8CE" w14:textId="77777777" w:rsidR="00FA4226" w:rsidRPr="00CA2CC1" w:rsidRDefault="00000000" w:rsidP="0043303B">
            <w:pPr>
              <w:pStyle w:val="TableParagraph"/>
              <w:rPr>
                <w:rFonts w:cs="Calibri"/>
                <w:sz w:val="17"/>
              </w:rPr>
            </w:pPr>
            <w:r w:rsidRPr="00CA2CC1">
              <w:rPr>
                <w:rFonts w:cs="Calibri"/>
                <w:color w:val="F68C59"/>
                <w:spacing w:val="-4"/>
                <w:sz w:val="17"/>
              </w:rPr>
              <w:t>2022</w:t>
            </w:r>
          </w:p>
          <w:p w14:paraId="4FCEA188" w14:textId="77777777" w:rsidR="00FA4226" w:rsidRPr="00CA2CC1" w:rsidRDefault="00000000" w:rsidP="0043303B">
            <w:pPr>
              <w:pStyle w:val="TableParagraph"/>
              <w:spacing w:before="108"/>
              <w:rPr>
                <w:rFonts w:cs="Calibri"/>
                <w:sz w:val="17"/>
              </w:rPr>
            </w:pPr>
            <w:r w:rsidRPr="00CA2CC1">
              <w:rPr>
                <w:rFonts w:cs="Calibri"/>
                <w:color w:val="F68C59"/>
                <w:spacing w:val="-2"/>
                <w:sz w:val="17"/>
              </w:rPr>
              <w:t>(restated balance)</w:t>
            </w:r>
          </w:p>
          <w:p w14:paraId="4517D16C" w14:textId="77777777" w:rsidR="00FA4226" w:rsidRPr="00CA2CC1" w:rsidRDefault="00000000" w:rsidP="0043303B">
            <w:pPr>
              <w:pStyle w:val="TableParagraph"/>
              <w:spacing w:before="6"/>
              <w:rPr>
                <w:rFonts w:cs="Calibri"/>
                <w:sz w:val="17"/>
              </w:rPr>
            </w:pPr>
            <w:r w:rsidRPr="00CA2CC1">
              <w:rPr>
                <w:rFonts w:cs="Calibri"/>
                <w:color w:val="F68C59"/>
                <w:sz w:val="17"/>
              </w:rPr>
              <w:t>$</w:t>
            </w:r>
          </w:p>
        </w:tc>
        <w:tc>
          <w:tcPr>
            <w:tcW w:w="1247" w:type="dxa"/>
            <w:tcBorders>
              <w:top w:val="nil"/>
              <w:left w:val="single" w:sz="8" w:space="0" w:color="FFFFFF"/>
              <w:right w:val="single" w:sz="8" w:space="0" w:color="FFFFFF"/>
            </w:tcBorders>
            <w:shd w:val="clear" w:color="auto" w:fill="FFF0E7"/>
            <w:tcMar>
              <w:right w:w="57" w:type="dxa"/>
            </w:tcMar>
            <w:vAlign w:val="bottom"/>
          </w:tcPr>
          <w:p w14:paraId="3DC9EF1B" w14:textId="77777777" w:rsidR="00FA4226" w:rsidRPr="00CA2CC1" w:rsidRDefault="00000000" w:rsidP="0043303B">
            <w:pPr>
              <w:pStyle w:val="TableParagraph"/>
              <w:spacing w:before="66"/>
              <w:rPr>
                <w:rFonts w:cs="Calibri"/>
                <w:sz w:val="17"/>
              </w:rPr>
            </w:pPr>
            <w:r w:rsidRPr="00CA2CC1">
              <w:rPr>
                <w:rFonts w:cs="Calibri"/>
                <w:color w:val="F68C59"/>
                <w:spacing w:val="-2"/>
                <w:sz w:val="17"/>
              </w:rPr>
              <w:t xml:space="preserve">Correction </w:t>
            </w:r>
            <w:r w:rsidRPr="00CA2CC1">
              <w:rPr>
                <w:rFonts w:cs="Calibri"/>
                <w:color w:val="F68C59"/>
                <w:sz w:val="17"/>
              </w:rPr>
              <w:t>of</w:t>
            </w:r>
            <w:r w:rsidRPr="00CA2CC1">
              <w:rPr>
                <w:rFonts w:cs="Calibri"/>
                <w:color w:val="F68C59"/>
                <w:spacing w:val="1"/>
                <w:sz w:val="17"/>
              </w:rPr>
              <w:t xml:space="preserve"> </w:t>
            </w:r>
            <w:r w:rsidRPr="00CA2CC1">
              <w:rPr>
                <w:rFonts w:cs="Calibri"/>
                <w:color w:val="F68C59"/>
                <w:spacing w:val="-2"/>
                <w:sz w:val="17"/>
              </w:rPr>
              <w:t>leased</w:t>
            </w:r>
          </w:p>
          <w:p w14:paraId="06E6B49B" w14:textId="77777777" w:rsidR="00FA4226" w:rsidRPr="00CA2CC1" w:rsidRDefault="00000000" w:rsidP="0043303B">
            <w:pPr>
              <w:pStyle w:val="TableParagraph"/>
              <w:rPr>
                <w:rFonts w:cs="Calibri"/>
                <w:sz w:val="10"/>
              </w:rPr>
            </w:pPr>
            <w:r w:rsidRPr="00CA2CC1">
              <w:rPr>
                <w:rFonts w:cs="Calibri"/>
                <w:color w:val="F68C59"/>
                <w:spacing w:val="-2"/>
                <w:sz w:val="17"/>
              </w:rPr>
              <w:t xml:space="preserve">motor vehicle </w:t>
            </w:r>
            <w:r w:rsidRPr="00CA2CC1">
              <w:rPr>
                <w:rFonts w:cs="Calibri"/>
                <w:color w:val="F68C59"/>
                <w:sz w:val="17"/>
              </w:rPr>
              <w:t xml:space="preserve">error </w:t>
            </w:r>
            <w:r w:rsidRPr="00CA2CC1">
              <w:rPr>
                <w:rFonts w:cs="Calibri"/>
                <w:color w:val="F68C59"/>
                <w:position w:val="6"/>
                <w:sz w:val="10"/>
              </w:rPr>
              <w:t>(i)</w:t>
            </w:r>
          </w:p>
          <w:p w14:paraId="5BAB50F5" w14:textId="77777777" w:rsidR="00FA4226" w:rsidRPr="00CA2CC1" w:rsidRDefault="00000000" w:rsidP="0043303B">
            <w:pPr>
              <w:pStyle w:val="TableParagraph"/>
              <w:spacing w:before="4"/>
              <w:rPr>
                <w:rFonts w:cs="Calibri"/>
                <w:sz w:val="17"/>
              </w:rPr>
            </w:pPr>
            <w:r w:rsidRPr="00CA2CC1">
              <w:rPr>
                <w:rFonts w:cs="Calibri"/>
                <w:color w:val="F68C59"/>
                <w:sz w:val="17"/>
              </w:rPr>
              <w:t>$</w:t>
            </w:r>
          </w:p>
        </w:tc>
        <w:tc>
          <w:tcPr>
            <w:tcW w:w="1247" w:type="dxa"/>
            <w:tcBorders>
              <w:top w:val="nil"/>
              <w:left w:val="single" w:sz="8" w:space="0" w:color="FFFFFF"/>
              <w:right w:val="single" w:sz="8" w:space="0" w:color="FFFFFF"/>
            </w:tcBorders>
            <w:shd w:val="clear" w:color="auto" w:fill="EDEFF0"/>
            <w:tcMar>
              <w:right w:w="57" w:type="dxa"/>
            </w:tcMar>
            <w:vAlign w:val="bottom"/>
          </w:tcPr>
          <w:p w14:paraId="564DBF1D" w14:textId="77777777" w:rsidR="00FA4226" w:rsidRPr="00CA2CC1" w:rsidRDefault="00FA4226" w:rsidP="0043303B">
            <w:pPr>
              <w:pStyle w:val="TableParagraph"/>
              <w:spacing w:before="5"/>
              <w:rPr>
                <w:rFonts w:cs="Calibri"/>
                <w:sz w:val="19"/>
              </w:rPr>
            </w:pPr>
          </w:p>
          <w:p w14:paraId="7FA99BE4" w14:textId="77777777" w:rsidR="00FA4226" w:rsidRPr="00CA2CC1" w:rsidRDefault="00000000" w:rsidP="0043303B">
            <w:pPr>
              <w:pStyle w:val="TableParagraph"/>
              <w:rPr>
                <w:rFonts w:cs="Calibri"/>
                <w:sz w:val="17"/>
              </w:rPr>
            </w:pPr>
            <w:r w:rsidRPr="00CA2CC1">
              <w:rPr>
                <w:rFonts w:cs="Calibri"/>
                <w:color w:val="F68C59"/>
                <w:spacing w:val="-2"/>
                <w:sz w:val="17"/>
              </w:rPr>
              <w:t xml:space="preserve">Correction </w:t>
            </w:r>
            <w:r w:rsidRPr="00CA2CC1">
              <w:rPr>
                <w:rFonts w:cs="Calibri"/>
                <w:color w:val="F68C59"/>
                <w:sz w:val="17"/>
              </w:rPr>
              <w:t>of</w:t>
            </w:r>
            <w:r w:rsidRPr="00CA2CC1">
              <w:rPr>
                <w:rFonts w:cs="Calibri"/>
                <w:color w:val="F68C59"/>
                <w:spacing w:val="-12"/>
                <w:sz w:val="17"/>
              </w:rPr>
              <w:t xml:space="preserve"> </w:t>
            </w:r>
            <w:r w:rsidRPr="00CA2CC1">
              <w:rPr>
                <w:rFonts w:cs="Calibri"/>
                <w:color w:val="F68C59"/>
                <w:sz w:val="17"/>
              </w:rPr>
              <w:t xml:space="preserve">interest </w:t>
            </w:r>
            <w:r w:rsidRPr="00CA2CC1">
              <w:rPr>
                <w:rFonts w:cs="Calibri"/>
                <w:color w:val="F68C59"/>
                <w:spacing w:val="-2"/>
                <w:sz w:val="17"/>
              </w:rPr>
              <w:t>expense</w:t>
            </w:r>
          </w:p>
          <w:p w14:paraId="28CE6A4C" w14:textId="77777777" w:rsidR="00FA4226" w:rsidRPr="00CA2CC1" w:rsidRDefault="00000000" w:rsidP="0043303B">
            <w:pPr>
              <w:pStyle w:val="TableParagraph"/>
              <w:rPr>
                <w:rFonts w:cs="Calibri"/>
                <w:sz w:val="17"/>
              </w:rPr>
            </w:pPr>
            <w:r w:rsidRPr="00CA2CC1">
              <w:rPr>
                <w:rFonts w:cs="Calibri"/>
                <w:color w:val="F68C59"/>
                <w:spacing w:val="-2"/>
                <w:sz w:val="17"/>
              </w:rPr>
              <w:t>error</w:t>
            </w:r>
          </w:p>
          <w:p w14:paraId="11D0B1D1" w14:textId="77777777" w:rsidR="00FA4226" w:rsidRPr="00CA2CC1" w:rsidRDefault="00000000" w:rsidP="0043303B">
            <w:pPr>
              <w:pStyle w:val="TableParagraph"/>
              <w:spacing w:before="2"/>
              <w:rPr>
                <w:rFonts w:cs="Calibri"/>
                <w:sz w:val="17"/>
              </w:rPr>
            </w:pPr>
            <w:r w:rsidRPr="00CA2CC1">
              <w:rPr>
                <w:rFonts w:cs="Calibri"/>
                <w:color w:val="F68C59"/>
                <w:sz w:val="17"/>
              </w:rPr>
              <w:t>$</w:t>
            </w:r>
          </w:p>
        </w:tc>
        <w:tc>
          <w:tcPr>
            <w:tcW w:w="1247" w:type="dxa"/>
            <w:tcBorders>
              <w:top w:val="nil"/>
              <w:left w:val="single" w:sz="8" w:space="0" w:color="FFFFFF"/>
              <w:right w:val="nil"/>
            </w:tcBorders>
            <w:shd w:val="clear" w:color="auto" w:fill="FFF0E7"/>
            <w:tcMar>
              <w:right w:w="57" w:type="dxa"/>
            </w:tcMar>
            <w:vAlign w:val="bottom"/>
          </w:tcPr>
          <w:p w14:paraId="0E4247FD" w14:textId="77777777" w:rsidR="00FA4226" w:rsidRPr="00CA2CC1" w:rsidRDefault="00000000" w:rsidP="0043303B">
            <w:pPr>
              <w:pStyle w:val="TableParagraph"/>
              <w:spacing w:before="125"/>
              <w:rPr>
                <w:rFonts w:cs="Calibri"/>
                <w:sz w:val="17"/>
              </w:rPr>
            </w:pPr>
            <w:r w:rsidRPr="00CA2CC1">
              <w:rPr>
                <w:rFonts w:cs="Calibri"/>
                <w:color w:val="F68C59"/>
                <w:spacing w:val="-4"/>
                <w:sz w:val="17"/>
              </w:rPr>
              <w:t>2022</w:t>
            </w:r>
          </w:p>
          <w:p w14:paraId="1FD07D12" w14:textId="77777777" w:rsidR="00FA4226" w:rsidRPr="00CA2CC1" w:rsidRDefault="00000000" w:rsidP="0043303B">
            <w:pPr>
              <w:pStyle w:val="TableParagraph"/>
              <w:spacing w:before="108"/>
              <w:rPr>
                <w:rFonts w:cs="Calibri"/>
                <w:sz w:val="17"/>
              </w:rPr>
            </w:pPr>
            <w:r w:rsidRPr="00CA2CC1">
              <w:rPr>
                <w:rFonts w:cs="Calibri"/>
                <w:color w:val="F68C59"/>
                <w:spacing w:val="-2"/>
                <w:sz w:val="17"/>
              </w:rPr>
              <w:t>(previously presented balance)</w:t>
            </w:r>
          </w:p>
          <w:p w14:paraId="1C5ACBF2" w14:textId="77777777" w:rsidR="00FA4226" w:rsidRPr="00CA2CC1" w:rsidRDefault="00000000" w:rsidP="0043303B">
            <w:pPr>
              <w:pStyle w:val="TableParagraph"/>
              <w:spacing w:before="5"/>
              <w:rPr>
                <w:rFonts w:cs="Calibri"/>
                <w:sz w:val="17"/>
              </w:rPr>
            </w:pPr>
            <w:r w:rsidRPr="00CA2CC1">
              <w:rPr>
                <w:rFonts w:cs="Calibri"/>
                <w:color w:val="F68C59"/>
                <w:sz w:val="17"/>
              </w:rPr>
              <w:t>$</w:t>
            </w:r>
          </w:p>
        </w:tc>
      </w:tr>
      <w:tr w:rsidR="00FA4226" w:rsidRPr="00CA2CC1" w14:paraId="70AB4CDA" w14:textId="77777777" w:rsidTr="00081F41">
        <w:trPr>
          <w:trHeight w:val="569"/>
        </w:trPr>
        <w:tc>
          <w:tcPr>
            <w:tcW w:w="3402" w:type="dxa"/>
            <w:tcBorders>
              <w:left w:val="nil"/>
              <w:bottom w:val="single" w:sz="2" w:space="0" w:color="73777A"/>
              <w:right w:val="nil"/>
            </w:tcBorders>
          </w:tcPr>
          <w:p w14:paraId="02AC1580" w14:textId="77777777" w:rsidR="00FA4226" w:rsidRPr="00CA2CC1" w:rsidRDefault="00000000" w:rsidP="0043303B">
            <w:pPr>
              <w:pStyle w:val="TableParagraph"/>
              <w:jc w:val="left"/>
              <w:rPr>
                <w:rFonts w:cs="Calibri"/>
                <w:sz w:val="18"/>
              </w:rPr>
            </w:pPr>
            <w:r w:rsidRPr="00CA2CC1">
              <w:rPr>
                <w:rFonts w:cs="Calibri"/>
                <w:color w:val="F68C59"/>
                <w:spacing w:val="-2"/>
                <w:sz w:val="18"/>
              </w:rPr>
              <w:t>Assets</w:t>
            </w:r>
          </w:p>
          <w:p w14:paraId="1EC18E5E" w14:textId="77777777" w:rsidR="00FA4226" w:rsidRPr="00CA2CC1" w:rsidRDefault="00000000" w:rsidP="0043303B">
            <w:pPr>
              <w:pStyle w:val="TableParagraph"/>
              <w:spacing w:before="41"/>
              <w:jc w:val="left"/>
              <w:rPr>
                <w:rFonts w:cs="Calibri"/>
                <w:sz w:val="18"/>
              </w:rPr>
            </w:pPr>
            <w:r w:rsidRPr="00CA2CC1">
              <w:rPr>
                <w:rFonts w:cs="Calibri"/>
                <w:color w:val="F68C59"/>
                <w:sz w:val="18"/>
              </w:rPr>
              <w:t>Financial</w:t>
            </w:r>
            <w:r w:rsidRPr="00CA2CC1">
              <w:rPr>
                <w:rFonts w:cs="Calibri"/>
                <w:color w:val="F68C59"/>
                <w:spacing w:val="12"/>
                <w:sz w:val="18"/>
              </w:rPr>
              <w:t xml:space="preserve"> </w:t>
            </w:r>
            <w:r w:rsidRPr="00CA2CC1">
              <w:rPr>
                <w:rFonts w:cs="Calibri"/>
                <w:color w:val="F68C59"/>
                <w:spacing w:val="-2"/>
                <w:sz w:val="18"/>
              </w:rPr>
              <w:t>assets</w:t>
            </w:r>
          </w:p>
        </w:tc>
        <w:tc>
          <w:tcPr>
            <w:tcW w:w="1247" w:type="dxa"/>
            <w:tcBorders>
              <w:left w:val="nil"/>
              <w:bottom w:val="single" w:sz="2" w:space="0" w:color="73777A"/>
              <w:right w:val="single" w:sz="8" w:space="0" w:color="FFFFFF"/>
            </w:tcBorders>
            <w:shd w:val="clear" w:color="auto" w:fill="FFF0E7"/>
            <w:tcMar>
              <w:right w:w="57" w:type="dxa"/>
            </w:tcMar>
          </w:tcPr>
          <w:p w14:paraId="027F6ED7" w14:textId="77777777" w:rsidR="00FA4226" w:rsidRPr="00CA2CC1" w:rsidRDefault="00FA4226" w:rsidP="0043303B">
            <w:pPr>
              <w:pStyle w:val="TableParagraph"/>
              <w:jc w:val="left"/>
              <w:rPr>
                <w:rFonts w:cs="Calibri"/>
                <w:sz w:val="16"/>
              </w:rPr>
            </w:pPr>
          </w:p>
        </w:tc>
        <w:tc>
          <w:tcPr>
            <w:tcW w:w="1247" w:type="dxa"/>
            <w:tcBorders>
              <w:left w:val="single" w:sz="8" w:space="0" w:color="FFFFFF"/>
              <w:bottom w:val="single" w:sz="2" w:space="0" w:color="73777A"/>
              <w:right w:val="single" w:sz="8" w:space="0" w:color="FFFFFF"/>
            </w:tcBorders>
            <w:shd w:val="clear" w:color="auto" w:fill="EDEFF0"/>
            <w:tcMar>
              <w:right w:w="57" w:type="dxa"/>
            </w:tcMar>
          </w:tcPr>
          <w:p w14:paraId="6DCBEB8B" w14:textId="77777777" w:rsidR="00FA4226" w:rsidRPr="00CA2CC1" w:rsidRDefault="00FA4226" w:rsidP="0043303B">
            <w:pPr>
              <w:pStyle w:val="TableParagraph"/>
              <w:jc w:val="left"/>
              <w:rPr>
                <w:rFonts w:cs="Calibri"/>
                <w:sz w:val="16"/>
              </w:rPr>
            </w:pPr>
          </w:p>
        </w:tc>
        <w:tc>
          <w:tcPr>
            <w:tcW w:w="1247" w:type="dxa"/>
            <w:tcBorders>
              <w:left w:val="single" w:sz="8" w:space="0" w:color="FFFFFF"/>
              <w:bottom w:val="single" w:sz="2" w:space="0" w:color="73777A"/>
              <w:right w:val="single" w:sz="8" w:space="0" w:color="FFFFFF"/>
            </w:tcBorders>
            <w:shd w:val="clear" w:color="auto" w:fill="FFF0E7"/>
            <w:tcMar>
              <w:right w:w="57" w:type="dxa"/>
            </w:tcMar>
          </w:tcPr>
          <w:p w14:paraId="4318319A" w14:textId="77777777" w:rsidR="00FA4226" w:rsidRPr="00CA2CC1" w:rsidRDefault="00FA4226" w:rsidP="0043303B">
            <w:pPr>
              <w:pStyle w:val="TableParagraph"/>
              <w:jc w:val="left"/>
              <w:rPr>
                <w:rFonts w:cs="Calibri"/>
                <w:sz w:val="16"/>
              </w:rPr>
            </w:pPr>
          </w:p>
        </w:tc>
        <w:tc>
          <w:tcPr>
            <w:tcW w:w="1247" w:type="dxa"/>
            <w:tcBorders>
              <w:left w:val="single" w:sz="8" w:space="0" w:color="FFFFFF"/>
              <w:bottom w:val="single" w:sz="2" w:space="0" w:color="73777A"/>
              <w:right w:val="single" w:sz="8" w:space="0" w:color="FFFFFF"/>
            </w:tcBorders>
            <w:shd w:val="clear" w:color="auto" w:fill="EDEFF0"/>
            <w:tcMar>
              <w:right w:w="57" w:type="dxa"/>
            </w:tcMar>
          </w:tcPr>
          <w:p w14:paraId="1233C654" w14:textId="77777777" w:rsidR="00FA4226" w:rsidRPr="00CA2CC1" w:rsidRDefault="00FA4226" w:rsidP="0043303B">
            <w:pPr>
              <w:pStyle w:val="TableParagraph"/>
              <w:jc w:val="left"/>
              <w:rPr>
                <w:rFonts w:cs="Calibri"/>
                <w:sz w:val="16"/>
              </w:rPr>
            </w:pPr>
          </w:p>
        </w:tc>
        <w:tc>
          <w:tcPr>
            <w:tcW w:w="1247" w:type="dxa"/>
            <w:tcBorders>
              <w:left w:val="single" w:sz="8" w:space="0" w:color="FFFFFF"/>
              <w:bottom w:val="single" w:sz="2" w:space="0" w:color="73777A"/>
              <w:right w:val="nil"/>
            </w:tcBorders>
            <w:shd w:val="clear" w:color="auto" w:fill="FFF0E7"/>
            <w:tcMar>
              <w:right w:w="57" w:type="dxa"/>
            </w:tcMar>
          </w:tcPr>
          <w:p w14:paraId="674C2EC6" w14:textId="77777777" w:rsidR="00FA4226" w:rsidRPr="00CA2CC1" w:rsidRDefault="00FA4226" w:rsidP="0043303B">
            <w:pPr>
              <w:pStyle w:val="TableParagraph"/>
              <w:jc w:val="left"/>
              <w:rPr>
                <w:rFonts w:cs="Calibri"/>
                <w:sz w:val="16"/>
              </w:rPr>
            </w:pPr>
          </w:p>
        </w:tc>
      </w:tr>
      <w:tr w:rsidR="00FA4226" w:rsidRPr="00CA2CC1" w14:paraId="3F84B967" w14:textId="77777777" w:rsidTr="00081F41">
        <w:trPr>
          <w:trHeight w:val="283"/>
        </w:trPr>
        <w:tc>
          <w:tcPr>
            <w:tcW w:w="3402" w:type="dxa"/>
            <w:tcBorders>
              <w:top w:val="single" w:sz="2" w:space="0" w:color="73777A"/>
              <w:left w:val="nil"/>
              <w:bottom w:val="single" w:sz="2" w:space="0" w:color="73777A"/>
              <w:right w:val="nil"/>
            </w:tcBorders>
          </w:tcPr>
          <w:p w14:paraId="76B028C0" w14:textId="77777777" w:rsidR="00FA4226" w:rsidRPr="00CA2CC1" w:rsidRDefault="00000000" w:rsidP="0043303B">
            <w:pPr>
              <w:pStyle w:val="TableParagraph"/>
              <w:jc w:val="left"/>
              <w:rPr>
                <w:rFonts w:cs="Calibri"/>
                <w:sz w:val="18"/>
              </w:rPr>
            </w:pPr>
            <w:r w:rsidRPr="00CA2CC1">
              <w:rPr>
                <w:rFonts w:cs="Calibri"/>
                <w:color w:val="414042"/>
                <w:spacing w:val="-2"/>
                <w:sz w:val="18"/>
              </w:rPr>
              <w:t>Receivables</w:t>
            </w:r>
          </w:p>
        </w:tc>
        <w:tc>
          <w:tcPr>
            <w:tcW w:w="1247" w:type="dxa"/>
            <w:tcBorders>
              <w:top w:val="single" w:sz="2" w:space="0" w:color="73777A"/>
              <w:left w:val="nil"/>
              <w:bottom w:val="single" w:sz="2" w:space="0" w:color="73777A"/>
              <w:right w:val="single" w:sz="8" w:space="0" w:color="FFFFFF"/>
            </w:tcBorders>
            <w:shd w:val="clear" w:color="auto" w:fill="FFF0E7"/>
            <w:tcMar>
              <w:right w:w="57" w:type="dxa"/>
            </w:tcMar>
          </w:tcPr>
          <w:p w14:paraId="5F183A9F" w14:textId="77777777" w:rsidR="00FA4226" w:rsidRPr="00CA2CC1" w:rsidRDefault="00000000" w:rsidP="0043303B">
            <w:pPr>
              <w:pStyle w:val="TableParagraph"/>
              <w:rPr>
                <w:rFonts w:cs="Calibri"/>
                <w:sz w:val="18"/>
              </w:rPr>
            </w:pPr>
            <w:r w:rsidRPr="00CA2CC1">
              <w:rPr>
                <w:rFonts w:cs="Calibri"/>
                <w:color w:val="414042"/>
                <w:spacing w:val="-2"/>
                <w:sz w:val="18"/>
              </w:rPr>
              <w:t>3,363,630</w:t>
            </w:r>
          </w:p>
        </w:tc>
        <w:tc>
          <w:tcPr>
            <w:tcW w:w="1247" w:type="dxa"/>
            <w:tcBorders>
              <w:top w:val="single" w:sz="2" w:space="0" w:color="73777A"/>
              <w:left w:val="single" w:sz="8" w:space="0" w:color="FFFFFF"/>
              <w:bottom w:val="single" w:sz="2" w:space="0" w:color="73777A"/>
              <w:right w:val="single" w:sz="8" w:space="0" w:color="FFFFFF"/>
            </w:tcBorders>
            <w:shd w:val="clear" w:color="auto" w:fill="EDEFF0"/>
            <w:tcMar>
              <w:right w:w="57" w:type="dxa"/>
            </w:tcMar>
          </w:tcPr>
          <w:p w14:paraId="3F8DBCC1" w14:textId="77777777" w:rsidR="00FA4226" w:rsidRPr="00CA2CC1" w:rsidRDefault="00000000" w:rsidP="0043303B">
            <w:pPr>
              <w:pStyle w:val="TableParagraph"/>
              <w:rPr>
                <w:rFonts w:cs="Calibri"/>
                <w:sz w:val="18"/>
              </w:rPr>
            </w:pPr>
            <w:r w:rsidRPr="00CA2CC1">
              <w:rPr>
                <w:rFonts w:cs="Calibri"/>
                <w:color w:val="414042"/>
                <w:spacing w:val="-2"/>
                <w:sz w:val="18"/>
              </w:rPr>
              <w:t>3,472,850</w:t>
            </w:r>
          </w:p>
        </w:tc>
        <w:tc>
          <w:tcPr>
            <w:tcW w:w="1247" w:type="dxa"/>
            <w:tcBorders>
              <w:top w:val="single" w:sz="2" w:space="0" w:color="73777A"/>
              <w:left w:val="single" w:sz="8" w:space="0" w:color="FFFFFF"/>
              <w:bottom w:val="single" w:sz="2" w:space="0" w:color="73777A"/>
              <w:right w:val="single" w:sz="8" w:space="0" w:color="FFFFFF"/>
            </w:tcBorders>
            <w:shd w:val="clear" w:color="auto" w:fill="FFF0E7"/>
            <w:tcMar>
              <w:right w:w="57" w:type="dxa"/>
            </w:tcMar>
          </w:tcPr>
          <w:p w14:paraId="3B8F0D88" w14:textId="77777777" w:rsidR="00FA4226" w:rsidRPr="00CA2CC1" w:rsidRDefault="00000000" w:rsidP="0043303B">
            <w:pPr>
              <w:pStyle w:val="TableParagraph"/>
              <w:rPr>
                <w:rFonts w:cs="Calibri"/>
                <w:sz w:val="18"/>
              </w:rPr>
            </w:pPr>
            <w:r w:rsidRPr="00CA2CC1">
              <w:rPr>
                <w:rFonts w:cs="Calibri"/>
                <w:color w:val="414042"/>
                <w:sz w:val="18"/>
              </w:rPr>
              <w:t>-</w:t>
            </w:r>
          </w:p>
        </w:tc>
        <w:tc>
          <w:tcPr>
            <w:tcW w:w="1247" w:type="dxa"/>
            <w:tcBorders>
              <w:top w:val="single" w:sz="2" w:space="0" w:color="73777A"/>
              <w:left w:val="single" w:sz="8" w:space="0" w:color="FFFFFF"/>
              <w:bottom w:val="single" w:sz="2" w:space="0" w:color="73777A"/>
              <w:right w:val="single" w:sz="8" w:space="0" w:color="FFFFFF"/>
            </w:tcBorders>
            <w:shd w:val="clear" w:color="auto" w:fill="EDEFF0"/>
            <w:tcMar>
              <w:right w:w="57" w:type="dxa"/>
            </w:tcMar>
          </w:tcPr>
          <w:p w14:paraId="7A06F6F1" w14:textId="77777777" w:rsidR="00FA4226" w:rsidRPr="00CA2CC1" w:rsidRDefault="00000000" w:rsidP="0043303B">
            <w:pPr>
              <w:pStyle w:val="TableParagraph"/>
              <w:rPr>
                <w:rFonts w:cs="Calibri"/>
                <w:sz w:val="18"/>
              </w:rPr>
            </w:pPr>
            <w:r w:rsidRPr="00CA2CC1">
              <w:rPr>
                <w:rFonts w:cs="Calibri"/>
                <w:color w:val="414042"/>
                <w:sz w:val="18"/>
              </w:rPr>
              <w:t>-</w:t>
            </w:r>
          </w:p>
        </w:tc>
        <w:tc>
          <w:tcPr>
            <w:tcW w:w="1247" w:type="dxa"/>
            <w:tcBorders>
              <w:top w:val="single" w:sz="2" w:space="0" w:color="73777A"/>
              <w:left w:val="single" w:sz="8" w:space="0" w:color="FFFFFF"/>
              <w:bottom w:val="single" w:sz="2" w:space="0" w:color="73777A"/>
              <w:right w:val="nil"/>
            </w:tcBorders>
            <w:shd w:val="clear" w:color="auto" w:fill="FFF0E7"/>
            <w:tcMar>
              <w:right w:w="57" w:type="dxa"/>
            </w:tcMar>
          </w:tcPr>
          <w:p w14:paraId="783C61E6" w14:textId="77777777" w:rsidR="00FA4226" w:rsidRPr="00CA2CC1" w:rsidRDefault="00000000" w:rsidP="0043303B">
            <w:pPr>
              <w:pStyle w:val="TableParagraph"/>
              <w:rPr>
                <w:rFonts w:cs="Calibri"/>
                <w:sz w:val="18"/>
              </w:rPr>
            </w:pPr>
            <w:r w:rsidRPr="00CA2CC1">
              <w:rPr>
                <w:rFonts w:cs="Calibri"/>
                <w:color w:val="414042"/>
                <w:spacing w:val="-2"/>
                <w:sz w:val="18"/>
              </w:rPr>
              <w:t>3,472,850</w:t>
            </w:r>
          </w:p>
        </w:tc>
      </w:tr>
      <w:tr w:rsidR="00FA4226" w:rsidRPr="00CA2CC1" w14:paraId="1F7B80B6" w14:textId="77777777" w:rsidTr="00081F41">
        <w:trPr>
          <w:trHeight w:val="278"/>
        </w:trPr>
        <w:tc>
          <w:tcPr>
            <w:tcW w:w="3402" w:type="dxa"/>
            <w:tcBorders>
              <w:top w:val="single" w:sz="2" w:space="0" w:color="73777A"/>
              <w:left w:val="nil"/>
              <w:bottom w:val="single" w:sz="6" w:space="0" w:color="73777A"/>
              <w:right w:val="nil"/>
            </w:tcBorders>
          </w:tcPr>
          <w:p w14:paraId="61C98034" w14:textId="77777777" w:rsidR="00FA4226" w:rsidRPr="00CA2CC1" w:rsidRDefault="00000000" w:rsidP="0043303B">
            <w:pPr>
              <w:pStyle w:val="TableParagraph"/>
              <w:jc w:val="left"/>
              <w:rPr>
                <w:rFonts w:cs="Calibri"/>
                <w:sz w:val="18"/>
              </w:rPr>
            </w:pPr>
            <w:r w:rsidRPr="00CA2CC1">
              <w:rPr>
                <w:rFonts w:cs="Calibri"/>
                <w:color w:val="414042"/>
                <w:sz w:val="18"/>
              </w:rPr>
              <w:t>Total</w:t>
            </w:r>
            <w:r w:rsidRPr="00CA2CC1">
              <w:rPr>
                <w:rFonts w:cs="Calibri"/>
                <w:color w:val="414042"/>
                <w:spacing w:val="-2"/>
                <w:sz w:val="18"/>
              </w:rPr>
              <w:t xml:space="preserve"> </w:t>
            </w:r>
            <w:r w:rsidRPr="00CA2CC1">
              <w:rPr>
                <w:rFonts w:cs="Calibri"/>
                <w:color w:val="414042"/>
                <w:sz w:val="18"/>
              </w:rPr>
              <w:t>financial</w:t>
            </w:r>
            <w:r w:rsidRPr="00CA2CC1">
              <w:rPr>
                <w:rFonts w:cs="Calibri"/>
                <w:color w:val="414042"/>
                <w:spacing w:val="2"/>
                <w:sz w:val="18"/>
              </w:rPr>
              <w:t xml:space="preserve"> </w:t>
            </w:r>
            <w:r w:rsidRPr="00CA2CC1">
              <w:rPr>
                <w:rFonts w:cs="Calibri"/>
                <w:color w:val="414042"/>
                <w:spacing w:val="-2"/>
                <w:sz w:val="18"/>
              </w:rPr>
              <w:t>assets</w:t>
            </w:r>
          </w:p>
        </w:tc>
        <w:tc>
          <w:tcPr>
            <w:tcW w:w="1247" w:type="dxa"/>
            <w:tcBorders>
              <w:top w:val="single" w:sz="2" w:space="0" w:color="73777A"/>
              <w:left w:val="nil"/>
              <w:bottom w:val="single" w:sz="6" w:space="0" w:color="73777A"/>
              <w:right w:val="single" w:sz="8" w:space="0" w:color="FFFFFF"/>
            </w:tcBorders>
            <w:shd w:val="clear" w:color="auto" w:fill="FFF0E7"/>
            <w:tcMar>
              <w:right w:w="57" w:type="dxa"/>
            </w:tcMar>
          </w:tcPr>
          <w:p w14:paraId="0A48384A" w14:textId="77777777" w:rsidR="00FA4226" w:rsidRPr="00CA2CC1" w:rsidRDefault="00000000" w:rsidP="0043303B">
            <w:pPr>
              <w:pStyle w:val="TableParagraph"/>
              <w:rPr>
                <w:rFonts w:cs="Calibri"/>
                <w:sz w:val="18"/>
              </w:rPr>
            </w:pPr>
            <w:r w:rsidRPr="00CA2CC1">
              <w:rPr>
                <w:rFonts w:cs="Calibri"/>
                <w:color w:val="414042"/>
                <w:spacing w:val="-2"/>
                <w:sz w:val="18"/>
              </w:rPr>
              <w:t>3,363,630</w:t>
            </w:r>
          </w:p>
        </w:tc>
        <w:tc>
          <w:tcPr>
            <w:tcW w:w="1247" w:type="dxa"/>
            <w:tcBorders>
              <w:top w:val="single" w:sz="2" w:space="0" w:color="73777A"/>
              <w:left w:val="single" w:sz="8" w:space="0" w:color="FFFFFF"/>
              <w:bottom w:val="single" w:sz="6" w:space="0" w:color="73777A"/>
              <w:right w:val="single" w:sz="8" w:space="0" w:color="FFFFFF"/>
            </w:tcBorders>
            <w:shd w:val="clear" w:color="auto" w:fill="EDEFF0"/>
            <w:tcMar>
              <w:right w:w="57" w:type="dxa"/>
            </w:tcMar>
          </w:tcPr>
          <w:p w14:paraId="0FA429DB" w14:textId="77777777" w:rsidR="00FA4226" w:rsidRPr="00CA2CC1" w:rsidRDefault="00000000" w:rsidP="0043303B">
            <w:pPr>
              <w:pStyle w:val="TableParagraph"/>
              <w:rPr>
                <w:rFonts w:cs="Calibri"/>
                <w:sz w:val="18"/>
              </w:rPr>
            </w:pPr>
            <w:r w:rsidRPr="00CA2CC1">
              <w:rPr>
                <w:rFonts w:cs="Calibri"/>
                <w:color w:val="414042"/>
                <w:spacing w:val="-2"/>
                <w:sz w:val="18"/>
              </w:rPr>
              <w:t>3,472,850</w:t>
            </w:r>
          </w:p>
        </w:tc>
        <w:tc>
          <w:tcPr>
            <w:tcW w:w="1247" w:type="dxa"/>
            <w:tcBorders>
              <w:top w:val="single" w:sz="2" w:space="0" w:color="73777A"/>
              <w:left w:val="single" w:sz="8" w:space="0" w:color="FFFFFF"/>
              <w:bottom w:val="single" w:sz="6" w:space="0" w:color="73777A"/>
              <w:right w:val="single" w:sz="8" w:space="0" w:color="FFFFFF"/>
            </w:tcBorders>
            <w:shd w:val="clear" w:color="auto" w:fill="FFF0E7"/>
            <w:tcMar>
              <w:right w:w="57" w:type="dxa"/>
            </w:tcMar>
          </w:tcPr>
          <w:p w14:paraId="27E6682A" w14:textId="77777777" w:rsidR="00FA4226" w:rsidRPr="00CA2CC1" w:rsidRDefault="00000000" w:rsidP="0043303B">
            <w:pPr>
              <w:pStyle w:val="TableParagraph"/>
              <w:rPr>
                <w:rFonts w:cs="Calibri"/>
                <w:sz w:val="18"/>
              </w:rPr>
            </w:pPr>
            <w:r w:rsidRPr="00CA2CC1">
              <w:rPr>
                <w:rFonts w:cs="Calibri"/>
                <w:color w:val="414042"/>
                <w:sz w:val="18"/>
              </w:rPr>
              <w:t>-</w:t>
            </w:r>
          </w:p>
        </w:tc>
        <w:tc>
          <w:tcPr>
            <w:tcW w:w="1247" w:type="dxa"/>
            <w:tcBorders>
              <w:top w:val="single" w:sz="2" w:space="0" w:color="73777A"/>
              <w:left w:val="single" w:sz="8" w:space="0" w:color="FFFFFF"/>
              <w:bottom w:val="single" w:sz="6" w:space="0" w:color="73777A"/>
              <w:right w:val="single" w:sz="8" w:space="0" w:color="FFFFFF"/>
            </w:tcBorders>
            <w:shd w:val="clear" w:color="auto" w:fill="EDEFF0"/>
            <w:tcMar>
              <w:right w:w="57" w:type="dxa"/>
            </w:tcMar>
          </w:tcPr>
          <w:p w14:paraId="4D36D02D" w14:textId="77777777" w:rsidR="00FA4226" w:rsidRPr="00CA2CC1" w:rsidRDefault="00000000" w:rsidP="0043303B">
            <w:pPr>
              <w:pStyle w:val="TableParagraph"/>
              <w:rPr>
                <w:rFonts w:cs="Calibri"/>
                <w:sz w:val="18"/>
              </w:rPr>
            </w:pPr>
            <w:r w:rsidRPr="00CA2CC1">
              <w:rPr>
                <w:rFonts w:cs="Calibri"/>
                <w:color w:val="414042"/>
                <w:sz w:val="18"/>
              </w:rPr>
              <w:t>-</w:t>
            </w:r>
          </w:p>
        </w:tc>
        <w:tc>
          <w:tcPr>
            <w:tcW w:w="1247" w:type="dxa"/>
            <w:tcBorders>
              <w:top w:val="single" w:sz="2" w:space="0" w:color="73777A"/>
              <w:left w:val="single" w:sz="8" w:space="0" w:color="FFFFFF"/>
              <w:bottom w:val="single" w:sz="6" w:space="0" w:color="73777A"/>
              <w:right w:val="nil"/>
            </w:tcBorders>
            <w:shd w:val="clear" w:color="auto" w:fill="FFF0E7"/>
            <w:tcMar>
              <w:right w:w="57" w:type="dxa"/>
            </w:tcMar>
          </w:tcPr>
          <w:p w14:paraId="4ADD1BAC" w14:textId="77777777" w:rsidR="00FA4226" w:rsidRPr="00CA2CC1" w:rsidRDefault="00000000" w:rsidP="0043303B">
            <w:pPr>
              <w:pStyle w:val="TableParagraph"/>
              <w:rPr>
                <w:rFonts w:cs="Calibri"/>
                <w:sz w:val="18"/>
              </w:rPr>
            </w:pPr>
            <w:r w:rsidRPr="00CA2CC1">
              <w:rPr>
                <w:rFonts w:cs="Calibri"/>
                <w:color w:val="414042"/>
                <w:spacing w:val="-2"/>
                <w:sz w:val="18"/>
              </w:rPr>
              <w:t>3,472,850</w:t>
            </w:r>
          </w:p>
        </w:tc>
      </w:tr>
      <w:tr w:rsidR="00FA4226" w:rsidRPr="00CA2CC1" w14:paraId="011FA262" w14:textId="77777777" w:rsidTr="00081F41">
        <w:trPr>
          <w:trHeight w:val="278"/>
        </w:trPr>
        <w:tc>
          <w:tcPr>
            <w:tcW w:w="3402" w:type="dxa"/>
            <w:tcBorders>
              <w:top w:val="single" w:sz="6" w:space="0" w:color="73777A"/>
              <w:left w:val="nil"/>
              <w:bottom w:val="single" w:sz="2" w:space="0" w:color="73777A"/>
              <w:right w:val="nil"/>
            </w:tcBorders>
          </w:tcPr>
          <w:p w14:paraId="600576D2" w14:textId="77777777" w:rsidR="00FA4226" w:rsidRPr="00CA2CC1" w:rsidRDefault="00000000" w:rsidP="0043303B">
            <w:pPr>
              <w:pStyle w:val="TableParagraph"/>
              <w:jc w:val="left"/>
              <w:rPr>
                <w:rFonts w:cs="Calibri"/>
                <w:sz w:val="18"/>
              </w:rPr>
            </w:pPr>
            <w:r w:rsidRPr="00CA2CC1">
              <w:rPr>
                <w:rFonts w:cs="Calibri"/>
                <w:color w:val="F68C59"/>
                <w:sz w:val="18"/>
              </w:rPr>
              <w:t>Non-financial</w:t>
            </w:r>
            <w:r w:rsidRPr="00CA2CC1">
              <w:rPr>
                <w:rFonts w:cs="Calibri"/>
                <w:color w:val="F68C59"/>
                <w:spacing w:val="15"/>
                <w:sz w:val="18"/>
              </w:rPr>
              <w:t xml:space="preserve"> </w:t>
            </w:r>
            <w:r w:rsidRPr="00CA2CC1">
              <w:rPr>
                <w:rFonts w:cs="Calibri"/>
                <w:color w:val="F68C59"/>
                <w:spacing w:val="-2"/>
                <w:sz w:val="18"/>
              </w:rPr>
              <w:t>assets</w:t>
            </w:r>
          </w:p>
        </w:tc>
        <w:tc>
          <w:tcPr>
            <w:tcW w:w="1247" w:type="dxa"/>
            <w:tcBorders>
              <w:top w:val="single" w:sz="6" w:space="0" w:color="73777A"/>
              <w:left w:val="nil"/>
              <w:bottom w:val="single" w:sz="2" w:space="0" w:color="73777A"/>
              <w:right w:val="single" w:sz="8" w:space="0" w:color="FFFFFF"/>
            </w:tcBorders>
            <w:shd w:val="clear" w:color="auto" w:fill="FFF0E7"/>
            <w:tcMar>
              <w:right w:w="57" w:type="dxa"/>
            </w:tcMar>
          </w:tcPr>
          <w:p w14:paraId="4CAC32AD" w14:textId="77777777" w:rsidR="00FA4226" w:rsidRPr="00CA2CC1" w:rsidRDefault="00FA4226" w:rsidP="0043303B">
            <w:pPr>
              <w:pStyle w:val="TableParagraph"/>
              <w:jc w:val="left"/>
              <w:rPr>
                <w:rFonts w:cs="Calibri"/>
                <w:sz w:val="16"/>
              </w:rPr>
            </w:pPr>
          </w:p>
        </w:tc>
        <w:tc>
          <w:tcPr>
            <w:tcW w:w="1247" w:type="dxa"/>
            <w:tcBorders>
              <w:top w:val="single" w:sz="6" w:space="0" w:color="73777A"/>
              <w:left w:val="single" w:sz="8" w:space="0" w:color="FFFFFF"/>
              <w:bottom w:val="single" w:sz="2" w:space="0" w:color="73777A"/>
              <w:right w:val="single" w:sz="8" w:space="0" w:color="FFFFFF"/>
            </w:tcBorders>
            <w:shd w:val="clear" w:color="auto" w:fill="EDEFF0"/>
            <w:tcMar>
              <w:right w:w="57" w:type="dxa"/>
            </w:tcMar>
          </w:tcPr>
          <w:p w14:paraId="0520EF44" w14:textId="77777777" w:rsidR="00FA4226" w:rsidRPr="00CA2CC1" w:rsidRDefault="00FA4226" w:rsidP="0043303B">
            <w:pPr>
              <w:pStyle w:val="TableParagraph"/>
              <w:jc w:val="left"/>
              <w:rPr>
                <w:rFonts w:cs="Calibri"/>
                <w:sz w:val="16"/>
              </w:rPr>
            </w:pPr>
          </w:p>
        </w:tc>
        <w:tc>
          <w:tcPr>
            <w:tcW w:w="1247" w:type="dxa"/>
            <w:tcBorders>
              <w:top w:val="single" w:sz="6" w:space="0" w:color="73777A"/>
              <w:left w:val="single" w:sz="8" w:space="0" w:color="FFFFFF"/>
              <w:bottom w:val="single" w:sz="2" w:space="0" w:color="73777A"/>
              <w:right w:val="single" w:sz="8" w:space="0" w:color="FFFFFF"/>
            </w:tcBorders>
            <w:shd w:val="clear" w:color="auto" w:fill="FFF0E7"/>
            <w:tcMar>
              <w:right w:w="57" w:type="dxa"/>
            </w:tcMar>
          </w:tcPr>
          <w:p w14:paraId="5B87C411" w14:textId="77777777" w:rsidR="00FA4226" w:rsidRPr="00CA2CC1" w:rsidRDefault="00FA4226" w:rsidP="0043303B">
            <w:pPr>
              <w:pStyle w:val="TableParagraph"/>
              <w:jc w:val="left"/>
              <w:rPr>
                <w:rFonts w:cs="Calibri"/>
                <w:sz w:val="16"/>
              </w:rPr>
            </w:pPr>
          </w:p>
        </w:tc>
        <w:tc>
          <w:tcPr>
            <w:tcW w:w="1247" w:type="dxa"/>
            <w:tcBorders>
              <w:top w:val="single" w:sz="6" w:space="0" w:color="73777A"/>
              <w:left w:val="single" w:sz="8" w:space="0" w:color="FFFFFF"/>
              <w:bottom w:val="single" w:sz="2" w:space="0" w:color="73777A"/>
              <w:right w:val="single" w:sz="8" w:space="0" w:color="FFFFFF"/>
            </w:tcBorders>
            <w:shd w:val="clear" w:color="auto" w:fill="EDEFF0"/>
            <w:tcMar>
              <w:right w:w="57" w:type="dxa"/>
            </w:tcMar>
          </w:tcPr>
          <w:p w14:paraId="02799B25" w14:textId="77777777" w:rsidR="00FA4226" w:rsidRPr="00CA2CC1" w:rsidRDefault="00FA4226" w:rsidP="0043303B">
            <w:pPr>
              <w:pStyle w:val="TableParagraph"/>
              <w:jc w:val="left"/>
              <w:rPr>
                <w:rFonts w:cs="Calibri"/>
                <w:sz w:val="16"/>
              </w:rPr>
            </w:pPr>
          </w:p>
        </w:tc>
        <w:tc>
          <w:tcPr>
            <w:tcW w:w="1247" w:type="dxa"/>
            <w:tcBorders>
              <w:top w:val="single" w:sz="6" w:space="0" w:color="73777A"/>
              <w:left w:val="single" w:sz="8" w:space="0" w:color="FFFFFF"/>
              <w:bottom w:val="single" w:sz="2" w:space="0" w:color="73777A"/>
              <w:right w:val="nil"/>
            </w:tcBorders>
            <w:shd w:val="clear" w:color="auto" w:fill="FFF0E7"/>
            <w:tcMar>
              <w:right w:w="57" w:type="dxa"/>
            </w:tcMar>
          </w:tcPr>
          <w:p w14:paraId="0E417B30" w14:textId="77777777" w:rsidR="00FA4226" w:rsidRPr="00CA2CC1" w:rsidRDefault="00FA4226" w:rsidP="0043303B">
            <w:pPr>
              <w:pStyle w:val="TableParagraph"/>
              <w:jc w:val="left"/>
              <w:rPr>
                <w:rFonts w:cs="Calibri"/>
                <w:sz w:val="16"/>
              </w:rPr>
            </w:pPr>
          </w:p>
        </w:tc>
      </w:tr>
      <w:tr w:rsidR="00FA4226" w:rsidRPr="00CA2CC1" w14:paraId="46010AA2" w14:textId="77777777" w:rsidTr="00081F41">
        <w:trPr>
          <w:trHeight w:val="283"/>
        </w:trPr>
        <w:tc>
          <w:tcPr>
            <w:tcW w:w="3402" w:type="dxa"/>
            <w:tcBorders>
              <w:top w:val="single" w:sz="2" w:space="0" w:color="73777A"/>
              <w:left w:val="nil"/>
              <w:bottom w:val="single" w:sz="2" w:space="0" w:color="73777A"/>
              <w:right w:val="nil"/>
            </w:tcBorders>
          </w:tcPr>
          <w:p w14:paraId="35A527B9" w14:textId="77777777" w:rsidR="00FA4226" w:rsidRPr="00CA2CC1" w:rsidRDefault="00000000" w:rsidP="0043303B">
            <w:pPr>
              <w:pStyle w:val="TableParagraph"/>
              <w:jc w:val="left"/>
              <w:rPr>
                <w:rFonts w:cs="Calibri"/>
                <w:sz w:val="18"/>
              </w:rPr>
            </w:pPr>
            <w:r w:rsidRPr="00CA2CC1">
              <w:rPr>
                <w:rFonts w:cs="Calibri"/>
                <w:color w:val="414042"/>
                <w:spacing w:val="-2"/>
                <w:sz w:val="18"/>
              </w:rPr>
              <w:t>Prepayments</w:t>
            </w:r>
          </w:p>
        </w:tc>
        <w:tc>
          <w:tcPr>
            <w:tcW w:w="1247" w:type="dxa"/>
            <w:tcBorders>
              <w:top w:val="single" w:sz="2" w:space="0" w:color="73777A"/>
              <w:left w:val="nil"/>
              <w:bottom w:val="single" w:sz="2" w:space="0" w:color="73777A"/>
              <w:right w:val="single" w:sz="8" w:space="0" w:color="FFFFFF"/>
            </w:tcBorders>
            <w:shd w:val="clear" w:color="auto" w:fill="FFF0E7"/>
            <w:tcMar>
              <w:right w:w="57" w:type="dxa"/>
            </w:tcMar>
          </w:tcPr>
          <w:p w14:paraId="1BF1BECD" w14:textId="77777777" w:rsidR="00FA4226" w:rsidRPr="00CA2CC1" w:rsidRDefault="00000000" w:rsidP="0043303B">
            <w:pPr>
              <w:pStyle w:val="TableParagraph"/>
              <w:rPr>
                <w:rFonts w:cs="Calibri"/>
                <w:sz w:val="18"/>
              </w:rPr>
            </w:pPr>
            <w:r w:rsidRPr="00CA2CC1">
              <w:rPr>
                <w:rFonts w:cs="Calibri"/>
                <w:color w:val="414042"/>
                <w:spacing w:val="-2"/>
                <w:sz w:val="18"/>
              </w:rPr>
              <w:t>202,645</w:t>
            </w:r>
          </w:p>
        </w:tc>
        <w:tc>
          <w:tcPr>
            <w:tcW w:w="1247" w:type="dxa"/>
            <w:tcBorders>
              <w:top w:val="single" w:sz="2" w:space="0" w:color="73777A"/>
              <w:left w:val="single" w:sz="8" w:space="0" w:color="FFFFFF"/>
              <w:bottom w:val="single" w:sz="2" w:space="0" w:color="73777A"/>
              <w:right w:val="single" w:sz="8" w:space="0" w:color="FFFFFF"/>
            </w:tcBorders>
            <w:shd w:val="clear" w:color="auto" w:fill="EDEFF0"/>
            <w:tcMar>
              <w:right w:w="57" w:type="dxa"/>
            </w:tcMar>
          </w:tcPr>
          <w:p w14:paraId="24316E34" w14:textId="77777777" w:rsidR="00FA4226" w:rsidRPr="00CA2CC1" w:rsidRDefault="00000000" w:rsidP="0043303B">
            <w:pPr>
              <w:pStyle w:val="TableParagraph"/>
              <w:rPr>
                <w:rFonts w:cs="Calibri"/>
                <w:sz w:val="18"/>
              </w:rPr>
            </w:pPr>
            <w:r w:rsidRPr="00CA2CC1">
              <w:rPr>
                <w:rFonts w:cs="Calibri"/>
                <w:color w:val="414042"/>
                <w:spacing w:val="-2"/>
                <w:sz w:val="18"/>
              </w:rPr>
              <w:t>109,590</w:t>
            </w:r>
          </w:p>
        </w:tc>
        <w:tc>
          <w:tcPr>
            <w:tcW w:w="1247" w:type="dxa"/>
            <w:tcBorders>
              <w:top w:val="single" w:sz="2" w:space="0" w:color="73777A"/>
              <w:left w:val="single" w:sz="8" w:space="0" w:color="FFFFFF"/>
              <w:bottom w:val="single" w:sz="2" w:space="0" w:color="73777A"/>
              <w:right w:val="single" w:sz="8" w:space="0" w:color="FFFFFF"/>
            </w:tcBorders>
            <w:shd w:val="clear" w:color="auto" w:fill="FFF0E7"/>
            <w:tcMar>
              <w:right w:w="57" w:type="dxa"/>
            </w:tcMar>
          </w:tcPr>
          <w:p w14:paraId="175D8F6B" w14:textId="77777777" w:rsidR="00FA4226" w:rsidRPr="00CA2CC1" w:rsidRDefault="00000000" w:rsidP="0043303B">
            <w:pPr>
              <w:pStyle w:val="TableParagraph"/>
              <w:rPr>
                <w:rFonts w:cs="Calibri"/>
                <w:sz w:val="18"/>
              </w:rPr>
            </w:pPr>
            <w:r w:rsidRPr="00CA2CC1">
              <w:rPr>
                <w:rFonts w:cs="Calibri"/>
                <w:color w:val="414042"/>
                <w:sz w:val="18"/>
              </w:rPr>
              <w:t>-</w:t>
            </w:r>
          </w:p>
        </w:tc>
        <w:tc>
          <w:tcPr>
            <w:tcW w:w="1247" w:type="dxa"/>
            <w:tcBorders>
              <w:top w:val="single" w:sz="2" w:space="0" w:color="73777A"/>
              <w:left w:val="single" w:sz="8" w:space="0" w:color="FFFFFF"/>
              <w:bottom w:val="single" w:sz="2" w:space="0" w:color="73777A"/>
              <w:right w:val="single" w:sz="8" w:space="0" w:color="FFFFFF"/>
            </w:tcBorders>
            <w:shd w:val="clear" w:color="auto" w:fill="EDEFF0"/>
            <w:tcMar>
              <w:right w:w="57" w:type="dxa"/>
            </w:tcMar>
          </w:tcPr>
          <w:p w14:paraId="7B53BD21" w14:textId="77777777" w:rsidR="00FA4226" w:rsidRPr="00CA2CC1" w:rsidRDefault="00000000" w:rsidP="0043303B">
            <w:pPr>
              <w:pStyle w:val="TableParagraph"/>
              <w:rPr>
                <w:rFonts w:cs="Calibri"/>
                <w:sz w:val="18"/>
              </w:rPr>
            </w:pPr>
            <w:r w:rsidRPr="00CA2CC1">
              <w:rPr>
                <w:rFonts w:cs="Calibri"/>
                <w:color w:val="414042"/>
                <w:sz w:val="18"/>
              </w:rPr>
              <w:t>-</w:t>
            </w:r>
          </w:p>
        </w:tc>
        <w:tc>
          <w:tcPr>
            <w:tcW w:w="1247" w:type="dxa"/>
            <w:tcBorders>
              <w:top w:val="single" w:sz="2" w:space="0" w:color="73777A"/>
              <w:left w:val="single" w:sz="8" w:space="0" w:color="FFFFFF"/>
              <w:bottom w:val="single" w:sz="2" w:space="0" w:color="73777A"/>
              <w:right w:val="nil"/>
            </w:tcBorders>
            <w:shd w:val="clear" w:color="auto" w:fill="FFF0E7"/>
            <w:tcMar>
              <w:right w:w="57" w:type="dxa"/>
            </w:tcMar>
          </w:tcPr>
          <w:p w14:paraId="568BA335" w14:textId="77777777" w:rsidR="00FA4226" w:rsidRPr="00CA2CC1" w:rsidRDefault="00000000" w:rsidP="0043303B">
            <w:pPr>
              <w:pStyle w:val="TableParagraph"/>
              <w:rPr>
                <w:rFonts w:cs="Calibri"/>
                <w:sz w:val="18"/>
              </w:rPr>
            </w:pPr>
            <w:r w:rsidRPr="00CA2CC1">
              <w:rPr>
                <w:rFonts w:cs="Calibri"/>
                <w:color w:val="414042"/>
                <w:spacing w:val="-2"/>
                <w:sz w:val="18"/>
              </w:rPr>
              <w:t>109,590</w:t>
            </w:r>
          </w:p>
        </w:tc>
      </w:tr>
      <w:tr w:rsidR="00FA4226" w:rsidRPr="00CA2CC1" w14:paraId="38A5C29C" w14:textId="77777777" w:rsidTr="00081F41">
        <w:trPr>
          <w:trHeight w:val="283"/>
        </w:trPr>
        <w:tc>
          <w:tcPr>
            <w:tcW w:w="3402" w:type="dxa"/>
            <w:tcBorders>
              <w:top w:val="single" w:sz="2" w:space="0" w:color="73777A"/>
              <w:left w:val="nil"/>
              <w:bottom w:val="single" w:sz="2" w:space="0" w:color="73777A"/>
              <w:right w:val="nil"/>
            </w:tcBorders>
          </w:tcPr>
          <w:p w14:paraId="3101D5A6" w14:textId="77777777" w:rsidR="00FA4226" w:rsidRPr="00CA2CC1" w:rsidRDefault="00000000" w:rsidP="0043303B">
            <w:pPr>
              <w:pStyle w:val="TableParagraph"/>
              <w:jc w:val="left"/>
              <w:rPr>
                <w:rFonts w:cs="Calibri"/>
                <w:sz w:val="18"/>
              </w:rPr>
            </w:pPr>
            <w:r w:rsidRPr="00CA2CC1">
              <w:rPr>
                <w:rFonts w:cs="Calibri"/>
                <w:color w:val="414042"/>
                <w:sz w:val="18"/>
              </w:rPr>
              <w:t>Vehicles</w:t>
            </w:r>
            <w:r w:rsidRPr="00CA2CC1">
              <w:rPr>
                <w:rFonts w:cs="Calibri"/>
                <w:color w:val="414042"/>
                <w:spacing w:val="2"/>
                <w:sz w:val="18"/>
              </w:rPr>
              <w:t xml:space="preserve"> </w:t>
            </w:r>
            <w:r w:rsidRPr="00CA2CC1">
              <w:rPr>
                <w:rFonts w:cs="Calibri"/>
                <w:color w:val="414042"/>
                <w:sz w:val="18"/>
              </w:rPr>
              <w:t>held</w:t>
            </w:r>
            <w:r w:rsidRPr="00CA2CC1">
              <w:rPr>
                <w:rFonts w:cs="Calibri"/>
                <w:color w:val="414042"/>
                <w:spacing w:val="2"/>
                <w:sz w:val="18"/>
              </w:rPr>
              <w:t xml:space="preserve"> </w:t>
            </w:r>
            <w:r w:rsidRPr="00CA2CC1">
              <w:rPr>
                <w:rFonts w:cs="Calibri"/>
                <w:color w:val="414042"/>
                <w:sz w:val="18"/>
              </w:rPr>
              <w:t>for</w:t>
            </w:r>
            <w:r w:rsidRPr="00CA2CC1">
              <w:rPr>
                <w:rFonts w:cs="Calibri"/>
                <w:color w:val="414042"/>
                <w:spacing w:val="3"/>
                <w:sz w:val="18"/>
              </w:rPr>
              <w:t xml:space="preserve"> </w:t>
            </w:r>
            <w:r w:rsidRPr="00CA2CC1">
              <w:rPr>
                <w:rFonts w:cs="Calibri"/>
                <w:color w:val="414042"/>
                <w:spacing w:val="-4"/>
                <w:sz w:val="18"/>
              </w:rPr>
              <w:t>sale</w:t>
            </w:r>
          </w:p>
        </w:tc>
        <w:tc>
          <w:tcPr>
            <w:tcW w:w="1247" w:type="dxa"/>
            <w:tcBorders>
              <w:top w:val="single" w:sz="2" w:space="0" w:color="73777A"/>
              <w:left w:val="nil"/>
              <w:bottom w:val="single" w:sz="2" w:space="0" w:color="73777A"/>
              <w:right w:val="single" w:sz="8" w:space="0" w:color="FFFFFF"/>
            </w:tcBorders>
            <w:shd w:val="clear" w:color="auto" w:fill="FFF0E7"/>
            <w:tcMar>
              <w:right w:w="57" w:type="dxa"/>
            </w:tcMar>
          </w:tcPr>
          <w:p w14:paraId="2E6E1141" w14:textId="77777777" w:rsidR="00FA4226" w:rsidRPr="00CA2CC1" w:rsidRDefault="00000000" w:rsidP="0043303B">
            <w:pPr>
              <w:pStyle w:val="TableParagraph"/>
              <w:rPr>
                <w:rFonts w:cs="Calibri"/>
                <w:sz w:val="18"/>
              </w:rPr>
            </w:pPr>
            <w:r w:rsidRPr="00CA2CC1">
              <w:rPr>
                <w:rFonts w:cs="Calibri"/>
                <w:color w:val="414042"/>
                <w:spacing w:val="-2"/>
                <w:sz w:val="18"/>
              </w:rPr>
              <w:t>18,735</w:t>
            </w:r>
          </w:p>
        </w:tc>
        <w:tc>
          <w:tcPr>
            <w:tcW w:w="1247" w:type="dxa"/>
            <w:tcBorders>
              <w:top w:val="single" w:sz="2" w:space="0" w:color="73777A"/>
              <w:left w:val="single" w:sz="8" w:space="0" w:color="FFFFFF"/>
              <w:bottom w:val="single" w:sz="2" w:space="0" w:color="73777A"/>
              <w:right w:val="single" w:sz="8" w:space="0" w:color="FFFFFF"/>
            </w:tcBorders>
            <w:shd w:val="clear" w:color="auto" w:fill="EDEFF0"/>
            <w:tcMar>
              <w:right w:w="57" w:type="dxa"/>
            </w:tcMar>
          </w:tcPr>
          <w:p w14:paraId="4F98BD2F" w14:textId="77777777" w:rsidR="00FA4226" w:rsidRPr="00CA2CC1" w:rsidRDefault="00000000" w:rsidP="0043303B">
            <w:pPr>
              <w:pStyle w:val="TableParagraph"/>
              <w:rPr>
                <w:rFonts w:cs="Calibri"/>
                <w:sz w:val="18"/>
              </w:rPr>
            </w:pPr>
            <w:r w:rsidRPr="00CA2CC1">
              <w:rPr>
                <w:rFonts w:cs="Calibri"/>
                <w:color w:val="414042"/>
                <w:sz w:val="18"/>
              </w:rPr>
              <w:t>-</w:t>
            </w:r>
          </w:p>
        </w:tc>
        <w:tc>
          <w:tcPr>
            <w:tcW w:w="1247" w:type="dxa"/>
            <w:tcBorders>
              <w:top w:val="single" w:sz="2" w:space="0" w:color="73777A"/>
              <w:left w:val="single" w:sz="8" w:space="0" w:color="FFFFFF"/>
              <w:bottom w:val="single" w:sz="2" w:space="0" w:color="73777A"/>
              <w:right w:val="single" w:sz="8" w:space="0" w:color="FFFFFF"/>
            </w:tcBorders>
            <w:shd w:val="clear" w:color="auto" w:fill="FFF0E7"/>
            <w:tcMar>
              <w:right w:w="57" w:type="dxa"/>
            </w:tcMar>
          </w:tcPr>
          <w:p w14:paraId="319E945C" w14:textId="77777777" w:rsidR="00FA4226" w:rsidRPr="00CA2CC1" w:rsidRDefault="00000000" w:rsidP="0043303B">
            <w:pPr>
              <w:pStyle w:val="TableParagraph"/>
              <w:rPr>
                <w:rFonts w:cs="Calibri"/>
                <w:sz w:val="18"/>
              </w:rPr>
            </w:pPr>
            <w:r w:rsidRPr="00CA2CC1">
              <w:rPr>
                <w:rFonts w:cs="Calibri"/>
                <w:color w:val="414042"/>
                <w:sz w:val="18"/>
              </w:rPr>
              <w:t>-</w:t>
            </w:r>
          </w:p>
        </w:tc>
        <w:tc>
          <w:tcPr>
            <w:tcW w:w="1247" w:type="dxa"/>
            <w:tcBorders>
              <w:top w:val="single" w:sz="2" w:space="0" w:color="73777A"/>
              <w:left w:val="single" w:sz="8" w:space="0" w:color="FFFFFF"/>
              <w:bottom w:val="single" w:sz="2" w:space="0" w:color="73777A"/>
              <w:right w:val="single" w:sz="8" w:space="0" w:color="FFFFFF"/>
            </w:tcBorders>
            <w:shd w:val="clear" w:color="auto" w:fill="EDEFF0"/>
            <w:tcMar>
              <w:right w:w="57" w:type="dxa"/>
            </w:tcMar>
          </w:tcPr>
          <w:p w14:paraId="2BAE508F" w14:textId="77777777" w:rsidR="00FA4226" w:rsidRPr="00CA2CC1" w:rsidRDefault="00000000" w:rsidP="0043303B">
            <w:pPr>
              <w:pStyle w:val="TableParagraph"/>
              <w:rPr>
                <w:rFonts w:cs="Calibri"/>
                <w:sz w:val="18"/>
              </w:rPr>
            </w:pPr>
            <w:r w:rsidRPr="00CA2CC1">
              <w:rPr>
                <w:rFonts w:cs="Calibri"/>
                <w:color w:val="414042"/>
                <w:sz w:val="18"/>
              </w:rPr>
              <w:t>-</w:t>
            </w:r>
          </w:p>
        </w:tc>
        <w:tc>
          <w:tcPr>
            <w:tcW w:w="1247" w:type="dxa"/>
            <w:tcBorders>
              <w:top w:val="single" w:sz="2" w:space="0" w:color="73777A"/>
              <w:left w:val="single" w:sz="8" w:space="0" w:color="FFFFFF"/>
              <w:bottom w:val="single" w:sz="2" w:space="0" w:color="73777A"/>
              <w:right w:val="nil"/>
            </w:tcBorders>
            <w:shd w:val="clear" w:color="auto" w:fill="FFF0E7"/>
            <w:tcMar>
              <w:right w:w="57" w:type="dxa"/>
            </w:tcMar>
          </w:tcPr>
          <w:p w14:paraId="59554E32" w14:textId="77777777" w:rsidR="00FA4226" w:rsidRPr="00CA2CC1" w:rsidRDefault="00000000" w:rsidP="0043303B">
            <w:pPr>
              <w:pStyle w:val="TableParagraph"/>
              <w:rPr>
                <w:rFonts w:cs="Calibri"/>
                <w:sz w:val="18"/>
              </w:rPr>
            </w:pPr>
            <w:r w:rsidRPr="00CA2CC1">
              <w:rPr>
                <w:rFonts w:cs="Calibri"/>
                <w:color w:val="414042"/>
                <w:sz w:val="18"/>
              </w:rPr>
              <w:t>-</w:t>
            </w:r>
          </w:p>
        </w:tc>
      </w:tr>
      <w:tr w:rsidR="00FA4226" w:rsidRPr="00CA2CC1" w14:paraId="6EDCE267" w14:textId="77777777" w:rsidTr="00081F41">
        <w:trPr>
          <w:trHeight w:val="283"/>
        </w:trPr>
        <w:tc>
          <w:tcPr>
            <w:tcW w:w="3402" w:type="dxa"/>
            <w:tcBorders>
              <w:top w:val="single" w:sz="2" w:space="0" w:color="73777A"/>
              <w:left w:val="nil"/>
              <w:bottom w:val="single" w:sz="2" w:space="0" w:color="73777A"/>
              <w:right w:val="nil"/>
            </w:tcBorders>
          </w:tcPr>
          <w:p w14:paraId="4A27AA78" w14:textId="77777777" w:rsidR="00FA4226" w:rsidRPr="00CA2CC1" w:rsidRDefault="00000000" w:rsidP="0043303B">
            <w:pPr>
              <w:pStyle w:val="TableParagraph"/>
              <w:jc w:val="left"/>
              <w:rPr>
                <w:rFonts w:cs="Calibri"/>
                <w:sz w:val="18"/>
              </w:rPr>
            </w:pPr>
            <w:r w:rsidRPr="00CA2CC1">
              <w:rPr>
                <w:rFonts w:cs="Calibri"/>
                <w:color w:val="414042"/>
                <w:sz w:val="18"/>
              </w:rPr>
              <w:t>Property,</w:t>
            </w:r>
            <w:r w:rsidRPr="00CA2CC1">
              <w:rPr>
                <w:rFonts w:cs="Calibri"/>
                <w:color w:val="414042"/>
                <w:spacing w:val="1"/>
                <w:sz w:val="18"/>
              </w:rPr>
              <w:t xml:space="preserve"> </w:t>
            </w:r>
            <w:r w:rsidRPr="00CA2CC1">
              <w:rPr>
                <w:rFonts w:cs="Calibri"/>
                <w:color w:val="414042"/>
                <w:sz w:val="18"/>
              </w:rPr>
              <w:t>plant</w:t>
            </w:r>
            <w:r w:rsidRPr="00CA2CC1">
              <w:rPr>
                <w:rFonts w:cs="Calibri"/>
                <w:color w:val="414042"/>
                <w:spacing w:val="3"/>
                <w:sz w:val="18"/>
              </w:rPr>
              <w:t xml:space="preserve"> </w:t>
            </w:r>
            <w:r w:rsidRPr="00CA2CC1">
              <w:rPr>
                <w:rFonts w:cs="Calibri"/>
                <w:color w:val="414042"/>
                <w:sz w:val="18"/>
              </w:rPr>
              <w:t>and</w:t>
            </w:r>
            <w:r w:rsidRPr="00CA2CC1">
              <w:rPr>
                <w:rFonts w:cs="Calibri"/>
                <w:color w:val="414042"/>
                <w:spacing w:val="4"/>
                <w:sz w:val="18"/>
              </w:rPr>
              <w:t xml:space="preserve"> </w:t>
            </w:r>
            <w:r w:rsidRPr="00CA2CC1">
              <w:rPr>
                <w:rFonts w:cs="Calibri"/>
                <w:color w:val="414042"/>
                <w:spacing w:val="-2"/>
                <w:sz w:val="18"/>
              </w:rPr>
              <w:t>equipment</w:t>
            </w:r>
          </w:p>
        </w:tc>
        <w:tc>
          <w:tcPr>
            <w:tcW w:w="1247" w:type="dxa"/>
            <w:tcBorders>
              <w:top w:val="single" w:sz="2" w:space="0" w:color="73777A"/>
              <w:left w:val="nil"/>
              <w:bottom w:val="single" w:sz="2" w:space="0" w:color="73777A"/>
              <w:right w:val="single" w:sz="8" w:space="0" w:color="FFFFFF"/>
            </w:tcBorders>
            <w:shd w:val="clear" w:color="auto" w:fill="FFF0E7"/>
            <w:tcMar>
              <w:right w:w="57" w:type="dxa"/>
            </w:tcMar>
          </w:tcPr>
          <w:p w14:paraId="6EC3A897" w14:textId="77777777" w:rsidR="00FA4226" w:rsidRPr="00CA2CC1" w:rsidRDefault="00000000" w:rsidP="0043303B">
            <w:pPr>
              <w:pStyle w:val="TableParagraph"/>
              <w:rPr>
                <w:rFonts w:cs="Calibri"/>
                <w:sz w:val="18"/>
              </w:rPr>
            </w:pPr>
            <w:r w:rsidRPr="00CA2CC1">
              <w:rPr>
                <w:rFonts w:cs="Calibri"/>
                <w:color w:val="414042"/>
                <w:spacing w:val="-2"/>
                <w:sz w:val="18"/>
              </w:rPr>
              <w:t>1,725,100</w:t>
            </w:r>
          </w:p>
        </w:tc>
        <w:tc>
          <w:tcPr>
            <w:tcW w:w="1247" w:type="dxa"/>
            <w:tcBorders>
              <w:top w:val="single" w:sz="2" w:space="0" w:color="73777A"/>
              <w:left w:val="single" w:sz="8" w:space="0" w:color="FFFFFF"/>
              <w:bottom w:val="single" w:sz="2" w:space="0" w:color="73777A"/>
              <w:right w:val="single" w:sz="8" w:space="0" w:color="FFFFFF"/>
            </w:tcBorders>
            <w:shd w:val="clear" w:color="auto" w:fill="EDEFF0"/>
            <w:tcMar>
              <w:right w:w="57" w:type="dxa"/>
            </w:tcMar>
          </w:tcPr>
          <w:p w14:paraId="63279161" w14:textId="77777777" w:rsidR="00FA4226" w:rsidRPr="00CA2CC1" w:rsidRDefault="00000000" w:rsidP="0043303B">
            <w:pPr>
              <w:pStyle w:val="TableParagraph"/>
              <w:rPr>
                <w:rFonts w:cs="Calibri"/>
                <w:sz w:val="18"/>
              </w:rPr>
            </w:pPr>
            <w:r w:rsidRPr="00CA2CC1">
              <w:rPr>
                <w:rFonts w:cs="Calibri"/>
                <w:color w:val="414042"/>
                <w:spacing w:val="-2"/>
                <w:sz w:val="18"/>
              </w:rPr>
              <w:t>2,097,912</w:t>
            </w:r>
          </w:p>
        </w:tc>
        <w:tc>
          <w:tcPr>
            <w:tcW w:w="1247" w:type="dxa"/>
            <w:tcBorders>
              <w:top w:val="single" w:sz="2" w:space="0" w:color="73777A"/>
              <w:left w:val="single" w:sz="8" w:space="0" w:color="FFFFFF"/>
              <w:bottom w:val="single" w:sz="2" w:space="0" w:color="73777A"/>
              <w:right w:val="single" w:sz="8" w:space="0" w:color="FFFFFF"/>
            </w:tcBorders>
            <w:shd w:val="clear" w:color="auto" w:fill="FFF0E7"/>
            <w:tcMar>
              <w:right w:w="57" w:type="dxa"/>
            </w:tcMar>
          </w:tcPr>
          <w:p w14:paraId="00011F11" w14:textId="77777777" w:rsidR="00FA4226" w:rsidRPr="00CA2CC1" w:rsidRDefault="00000000" w:rsidP="0043303B">
            <w:pPr>
              <w:pStyle w:val="TableParagraph"/>
              <w:rPr>
                <w:rFonts w:cs="Calibri"/>
                <w:sz w:val="18"/>
              </w:rPr>
            </w:pPr>
            <w:r w:rsidRPr="00CA2CC1">
              <w:rPr>
                <w:rFonts w:cs="Calibri"/>
                <w:color w:val="414042"/>
                <w:spacing w:val="-2"/>
                <w:sz w:val="18"/>
              </w:rPr>
              <w:t>(39,086)</w:t>
            </w:r>
          </w:p>
        </w:tc>
        <w:tc>
          <w:tcPr>
            <w:tcW w:w="1247" w:type="dxa"/>
            <w:tcBorders>
              <w:top w:val="single" w:sz="2" w:space="0" w:color="73777A"/>
              <w:left w:val="single" w:sz="8" w:space="0" w:color="FFFFFF"/>
              <w:bottom w:val="single" w:sz="2" w:space="0" w:color="73777A"/>
              <w:right w:val="single" w:sz="8" w:space="0" w:color="FFFFFF"/>
            </w:tcBorders>
            <w:shd w:val="clear" w:color="auto" w:fill="EDEFF0"/>
            <w:tcMar>
              <w:right w:w="57" w:type="dxa"/>
            </w:tcMar>
          </w:tcPr>
          <w:p w14:paraId="46118712" w14:textId="77777777" w:rsidR="00FA4226" w:rsidRPr="00CA2CC1" w:rsidRDefault="00000000" w:rsidP="0043303B">
            <w:pPr>
              <w:pStyle w:val="TableParagraph"/>
              <w:rPr>
                <w:rFonts w:cs="Calibri"/>
                <w:sz w:val="18"/>
              </w:rPr>
            </w:pPr>
            <w:r w:rsidRPr="00CA2CC1">
              <w:rPr>
                <w:rFonts w:cs="Calibri"/>
                <w:color w:val="414042"/>
                <w:sz w:val="18"/>
              </w:rPr>
              <w:t>-</w:t>
            </w:r>
          </w:p>
        </w:tc>
        <w:tc>
          <w:tcPr>
            <w:tcW w:w="1247" w:type="dxa"/>
            <w:tcBorders>
              <w:top w:val="single" w:sz="2" w:space="0" w:color="73777A"/>
              <w:left w:val="single" w:sz="8" w:space="0" w:color="FFFFFF"/>
              <w:bottom w:val="single" w:sz="2" w:space="0" w:color="73777A"/>
              <w:right w:val="nil"/>
            </w:tcBorders>
            <w:shd w:val="clear" w:color="auto" w:fill="FFF0E7"/>
            <w:tcMar>
              <w:right w:w="57" w:type="dxa"/>
            </w:tcMar>
          </w:tcPr>
          <w:p w14:paraId="2977AAB6" w14:textId="77777777" w:rsidR="00FA4226" w:rsidRPr="00CA2CC1" w:rsidRDefault="00000000" w:rsidP="0043303B">
            <w:pPr>
              <w:pStyle w:val="TableParagraph"/>
              <w:rPr>
                <w:rFonts w:cs="Calibri"/>
                <w:sz w:val="18"/>
              </w:rPr>
            </w:pPr>
            <w:r w:rsidRPr="00CA2CC1">
              <w:rPr>
                <w:rFonts w:cs="Calibri"/>
                <w:color w:val="414042"/>
                <w:spacing w:val="-2"/>
                <w:sz w:val="18"/>
              </w:rPr>
              <w:t>2,136,998</w:t>
            </w:r>
          </w:p>
        </w:tc>
      </w:tr>
      <w:tr w:rsidR="00FA4226" w:rsidRPr="00CA2CC1" w14:paraId="15A75F0C" w14:textId="77777777" w:rsidTr="00081F41">
        <w:trPr>
          <w:trHeight w:val="278"/>
        </w:trPr>
        <w:tc>
          <w:tcPr>
            <w:tcW w:w="3402" w:type="dxa"/>
            <w:tcBorders>
              <w:top w:val="single" w:sz="2" w:space="0" w:color="73777A"/>
              <w:left w:val="nil"/>
              <w:bottom w:val="single" w:sz="6" w:space="0" w:color="73777A"/>
              <w:right w:val="nil"/>
            </w:tcBorders>
          </w:tcPr>
          <w:p w14:paraId="2AE684E7" w14:textId="77777777" w:rsidR="00FA4226" w:rsidRPr="00CA2CC1" w:rsidRDefault="00000000" w:rsidP="0043303B">
            <w:pPr>
              <w:pStyle w:val="TableParagraph"/>
              <w:jc w:val="left"/>
              <w:rPr>
                <w:rFonts w:cs="Calibri"/>
                <w:sz w:val="18"/>
              </w:rPr>
            </w:pPr>
            <w:r w:rsidRPr="00CA2CC1">
              <w:rPr>
                <w:rFonts w:cs="Calibri"/>
                <w:color w:val="414042"/>
                <w:sz w:val="18"/>
              </w:rPr>
              <w:t>Total non-financial</w:t>
            </w:r>
            <w:r w:rsidRPr="00CA2CC1">
              <w:rPr>
                <w:rFonts w:cs="Calibri"/>
                <w:color w:val="414042"/>
                <w:spacing w:val="4"/>
                <w:sz w:val="18"/>
              </w:rPr>
              <w:t xml:space="preserve"> </w:t>
            </w:r>
            <w:r w:rsidRPr="00CA2CC1">
              <w:rPr>
                <w:rFonts w:cs="Calibri"/>
                <w:color w:val="414042"/>
                <w:spacing w:val="-2"/>
                <w:sz w:val="18"/>
              </w:rPr>
              <w:t>assets</w:t>
            </w:r>
          </w:p>
        </w:tc>
        <w:tc>
          <w:tcPr>
            <w:tcW w:w="1247" w:type="dxa"/>
            <w:tcBorders>
              <w:top w:val="single" w:sz="2" w:space="0" w:color="73777A"/>
              <w:left w:val="nil"/>
              <w:bottom w:val="single" w:sz="6" w:space="0" w:color="73777A"/>
              <w:right w:val="single" w:sz="8" w:space="0" w:color="FFFFFF"/>
            </w:tcBorders>
            <w:shd w:val="clear" w:color="auto" w:fill="FFF0E7"/>
            <w:tcMar>
              <w:right w:w="57" w:type="dxa"/>
            </w:tcMar>
          </w:tcPr>
          <w:p w14:paraId="68855294" w14:textId="77777777" w:rsidR="00FA4226" w:rsidRPr="00CA2CC1" w:rsidRDefault="00000000" w:rsidP="0043303B">
            <w:pPr>
              <w:pStyle w:val="TableParagraph"/>
              <w:rPr>
                <w:rFonts w:cs="Calibri"/>
                <w:sz w:val="18"/>
              </w:rPr>
            </w:pPr>
            <w:r w:rsidRPr="00CA2CC1">
              <w:rPr>
                <w:rFonts w:cs="Calibri"/>
                <w:color w:val="414042"/>
                <w:spacing w:val="-2"/>
                <w:sz w:val="18"/>
              </w:rPr>
              <w:t>1,946,480</w:t>
            </w:r>
          </w:p>
        </w:tc>
        <w:tc>
          <w:tcPr>
            <w:tcW w:w="1247" w:type="dxa"/>
            <w:tcBorders>
              <w:top w:val="single" w:sz="2" w:space="0" w:color="73777A"/>
              <w:left w:val="single" w:sz="8" w:space="0" w:color="FFFFFF"/>
              <w:bottom w:val="single" w:sz="6" w:space="0" w:color="73777A"/>
              <w:right w:val="single" w:sz="8" w:space="0" w:color="FFFFFF"/>
            </w:tcBorders>
            <w:shd w:val="clear" w:color="auto" w:fill="EDEFF0"/>
            <w:tcMar>
              <w:right w:w="57" w:type="dxa"/>
            </w:tcMar>
          </w:tcPr>
          <w:p w14:paraId="5DBDEE9A" w14:textId="77777777" w:rsidR="00FA4226" w:rsidRPr="00CA2CC1" w:rsidRDefault="00000000" w:rsidP="0043303B">
            <w:pPr>
              <w:pStyle w:val="TableParagraph"/>
              <w:rPr>
                <w:rFonts w:cs="Calibri"/>
                <w:sz w:val="18"/>
              </w:rPr>
            </w:pPr>
            <w:r w:rsidRPr="00CA2CC1">
              <w:rPr>
                <w:rFonts w:cs="Calibri"/>
                <w:color w:val="414042"/>
                <w:spacing w:val="-2"/>
                <w:sz w:val="18"/>
              </w:rPr>
              <w:t>2,207,502</w:t>
            </w:r>
          </w:p>
        </w:tc>
        <w:tc>
          <w:tcPr>
            <w:tcW w:w="1247" w:type="dxa"/>
            <w:tcBorders>
              <w:top w:val="single" w:sz="2" w:space="0" w:color="73777A"/>
              <w:left w:val="single" w:sz="8" w:space="0" w:color="FFFFFF"/>
              <w:bottom w:val="single" w:sz="6" w:space="0" w:color="73777A"/>
              <w:right w:val="single" w:sz="8" w:space="0" w:color="FFFFFF"/>
            </w:tcBorders>
            <w:shd w:val="clear" w:color="auto" w:fill="FFF0E7"/>
            <w:tcMar>
              <w:right w:w="57" w:type="dxa"/>
            </w:tcMar>
          </w:tcPr>
          <w:p w14:paraId="5A7766EE" w14:textId="77777777" w:rsidR="00FA4226" w:rsidRPr="00CA2CC1" w:rsidRDefault="00000000" w:rsidP="0043303B">
            <w:pPr>
              <w:pStyle w:val="TableParagraph"/>
              <w:rPr>
                <w:rFonts w:cs="Calibri"/>
                <w:sz w:val="18"/>
              </w:rPr>
            </w:pPr>
            <w:r w:rsidRPr="00CA2CC1">
              <w:rPr>
                <w:rFonts w:cs="Calibri"/>
                <w:color w:val="414042"/>
                <w:spacing w:val="-2"/>
                <w:sz w:val="18"/>
              </w:rPr>
              <w:t>(39,086)</w:t>
            </w:r>
          </w:p>
        </w:tc>
        <w:tc>
          <w:tcPr>
            <w:tcW w:w="1247" w:type="dxa"/>
            <w:tcBorders>
              <w:top w:val="single" w:sz="2" w:space="0" w:color="73777A"/>
              <w:left w:val="single" w:sz="8" w:space="0" w:color="FFFFFF"/>
              <w:bottom w:val="single" w:sz="6" w:space="0" w:color="73777A"/>
              <w:right w:val="single" w:sz="8" w:space="0" w:color="FFFFFF"/>
            </w:tcBorders>
            <w:shd w:val="clear" w:color="auto" w:fill="EDEFF0"/>
            <w:tcMar>
              <w:right w:w="57" w:type="dxa"/>
            </w:tcMar>
          </w:tcPr>
          <w:p w14:paraId="31B4A243" w14:textId="77777777" w:rsidR="00FA4226" w:rsidRPr="00CA2CC1" w:rsidRDefault="00000000" w:rsidP="0043303B">
            <w:pPr>
              <w:pStyle w:val="TableParagraph"/>
              <w:rPr>
                <w:rFonts w:cs="Calibri"/>
                <w:sz w:val="18"/>
              </w:rPr>
            </w:pPr>
            <w:r w:rsidRPr="00CA2CC1">
              <w:rPr>
                <w:rFonts w:cs="Calibri"/>
                <w:color w:val="414042"/>
                <w:sz w:val="18"/>
              </w:rPr>
              <w:t>-</w:t>
            </w:r>
          </w:p>
        </w:tc>
        <w:tc>
          <w:tcPr>
            <w:tcW w:w="1247" w:type="dxa"/>
            <w:tcBorders>
              <w:top w:val="single" w:sz="2" w:space="0" w:color="73777A"/>
              <w:left w:val="single" w:sz="8" w:space="0" w:color="FFFFFF"/>
              <w:bottom w:val="single" w:sz="6" w:space="0" w:color="73777A"/>
              <w:right w:val="nil"/>
            </w:tcBorders>
            <w:shd w:val="clear" w:color="auto" w:fill="FFF0E7"/>
            <w:tcMar>
              <w:right w:w="57" w:type="dxa"/>
            </w:tcMar>
          </w:tcPr>
          <w:p w14:paraId="79C1AA18" w14:textId="77777777" w:rsidR="00FA4226" w:rsidRPr="00CA2CC1" w:rsidRDefault="00000000" w:rsidP="0043303B">
            <w:pPr>
              <w:pStyle w:val="TableParagraph"/>
              <w:rPr>
                <w:rFonts w:cs="Calibri"/>
                <w:sz w:val="18"/>
              </w:rPr>
            </w:pPr>
            <w:r w:rsidRPr="00CA2CC1">
              <w:rPr>
                <w:rFonts w:cs="Calibri"/>
                <w:color w:val="414042"/>
                <w:spacing w:val="-2"/>
                <w:sz w:val="18"/>
              </w:rPr>
              <w:t>2,246,588</w:t>
            </w:r>
          </w:p>
        </w:tc>
      </w:tr>
      <w:tr w:rsidR="00FA4226" w:rsidRPr="00CA2CC1" w14:paraId="28179D8A" w14:textId="77777777" w:rsidTr="00081F41">
        <w:trPr>
          <w:trHeight w:val="273"/>
        </w:trPr>
        <w:tc>
          <w:tcPr>
            <w:tcW w:w="3402" w:type="dxa"/>
            <w:tcBorders>
              <w:top w:val="single" w:sz="6" w:space="0" w:color="73777A"/>
              <w:left w:val="nil"/>
              <w:bottom w:val="single" w:sz="6" w:space="0" w:color="73777A"/>
              <w:right w:val="nil"/>
            </w:tcBorders>
          </w:tcPr>
          <w:p w14:paraId="50F5FA4B" w14:textId="77777777" w:rsidR="00FA4226" w:rsidRPr="00CA2CC1" w:rsidRDefault="00000000" w:rsidP="0043303B">
            <w:pPr>
              <w:pStyle w:val="TableParagraph"/>
              <w:jc w:val="left"/>
              <w:rPr>
                <w:rFonts w:cs="Calibri"/>
                <w:sz w:val="18"/>
              </w:rPr>
            </w:pPr>
            <w:r w:rsidRPr="00CA2CC1">
              <w:rPr>
                <w:rFonts w:cs="Calibri"/>
                <w:color w:val="414042"/>
                <w:sz w:val="18"/>
              </w:rPr>
              <w:t>Total</w:t>
            </w:r>
            <w:r w:rsidRPr="00CA2CC1">
              <w:rPr>
                <w:rFonts w:cs="Calibri"/>
                <w:color w:val="414042"/>
                <w:spacing w:val="-7"/>
                <w:sz w:val="18"/>
              </w:rPr>
              <w:t xml:space="preserve"> </w:t>
            </w:r>
            <w:r w:rsidRPr="00CA2CC1">
              <w:rPr>
                <w:rFonts w:cs="Calibri"/>
                <w:color w:val="414042"/>
                <w:spacing w:val="-2"/>
                <w:sz w:val="18"/>
              </w:rPr>
              <w:t>assets</w:t>
            </w:r>
          </w:p>
        </w:tc>
        <w:tc>
          <w:tcPr>
            <w:tcW w:w="1247" w:type="dxa"/>
            <w:tcBorders>
              <w:top w:val="single" w:sz="6" w:space="0" w:color="73777A"/>
              <w:left w:val="nil"/>
              <w:bottom w:val="single" w:sz="6" w:space="0" w:color="73777A"/>
              <w:right w:val="single" w:sz="8" w:space="0" w:color="FFFFFF"/>
            </w:tcBorders>
            <w:shd w:val="clear" w:color="auto" w:fill="FFF0E7"/>
            <w:tcMar>
              <w:right w:w="57" w:type="dxa"/>
            </w:tcMar>
          </w:tcPr>
          <w:p w14:paraId="078FEC29" w14:textId="77777777" w:rsidR="00FA4226" w:rsidRPr="00CA2CC1" w:rsidRDefault="00000000" w:rsidP="0043303B">
            <w:pPr>
              <w:pStyle w:val="TableParagraph"/>
              <w:rPr>
                <w:rFonts w:cs="Calibri"/>
                <w:sz w:val="18"/>
              </w:rPr>
            </w:pPr>
            <w:r w:rsidRPr="00CA2CC1">
              <w:rPr>
                <w:rFonts w:cs="Calibri"/>
                <w:color w:val="414042"/>
                <w:spacing w:val="-2"/>
                <w:sz w:val="18"/>
              </w:rPr>
              <w:t>5,310,110</w:t>
            </w:r>
          </w:p>
        </w:tc>
        <w:tc>
          <w:tcPr>
            <w:tcW w:w="1247" w:type="dxa"/>
            <w:tcBorders>
              <w:top w:val="single" w:sz="6" w:space="0" w:color="73777A"/>
              <w:left w:val="single" w:sz="8" w:space="0" w:color="FFFFFF"/>
              <w:bottom w:val="single" w:sz="6" w:space="0" w:color="73777A"/>
              <w:right w:val="single" w:sz="8" w:space="0" w:color="FFFFFF"/>
            </w:tcBorders>
            <w:shd w:val="clear" w:color="auto" w:fill="EDEFF0"/>
            <w:tcMar>
              <w:right w:w="57" w:type="dxa"/>
            </w:tcMar>
          </w:tcPr>
          <w:p w14:paraId="37639D5D" w14:textId="77777777" w:rsidR="00FA4226" w:rsidRPr="00CA2CC1" w:rsidRDefault="00000000" w:rsidP="0043303B">
            <w:pPr>
              <w:pStyle w:val="TableParagraph"/>
              <w:rPr>
                <w:rFonts w:cs="Calibri"/>
                <w:sz w:val="18"/>
              </w:rPr>
            </w:pPr>
            <w:r w:rsidRPr="00CA2CC1">
              <w:rPr>
                <w:rFonts w:cs="Calibri"/>
                <w:color w:val="414042"/>
                <w:spacing w:val="-2"/>
                <w:sz w:val="18"/>
              </w:rPr>
              <w:t>5,680,352</w:t>
            </w:r>
          </w:p>
        </w:tc>
        <w:tc>
          <w:tcPr>
            <w:tcW w:w="1247" w:type="dxa"/>
            <w:tcBorders>
              <w:top w:val="single" w:sz="6" w:space="0" w:color="73777A"/>
              <w:left w:val="single" w:sz="8" w:space="0" w:color="FFFFFF"/>
              <w:bottom w:val="single" w:sz="6" w:space="0" w:color="73777A"/>
              <w:right w:val="single" w:sz="8" w:space="0" w:color="FFFFFF"/>
            </w:tcBorders>
            <w:shd w:val="clear" w:color="auto" w:fill="FFF0E7"/>
            <w:tcMar>
              <w:right w:w="57" w:type="dxa"/>
            </w:tcMar>
          </w:tcPr>
          <w:p w14:paraId="0398C2AB" w14:textId="77777777" w:rsidR="00FA4226" w:rsidRPr="00CA2CC1" w:rsidRDefault="00000000" w:rsidP="0043303B">
            <w:pPr>
              <w:pStyle w:val="TableParagraph"/>
              <w:rPr>
                <w:rFonts w:cs="Calibri"/>
                <w:sz w:val="18"/>
              </w:rPr>
            </w:pPr>
            <w:r w:rsidRPr="00CA2CC1">
              <w:rPr>
                <w:rFonts w:cs="Calibri"/>
                <w:color w:val="414042"/>
                <w:spacing w:val="-2"/>
                <w:sz w:val="18"/>
              </w:rPr>
              <w:t>(39,086)</w:t>
            </w:r>
          </w:p>
        </w:tc>
        <w:tc>
          <w:tcPr>
            <w:tcW w:w="1247" w:type="dxa"/>
            <w:tcBorders>
              <w:top w:val="single" w:sz="6" w:space="0" w:color="73777A"/>
              <w:left w:val="single" w:sz="8" w:space="0" w:color="FFFFFF"/>
              <w:bottom w:val="single" w:sz="6" w:space="0" w:color="73777A"/>
              <w:right w:val="single" w:sz="8" w:space="0" w:color="FFFFFF"/>
            </w:tcBorders>
            <w:shd w:val="clear" w:color="auto" w:fill="EDEFF0"/>
            <w:tcMar>
              <w:right w:w="57" w:type="dxa"/>
            </w:tcMar>
          </w:tcPr>
          <w:p w14:paraId="1670D159" w14:textId="77777777" w:rsidR="00FA4226" w:rsidRPr="00CA2CC1" w:rsidRDefault="00000000" w:rsidP="0043303B">
            <w:pPr>
              <w:pStyle w:val="TableParagraph"/>
              <w:rPr>
                <w:rFonts w:cs="Calibri"/>
                <w:sz w:val="18"/>
              </w:rPr>
            </w:pPr>
            <w:r w:rsidRPr="00CA2CC1">
              <w:rPr>
                <w:rFonts w:cs="Calibri"/>
                <w:color w:val="414042"/>
                <w:sz w:val="18"/>
              </w:rPr>
              <w:t>-</w:t>
            </w:r>
          </w:p>
        </w:tc>
        <w:tc>
          <w:tcPr>
            <w:tcW w:w="1247" w:type="dxa"/>
            <w:tcBorders>
              <w:top w:val="single" w:sz="6" w:space="0" w:color="73777A"/>
              <w:left w:val="single" w:sz="8" w:space="0" w:color="FFFFFF"/>
              <w:bottom w:val="single" w:sz="6" w:space="0" w:color="73777A"/>
              <w:right w:val="nil"/>
            </w:tcBorders>
            <w:shd w:val="clear" w:color="auto" w:fill="FFF0E7"/>
            <w:tcMar>
              <w:right w:w="57" w:type="dxa"/>
            </w:tcMar>
          </w:tcPr>
          <w:p w14:paraId="011BF1CB" w14:textId="77777777" w:rsidR="00FA4226" w:rsidRPr="00CA2CC1" w:rsidRDefault="00000000" w:rsidP="0043303B">
            <w:pPr>
              <w:pStyle w:val="TableParagraph"/>
              <w:rPr>
                <w:rFonts w:cs="Calibri"/>
                <w:sz w:val="18"/>
              </w:rPr>
            </w:pPr>
            <w:r w:rsidRPr="00CA2CC1">
              <w:rPr>
                <w:rFonts w:cs="Calibri"/>
                <w:color w:val="414042"/>
                <w:spacing w:val="-2"/>
                <w:sz w:val="18"/>
              </w:rPr>
              <w:t>5,719,438</w:t>
            </w:r>
          </w:p>
        </w:tc>
      </w:tr>
      <w:tr w:rsidR="00FA4226" w:rsidRPr="00CA2CC1" w14:paraId="627DC664" w14:textId="77777777" w:rsidTr="00081F41">
        <w:trPr>
          <w:trHeight w:val="278"/>
        </w:trPr>
        <w:tc>
          <w:tcPr>
            <w:tcW w:w="3402" w:type="dxa"/>
            <w:tcBorders>
              <w:top w:val="single" w:sz="6" w:space="0" w:color="73777A"/>
              <w:left w:val="nil"/>
              <w:bottom w:val="single" w:sz="2" w:space="0" w:color="73777A"/>
              <w:right w:val="nil"/>
            </w:tcBorders>
          </w:tcPr>
          <w:p w14:paraId="2D0371BB" w14:textId="77777777" w:rsidR="00FA4226" w:rsidRPr="00CA2CC1" w:rsidRDefault="00000000" w:rsidP="0043303B">
            <w:pPr>
              <w:pStyle w:val="TableParagraph"/>
              <w:jc w:val="left"/>
              <w:rPr>
                <w:rFonts w:cs="Calibri"/>
                <w:sz w:val="18"/>
              </w:rPr>
            </w:pPr>
            <w:r w:rsidRPr="00CA2CC1">
              <w:rPr>
                <w:rFonts w:cs="Calibri"/>
                <w:color w:val="F68C59"/>
                <w:spacing w:val="-2"/>
                <w:sz w:val="18"/>
              </w:rPr>
              <w:t>Liabilities</w:t>
            </w:r>
          </w:p>
        </w:tc>
        <w:tc>
          <w:tcPr>
            <w:tcW w:w="1247" w:type="dxa"/>
            <w:tcBorders>
              <w:top w:val="single" w:sz="6" w:space="0" w:color="73777A"/>
              <w:left w:val="nil"/>
              <w:bottom w:val="single" w:sz="2" w:space="0" w:color="73777A"/>
              <w:right w:val="single" w:sz="8" w:space="0" w:color="FFFFFF"/>
            </w:tcBorders>
            <w:shd w:val="clear" w:color="auto" w:fill="FFF0E7"/>
            <w:tcMar>
              <w:right w:w="57" w:type="dxa"/>
            </w:tcMar>
          </w:tcPr>
          <w:p w14:paraId="782ED38E" w14:textId="77777777" w:rsidR="00FA4226" w:rsidRPr="00CA2CC1" w:rsidRDefault="00FA4226" w:rsidP="0043303B">
            <w:pPr>
              <w:pStyle w:val="TableParagraph"/>
              <w:jc w:val="left"/>
              <w:rPr>
                <w:rFonts w:cs="Calibri"/>
                <w:sz w:val="16"/>
              </w:rPr>
            </w:pPr>
          </w:p>
        </w:tc>
        <w:tc>
          <w:tcPr>
            <w:tcW w:w="1247" w:type="dxa"/>
            <w:tcBorders>
              <w:top w:val="single" w:sz="6" w:space="0" w:color="73777A"/>
              <w:left w:val="single" w:sz="8" w:space="0" w:color="FFFFFF"/>
              <w:bottom w:val="single" w:sz="2" w:space="0" w:color="73777A"/>
              <w:right w:val="single" w:sz="8" w:space="0" w:color="FFFFFF"/>
            </w:tcBorders>
            <w:shd w:val="clear" w:color="auto" w:fill="EDEFF0"/>
            <w:tcMar>
              <w:right w:w="57" w:type="dxa"/>
            </w:tcMar>
          </w:tcPr>
          <w:p w14:paraId="3776F51F" w14:textId="77777777" w:rsidR="00FA4226" w:rsidRPr="00CA2CC1" w:rsidRDefault="00FA4226" w:rsidP="0043303B">
            <w:pPr>
              <w:pStyle w:val="TableParagraph"/>
              <w:jc w:val="left"/>
              <w:rPr>
                <w:rFonts w:cs="Calibri"/>
                <w:sz w:val="16"/>
              </w:rPr>
            </w:pPr>
          </w:p>
        </w:tc>
        <w:tc>
          <w:tcPr>
            <w:tcW w:w="1247" w:type="dxa"/>
            <w:tcBorders>
              <w:top w:val="single" w:sz="6" w:space="0" w:color="73777A"/>
              <w:left w:val="single" w:sz="8" w:space="0" w:color="FFFFFF"/>
              <w:bottom w:val="single" w:sz="2" w:space="0" w:color="73777A"/>
              <w:right w:val="single" w:sz="8" w:space="0" w:color="FFFFFF"/>
            </w:tcBorders>
            <w:shd w:val="clear" w:color="auto" w:fill="FFF0E7"/>
            <w:tcMar>
              <w:right w:w="57" w:type="dxa"/>
            </w:tcMar>
          </w:tcPr>
          <w:p w14:paraId="69A67229" w14:textId="77777777" w:rsidR="00FA4226" w:rsidRPr="00CA2CC1" w:rsidRDefault="00FA4226" w:rsidP="0043303B">
            <w:pPr>
              <w:pStyle w:val="TableParagraph"/>
              <w:jc w:val="left"/>
              <w:rPr>
                <w:rFonts w:cs="Calibri"/>
                <w:sz w:val="16"/>
              </w:rPr>
            </w:pPr>
          </w:p>
        </w:tc>
        <w:tc>
          <w:tcPr>
            <w:tcW w:w="1247" w:type="dxa"/>
            <w:tcBorders>
              <w:top w:val="single" w:sz="6" w:space="0" w:color="73777A"/>
              <w:left w:val="single" w:sz="8" w:space="0" w:color="FFFFFF"/>
              <w:bottom w:val="single" w:sz="2" w:space="0" w:color="73777A"/>
              <w:right w:val="single" w:sz="8" w:space="0" w:color="FFFFFF"/>
            </w:tcBorders>
            <w:shd w:val="clear" w:color="auto" w:fill="EDEFF0"/>
            <w:tcMar>
              <w:right w:w="57" w:type="dxa"/>
            </w:tcMar>
          </w:tcPr>
          <w:p w14:paraId="31768F2C" w14:textId="77777777" w:rsidR="00FA4226" w:rsidRPr="00CA2CC1" w:rsidRDefault="00FA4226" w:rsidP="0043303B">
            <w:pPr>
              <w:pStyle w:val="TableParagraph"/>
              <w:jc w:val="left"/>
              <w:rPr>
                <w:rFonts w:cs="Calibri"/>
                <w:sz w:val="16"/>
              </w:rPr>
            </w:pPr>
          </w:p>
        </w:tc>
        <w:tc>
          <w:tcPr>
            <w:tcW w:w="1247" w:type="dxa"/>
            <w:tcBorders>
              <w:top w:val="single" w:sz="6" w:space="0" w:color="73777A"/>
              <w:left w:val="single" w:sz="8" w:space="0" w:color="FFFFFF"/>
              <w:bottom w:val="single" w:sz="2" w:space="0" w:color="73777A"/>
              <w:right w:val="nil"/>
            </w:tcBorders>
            <w:shd w:val="clear" w:color="auto" w:fill="FFF0E7"/>
            <w:tcMar>
              <w:right w:w="57" w:type="dxa"/>
            </w:tcMar>
          </w:tcPr>
          <w:p w14:paraId="2C5F63A0" w14:textId="77777777" w:rsidR="00FA4226" w:rsidRPr="00CA2CC1" w:rsidRDefault="00FA4226" w:rsidP="0043303B">
            <w:pPr>
              <w:pStyle w:val="TableParagraph"/>
              <w:jc w:val="left"/>
              <w:rPr>
                <w:rFonts w:cs="Calibri"/>
                <w:sz w:val="16"/>
              </w:rPr>
            </w:pPr>
          </w:p>
        </w:tc>
      </w:tr>
      <w:tr w:rsidR="00FA4226" w:rsidRPr="00CA2CC1" w14:paraId="67A7D85B" w14:textId="77777777" w:rsidTr="00081F41">
        <w:trPr>
          <w:trHeight w:val="283"/>
        </w:trPr>
        <w:tc>
          <w:tcPr>
            <w:tcW w:w="3402" w:type="dxa"/>
            <w:tcBorders>
              <w:top w:val="single" w:sz="2" w:space="0" w:color="73777A"/>
              <w:left w:val="nil"/>
              <w:bottom w:val="single" w:sz="2" w:space="0" w:color="73777A"/>
              <w:right w:val="nil"/>
            </w:tcBorders>
          </w:tcPr>
          <w:p w14:paraId="0E30DF4B" w14:textId="77777777" w:rsidR="00FA4226" w:rsidRPr="00CA2CC1" w:rsidRDefault="00000000" w:rsidP="0043303B">
            <w:pPr>
              <w:pStyle w:val="TableParagraph"/>
              <w:jc w:val="left"/>
              <w:rPr>
                <w:rFonts w:cs="Calibri"/>
                <w:sz w:val="18"/>
              </w:rPr>
            </w:pPr>
            <w:r w:rsidRPr="00CA2CC1">
              <w:rPr>
                <w:rFonts w:cs="Calibri"/>
                <w:color w:val="414042"/>
                <w:spacing w:val="-2"/>
                <w:sz w:val="18"/>
              </w:rPr>
              <w:t>Payables</w:t>
            </w:r>
          </w:p>
        </w:tc>
        <w:tc>
          <w:tcPr>
            <w:tcW w:w="1247" w:type="dxa"/>
            <w:tcBorders>
              <w:top w:val="single" w:sz="2" w:space="0" w:color="73777A"/>
              <w:left w:val="nil"/>
              <w:bottom w:val="single" w:sz="2" w:space="0" w:color="73777A"/>
              <w:right w:val="single" w:sz="8" w:space="0" w:color="FFFFFF"/>
            </w:tcBorders>
            <w:shd w:val="clear" w:color="auto" w:fill="FFF0E7"/>
            <w:tcMar>
              <w:right w:w="57" w:type="dxa"/>
            </w:tcMar>
          </w:tcPr>
          <w:p w14:paraId="03F3087B" w14:textId="77777777" w:rsidR="00FA4226" w:rsidRPr="00CA2CC1" w:rsidRDefault="00000000" w:rsidP="0043303B">
            <w:pPr>
              <w:pStyle w:val="TableParagraph"/>
              <w:rPr>
                <w:rFonts w:cs="Calibri"/>
                <w:sz w:val="18"/>
              </w:rPr>
            </w:pPr>
            <w:r w:rsidRPr="00CA2CC1">
              <w:rPr>
                <w:rFonts w:cs="Calibri"/>
                <w:color w:val="414042"/>
                <w:spacing w:val="-2"/>
                <w:sz w:val="18"/>
              </w:rPr>
              <w:t>1,076,373</w:t>
            </w:r>
          </w:p>
        </w:tc>
        <w:tc>
          <w:tcPr>
            <w:tcW w:w="1247" w:type="dxa"/>
            <w:tcBorders>
              <w:top w:val="single" w:sz="2" w:space="0" w:color="73777A"/>
              <w:left w:val="single" w:sz="8" w:space="0" w:color="FFFFFF"/>
              <w:bottom w:val="single" w:sz="2" w:space="0" w:color="73777A"/>
              <w:right w:val="single" w:sz="8" w:space="0" w:color="FFFFFF"/>
            </w:tcBorders>
            <w:shd w:val="clear" w:color="auto" w:fill="EDEFF0"/>
            <w:tcMar>
              <w:right w:w="57" w:type="dxa"/>
            </w:tcMar>
          </w:tcPr>
          <w:p w14:paraId="1D990E0F" w14:textId="77777777" w:rsidR="00FA4226" w:rsidRPr="00CA2CC1" w:rsidRDefault="00000000" w:rsidP="0043303B">
            <w:pPr>
              <w:pStyle w:val="TableParagraph"/>
              <w:rPr>
                <w:rFonts w:cs="Calibri"/>
                <w:sz w:val="18"/>
              </w:rPr>
            </w:pPr>
            <w:r w:rsidRPr="00CA2CC1">
              <w:rPr>
                <w:rFonts w:cs="Calibri"/>
                <w:color w:val="414042"/>
                <w:spacing w:val="-2"/>
                <w:sz w:val="18"/>
              </w:rPr>
              <w:t>1,243,221</w:t>
            </w:r>
          </w:p>
        </w:tc>
        <w:tc>
          <w:tcPr>
            <w:tcW w:w="1247" w:type="dxa"/>
            <w:tcBorders>
              <w:top w:val="single" w:sz="2" w:space="0" w:color="73777A"/>
              <w:left w:val="single" w:sz="8" w:space="0" w:color="FFFFFF"/>
              <w:bottom w:val="single" w:sz="2" w:space="0" w:color="73777A"/>
              <w:right w:val="single" w:sz="8" w:space="0" w:color="FFFFFF"/>
            </w:tcBorders>
            <w:shd w:val="clear" w:color="auto" w:fill="FFF0E7"/>
            <w:tcMar>
              <w:right w:w="57" w:type="dxa"/>
            </w:tcMar>
          </w:tcPr>
          <w:p w14:paraId="13BD11D8" w14:textId="77777777" w:rsidR="00FA4226" w:rsidRPr="00CA2CC1" w:rsidRDefault="00000000" w:rsidP="0043303B">
            <w:pPr>
              <w:pStyle w:val="TableParagraph"/>
              <w:rPr>
                <w:rFonts w:cs="Calibri"/>
                <w:sz w:val="18"/>
              </w:rPr>
            </w:pPr>
            <w:r w:rsidRPr="00CA2CC1">
              <w:rPr>
                <w:rFonts w:cs="Calibri"/>
                <w:color w:val="414042"/>
                <w:spacing w:val="-4"/>
                <w:sz w:val="18"/>
              </w:rPr>
              <w:t>(89)</w:t>
            </w:r>
          </w:p>
        </w:tc>
        <w:tc>
          <w:tcPr>
            <w:tcW w:w="1247" w:type="dxa"/>
            <w:tcBorders>
              <w:top w:val="single" w:sz="2" w:space="0" w:color="73777A"/>
              <w:left w:val="single" w:sz="8" w:space="0" w:color="FFFFFF"/>
              <w:bottom w:val="single" w:sz="2" w:space="0" w:color="73777A"/>
              <w:right w:val="single" w:sz="8" w:space="0" w:color="FFFFFF"/>
            </w:tcBorders>
            <w:shd w:val="clear" w:color="auto" w:fill="EDEFF0"/>
            <w:tcMar>
              <w:right w:w="57" w:type="dxa"/>
            </w:tcMar>
          </w:tcPr>
          <w:p w14:paraId="57624E61" w14:textId="77777777" w:rsidR="00FA4226" w:rsidRPr="00CA2CC1" w:rsidRDefault="00000000" w:rsidP="0043303B">
            <w:pPr>
              <w:pStyle w:val="TableParagraph"/>
              <w:rPr>
                <w:rFonts w:cs="Calibri"/>
                <w:sz w:val="18"/>
              </w:rPr>
            </w:pPr>
            <w:r w:rsidRPr="00CA2CC1">
              <w:rPr>
                <w:rFonts w:cs="Calibri"/>
                <w:color w:val="414042"/>
                <w:sz w:val="18"/>
              </w:rPr>
              <w:t>-</w:t>
            </w:r>
          </w:p>
        </w:tc>
        <w:tc>
          <w:tcPr>
            <w:tcW w:w="1247" w:type="dxa"/>
            <w:tcBorders>
              <w:top w:val="single" w:sz="2" w:space="0" w:color="73777A"/>
              <w:left w:val="single" w:sz="8" w:space="0" w:color="FFFFFF"/>
              <w:bottom w:val="single" w:sz="2" w:space="0" w:color="73777A"/>
              <w:right w:val="nil"/>
            </w:tcBorders>
            <w:shd w:val="clear" w:color="auto" w:fill="FFF0E7"/>
            <w:tcMar>
              <w:right w:w="57" w:type="dxa"/>
            </w:tcMar>
          </w:tcPr>
          <w:p w14:paraId="7165C0F1" w14:textId="77777777" w:rsidR="00FA4226" w:rsidRPr="00CA2CC1" w:rsidRDefault="00000000" w:rsidP="0043303B">
            <w:pPr>
              <w:pStyle w:val="TableParagraph"/>
              <w:rPr>
                <w:rFonts w:cs="Calibri"/>
                <w:sz w:val="18"/>
              </w:rPr>
            </w:pPr>
            <w:r w:rsidRPr="00CA2CC1">
              <w:rPr>
                <w:rFonts w:cs="Calibri"/>
                <w:color w:val="414042"/>
                <w:spacing w:val="-2"/>
                <w:sz w:val="18"/>
              </w:rPr>
              <w:t>1,243,310</w:t>
            </w:r>
          </w:p>
        </w:tc>
      </w:tr>
      <w:tr w:rsidR="00FA4226" w:rsidRPr="00CA2CC1" w14:paraId="50500AEE" w14:textId="77777777" w:rsidTr="00081F41">
        <w:trPr>
          <w:trHeight w:val="283"/>
        </w:trPr>
        <w:tc>
          <w:tcPr>
            <w:tcW w:w="3402" w:type="dxa"/>
            <w:tcBorders>
              <w:top w:val="single" w:sz="2" w:space="0" w:color="73777A"/>
              <w:left w:val="nil"/>
              <w:bottom w:val="single" w:sz="2" w:space="0" w:color="73777A"/>
              <w:right w:val="nil"/>
            </w:tcBorders>
          </w:tcPr>
          <w:p w14:paraId="2D24102C" w14:textId="77777777" w:rsidR="00FA4226" w:rsidRPr="00CA2CC1" w:rsidRDefault="00000000" w:rsidP="0043303B">
            <w:pPr>
              <w:pStyle w:val="TableParagraph"/>
              <w:jc w:val="left"/>
              <w:rPr>
                <w:rFonts w:cs="Calibri"/>
                <w:sz w:val="18"/>
              </w:rPr>
            </w:pPr>
            <w:r w:rsidRPr="00CA2CC1">
              <w:rPr>
                <w:rFonts w:cs="Calibri"/>
                <w:color w:val="414042"/>
                <w:spacing w:val="-2"/>
                <w:sz w:val="18"/>
              </w:rPr>
              <w:t>Borrowings</w:t>
            </w:r>
          </w:p>
        </w:tc>
        <w:tc>
          <w:tcPr>
            <w:tcW w:w="1247" w:type="dxa"/>
            <w:tcBorders>
              <w:top w:val="single" w:sz="2" w:space="0" w:color="73777A"/>
              <w:left w:val="nil"/>
              <w:bottom w:val="single" w:sz="2" w:space="0" w:color="73777A"/>
              <w:right w:val="single" w:sz="8" w:space="0" w:color="FFFFFF"/>
            </w:tcBorders>
            <w:shd w:val="clear" w:color="auto" w:fill="FFF0E7"/>
            <w:tcMar>
              <w:right w:w="57" w:type="dxa"/>
            </w:tcMar>
          </w:tcPr>
          <w:p w14:paraId="5B8D3E27" w14:textId="77777777" w:rsidR="00FA4226" w:rsidRPr="00CA2CC1" w:rsidRDefault="00000000" w:rsidP="0043303B">
            <w:pPr>
              <w:pStyle w:val="TableParagraph"/>
              <w:rPr>
                <w:rFonts w:cs="Calibri"/>
                <w:sz w:val="18"/>
              </w:rPr>
            </w:pPr>
            <w:r w:rsidRPr="00CA2CC1">
              <w:rPr>
                <w:rFonts w:cs="Calibri"/>
                <w:color w:val="414042"/>
                <w:spacing w:val="-2"/>
                <w:sz w:val="18"/>
              </w:rPr>
              <w:t>1,881,379</w:t>
            </w:r>
          </w:p>
        </w:tc>
        <w:tc>
          <w:tcPr>
            <w:tcW w:w="1247" w:type="dxa"/>
            <w:tcBorders>
              <w:top w:val="single" w:sz="2" w:space="0" w:color="73777A"/>
              <w:left w:val="single" w:sz="8" w:space="0" w:color="FFFFFF"/>
              <w:bottom w:val="single" w:sz="2" w:space="0" w:color="73777A"/>
              <w:right w:val="single" w:sz="8" w:space="0" w:color="FFFFFF"/>
            </w:tcBorders>
            <w:shd w:val="clear" w:color="auto" w:fill="EDEFF0"/>
            <w:tcMar>
              <w:right w:w="57" w:type="dxa"/>
            </w:tcMar>
          </w:tcPr>
          <w:p w14:paraId="549633A9" w14:textId="77777777" w:rsidR="00FA4226" w:rsidRPr="00CA2CC1" w:rsidRDefault="00000000" w:rsidP="0043303B">
            <w:pPr>
              <w:pStyle w:val="TableParagraph"/>
              <w:rPr>
                <w:rFonts w:cs="Calibri"/>
                <w:sz w:val="18"/>
              </w:rPr>
            </w:pPr>
            <w:r w:rsidRPr="00CA2CC1">
              <w:rPr>
                <w:rFonts w:cs="Calibri"/>
                <w:color w:val="414042"/>
                <w:spacing w:val="-2"/>
                <w:sz w:val="18"/>
              </w:rPr>
              <w:t>2,244,231</w:t>
            </w:r>
          </w:p>
        </w:tc>
        <w:tc>
          <w:tcPr>
            <w:tcW w:w="1247" w:type="dxa"/>
            <w:tcBorders>
              <w:top w:val="single" w:sz="2" w:space="0" w:color="73777A"/>
              <w:left w:val="single" w:sz="8" w:space="0" w:color="FFFFFF"/>
              <w:bottom w:val="single" w:sz="2" w:space="0" w:color="73777A"/>
              <w:right w:val="single" w:sz="8" w:space="0" w:color="FFFFFF"/>
            </w:tcBorders>
            <w:shd w:val="clear" w:color="auto" w:fill="FFF0E7"/>
            <w:tcMar>
              <w:right w:w="57" w:type="dxa"/>
            </w:tcMar>
          </w:tcPr>
          <w:p w14:paraId="2148BDE7" w14:textId="77777777" w:rsidR="00FA4226" w:rsidRPr="00CA2CC1" w:rsidRDefault="00000000" w:rsidP="0043303B">
            <w:pPr>
              <w:pStyle w:val="TableParagraph"/>
              <w:rPr>
                <w:rFonts w:cs="Calibri"/>
                <w:sz w:val="18"/>
              </w:rPr>
            </w:pPr>
            <w:r w:rsidRPr="00CA2CC1">
              <w:rPr>
                <w:rFonts w:cs="Calibri"/>
                <w:color w:val="414042"/>
                <w:spacing w:val="-2"/>
                <w:sz w:val="18"/>
              </w:rPr>
              <w:t>(38,692)</w:t>
            </w:r>
          </w:p>
        </w:tc>
        <w:tc>
          <w:tcPr>
            <w:tcW w:w="1247" w:type="dxa"/>
            <w:tcBorders>
              <w:top w:val="single" w:sz="2" w:space="0" w:color="73777A"/>
              <w:left w:val="single" w:sz="8" w:space="0" w:color="FFFFFF"/>
              <w:bottom w:val="single" w:sz="2" w:space="0" w:color="73777A"/>
              <w:right w:val="single" w:sz="8" w:space="0" w:color="FFFFFF"/>
            </w:tcBorders>
            <w:shd w:val="clear" w:color="auto" w:fill="EDEFF0"/>
            <w:tcMar>
              <w:right w:w="57" w:type="dxa"/>
            </w:tcMar>
          </w:tcPr>
          <w:p w14:paraId="7EAA02C8" w14:textId="77777777" w:rsidR="00FA4226" w:rsidRPr="00CA2CC1" w:rsidRDefault="00000000" w:rsidP="0043303B">
            <w:pPr>
              <w:pStyle w:val="TableParagraph"/>
              <w:rPr>
                <w:rFonts w:cs="Calibri"/>
                <w:sz w:val="18"/>
              </w:rPr>
            </w:pPr>
            <w:r w:rsidRPr="00CA2CC1">
              <w:rPr>
                <w:rFonts w:cs="Calibri"/>
                <w:color w:val="414042"/>
                <w:sz w:val="18"/>
              </w:rPr>
              <w:t>-</w:t>
            </w:r>
          </w:p>
        </w:tc>
        <w:tc>
          <w:tcPr>
            <w:tcW w:w="1247" w:type="dxa"/>
            <w:tcBorders>
              <w:top w:val="single" w:sz="2" w:space="0" w:color="73777A"/>
              <w:left w:val="single" w:sz="8" w:space="0" w:color="FFFFFF"/>
              <w:bottom w:val="single" w:sz="2" w:space="0" w:color="73777A"/>
              <w:right w:val="nil"/>
            </w:tcBorders>
            <w:shd w:val="clear" w:color="auto" w:fill="FFF0E7"/>
            <w:tcMar>
              <w:right w:w="57" w:type="dxa"/>
            </w:tcMar>
          </w:tcPr>
          <w:p w14:paraId="5B39B7E1" w14:textId="77777777" w:rsidR="00FA4226" w:rsidRPr="00CA2CC1" w:rsidRDefault="00000000" w:rsidP="0043303B">
            <w:pPr>
              <w:pStyle w:val="TableParagraph"/>
              <w:rPr>
                <w:rFonts w:cs="Calibri"/>
                <w:sz w:val="18"/>
              </w:rPr>
            </w:pPr>
            <w:r w:rsidRPr="00CA2CC1">
              <w:rPr>
                <w:rFonts w:cs="Calibri"/>
                <w:color w:val="414042"/>
                <w:spacing w:val="-2"/>
                <w:sz w:val="18"/>
              </w:rPr>
              <w:t>2,282,923</w:t>
            </w:r>
          </w:p>
        </w:tc>
      </w:tr>
      <w:tr w:rsidR="00FA4226" w:rsidRPr="00CA2CC1" w14:paraId="1D506F22" w14:textId="77777777" w:rsidTr="00081F41">
        <w:trPr>
          <w:trHeight w:val="283"/>
        </w:trPr>
        <w:tc>
          <w:tcPr>
            <w:tcW w:w="3402" w:type="dxa"/>
            <w:tcBorders>
              <w:top w:val="single" w:sz="2" w:space="0" w:color="73777A"/>
              <w:left w:val="nil"/>
              <w:bottom w:val="single" w:sz="2" w:space="0" w:color="73777A"/>
              <w:right w:val="nil"/>
            </w:tcBorders>
          </w:tcPr>
          <w:p w14:paraId="29C01E49" w14:textId="77777777" w:rsidR="00FA4226" w:rsidRPr="00CA2CC1" w:rsidRDefault="00000000" w:rsidP="0043303B">
            <w:pPr>
              <w:pStyle w:val="TableParagraph"/>
              <w:jc w:val="left"/>
              <w:rPr>
                <w:rFonts w:cs="Calibri"/>
                <w:sz w:val="18"/>
              </w:rPr>
            </w:pPr>
            <w:r w:rsidRPr="00CA2CC1">
              <w:rPr>
                <w:rFonts w:cs="Calibri"/>
                <w:color w:val="414042"/>
                <w:sz w:val="18"/>
              </w:rPr>
              <w:t>Employee</w:t>
            </w:r>
            <w:r w:rsidRPr="00CA2CC1">
              <w:rPr>
                <w:rFonts w:cs="Calibri"/>
                <w:color w:val="414042"/>
                <w:spacing w:val="4"/>
                <w:sz w:val="18"/>
              </w:rPr>
              <w:t xml:space="preserve"> </w:t>
            </w:r>
            <w:r w:rsidRPr="00CA2CC1">
              <w:rPr>
                <w:rFonts w:cs="Calibri"/>
                <w:color w:val="414042"/>
                <w:sz w:val="18"/>
              </w:rPr>
              <w:t>benefit</w:t>
            </w:r>
            <w:r w:rsidRPr="00CA2CC1">
              <w:rPr>
                <w:rFonts w:cs="Calibri"/>
                <w:color w:val="414042"/>
                <w:spacing w:val="5"/>
                <w:sz w:val="18"/>
              </w:rPr>
              <w:t xml:space="preserve"> </w:t>
            </w:r>
            <w:r w:rsidRPr="00CA2CC1">
              <w:rPr>
                <w:rFonts w:cs="Calibri"/>
                <w:color w:val="414042"/>
                <w:spacing w:val="-2"/>
                <w:sz w:val="18"/>
              </w:rPr>
              <w:t>provisions</w:t>
            </w:r>
          </w:p>
        </w:tc>
        <w:tc>
          <w:tcPr>
            <w:tcW w:w="1247" w:type="dxa"/>
            <w:tcBorders>
              <w:top w:val="single" w:sz="2" w:space="0" w:color="73777A"/>
              <w:left w:val="nil"/>
              <w:bottom w:val="single" w:sz="2" w:space="0" w:color="73777A"/>
              <w:right w:val="single" w:sz="8" w:space="0" w:color="FFFFFF"/>
            </w:tcBorders>
            <w:shd w:val="clear" w:color="auto" w:fill="FFF0E7"/>
            <w:tcMar>
              <w:right w:w="57" w:type="dxa"/>
            </w:tcMar>
          </w:tcPr>
          <w:p w14:paraId="4A56977B" w14:textId="77777777" w:rsidR="00FA4226" w:rsidRPr="00CA2CC1" w:rsidRDefault="00000000" w:rsidP="0043303B">
            <w:pPr>
              <w:pStyle w:val="TableParagraph"/>
              <w:rPr>
                <w:rFonts w:cs="Calibri"/>
                <w:sz w:val="18"/>
              </w:rPr>
            </w:pPr>
            <w:r w:rsidRPr="00CA2CC1">
              <w:rPr>
                <w:rFonts w:cs="Calibri"/>
                <w:color w:val="414042"/>
                <w:spacing w:val="-2"/>
                <w:sz w:val="18"/>
              </w:rPr>
              <w:t>1,278,791</w:t>
            </w:r>
          </w:p>
        </w:tc>
        <w:tc>
          <w:tcPr>
            <w:tcW w:w="1247" w:type="dxa"/>
            <w:tcBorders>
              <w:top w:val="single" w:sz="2" w:space="0" w:color="73777A"/>
              <w:left w:val="single" w:sz="8" w:space="0" w:color="FFFFFF"/>
              <w:bottom w:val="single" w:sz="2" w:space="0" w:color="73777A"/>
              <w:right w:val="single" w:sz="8" w:space="0" w:color="FFFFFF"/>
            </w:tcBorders>
            <w:shd w:val="clear" w:color="auto" w:fill="EDEFF0"/>
            <w:tcMar>
              <w:right w:w="57" w:type="dxa"/>
            </w:tcMar>
          </w:tcPr>
          <w:p w14:paraId="76FE3607" w14:textId="77777777" w:rsidR="00FA4226" w:rsidRPr="00CA2CC1" w:rsidRDefault="00000000" w:rsidP="0043303B">
            <w:pPr>
              <w:pStyle w:val="TableParagraph"/>
              <w:rPr>
                <w:rFonts w:cs="Calibri"/>
                <w:sz w:val="18"/>
              </w:rPr>
            </w:pPr>
            <w:r w:rsidRPr="00CA2CC1">
              <w:rPr>
                <w:rFonts w:cs="Calibri"/>
                <w:color w:val="414042"/>
                <w:spacing w:val="-2"/>
                <w:sz w:val="18"/>
              </w:rPr>
              <w:t>1,051,580</w:t>
            </w:r>
          </w:p>
        </w:tc>
        <w:tc>
          <w:tcPr>
            <w:tcW w:w="1247" w:type="dxa"/>
            <w:tcBorders>
              <w:top w:val="single" w:sz="2" w:space="0" w:color="73777A"/>
              <w:left w:val="single" w:sz="8" w:space="0" w:color="FFFFFF"/>
              <w:bottom w:val="single" w:sz="2" w:space="0" w:color="73777A"/>
              <w:right w:val="single" w:sz="8" w:space="0" w:color="FFFFFF"/>
            </w:tcBorders>
            <w:shd w:val="clear" w:color="auto" w:fill="FFF0E7"/>
            <w:tcMar>
              <w:right w:w="57" w:type="dxa"/>
            </w:tcMar>
          </w:tcPr>
          <w:p w14:paraId="116B9D69" w14:textId="77777777" w:rsidR="00FA4226" w:rsidRPr="00CA2CC1" w:rsidRDefault="00000000" w:rsidP="0043303B">
            <w:pPr>
              <w:pStyle w:val="TableParagraph"/>
              <w:rPr>
                <w:rFonts w:cs="Calibri"/>
                <w:sz w:val="18"/>
              </w:rPr>
            </w:pPr>
            <w:r w:rsidRPr="00CA2CC1">
              <w:rPr>
                <w:rFonts w:cs="Calibri"/>
                <w:color w:val="414042"/>
                <w:sz w:val="18"/>
              </w:rPr>
              <w:t>-</w:t>
            </w:r>
          </w:p>
        </w:tc>
        <w:tc>
          <w:tcPr>
            <w:tcW w:w="1247" w:type="dxa"/>
            <w:tcBorders>
              <w:top w:val="single" w:sz="2" w:space="0" w:color="73777A"/>
              <w:left w:val="single" w:sz="8" w:space="0" w:color="FFFFFF"/>
              <w:bottom w:val="single" w:sz="2" w:space="0" w:color="73777A"/>
              <w:right w:val="single" w:sz="8" w:space="0" w:color="FFFFFF"/>
            </w:tcBorders>
            <w:shd w:val="clear" w:color="auto" w:fill="EDEFF0"/>
            <w:tcMar>
              <w:right w:w="57" w:type="dxa"/>
            </w:tcMar>
          </w:tcPr>
          <w:p w14:paraId="68828A27" w14:textId="77777777" w:rsidR="00FA4226" w:rsidRPr="00CA2CC1" w:rsidRDefault="00000000" w:rsidP="0043303B">
            <w:pPr>
              <w:pStyle w:val="TableParagraph"/>
              <w:rPr>
                <w:rFonts w:cs="Calibri"/>
                <w:sz w:val="18"/>
              </w:rPr>
            </w:pPr>
            <w:r w:rsidRPr="00CA2CC1">
              <w:rPr>
                <w:rFonts w:cs="Calibri"/>
                <w:color w:val="414042"/>
                <w:sz w:val="18"/>
              </w:rPr>
              <w:t>-</w:t>
            </w:r>
          </w:p>
        </w:tc>
        <w:tc>
          <w:tcPr>
            <w:tcW w:w="1247" w:type="dxa"/>
            <w:tcBorders>
              <w:top w:val="single" w:sz="2" w:space="0" w:color="73777A"/>
              <w:left w:val="single" w:sz="8" w:space="0" w:color="FFFFFF"/>
              <w:bottom w:val="single" w:sz="2" w:space="0" w:color="73777A"/>
              <w:right w:val="nil"/>
            </w:tcBorders>
            <w:shd w:val="clear" w:color="auto" w:fill="FFF0E7"/>
            <w:tcMar>
              <w:right w:w="57" w:type="dxa"/>
            </w:tcMar>
          </w:tcPr>
          <w:p w14:paraId="72FADF2B" w14:textId="77777777" w:rsidR="00FA4226" w:rsidRPr="00CA2CC1" w:rsidRDefault="00000000" w:rsidP="0043303B">
            <w:pPr>
              <w:pStyle w:val="TableParagraph"/>
              <w:rPr>
                <w:rFonts w:cs="Calibri"/>
                <w:sz w:val="18"/>
              </w:rPr>
            </w:pPr>
            <w:r w:rsidRPr="00CA2CC1">
              <w:rPr>
                <w:rFonts w:cs="Calibri"/>
                <w:color w:val="414042"/>
                <w:spacing w:val="-2"/>
                <w:sz w:val="18"/>
              </w:rPr>
              <w:t>1,051,580</w:t>
            </w:r>
          </w:p>
        </w:tc>
      </w:tr>
      <w:tr w:rsidR="00FA4226" w:rsidRPr="00CA2CC1" w14:paraId="7C8449B6" w14:textId="77777777" w:rsidTr="00081F41">
        <w:trPr>
          <w:trHeight w:val="283"/>
        </w:trPr>
        <w:tc>
          <w:tcPr>
            <w:tcW w:w="3402" w:type="dxa"/>
            <w:tcBorders>
              <w:top w:val="single" w:sz="2" w:space="0" w:color="73777A"/>
              <w:left w:val="nil"/>
              <w:bottom w:val="single" w:sz="2" w:space="0" w:color="73777A"/>
              <w:right w:val="nil"/>
            </w:tcBorders>
          </w:tcPr>
          <w:p w14:paraId="31C41E3B" w14:textId="77777777" w:rsidR="00FA4226" w:rsidRPr="00CA2CC1" w:rsidRDefault="00000000" w:rsidP="0043303B">
            <w:pPr>
              <w:pStyle w:val="TableParagraph"/>
              <w:jc w:val="left"/>
              <w:rPr>
                <w:rFonts w:cs="Calibri"/>
                <w:sz w:val="18"/>
              </w:rPr>
            </w:pPr>
            <w:r w:rsidRPr="00CA2CC1">
              <w:rPr>
                <w:rFonts w:cs="Calibri"/>
                <w:color w:val="414042"/>
                <w:sz w:val="18"/>
              </w:rPr>
              <w:t>Other</w:t>
            </w:r>
            <w:r w:rsidRPr="00CA2CC1">
              <w:rPr>
                <w:rFonts w:cs="Calibri"/>
                <w:color w:val="414042"/>
                <w:spacing w:val="5"/>
                <w:sz w:val="18"/>
              </w:rPr>
              <w:t xml:space="preserve"> </w:t>
            </w:r>
            <w:r w:rsidRPr="00CA2CC1">
              <w:rPr>
                <w:rFonts w:cs="Calibri"/>
                <w:color w:val="414042"/>
                <w:spacing w:val="-2"/>
                <w:sz w:val="18"/>
              </w:rPr>
              <w:t>provisions</w:t>
            </w:r>
          </w:p>
        </w:tc>
        <w:tc>
          <w:tcPr>
            <w:tcW w:w="1247" w:type="dxa"/>
            <w:tcBorders>
              <w:top w:val="single" w:sz="2" w:space="0" w:color="73777A"/>
              <w:left w:val="nil"/>
              <w:bottom w:val="single" w:sz="2" w:space="0" w:color="73777A"/>
              <w:right w:val="single" w:sz="8" w:space="0" w:color="FFFFFF"/>
            </w:tcBorders>
            <w:shd w:val="clear" w:color="auto" w:fill="FFF0E7"/>
            <w:tcMar>
              <w:right w:w="57" w:type="dxa"/>
            </w:tcMar>
          </w:tcPr>
          <w:p w14:paraId="4BC87DB9" w14:textId="77777777" w:rsidR="00FA4226" w:rsidRPr="00CA2CC1" w:rsidRDefault="00000000" w:rsidP="0043303B">
            <w:pPr>
              <w:pStyle w:val="TableParagraph"/>
              <w:rPr>
                <w:rFonts w:cs="Calibri"/>
                <w:sz w:val="18"/>
              </w:rPr>
            </w:pPr>
            <w:r w:rsidRPr="00CA2CC1">
              <w:rPr>
                <w:rFonts w:cs="Calibri"/>
                <w:color w:val="414042"/>
                <w:spacing w:val="-2"/>
                <w:sz w:val="18"/>
              </w:rPr>
              <w:t>98,667</w:t>
            </w:r>
          </w:p>
        </w:tc>
        <w:tc>
          <w:tcPr>
            <w:tcW w:w="1247" w:type="dxa"/>
            <w:tcBorders>
              <w:top w:val="single" w:sz="2" w:space="0" w:color="73777A"/>
              <w:left w:val="single" w:sz="8" w:space="0" w:color="FFFFFF"/>
              <w:bottom w:val="single" w:sz="2" w:space="0" w:color="73777A"/>
              <w:right w:val="single" w:sz="8" w:space="0" w:color="FFFFFF"/>
            </w:tcBorders>
            <w:shd w:val="clear" w:color="auto" w:fill="EDEFF0"/>
            <w:tcMar>
              <w:right w:w="57" w:type="dxa"/>
            </w:tcMar>
          </w:tcPr>
          <w:p w14:paraId="658BF633" w14:textId="77777777" w:rsidR="00FA4226" w:rsidRPr="00CA2CC1" w:rsidRDefault="00000000" w:rsidP="0043303B">
            <w:pPr>
              <w:pStyle w:val="TableParagraph"/>
              <w:rPr>
                <w:rFonts w:cs="Calibri"/>
                <w:sz w:val="18"/>
              </w:rPr>
            </w:pPr>
            <w:r w:rsidRPr="00CA2CC1">
              <w:rPr>
                <w:rFonts w:cs="Calibri"/>
                <w:color w:val="414042"/>
                <w:spacing w:val="-2"/>
                <w:sz w:val="18"/>
              </w:rPr>
              <w:t>98,667</w:t>
            </w:r>
          </w:p>
        </w:tc>
        <w:tc>
          <w:tcPr>
            <w:tcW w:w="1247" w:type="dxa"/>
            <w:tcBorders>
              <w:top w:val="single" w:sz="2" w:space="0" w:color="73777A"/>
              <w:left w:val="single" w:sz="8" w:space="0" w:color="FFFFFF"/>
              <w:bottom w:val="single" w:sz="2" w:space="0" w:color="73777A"/>
              <w:right w:val="single" w:sz="8" w:space="0" w:color="FFFFFF"/>
            </w:tcBorders>
            <w:shd w:val="clear" w:color="auto" w:fill="FFF0E7"/>
            <w:tcMar>
              <w:right w:w="57" w:type="dxa"/>
            </w:tcMar>
          </w:tcPr>
          <w:p w14:paraId="4570F41E" w14:textId="77777777" w:rsidR="00FA4226" w:rsidRPr="00CA2CC1" w:rsidRDefault="00000000" w:rsidP="0043303B">
            <w:pPr>
              <w:pStyle w:val="TableParagraph"/>
              <w:rPr>
                <w:rFonts w:cs="Calibri"/>
                <w:sz w:val="18"/>
              </w:rPr>
            </w:pPr>
            <w:r w:rsidRPr="00CA2CC1">
              <w:rPr>
                <w:rFonts w:cs="Calibri"/>
                <w:color w:val="414042"/>
                <w:sz w:val="18"/>
              </w:rPr>
              <w:t>-</w:t>
            </w:r>
          </w:p>
        </w:tc>
        <w:tc>
          <w:tcPr>
            <w:tcW w:w="1247" w:type="dxa"/>
            <w:tcBorders>
              <w:top w:val="single" w:sz="2" w:space="0" w:color="73777A"/>
              <w:left w:val="single" w:sz="8" w:space="0" w:color="FFFFFF"/>
              <w:bottom w:val="single" w:sz="2" w:space="0" w:color="73777A"/>
              <w:right w:val="single" w:sz="8" w:space="0" w:color="FFFFFF"/>
            </w:tcBorders>
            <w:shd w:val="clear" w:color="auto" w:fill="EDEFF0"/>
            <w:tcMar>
              <w:right w:w="57" w:type="dxa"/>
            </w:tcMar>
          </w:tcPr>
          <w:p w14:paraId="19520AD4" w14:textId="77777777" w:rsidR="00FA4226" w:rsidRPr="00CA2CC1" w:rsidRDefault="00000000" w:rsidP="0043303B">
            <w:pPr>
              <w:pStyle w:val="TableParagraph"/>
              <w:rPr>
                <w:rFonts w:cs="Calibri"/>
                <w:sz w:val="18"/>
              </w:rPr>
            </w:pPr>
            <w:r w:rsidRPr="00CA2CC1">
              <w:rPr>
                <w:rFonts w:cs="Calibri"/>
                <w:color w:val="414042"/>
                <w:sz w:val="18"/>
              </w:rPr>
              <w:t>-</w:t>
            </w:r>
          </w:p>
        </w:tc>
        <w:tc>
          <w:tcPr>
            <w:tcW w:w="1247" w:type="dxa"/>
            <w:tcBorders>
              <w:top w:val="single" w:sz="2" w:space="0" w:color="73777A"/>
              <w:left w:val="single" w:sz="8" w:space="0" w:color="FFFFFF"/>
              <w:bottom w:val="single" w:sz="2" w:space="0" w:color="73777A"/>
              <w:right w:val="nil"/>
            </w:tcBorders>
            <w:shd w:val="clear" w:color="auto" w:fill="FFF0E7"/>
            <w:tcMar>
              <w:right w:w="57" w:type="dxa"/>
            </w:tcMar>
          </w:tcPr>
          <w:p w14:paraId="7B761804" w14:textId="77777777" w:rsidR="00FA4226" w:rsidRPr="00CA2CC1" w:rsidRDefault="00000000" w:rsidP="0043303B">
            <w:pPr>
              <w:pStyle w:val="TableParagraph"/>
              <w:rPr>
                <w:rFonts w:cs="Calibri"/>
                <w:sz w:val="18"/>
              </w:rPr>
            </w:pPr>
            <w:r w:rsidRPr="00CA2CC1">
              <w:rPr>
                <w:rFonts w:cs="Calibri"/>
                <w:color w:val="414042"/>
                <w:spacing w:val="-2"/>
                <w:sz w:val="18"/>
              </w:rPr>
              <w:t>98,667</w:t>
            </w:r>
          </w:p>
        </w:tc>
      </w:tr>
      <w:tr w:rsidR="00FA4226" w:rsidRPr="00CA2CC1" w14:paraId="579C044E" w14:textId="77777777" w:rsidTr="00081F41">
        <w:trPr>
          <w:trHeight w:val="283"/>
        </w:trPr>
        <w:tc>
          <w:tcPr>
            <w:tcW w:w="3402" w:type="dxa"/>
            <w:tcBorders>
              <w:top w:val="single" w:sz="2" w:space="0" w:color="73777A"/>
              <w:left w:val="nil"/>
              <w:bottom w:val="single" w:sz="2" w:space="0" w:color="73777A"/>
              <w:right w:val="nil"/>
            </w:tcBorders>
          </w:tcPr>
          <w:p w14:paraId="7A0CB97C" w14:textId="77777777" w:rsidR="00FA4226" w:rsidRPr="00CA2CC1" w:rsidRDefault="00000000" w:rsidP="0043303B">
            <w:pPr>
              <w:pStyle w:val="TableParagraph"/>
              <w:jc w:val="left"/>
              <w:rPr>
                <w:rFonts w:cs="Calibri"/>
                <w:sz w:val="18"/>
              </w:rPr>
            </w:pPr>
            <w:r w:rsidRPr="00CA2CC1">
              <w:rPr>
                <w:rFonts w:cs="Calibri"/>
                <w:color w:val="414042"/>
                <w:sz w:val="18"/>
              </w:rPr>
              <w:t>Deferred</w:t>
            </w:r>
            <w:r w:rsidRPr="00CA2CC1">
              <w:rPr>
                <w:rFonts w:cs="Calibri"/>
                <w:color w:val="414042"/>
                <w:spacing w:val="5"/>
                <w:sz w:val="18"/>
              </w:rPr>
              <w:t xml:space="preserve"> </w:t>
            </w:r>
            <w:r w:rsidRPr="00CA2CC1">
              <w:rPr>
                <w:rFonts w:cs="Calibri"/>
                <w:color w:val="414042"/>
                <w:sz w:val="18"/>
              </w:rPr>
              <w:t>lease</w:t>
            </w:r>
            <w:r w:rsidRPr="00CA2CC1">
              <w:rPr>
                <w:rFonts w:cs="Calibri"/>
                <w:color w:val="414042"/>
                <w:spacing w:val="7"/>
                <w:sz w:val="18"/>
              </w:rPr>
              <w:t xml:space="preserve"> </w:t>
            </w:r>
            <w:r w:rsidRPr="00CA2CC1">
              <w:rPr>
                <w:rFonts w:cs="Calibri"/>
                <w:color w:val="414042"/>
                <w:spacing w:val="-2"/>
                <w:sz w:val="18"/>
              </w:rPr>
              <w:t>incentive</w:t>
            </w:r>
          </w:p>
        </w:tc>
        <w:tc>
          <w:tcPr>
            <w:tcW w:w="1247" w:type="dxa"/>
            <w:tcBorders>
              <w:top w:val="single" w:sz="2" w:space="0" w:color="73777A"/>
              <w:left w:val="nil"/>
              <w:bottom w:val="single" w:sz="2" w:space="0" w:color="73777A"/>
              <w:right w:val="single" w:sz="8" w:space="0" w:color="FFFFFF"/>
            </w:tcBorders>
            <w:shd w:val="clear" w:color="auto" w:fill="FFF0E7"/>
            <w:tcMar>
              <w:right w:w="57" w:type="dxa"/>
            </w:tcMar>
          </w:tcPr>
          <w:p w14:paraId="5534B950" w14:textId="77777777" w:rsidR="00FA4226" w:rsidRPr="00CA2CC1" w:rsidRDefault="00000000" w:rsidP="0043303B">
            <w:pPr>
              <w:pStyle w:val="TableParagraph"/>
              <w:rPr>
                <w:rFonts w:cs="Calibri"/>
                <w:sz w:val="18"/>
              </w:rPr>
            </w:pPr>
            <w:r w:rsidRPr="00CA2CC1">
              <w:rPr>
                <w:rFonts w:cs="Calibri"/>
                <w:color w:val="414042"/>
                <w:spacing w:val="-2"/>
                <w:sz w:val="18"/>
              </w:rPr>
              <w:t>4,989</w:t>
            </w:r>
          </w:p>
        </w:tc>
        <w:tc>
          <w:tcPr>
            <w:tcW w:w="1247" w:type="dxa"/>
            <w:tcBorders>
              <w:top w:val="single" w:sz="2" w:space="0" w:color="73777A"/>
              <w:left w:val="single" w:sz="8" w:space="0" w:color="FFFFFF"/>
              <w:bottom w:val="single" w:sz="2" w:space="0" w:color="73777A"/>
              <w:right w:val="single" w:sz="8" w:space="0" w:color="FFFFFF"/>
            </w:tcBorders>
            <w:shd w:val="clear" w:color="auto" w:fill="EDEFF0"/>
            <w:tcMar>
              <w:right w:w="57" w:type="dxa"/>
            </w:tcMar>
          </w:tcPr>
          <w:p w14:paraId="62B62839" w14:textId="77777777" w:rsidR="00FA4226" w:rsidRPr="00CA2CC1" w:rsidRDefault="00000000" w:rsidP="0043303B">
            <w:pPr>
              <w:pStyle w:val="TableParagraph"/>
              <w:rPr>
                <w:rFonts w:cs="Calibri"/>
                <w:sz w:val="18"/>
              </w:rPr>
            </w:pPr>
            <w:r w:rsidRPr="00CA2CC1">
              <w:rPr>
                <w:rFonts w:cs="Calibri"/>
                <w:color w:val="414042"/>
                <w:spacing w:val="-2"/>
                <w:sz w:val="18"/>
              </w:rPr>
              <w:t>10,978</w:t>
            </w:r>
          </w:p>
        </w:tc>
        <w:tc>
          <w:tcPr>
            <w:tcW w:w="1247" w:type="dxa"/>
            <w:tcBorders>
              <w:top w:val="single" w:sz="2" w:space="0" w:color="73777A"/>
              <w:left w:val="single" w:sz="8" w:space="0" w:color="FFFFFF"/>
              <w:bottom w:val="single" w:sz="2" w:space="0" w:color="73777A"/>
              <w:right w:val="single" w:sz="8" w:space="0" w:color="FFFFFF"/>
            </w:tcBorders>
            <w:shd w:val="clear" w:color="auto" w:fill="FFF0E7"/>
            <w:tcMar>
              <w:right w:w="57" w:type="dxa"/>
            </w:tcMar>
          </w:tcPr>
          <w:p w14:paraId="0131FDB5" w14:textId="77777777" w:rsidR="00FA4226" w:rsidRPr="00CA2CC1" w:rsidRDefault="00000000" w:rsidP="0043303B">
            <w:pPr>
              <w:pStyle w:val="TableParagraph"/>
              <w:rPr>
                <w:rFonts w:cs="Calibri"/>
                <w:sz w:val="18"/>
              </w:rPr>
            </w:pPr>
            <w:r w:rsidRPr="00CA2CC1">
              <w:rPr>
                <w:rFonts w:cs="Calibri"/>
                <w:color w:val="414042"/>
                <w:sz w:val="18"/>
              </w:rPr>
              <w:t>-</w:t>
            </w:r>
          </w:p>
        </w:tc>
        <w:tc>
          <w:tcPr>
            <w:tcW w:w="1247" w:type="dxa"/>
            <w:tcBorders>
              <w:top w:val="single" w:sz="2" w:space="0" w:color="73777A"/>
              <w:left w:val="single" w:sz="8" w:space="0" w:color="FFFFFF"/>
              <w:bottom w:val="single" w:sz="2" w:space="0" w:color="73777A"/>
              <w:right w:val="single" w:sz="8" w:space="0" w:color="FFFFFF"/>
            </w:tcBorders>
            <w:shd w:val="clear" w:color="auto" w:fill="EDEFF0"/>
            <w:tcMar>
              <w:right w:w="57" w:type="dxa"/>
            </w:tcMar>
          </w:tcPr>
          <w:p w14:paraId="75DECAEA" w14:textId="77777777" w:rsidR="00FA4226" w:rsidRPr="00CA2CC1" w:rsidRDefault="00000000" w:rsidP="0043303B">
            <w:pPr>
              <w:pStyle w:val="TableParagraph"/>
              <w:rPr>
                <w:rFonts w:cs="Calibri"/>
                <w:sz w:val="18"/>
              </w:rPr>
            </w:pPr>
            <w:r w:rsidRPr="00CA2CC1">
              <w:rPr>
                <w:rFonts w:cs="Calibri"/>
                <w:color w:val="414042"/>
                <w:sz w:val="18"/>
              </w:rPr>
              <w:t>-</w:t>
            </w:r>
          </w:p>
        </w:tc>
        <w:tc>
          <w:tcPr>
            <w:tcW w:w="1247" w:type="dxa"/>
            <w:tcBorders>
              <w:top w:val="single" w:sz="2" w:space="0" w:color="73777A"/>
              <w:left w:val="single" w:sz="8" w:space="0" w:color="FFFFFF"/>
              <w:bottom w:val="single" w:sz="2" w:space="0" w:color="73777A"/>
              <w:right w:val="nil"/>
            </w:tcBorders>
            <w:shd w:val="clear" w:color="auto" w:fill="FFF0E7"/>
            <w:tcMar>
              <w:right w:w="57" w:type="dxa"/>
            </w:tcMar>
          </w:tcPr>
          <w:p w14:paraId="7F1B5BC1" w14:textId="77777777" w:rsidR="00FA4226" w:rsidRPr="00CA2CC1" w:rsidRDefault="00000000" w:rsidP="0043303B">
            <w:pPr>
              <w:pStyle w:val="TableParagraph"/>
              <w:rPr>
                <w:rFonts w:cs="Calibri"/>
                <w:sz w:val="18"/>
              </w:rPr>
            </w:pPr>
            <w:r w:rsidRPr="00CA2CC1">
              <w:rPr>
                <w:rFonts w:cs="Calibri"/>
                <w:color w:val="414042"/>
                <w:spacing w:val="-2"/>
                <w:sz w:val="18"/>
              </w:rPr>
              <w:t>10,978</w:t>
            </w:r>
          </w:p>
        </w:tc>
      </w:tr>
      <w:tr w:rsidR="00FA4226" w:rsidRPr="00CA2CC1" w14:paraId="783798F9" w14:textId="77777777" w:rsidTr="00081F41">
        <w:trPr>
          <w:trHeight w:val="278"/>
        </w:trPr>
        <w:tc>
          <w:tcPr>
            <w:tcW w:w="3402" w:type="dxa"/>
            <w:tcBorders>
              <w:top w:val="single" w:sz="2" w:space="0" w:color="73777A"/>
              <w:left w:val="nil"/>
              <w:bottom w:val="single" w:sz="6" w:space="0" w:color="73777A"/>
              <w:right w:val="nil"/>
            </w:tcBorders>
          </w:tcPr>
          <w:p w14:paraId="175E14A8" w14:textId="77777777" w:rsidR="00FA4226" w:rsidRPr="00CA2CC1" w:rsidRDefault="00000000" w:rsidP="0043303B">
            <w:pPr>
              <w:pStyle w:val="TableParagraph"/>
              <w:jc w:val="left"/>
              <w:rPr>
                <w:rFonts w:cs="Calibri"/>
                <w:sz w:val="18"/>
              </w:rPr>
            </w:pPr>
            <w:r w:rsidRPr="00CA2CC1">
              <w:rPr>
                <w:rFonts w:cs="Calibri"/>
                <w:color w:val="414042"/>
                <w:sz w:val="18"/>
              </w:rPr>
              <w:t>Total</w:t>
            </w:r>
            <w:r w:rsidRPr="00CA2CC1">
              <w:rPr>
                <w:rFonts w:cs="Calibri"/>
                <w:color w:val="414042"/>
                <w:spacing w:val="-8"/>
                <w:sz w:val="18"/>
              </w:rPr>
              <w:t xml:space="preserve"> </w:t>
            </w:r>
            <w:r w:rsidRPr="00CA2CC1">
              <w:rPr>
                <w:rFonts w:cs="Calibri"/>
                <w:color w:val="414042"/>
                <w:spacing w:val="-2"/>
                <w:sz w:val="18"/>
              </w:rPr>
              <w:t>liabilities</w:t>
            </w:r>
          </w:p>
        </w:tc>
        <w:tc>
          <w:tcPr>
            <w:tcW w:w="1247" w:type="dxa"/>
            <w:tcBorders>
              <w:top w:val="single" w:sz="2" w:space="0" w:color="73777A"/>
              <w:left w:val="nil"/>
              <w:bottom w:val="single" w:sz="6" w:space="0" w:color="73777A"/>
              <w:right w:val="single" w:sz="8" w:space="0" w:color="FFFFFF"/>
            </w:tcBorders>
            <w:shd w:val="clear" w:color="auto" w:fill="FFF0E7"/>
            <w:tcMar>
              <w:right w:w="57" w:type="dxa"/>
            </w:tcMar>
          </w:tcPr>
          <w:p w14:paraId="0F4B2F3A" w14:textId="77777777" w:rsidR="00FA4226" w:rsidRPr="00CA2CC1" w:rsidRDefault="00000000" w:rsidP="0043303B">
            <w:pPr>
              <w:pStyle w:val="TableParagraph"/>
              <w:rPr>
                <w:rFonts w:cs="Calibri"/>
                <w:sz w:val="18"/>
              </w:rPr>
            </w:pPr>
            <w:r w:rsidRPr="00CA2CC1">
              <w:rPr>
                <w:rFonts w:cs="Calibri"/>
                <w:color w:val="414042"/>
                <w:spacing w:val="-2"/>
                <w:sz w:val="18"/>
              </w:rPr>
              <w:t>4,340,199</w:t>
            </w:r>
          </w:p>
        </w:tc>
        <w:tc>
          <w:tcPr>
            <w:tcW w:w="1247" w:type="dxa"/>
            <w:tcBorders>
              <w:top w:val="single" w:sz="2" w:space="0" w:color="73777A"/>
              <w:left w:val="single" w:sz="8" w:space="0" w:color="FFFFFF"/>
              <w:bottom w:val="single" w:sz="6" w:space="0" w:color="73777A"/>
              <w:right w:val="single" w:sz="8" w:space="0" w:color="FFFFFF"/>
            </w:tcBorders>
            <w:shd w:val="clear" w:color="auto" w:fill="EDEFF0"/>
            <w:tcMar>
              <w:right w:w="57" w:type="dxa"/>
            </w:tcMar>
          </w:tcPr>
          <w:p w14:paraId="525F6E67" w14:textId="77777777" w:rsidR="00FA4226" w:rsidRPr="00CA2CC1" w:rsidRDefault="00000000" w:rsidP="0043303B">
            <w:pPr>
              <w:pStyle w:val="TableParagraph"/>
              <w:rPr>
                <w:rFonts w:cs="Calibri"/>
                <w:sz w:val="18"/>
              </w:rPr>
            </w:pPr>
            <w:r w:rsidRPr="00CA2CC1">
              <w:rPr>
                <w:rFonts w:cs="Calibri"/>
                <w:color w:val="414042"/>
                <w:spacing w:val="-2"/>
                <w:sz w:val="18"/>
              </w:rPr>
              <w:t>4,648,677</w:t>
            </w:r>
          </w:p>
        </w:tc>
        <w:tc>
          <w:tcPr>
            <w:tcW w:w="1247" w:type="dxa"/>
            <w:tcBorders>
              <w:top w:val="single" w:sz="2" w:space="0" w:color="73777A"/>
              <w:left w:val="single" w:sz="8" w:space="0" w:color="FFFFFF"/>
              <w:bottom w:val="single" w:sz="6" w:space="0" w:color="73777A"/>
              <w:right w:val="single" w:sz="8" w:space="0" w:color="FFFFFF"/>
            </w:tcBorders>
            <w:shd w:val="clear" w:color="auto" w:fill="FFF0E7"/>
            <w:tcMar>
              <w:right w:w="57" w:type="dxa"/>
            </w:tcMar>
          </w:tcPr>
          <w:p w14:paraId="321B574F" w14:textId="77777777" w:rsidR="00FA4226" w:rsidRPr="00CA2CC1" w:rsidRDefault="00000000" w:rsidP="0043303B">
            <w:pPr>
              <w:pStyle w:val="TableParagraph"/>
              <w:rPr>
                <w:rFonts w:cs="Calibri"/>
                <w:sz w:val="18"/>
              </w:rPr>
            </w:pPr>
            <w:r w:rsidRPr="00CA2CC1">
              <w:rPr>
                <w:rFonts w:cs="Calibri"/>
                <w:color w:val="414042"/>
                <w:spacing w:val="-2"/>
                <w:sz w:val="18"/>
              </w:rPr>
              <w:t>(38,781)</w:t>
            </w:r>
          </w:p>
        </w:tc>
        <w:tc>
          <w:tcPr>
            <w:tcW w:w="1247" w:type="dxa"/>
            <w:tcBorders>
              <w:top w:val="single" w:sz="2" w:space="0" w:color="73777A"/>
              <w:left w:val="single" w:sz="8" w:space="0" w:color="FFFFFF"/>
              <w:bottom w:val="single" w:sz="6" w:space="0" w:color="73777A"/>
              <w:right w:val="single" w:sz="8" w:space="0" w:color="FFFFFF"/>
            </w:tcBorders>
            <w:shd w:val="clear" w:color="auto" w:fill="EDEFF0"/>
            <w:tcMar>
              <w:right w:w="57" w:type="dxa"/>
            </w:tcMar>
          </w:tcPr>
          <w:p w14:paraId="5DF14F22" w14:textId="77777777" w:rsidR="00FA4226" w:rsidRPr="00CA2CC1" w:rsidRDefault="00000000" w:rsidP="0043303B">
            <w:pPr>
              <w:pStyle w:val="TableParagraph"/>
              <w:rPr>
                <w:rFonts w:cs="Calibri"/>
                <w:sz w:val="18"/>
              </w:rPr>
            </w:pPr>
            <w:r w:rsidRPr="00CA2CC1">
              <w:rPr>
                <w:rFonts w:cs="Calibri"/>
                <w:color w:val="414042"/>
                <w:sz w:val="18"/>
              </w:rPr>
              <w:t>-</w:t>
            </w:r>
          </w:p>
        </w:tc>
        <w:tc>
          <w:tcPr>
            <w:tcW w:w="1247" w:type="dxa"/>
            <w:tcBorders>
              <w:top w:val="single" w:sz="2" w:space="0" w:color="73777A"/>
              <w:left w:val="single" w:sz="8" w:space="0" w:color="FFFFFF"/>
              <w:bottom w:val="single" w:sz="6" w:space="0" w:color="73777A"/>
              <w:right w:val="nil"/>
            </w:tcBorders>
            <w:shd w:val="clear" w:color="auto" w:fill="FFF0E7"/>
            <w:tcMar>
              <w:right w:w="57" w:type="dxa"/>
            </w:tcMar>
          </w:tcPr>
          <w:p w14:paraId="0D75B89A" w14:textId="77777777" w:rsidR="00FA4226" w:rsidRPr="00CA2CC1" w:rsidRDefault="00000000" w:rsidP="0043303B">
            <w:pPr>
              <w:pStyle w:val="TableParagraph"/>
              <w:rPr>
                <w:rFonts w:cs="Calibri"/>
                <w:sz w:val="18"/>
              </w:rPr>
            </w:pPr>
            <w:r w:rsidRPr="00CA2CC1">
              <w:rPr>
                <w:rFonts w:cs="Calibri"/>
                <w:color w:val="414042"/>
                <w:spacing w:val="-2"/>
                <w:sz w:val="18"/>
              </w:rPr>
              <w:t>4,687,458</w:t>
            </w:r>
          </w:p>
        </w:tc>
      </w:tr>
      <w:tr w:rsidR="00FA4226" w:rsidRPr="00CA2CC1" w14:paraId="19B4E7C6" w14:textId="77777777" w:rsidTr="00081F41">
        <w:trPr>
          <w:trHeight w:val="273"/>
        </w:trPr>
        <w:tc>
          <w:tcPr>
            <w:tcW w:w="3402" w:type="dxa"/>
            <w:tcBorders>
              <w:top w:val="single" w:sz="6" w:space="0" w:color="73777A"/>
              <w:left w:val="nil"/>
              <w:bottom w:val="single" w:sz="6" w:space="0" w:color="73777A"/>
              <w:right w:val="nil"/>
            </w:tcBorders>
          </w:tcPr>
          <w:p w14:paraId="07F48F08" w14:textId="77777777" w:rsidR="00FA4226" w:rsidRPr="00CA2CC1" w:rsidRDefault="00000000" w:rsidP="0043303B">
            <w:pPr>
              <w:pStyle w:val="TableParagraph"/>
              <w:jc w:val="left"/>
              <w:rPr>
                <w:rFonts w:cs="Calibri"/>
                <w:sz w:val="18"/>
              </w:rPr>
            </w:pPr>
            <w:r w:rsidRPr="00CA2CC1">
              <w:rPr>
                <w:rFonts w:cs="Calibri"/>
                <w:color w:val="414042"/>
                <w:sz w:val="18"/>
              </w:rPr>
              <w:t>Net</w:t>
            </w:r>
            <w:r w:rsidRPr="00CA2CC1">
              <w:rPr>
                <w:rFonts w:cs="Calibri"/>
                <w:color w:val="414042"/>
                <w:spacing w:val="3"/>
                <w:sz w:val="18"/>
              </w:rPr>
              <w:t xml:space="preserve"> </w:t>
            </w:r>
            <w:r w:rsidRPr="00CA2CC1">
              <w:rPr>
                <w:rFonts w:cs="Calibri"/>
                <w:color w:val="414042"/>
                <w:spacing w:val="-2"/>
                <w:sz w:val="18"/>
              </w:rPr>
              <w:t>assets</w:t>
            </w:r>
          </w:p>
        </w:tc>
        <w:tc>
          <w:tcPr>
            <w:tcW w:w="1247" w:type="dxa"/>
            <w:tcBorders>
              <w:top w:val="single" w:sz="6" w:space="0" w:color="73777A"/>
              <w:left w:val="nil"/>
              <w:bottom w:val="single" w:sz="6" w:space="0" w:color="73777A"/>
              <w:right w:val="single" w:sz="8" w:space="0" w:color="FFFFFF"/>
            </w:tcBorders>
            <w:shd w:val="clear" w:color="auto" w:fill="FFF0E7"/>
            <w:tcMar>
              <w:right w:w="57" w:type="dxa"/>
            </w:tcMar>
          </w:tcPr>
          <w:p w14:paraId="4C1FE213" w14:textId="77777777" w:rsidR="00FA4226" w:rsidRPr="00CA2CC1" w:rsidRDefault="00000000" w:rsidP="0043303B">
            <w:pPr>
              <w:pStyle w:val="TableParagraph"/>
              <w:rPr>
                <w:rFonts w:cs="Calibri"/>
                <w:sz w:val="18"/>
              </w:rPr>
            </w:pPr>
            <w:r w:rsidRPr="00CA2CC1">
              <w:rPr>
                <w:rFonts w:cs="Calibri"/>
                <w:color w:val="414042"/>
                <w:spacing w:val="-2"/>
                <w:sz w:val="18"/>
              </w:rPr>
              <w:t>969,911</w:t>
            </w:r>
          </w:p>
        </w:tc>
        <w:tc>
          <w:tcPr>
            <w:tcW w:w="1247" w:type="dxa"/>
            <w:tcBorders>
              <w:top w:val="single" w:sz="6" w:space="0" w:color="73777A"/>
              <w:left w:val="single" w:sz="8" w:space="0" w:color="FFFFFF"/>
              <w:bottom w:val="single" w:sz="6" w:space="0" w:color="73777A"/>
              <w:right w:val="single" w:sz="8" w:space="0" w:color="FFFFFF"/>
            </w:tcBorders>
            <w:shd w:val="clear" w:color="auto" w:fill="EDEFF0"/>
            <w:tcMar>
              <w:right w:w="57" w:type="dxa"/>
            </w:tcMar>
          </w:tcPr>
          <w:p w14:paraId="7E30C745" w14:textId="77777777" w:rsidR="00FA4226" w:rsidRPr="00CA2CC1" w:rsidRDefault="00000000" w:rsidP="0043303B">
            <w:pPr>
              <w:pStyle w:val="TableParagraph"/>
              <w:rPr>
                <w:rFonts w:cs="Calibri"/>
                <w:sz w:val="18"/>
              </w:rPr>
            </w:pPr>
            <w:r w:rsidRPr="00CA2CC1">
              <w:rPr>
                <w:rFonts w:cs="Calibri"/>
                <w:color w:val="414042"/>
                <w:spacing w:val="-2"/>
                <w:sz w:val="18"/>
              </w:rPr>
              <w:t>1,031,675</w:t>
            </w:r>
          </w:p>
        </w:tc>
        <w:tc>
          <w:tcPr>
            <w:tcW w:w="1247" w:type="dxa"/>
            <w:tcBorders>
              <w:top w:val="single" w:sz="6" w:space="0" w:color="73777A"/>
              <w:left w:val="single" w:sz="8" w:space="0" w:color="FFFFFF"/>
              <w:bottom w:val="single" w:sz="6" w:space="0" w:color="73777A"/>
              <w:right w:val="single" w:sz="8" w:space="0" w:color="FFFFFF"/>
            </w:tcBorders>
            <w:shd w:val="clear" w:color="auto" w:fill="FFF0E7"/>
            <w:tcMar>
              <w:right w:w="57" w:type="dxa"/>
            </w:tcMar>
          </w:tcPr>
          <w:p w14:paraId="30599023" w14:textId="77777777" w:rsidR="00FA4226" w:rsidRPr="00CA2CC1" w:rsidRDefault="00000000" w:rsidP="0043303B">
            <w:pPr>
              <w:pStyle w:val="TableParagraph"/>
              <w:rPr>
                <w:rFonts w:cs="Calibri"/>
                <w:sz w:val="18"/>
              </w:rPr>
            </w:pPr>
            <w:r w:rsidRPr="00CA2CC1">
              <w:rPr>
                <w:rFonts w:cs="Calibri"/>
                <w:color w:val="414042"/>
                <w:spacing w:val="-2"/>
                <w:sz w:val="18"/>
              </w:rPr>
              <w:t>(305)</w:t>
            </w:r>
          </w:p>
        </w:tc>
        <w:tc>
          <w:tcPr>
            <w:tcW w:w="1247" w:type="dxa"/>
            <w:tcBorders>
              <w:top w:val="single" w:sz="6" w:space="0" w:color="73777A"/>
              <w:left w:val="single" w:sz="8" w:space="0" w:color="FFFFFF"/>
              <w:bottom w:val="single" w:sz="6" w:space="0" w:color="73777A"/>
              <w:right w:val="single" w:sz="8" w:space="0" w:color="FFFFFF"/>
            </w:tcBorders>
            <w:shd w:val="clear" w:color="auto" w:fill="EDEFF0"/>
            <w:tcMar>
              <w:right w:w="57" w:type="dxa"/>
            </w:tcMar>
          </w:tcPr>
          <w:p w14:paraId="76FB621B" w14:textId="77777777" w:rsidR="00FA4226" w:rsidRPr="00CA2CC1" w:rsidRDefault="00000000" w:rsidP="0043303B">
            <w:pPr>
              <w:pStyle w:val="TableParagraph"/>
              <w:rPr>
                <w:rFonts w:cs="Calibri"/>
                <w:sz w:val="18"/>
              </w:rPr>
            </w:pPr>
            <w:r w:rsidRPr="00CA2CC1">
              <w:rPr>
                <w:rFonts w:cs="Calibri"/>
                <w:color w:val="414042"/>
                <w:sz w:val="18"/>
              </w:rPr>
              <w:t>-</w:t>
            </w:r>
          </w:p>
        </w:tc>
        <w:tc>
          <w:tcPr>
            <w:tcW w:w="1247" w:type="dxa"/>
            <w:tcBorders>
              <w:top w:val="single" w:sz="6" w:space="0" w:color="73777A"/>
              <w:left w:val="single" w:sz="8" w:space="0" w:color="FFFFFF"/>
              <w:bottom w:val="single" w:sz="6" w:space="0" w:color="73777A"/>
              <w:right w:val="nil"/>
            </w:tcBorders>
            <w:shd w:val="clear" w:color="auto" w:fill="FFF0E7"/>
            <w:tcMar>
              <w:right w:w="57" w:type="dxa"/>
            </w:tcMar>
          </w:tcPr>
          <w:p w14:paraId="24EFAC62" w14:textId="77777777" w:rsidR="00FA4226" w:rsidRPr="00CA2CC1" w:rsidRDefault="00000000" w:rsidP="0043303B">
            <w:pPr>
              <w:pStyle w:val="TableParagraph"/>
              <w:rPr>
                <w:rFonts w:cs="Calibri"/>
                <w:sz w:val="18"/>
              </w:rPr>
            </w:pPr>
            <w:r w:rsidRPr="00CA2CC1">
              <w:rPr>
                <w:rFonts w:cs="Calibri"/>
                <w:color w:val="414042"/>
                <w:spacing w:val="-2"/>
                <w:sz w:val="18"/>
              </w:rPr>
              <w:t>1,031,980</w:t>
            </w:r>
          </w:p>
        </w:tc>
      </w:tr>
      <w:tr w:rsidR="00FA4226" w:rsidRPr="00CA2CC1" w14:paraId="75FE6B04" w14:textId="77777777" w:rsidTr="00081F41">
        <w:trPr>
          <w:trHeight w:val="278"/>
        </w:trPr>
        <w:tc>
          <w:tcPr>
            <w:tcW w:w="3402" w:type="dxa"/>
            <w:tcBorders>
              <w:top w:val="single" w:sz="6" w:space="0" w:color="73777A"/>
              <w:left w:val="nil"/>
              <w:bottom w:val="single" w:sz="2" w:space="0" w:color="73777A"/>
              <w:right w:val="nil"/>
            </w:tcBorders>
          </w:tcPr>
          <w:p w14:paraId="4C2C44EF" w14:textId="77777777" w:rsidR="00FA4226" w:rsidRPr="00CA2CC1" w:rsidRDefault="00000000" w:rsidP="0043303B">
            <w:pPr>
              <w:pStyle w:val="TableParagraph"/>
              <w:jc w:val="left"/>
              <w:rPr>
                <w:rFonts w:cs="Calibri"/>
                <w:sz w:val="18"/>
              </w:rPr>
            </w:pPr>
            <w:r w:rsidRPr="00CA2CC1">
              <w:rPr>
                <w:rFonts w:cs="Calibri"/>
                <w:color w:val="F68C59"/>
                <w:spacing w:val="-2"/>
                <w:sz w:val="18"/>
              </w:rPr>
              <w:t>Equity</w:t>
            </w:r>
          </w:p>
        </w:tc>
        <w:tc>
          <w:tcPr>
            <w:tcW w:w="1247" w:type="dxa"/>
            <w:tcBorders>
              <w:top w:val="single" w:sz="6" w:space="0" w:color="73777A"/>
              <w:left w:val="nil"/>
              <w:bottom w:val="single" w:sz="2" w:space="0" w:color="73777A"/>
              <w:right w:val="single" w:sz="8" w:space="0" w:color="FFFFFF"/>
            </w:tcBorders>
            <w:shd w:val="clear" w:color="auto" w:fill="FFF0E7"/>
            <w:tcMar>
              <w:right w:w="57" w:type="dxa"/>
            </w:tcMar>
          </w:tcPr>
          <w:p w14:paraId="595D72E5" w14:textId="77777777" w:rsidR="00FA4226" w:rsidRPr="00CA2CC1" w:rsidRDefault="00FA4226" w:rsidP="0043303B">
            <w:pPr>
              <w:pStyle w:val="TableParagraph"/>
              <w:jc w:val="left"/>
              <w:rPr>
                <w:rFonts w:cs="Calibri"/>
                <w:sz w:val="16"/>
              </w:rPr>
            </w:pPr>
          </w:p>
        </w:tc>
        <w:tc>
          <w:tcPr>
            <w:tcW w:w="1247" w:type="dxa"/>
            <w:tcBorders>
              <w:top w:val="single" w:sz="6" w:space="0" w:color="73777A"/>
              <w:left w:val="single" w:sz="8" w:space="0" w:color="FFFFFF"/>
              <w:bottom w:val="single" w:sz="2" w:space="0" w:color="73777A"/>
              <w:right w:val="single" w:sz="8" w:space="0" w:color="FFFFFF"/>
            </w:tcBorders>
            <w:shd w:val="clear" w:color="auto" w:fill="EDEFF0"/>
            <w:tcMar>
              <w:right w:w="57" w:type="dxa"/>
            </w:tcMar>
          </w:tcPr>
          <w:p w14:paraId="710D8E82" w14:textId="77777777" w:rsidR="00FA4226" w:rsidRPr="00CA2CC1" w:rsidRDefault="00FA4226" w:rsidP="0043303B">
            <w:pPr>
              <w:pStyle w:val="TableParagraph"/>
              <w:jc w:val="left"/>
              <w:rPr>
                <w:rFonts w:cs="Calibri"/>
                <w:sz w:val="16"/>
              </w:rPr>
            </w:pPr>
          </w:p>
        </w:tc>
        <w:tc>
          <w:tcPr>
            <w:tcW w:w="1247" w:type="dxa"/>
            <w:tcBorders>
              <w:top w:val="single" w:sz="6" w:space="0" w:color="73777A"/>
              <w:left w:val="single" w:sz="8" w:space="0" w:color="FFFFFF"/>
              <w:bottom w:val="single" w:sz="2" w:space="0" w:color="73777A"/>
              <w:right w:val="single" w:sz="8" w:space="0" w:color="FFFFFF"/>
            </w:tcBorders>
            <w:shd w:val="clear" w:color="auto" w:fill="FFF0E7"/>
            <w:tcMar>
              <w:right w:w="57" w:type="dxa"/>
            </w:tcMar>
          </w:tcPr>
          <w:p w14:paraId="302110D5" w14:textId="77777777" w:rsidR="00FA4226" w:rsidRPr="00CA2CC1" w:rsidRDefault="00FA4226" w:rsidP="0043303B">
            <w:pPr>
              <w:pStyle w:val="TableParagraph"/>
              <w:jc w:val="left"/>
              <w:rPr>
                <w:rFonts w:cs="Calibri"/>
                <w:sz w:val="16"/>
              </w:rPr>
            </w:pPr>
          </w:p>
        </w:tc>
        <w:tc>
          <w:tcPr>
            <w:tcW w:w="1247" w:type="dxa"/>
            <w:tcBorders>
              <w:top w:val="single" w:sz="6" w:space="0" w:color="73777A"/>
              <w:left w:val="single" w:sz="8" w:space="0" w:color="FFFFFF"/>
              <w:bottom w:val="single" w:sz="2" w:space="0" w:color="73777A"/>
              <w:right w:val="single" w:sz="8" w:space="0" w:color="FFFFFF"/>
            </w:tcBorders>
            <w:shd w:val="clear" w:color="auto" w:fill="EDEFF0"/>
            <w:tcMar>
              <w:right w:w="57" w:type="dxa"/>
            </w:tcMar>
          </w:tcPr>
          <w:p w14:paraId="7F8F7BBD" w14:textId="77777777" w:rsidR="00FA4226" w:rsidRPr="00CA2CC1" w:rsidRDefault="00FA4226" w:rsidP="0043303B">
            <w:pPr>
              <w:pStyle w:val="TableParagraph"/>
              <w:jc w:val="left"/>
              <w:rPr>
                <w:rFonts w:cs="Calibri"/>
                <w:sz w:val="16"/>
              </w:rPr>
            </w:pPr>
          </w:p>
        </w:tc>
        <w:tc>
          <w:tcPr>
            <w:tcW w:w="1247" w:type="dxa"/>
            <w:tcBorders>
              <w:top w:val="single" w:sz="6" w:space="0" w:color="73777A"/>
              <w:left w:val="single" w:sz="8" w:space="0" w:color="FFFFFF"/>
              <w:bottom w:val="single" w:sz="2" w:space="0" w:color="73777A"/>
              <w:right w:val="nil"/>
            </w:tcBorders>
            <w:shd w:val="clear" w:color="auto" w:fill="FFF0E7"/>
            <w:tcMar>
              <w:right w:w="57" w:type="dxa"/>
            </w:tcMar>
          </w:tcPr>
          <w:p w14:paraId="3E8B02FD" w14:textId="77777777" w:rsidR="00FA4226" w:rsidRPr="00CA2CC1" w:rsidRDefault="00FA4226" w:rsidP="0043303B">
            <w:pPr>
              <w:pStyle w:val="TableParagraph"/>
              <w:jc w:val="left"/>
              <w:rPr>
                <w:rFonts w:cs="Calibri"/>
                <w:sz w:val="16"/>
              </w:rPr>
            </w:pPr>
          </w:p>
        </w:tc>
      </w:tr>
      <w:tr w:rsidR="00FA4226" w:rsidRPr="00CA2CC1" w14:paraId="634FDF61" w14:textId="77777777" w:rsidTr="00081F41">
        <w:trPr>
          <w:trHeight w:val="278"/>
        </w:trPr>
        <w:tc>
          <w:tcPr>
            <w:tcW w:w="3402" w:type="dxa"/>
            <w:tcBorders>
              <w:top w:val="single" w:sz="2" w:space="0" w:color="73777A"/>
              <w:left w:val="nil"/>
              <w:bottom w:val="single" w:sz="6" w:space="0" w:color="73777A"/>
              <w:right w:val="nil"/>
            </w:tcBorders>
          </w:tcPr>
          <w:p w14:paraId="3C5C60C1" w14:textId="77777777" w:rsidR="00FA4226" w:rsidRPr="00CA2CC1" w:rsidRDefault="00000000" w:rsidP="0043303B">
            <w:pPr>
              <w:pStyle w:val="TableParagraph"/>
              <w:jc w:val="left"/>
              <w:rPr>
                <w:rFonts w:cs="Calibri"/>
                <w:sz w:val="18"/>
              </w:rPr>
            </w:pPr>
            <w:r w:rsidRPr="00CA2CC1">
              <w:rPr>
                <w:rFonts w:cs="Calibri"/>
                <w:color w:val="414042"/>
                <w:sz w:val="18"/>
              </w:rPr>
              <w:t>Accumulated</w:t>
            </w:r>
            <w:r w:rsidRPr="00CA2CC1">
              <w:rPr>
                <w:rFonts w:cs="Calibri"/>
                <w:color w:val="414042"/>
                <w:spacing w:val="6"/>
                <w:sz w:val="18"/>
              </w:rPr>
              <w:t xml:space="preserve"> </w:t>
            </w:r>
            <w:r w:rsidRPr="00CA2CC1">
              <w:rPr>
                <w:rFonts w:cs="Calibri"/>
                <w:color w:val="414042"/>
                <w:spacing w:val="-2"/>
                <w:sz w:val="18"/>
              </w:rPr>
              <w:t>surplus</w:t>
            </w:r>
          </w:p>
        </w:tc>
        <w:tc>
          <w:tcPr>
            <w:tcW w:w="1247" w:type="dxa"/>
            <w:tcBorders>
              <w:top w:val="single" w:sz="2" w:space="0" w:color="73777A"/>
              <w:left w:val="nil"/>
              <w:bottom w:val="single" w:sz="6" w:space="0" w:color="73777A"/>
              <w:right w:val="single" w:sz="8" w:space="0" w:color="FFFFFF"/>
            </w:tcBorders>
            <w:shd w:val="clear" w:color="auto" w:fill="FFF0E7"/>
            <w:tcMar>
              <w:right w:w="57" w:type="dxa"/>
            </w:tcMar>
          </w:tcPr>
          <w:p w14:paraId="3EF89FF5" w14:textId="77777777" w:rsidR="00FA4226" w:rsidRPr="00CA2CC1" w:rsidRDefault="00000000" w:rsidP="0043303B">
            <w:pPr>
              <w:pStyle w:val="TableParagraph"/>
              <w:rPr>
                <w:rFonts w:cs="Calibri"/>
                <w:sz w:val="18"/>
              </w:rPr>
            </w:pPr>
            <w:r w:rsidRPr="00CA2CC1">
              <w:rPr>
                <w:rFonts w:cs="Calibri"/>
                <w:color w:val="414042"/>
                <w:spacing w:val="-2"/>
                <w:sz w:val="18"/>
              </w:rPr>
              <w:t>969,911</w:t>
            </w:r>
          </w:p>
        </w:tc>
        <w:tc>
          <w:tcPr>
            <w:tcW w:w="1247" w:type="dxa"/>
            <w:tcBorders>
              <w:top w:val="single" w:sz="2" w:space="0" w:color="73777A"/>
              <w:left w:val="single" w:sz="8" w:space="0" w:color="FFFFFF"/>
              <w:bottom w:val="single" w:sz="6" w:space="0" w:color="73777A"/>
              <w:right w:val="single" w:sz="8" w:space="0" w:color="FFFFFF"/>
            </w:tcBorders>
            <w:shd w:val="clear" w:color="auto" w:fill="EDEFF0"/>
            <w:tcMar>
              <w:right w:w="57" w:type="dxa"/>
            </w:tcMar>
          </w:tcPr>
          <w:p w14:paraId="631D5DA8" w14:textId="77777777" w:rsidR="00FA4226" w:rsidRPr="00CA2CC1" w:rsidRDefault="00000000" w:rsidP="0043303B">
            <w:pPr>
              <w:pStyle w:val="TableParagraph"/>
              <w:rPr>
                <w:rFonts w:cs="Calibri"/>
                <w:sz w:val="18"/>
              </w:rPr>
            </w:pPr>
            <w:r w:rsidRPr="00CA2CC1">
              <w:rPr>
                <w:rFonts w:cs="Calibri"/>
                <w:color w:val="414042"/>
                <w:spacing w:val="-2"/>
                <w:sz w:val="18"/>
              </w:rPr>
              <w:t>1,031,675</w:t>
            </w:r>
          </w:p>
        </w:tc>
        <w:tc>
          <w:tcPr>
            <w:tcW w:w="1247" w:type="dxa"/>
            <w:tcBorders>
              <w:top w:val="single" w:sz="2" w:space="0" w:color="73777A"/>
              <w:left w:val="single" w:sz="8" w:space="0" w:color="FFFFFF"/>
              <w:bottom w:val="single" w:sz="6" w:space="0" w:color="73777A"/>
              <w:right w:val="single" w:sz="8" w:space="0" w:color="FFFFFF"/>
            </w:tcBorders>
            <w:shd w:val="clear" w:color="auto" w:fill="FFF0E7"/>
            <w:tcMar>
              <w:right w:w="57" w:type="dxa"/>
            </w:tcMar>
          </w:tcPr>
          <w:p w14:paraId="789EE632" w14:textId="77777777" w:rsidR="00FA4226" w:rsidRPr="00CA2CC1" w:rsidRDefault="00000000" w:rsidP="0043303B">
            <w:pPr>
              <w:pStyle w:val="TableParagraph"/>
              <w:rPr>
                <w:rFonts w:cs="Calibri"/>
                <w:sz w:val="18"/>
              </w:rPr>
            </w:pPr>
            <w:r w:rsidRPr="00CA2CC1">
              <w:rPr>
                <w:rFonts w:cs="Calibri"/>
                <w:color w:val="414042"/>
                <w:spacing w:val="-2"/>
                <w:sz w:val="18"/>
              </w:rPr>
              <w:t>(305)</w:t>
            </w:r>
          </w:p>
        </w:tc>
        <w:tc>
          <w:tcPr>
            <w:tcW w:w="1247" w:type="dxa"/>
            <w:tcBorders>
              <w:top w:val="single" w:sz="2" w:space="0" w:color="73777A"/>
              <w:left w:val="single" w:sz="8" w:space="0" w:color="FFFFFF"/>
              <w:bottom w:val="single" w:sz="6" w:space="0" w:color="73777A"/>
              <w:right w:val="single" w:sz="8" w:space="0" w:color="FFFFFF"/>
            </w:tcBorders>
            <w:shd w:val="clear" w:color="auto" w:fill="EDEFF0"/>
            <w:tcMar>
              <w:right w:w="57" w:type="dxa"/>
            </w:tcMar>
          </w:tcPr>
          <w:p w14:paraId="02F20926" w14:textId="77777777" w:rsidR="00FA4226" w:rsidRPr="00CA2CC1" w:rsidRDefault="00000000" w:rsidP="0043303B">
            <w:pPr>
              <w:pStyle w:val="TableParagraph"/>
              <w:rPr>
                <w:rFonts w:cs="Calibri"/>
                <w:sz w:val="18"/>
              </w:rPr>
            </w:pPr>
            <w:r w:rsidRPr="00CA2CC1">
              <w:rPr>
                <w:rFonts w:cs="Calibri"/>
                <w:color w:val="414042"/>
                <w:sz w:val="18"/>
              </w:rPr>
              <w:t>-</w:t>
            </w:r>
          </w:p>
        </w:tc>
        <w:tc>
          <w:tcPr>
            <w:tcW w:w="1247" w:type="dxa"/>
            <w:tcBorders>
              <w:top w:val="single" w:sz="2" w:space="0" w:color="73777A"/>
              <w:left w:val="single" w:sz="8" w:space="0" w:color="FFFFFF"/>
              <w:bottom w:val="single" w:sz="6" w:space="0" w:color="73777A"/>
              <w:right w:val="nil"/>
            </w:tcBorders>
            <w:shd w:val="clear" w:color="auto" w:fill="FFF0E7"/>
            <w:tcMar>
              <w:right w:w="57" w:type="dxa"/>
            </w:tcMar>
          </w:tcPr>
          <w:p w14:paraId="1A55A962" w14:textId="77777777" w:rsidR="00FA4226" w:rsidRPr="00CA2CC1" w:rsidRDefault="00000000" w:rsidP="0043303B">
            <w:pPr>
              <w:pStyle w:val="TableParagraph"/>
              <w:rPr>
                <w:rFonts w:cs="Calibri"/>
                <w:sz w:val="18"/>
              </w:rPr>
            </w:pPr>
            <w:r w:rsidRPr="00CA2CC1">
              <w:rPr>
                <w:rFonts w:cs="Calibri"/>
                <w:color w:val="414042"/>
                <w:spacing w:val="-2"/>
                <w:sz w:val="18"/>
              </w:rPr>
              <w:t>1,031,980</w:t>
            </w:r>
          </w:p>
        </w:tc>
      </w:tr>
      <w:tr w:rsidR="00FA4226" w:rsidRPr="00CA2CC1" w14:paraId="2627458D" w14:textId="77777777" w:rsidTr="00081F41">
        <w:trPr>
          <w:trHeight w:val="258"/>
        </w:trPr>
        <w:tc>
          <w:tcPr>
            <w:tcW w:w="3402" w:type="dxa"/>
            <w:tcBorders>
              <w:top w:val="single" w:sz="6" w:space="0" w:color="73777A"/>
              <w:left w:val="nil"/>
              <w:bottom w:val="double" w:sz="6" w:space="0" w:color="73777A"/>
              <w:right w:val="nil"/>
            </w:tcBorders>
          </w:tcPr>
          <w:p w14:paraId="0A3987B9" w14:textId="77777777" w:rsidR="00FA4226" w:rsidRPr="00CA2CC1" w:rsidRDefault="00000000" w:rsidP="0043303B">
            <w:pPr>
              <w:pStyle w:val="TableParagraph"/>
              <w:jc w:val="left"/>
              <w:rPr>
                <w:rFonts w:cs="Calibri"/>
                <w:sz w:val="18"/>
              </w:rPr>
            </w:pPr>
            <w:r w:rsidRPr="00CA2CC1">
              <w:rPr>
                <w:rFonts w:cs="Calibri"/>
                <w:color w:val="414042"/>
                <w:sz w:val="18"/>
              </w:rPr>
              <w:t>Net</w:t>
            </w:r>
            <w:r w:rsidRPr="00CA2CC1">
              <w:rPr>
                <w:rFonts w:cs="Calibri"/>
                <w:color w:val="414042"/>
                <w:spacing w:val="3"/>
                <w:sz w:val="18"/>
              </w:rPr>
              <w:t xml:space="preserve"> </w:t>
            </w:r>
            <w:r w:rsidRPr="00CA2CC1">
              <w:rPr>
                <w:rFonts w:cs="Calibri"/>
                <w:color w:val="414042"/>
                <w:spacing w:val="-2"/>
                <w:sz w:val="18"/>
              </w:rPr>
              <w:t>worth</w:t>
            </w:r>
          </w:p>
        </w:tc>
        <w:tc>
          <w:tcPr>
            <w:tcW w:w="1247" w:type="dxa"/>
            <w:tcBorders>
              <w:top w:val="single" w:sz="6" w:space="0" w:color="73777A"/>
              <w:left w:val="nil"/>
              <w:bottom w:val="double" w:sz="4" w:space="0" w:color="73777A"/>
              <w:right w:val="single" w:sz="8" w:space="0" w:color="FFFFFF"/>
            </w:tcBorders>
            <w:shd w:val="clear" w:color="auto" w:fill="FFF0E7"/>
            <w:tcMar>
              <w:right w:w="57" w:type="dxa"/>
            </w:tcMar>
          </w:tcPr>
          <w:p w14:paraId="5C1884DE" w14:textId="77777777" w:rsidR="00FA4226" w:rsidRPr="00CA2CC1" w:rsidRDefault="00000000" w:rsidP="0043303B">
            <w:pPr>
              <w:pStyle w:val="TableParagraph"/>
              <w:rPr>
                <w:rFonts w:cs="Calibri"/>
                <w:sz w:val="18"/>
              </w:rPr>
            </w:pPr>
            <w:r w:rsidRPr="00CA2CC1">
              <w:rPr>
                <w:rFonts w:cs="Calibri"/>
                <w:color w:val="414042"/>
                <w:spacing w:val="-2"/>
                <w:sz w:val="18"/>
              </w:rPr>
              <w:t>969,911</w:t>
            </w:r>
          </w:p>
        </w:tc>
        <w:tc>
          <w:tcPr>
            <w:tcW w:w="1247" w:type="dxa"/>
            <w:tcBorders>
              <w:top w:val="single" w:sz="6" w:space="0" w:color="73777A"/>
              <w:left w:val="single" w:sz="8" w:space="0" w:color="FFFFFF"/>
              <w:bottom w:val="double" w:sz="4" w:space="0" w:color="73777A"/>
              <w:right w:val="single" w:sz="8" w:space="0" w:color="FFFFFF"/>
            </w:tcBorders>
            <w:shd w:val="clear" w:color="auto" w:fill="EDEFF0"/>
            <w:tcMar>
              <w:right w:w="57" w:type="dxa"/>
            </w:tcMar>
          </w:tcPr>
          <w:p w14:paraId="33AE2F7C" w14:textId="77777777" w:rsidR="00FA4226" w:rsidRPr="00CA2CC1" w:rsidRDefault="00000000" w:rsidP="0043303B">
            <w:pPr>
              <w:pStyle w:val="TableParagraph"/>
              <w:rPr>
                <w:rFonts w:cs="Calibri"/>
                <w:sz w:val="18"/>
              </w:rPr>
            </w:pPr>
            <w:r w:rsidRPr="00CA2CC1">
              <w:rPr>
                <w:rFonts w:cs="Calibri"/>
                <w:color w:val="414042"/>
                <w:spacing w:val="-2"/>
                <w:sz w:val="18"/>
              </w:rPr>
              <w:t>1,031,675</w:t>
            </w:r>
          </w:p>
        </w:tc>
        <w:tc>
          <w:tcPr>
            <w:tcW w:w="1247" w:type="dxa"/>
            <w:tcBorders>
              <w:top w:val="single" w:sz="6" w:space="0" w:color="73777A"/>
              <w:left w:val="single" w:sz="8" w:space="0" w:color="FFFFFF"/>
              <w:bottom w:val="double" w:sz="4" w:space="0" w:color="73777A"/>
              <w:right w:val="single" w:sz="8" w:space="0" w:color="FFFFFF"/>
            </w:tcBorders>
            <w:shd w:val="clear" w:color="auto" w:fill="FFF0E7"/>
            <w:tcMar>
              <w:right w:w="57" w:type="dxa"/>
            </w:tcMar>
          </w:tcPr>
          <w:p w14:paraId="3C608509" w14:textId="77777777" w:rsidR="00FA4226" w:rsidRPr="00CA2CC1" w:rsidRDefault="00000000" w:rsidP="0043303B">
            <w:pPr>
              <w:pStyle w:val="TableParagraph"/>
              <w:rPr>
                <w:rFonts w:cs="Calibri"/>
                <w:sz w:val="18"/>
              </w:rPr>
            </w:pPr>
            <w:r w:rsidRPr="00CA2CC1">
              <w:rPr>
                <w:rFonts w:cs="Calibri"/>
                <w:color w:val="414042"/>
                <w:spacing w:val="-2"/>
                <w:sz w:val="18"/>
              </w:rPr>
              <w:t>(305)</w:t>
            </w:r>
          </w:p>
        </w:tc>
        <w:tc>
          <w:tcPr>
            <w:tcW w:w="1247" w:type="dxa"/>
            <w:tcBorders>
              <w:top w:val="single" w:sz="6" w:space="0" w:color="73777A"/>
              <w:left w:val="single" w:sz="8" w:space="0" w:color="FFFFFF"/>
              <w:bottom w:val="double" w:sz="4" w:space="0" w:color="73777A"/>
              <w:right w:val="single" w:sz="8" w:space="0" w:color="FFFFFF"/>
            </w:tcBorders>
            <w:shd w:val="clear" w:color="auto" w:fill="EDEFF0"/>
            <w:tcMar>
              <w:right w:w="57" w:type="dxa"/>
            </w:tcMar>
          </w:tcPr>
          <w:p w14:paraId="5DDC6DB4" w14:textId="77777777" w:rsidR="00FA4226" w:rsidRPr="00CA2CC1" w:rsidRDefault="00000000" w:rsidP="0043303B">
            <w:pPr>
              <w:pStyle w:val="TableParagraph"/>
              <w:rPr>
                <w:rFonts w:cs="Calibri"/>
                <w:sz w:val="18"/>
              </w:rPr>
            </w:pPr>
            <w:r w:rsidRPr="00CA2CC1">
              <w:rPr>
                <w:rFonts w:cs="Calibri"/>
                <w:color w:val="414042"/>
                <w:sz w:val="18"/>
              </w:rPr>
              <w:t>-</w:t>
            </w:r>
          </w:p>
        </w:tc>
        <w:tc>
          <w:tcPr>
            <w:tcW w:w="1247" w:type="dxa"/>
            <w:tcBorders>
              <w:top w:val="single" w:sz="6" w:space="0" w:color="73777A"/>
              <w:left w:val="single" w:sz="8" w:space="0" w:color="FFFFFF"/>
              <w:bottom w:val="double" w:sz="4" w:space="0" w:color="73777A"/>
              <w:right w:val="nil"/>
            </w:tcBorders>
            <w:shd w:val="clear" w:color="auto" w:fill="FFF0E7"/>
            <w:tcMar>
              <w:right w:w="57" w:type="dxa"/>
            </w:tcMar>
          </w:tcPr>
          <w:p w14:paraId="6C697E82" w14:textId="77777777" w:rsidR="00FA4226" w:rsidRPr="00CA2CC1" w:rsidRDefault="00000000" w:rsidP="0043303B">
            <w:pPr>
              <w:pStyle w:val="TableParagraph"/>
              <w:rPr>
                <w:rFonts w:cs="Calibri"/>
                <w:sz w:val="18"/>
              </w:rPr>
            </w:pPr>
            <w:r w:rsidRPr="00CA2CC1">
              <w:rPr>
                <w:rFonts w:cs="Calibri"/>
                <w:color w:val="414042"/>
                <w:spacing w:val="-2"/>
                <w:sz w:val="18"/>
              </w:rPr>
              <w:t>1,031,980</w:t>
            </w:r>
          </w:p>
        </w:tc>
      </w:tr>
    </w:tbl>
    <w:p w14:paraId="4BA40385" w14:textId="77777777" w:rsidR="00FA4226" w:rsidRPr="00CA2CC1" w:rsidRDefault="00FA4226" w:rsidP="0043303B">
      <w:pPr>
        <w:pStyle w:val="BodyText"/>
        <w:spacing w:before="1"/>
        <w:rPr>
          <w:rFonts w:cs="Calibri"/>
          <w:sz w:val="19"/>
        </w:rPr>
      </w:pPr>
    </w:p>
    <w:p w14:paraId="6E27E23A" w14:textId="77777777" w:rsidR="00FA4226" w:rsidRPr="00CA2CC1" w:rsidRDefault="00000000" w:rsidP="0043303B">
      <w:pPr>
        <w:rPr>
          <w:rFonts w:cs="Calibri"/>
          <w:i/>
          <w:sz w:val="16"/>
        </w:rPr>
      </w:pPr>
      <w:r w:rsidRPr="00CA2CC1">
        <w:rPr>
          <w:rFonts w:cs="Calibri"/>
          <w:i/>
          <w:color w:val="414042"/>
          <w:sz w:val="16"/>
        </w:rPr>
        <w:t xml:space="preserve">(i) This correction contains a minor rounding </w:t>
      </w:r>
      <w:r w:rsidRPr="00CA2CC1">
        <w:rPr>
          <w:rFonts w:cs="Calibri"/>
          <w:i/>
          <w:color w:val="414042"/>
          <w:spacing w:val="-2"/>
          <w:sz w:val="16"/>
        </w:rPr>
        <w:t>error.</w:t>
      </w:r>
    </w:p>
    <w:p w14:paraId="0B1EADE7" w14:textId="77777777" w:rsidR="00FA4226" w:rsidRPr="00CA2CC1" w:rsidRDefault="00FA4226" w:rsidP="0043303B">
      <w:pPr>
        <w:pStyle w:val="BodyText"/>
        <w:rPr>
          <w:rFonts w:cs="Calibri"/>
          <w:i/>
          <w:sz w:val="20"/>
        </w:rPr>
      </w:pPr>
    </w:p>
    <w:p w14:paraId="330240E0" w14:textId="77777777" w:rsidR="00FA4226" w:rsidRPr="00CA2CC1" w:rsidRDefault="00FA4226" w:rsidP="0043303B">
      <w:pPr>
        <w:pStyle w:val="BodyText"/>
        <w:rPr>
          <w:rFonts w:cs="Calibri"/>
          <w:i/>
          <w:sz w:val="20"/>
        </w:rPr>
      </w:pPr>
    </w:p>
    <w:p w14:paraId="787F8F90" w14:textId="77777777" w:rsidR="00FA4226" w:rsidRPr="00CA2CC1" w:rsidRDefault="00FA4226" w:rsidP="0043303B">
      <w:pPr>
        <w:pStyle w:val="BodyText"/>
        <w:rPr>
          <w:rFonts w:cs="Calibri"/>
          <w:i/>
          <w:sz w:val="20"/>
        </w:rPr>
      </w:pPr>
    </w:p>
    <w:p w14:paraId="50B37E5F" w14:textId="77777777" w:rsidR="00FA4226" w:rsidRPr="00CA2CC1" w:rsidRDefault="00FA4226" w:rsidP="0043303B">
      <w:pPr>
        <w:pStyle w:val="BodyText"/>
        <w:rPr>
          <w:rFonts w:cs="Calibri"/>
          <w:i/>
          <w:sz w:val="20"/>
        </w:rPr>
      </w:pPr>
    </w:p>
    <w:p w14:paraId="1103F47B" w14:textId="77777777" w:rsidR="00FA4226" w:rsidRPr="00CA2CC1" w:rsidRDefault="00FA4226" w:rsidP="0043303B">
      <w:pPr>
        <w:pStyle w:val="BodyText"/>
        <w:rPr>
          <w:rFonts w:cs="Calibri"/>
          <w:i/>
          <w:sz w:val="20"/>
        </w:rPr>
      </w:pPr>
    </w:p>
    <w:p w14:paraId="5FC6D0B9" w14:textId="77777777" w:rsidR="00FA4226" w:rsidRPr="00CA2CC1" w:rsidRDefault="00FA4226" w:rsidP="0043303B">
      <w:pPr>
        <w:pStyle w:val="BodyText"/>
        <w:rPr>
          <w:rFonts w:cs="Calibri"/>
          <w:i/>
          <w:sz w:val="20"/>
        </w:rPr>
      </w:pPr>
    </w:p>
    <w:p w14:paraId="69423254" w14:textId="77777777" w:rsidR="00FA4226" w:rsidRPr="00CA2CC1" w:rsidRDefault="00FA4226" w:rsidP="0043303B">
      <w:pPr>
        <w:pStyle w:val="BodyText"/>
        <w:rPr>
          <w:rFonts w:cs="Calibri"/>
          <w:i/>
          <w:sz w:val="20"/>
        </w:rPr>
      </w:pPr>
    </w:p>
    <w:p w14:paraId="2B91BAA6" w14:textId="77777777" w:rsidR="00FA4226" w:rsidRPr="00CA2CC1" w:rsidRDefault="00FA4226" w:rsidP="0043303B">
      <w:pPr>
        <w:pStyle w:val="BodyText"/>
        <w:rPr>
          <w:rFonts w:cs="Calibri"/>
          <w:i/>
          <w:sz w:val="20"/>
        </w:rPr>
      </w:pPr>
    </w:p>
    <w:p w14:paraId="10B24EFF" w14:textId="77777777" w:rsidR="00FA4226" w:rsidRPr="00CA2CC1" w:rsidRDefault="00FA4226" w:rsidP="0043303B">
      <w:pPr>
        <w:pStyle w:val="BodyText"/>
        <w:rPr>
          <w:rFonts w:cs="Calibri"/>
          <w:i/>
          <w:sz w:val="20"/>
        </w:rPr>
      </w:pPr>
    </w:p>
    <w:p w14:paraId="238D3433" w14:textId="77777777" w:rsidR="00FA4226" w:rsidRPr="00CA2CC1" w:rsidRDefault="00FA4226" w:rsidP="0043303B">
      <w:pPr>
        <w:pStyle w:val="BodyText"/>
        <w:rPr>
          <w:rFonts w:cs="Calibri"/>
          <w:i/>
          <w:sz w:val="20"/>
        </w:rPr>
      </w:pPr>
    </w:p>
    <w:p w14:paraId="7B185EC4" w14:textId="77777777" w:rsidR="00FA4226" w:rsidRPr="00CA2CC1" w:rsidRDefault="00FA4226" w:rsidP="0043303B">
      <w:pPr>
        <w:pStyle w:val="BodyText"/>
        <w:rPr>
          <w:rFonts w:cs="Calibri"/>
          <w:i/>
          <w:sz w:val="20"/>
        </w:rPr>
      </w:pPr>
    </w:p>
    <w:p w14:paraId="70F88806" w14:textId="77777777" w:rsidR="00FA4226" w:rsidRPr="00CA2CC1" w:rsidRDefault="00FA4226" w:rsidP="0043303B">
      <w:pPr>
        <w:pStyle w:val="BodyText"/>
        <w:rPr>
          <w:rFonts w:cs="Calibri"/>
          <w:i/>
          <w:sz w:val="20"/>
        </w:rPr>
      </w:pPr>
    </w:p>
    <w:p w14:paraId="098753EE" w14:textId="77777777" w:rsidR="00FA4226" w:rsidRPr="00CA2CC1" w:rsidRDefault="00FA4226" w:rsidP="0043303B">
      <w:pPr>
        <w:pStyle w:val="BodyText"/>
        <w:rPr>
          <w:rFonts w:cs="Calibri"/>
          <w:i/>
          <w:sz w:val="20"/>
        </w:rPr>
      </w:pPr>
    </w:p>
    <w:p w14:paraId="27AB8DC8" w14:textId="77777777" w:rsidR="00FA4226" w:rsidRPr="00CA2CC1" w:rsidRDefault="00FA4226" w:rsidP="0043303B">
      <w:pPr>
        <w:pStyle w:val="BodyText"/>
        <w:rPr>
          <w:rFonts w:cs="Calibri"/>
          <w:i/>
          <w:sz w:val="20"/>
        </w:rPr>
      </w:pPr>
    </w:p>
    <w:p w14:paraId="7B6AED98" w14:textId="77777777" w:rsidR="00FA4226" w:rsidRPr="00CA2CC1" w:rsidRDefault="00FA4226" w:rsidP="0043303B">
      <w:pPr>
        <w:pStyle w:val="BodyText"/>
        <w:rPr>
          <w:rFonts w:cs="Calibri"/>
          <w:i/>
          <w:sz w:val="20"/>
        </w:rPr>
      </w:pPr>
    </w:p>
    <w:p w14:paraId="5029EC69" w14:textId="77777777" w:rsidR="00FA4226" w:rsidRPr="00CA2CC1" w:rsidRDefault="00FA4226" w:rsidP="0043303B">
      <w:pPr>
        <w:pStyle w:val="BodyText"/>
        <w:rPr>
          <w:rFonts w:cs="Calibri"/>
          <w:i/>
          <w:sz w:val="20"/>
        </w:rPr>
      </w:pPr>
    </w:p>
    <w:p w14:paraId="735F4C49" w14:textId="77777777" w:rsidR="00FA4226" w:rsidRPr="00CA2CC1" w:rsidRDefault="00FA4226" w:rsidP="0043303B">
      <w:pPr>
        <w:pStyle w:val="BodyText"/>
        <w:rPr>
          <w:rFonts w:cs="Calibri"/>
          <w:i/>
          <w:sz w:val="20"/>
        </w:rPr>
      </w:pPr>
    </w:p>
    <w:p w14:paraId="3AADBED0" w14:textId="77777777" w:rsidR="00FA4226" w:rsidRPr="005B49BC" w:rsidRDefault="00000000" w:rsidP="0043303B">
      <w:pPr>
        <w:pStyle w:val="Heading7"/>
        <w:spacing w:before="60"/>
        <w:rPr>
          <w:rFonts w:cs="Calibri"/>
          <w:color w:val="000000" w:themeColor="text1"/>
        </w:rPr>
      </w:pPr>
      <w:r w:rsidRPr="005B49BC">
        <w:rPr>
          <w:rFonts w:cs="Calibri"/>
          <w:color w:val="000000" w:themeColor="text1"/>
        </w:rPr>
        <w:t>Impact</w:t>
      </w:r>
      <w:r w:rsidRPr="005B49BC">
        <w:rPr>
          <w:rFonts w:cs="Calibri"/>
          <w:color w:val="000000" w:themeColor="text1"/>
          <w:spacing w:val="-1"/>
        </w:rPr>
        <w:t xml:space="preserve"> </w:t>
      </w:r>
      <w:r w:rsidRPr="005B49BC">
        <w:rPr>
          <w:rFonts w:cs="Calibri"/>
          <w:color w:val="000000" w:themeColor="text1"/>
        </w:rPr>
        <w:t>of</w:t>
      </w:r>
      <w:r w:rsidRPr="005B49BC">
        <w:rPr>
          <w:rFonts w:cs="Calibri"/>
          <w:color w:val="000000" w:themeColor="text1"/>
          <w:spacing w:val="-1"/>
        </w:rPr>
        <w:t xml:space="preserve"> </w:t>
      </w:r>
      <w:r w:rsidRPr="005B49BC">
        <w:rPr>
          <w:rFonts w:cs="Calibri"/>
          <w:color w:val="000000" w:themeColor="text1"/>
        </w:rPr>
        <w:t>correction</w:t>
      </w:r>
      <w:r w:rsidRPr="005B49BC">
        <w:rPr>
          <w:rFonts w:cs="Calibri"/>
          <w:color w:val="000000" w:themeColor="text1"/>
          <w:spacing w:val="-1"/>
        </w:rPr>
        <w:t xml:space="preserve"> </w:t>
      </w:r>
      <w:r w:rsidRPr="005B49BC">
        <w:rPr>
          <w:rFonts w:cs="Calibri"/>
          <w:color w:val="000000" w:themeColor="text1"/>
        </w:rPr>
        <w:t>of</w:t>
      </w:r>
      <w:r w:rsidRPr="005B49BC">
        <w:rPr>
          <w:rFonts w:cs="Calibri"/>
          <w:color w:val="000000" w:themeColor="text1"/>
          <w:spacing w:val="-1"/>
        </w:rPr>
        <w:t xml:space="preserve"> </w:t>
      </w:r>
      <w:r w:rsidRPr="005B49BC">
        <w:rPr>
          <w:rFonts w:cs="Calibri"/>
          <w:color w:val="000000" w:themeColor="text1"/>
        </w:rPr>
        <w:t>error</w:t>
      </w:r>
      <w:r w:rsidRPr="005B49BC">
        <w:rPr>
          <w:rFonts w:cs="Calibri"/>
          <w:color w:val="000000" w:themeColor="text1"/>
          <w:spacing w:val="-1"/>
        </w:rPr>
        <w:t xml:space="preserve"> </w:t>
      </w:r>
      <w:r w:rsidRPr="005B49BC">
        <w:rPr>
          <w:rFonts w:cs="Calibri"/>
          <w:color w:val="000000" w:themeColor="text1"/>
        </w:rPr>
        <w:t>on</w:t>
      </w:r>
      <w:r w:rsidRPr="005B49BC">
        <w:rPr>
          <w:rFonts w:cs="Calibri"/>
          <w:color w:val="000000" w:themeColor="text1"/>
          <w:spacing w:val="-1"/>
        </w:rPr>
        <w:t xml:space="preserve"> </w:t>
      </w:r>
      <w:r w:rsidRPr="005B49BC">
        <w:rPr>
          <w:rFonts w:cs="Calibri"/>
          <w:color w:val="000000" w:themeColor="text1"/>
        </w:rPr>
        <w:t>the</w:t>
      </w:r>
      <w:r w:rsidRPr="005B49BC">
        <w:rPr>
          <w:rFonts w:cs="Calibri"/>
          <w:color w:val="000000" w:themeColor="text1"/>
          <w:spacing w:val="-1"/>
        </w:rPr>
        <w:t xml:space="preserve"> </w:t>
      </w:r>
      <w:r w:rsidRPr="005B49BC">
        <w:rPr>
          <w:rFonts w:cs="Calibri"/>
          <w:color w:val="000000" w:themeColor="text1"/>
        </w:rPr>
        <w:t>cash</w:t>
      </w:r>
      <w:r w:rsidRPr="005B49BC">
        <w:rPr>
          <w:rFonts w:cs="Calibri"/>
          <w:color w:val="000000" w:themeColor="text1"/>
          <w:spacing w:val="-1"/>
        </w:rPr>
        <w:t xml:space="preserve"> </w:t>
      </w:r>
      <w:r w:rsidRPr="005B49BC">
        <w:rPr>
          <w:rFonts w:cs="Calibri"/>
          <w:color w:val="000000" w:themeColor="text1"/>
        </w:rPr>
        <w:t xml:space="preserve">flow </w:t>
      </w:r>
      <w:r w:rsidRPr="005B49BC">
        <w:rPr>
          <w:rFonts w:cs="Calibri"/>
          <w:color w:val="000000" w:themeColor="text1"/>
          <w:spacing w:val="-2"/>
        </w:rPr>
        <w:t>statement</w:t>
      </w:r>
    </w:p>
    <w:p w14:paraId="367E0B7A" w14:textId="77777777" w:rsidR="00FA4226" w:rsidRPr="00CA2CC1" w:rsidRDefault="00FA4226" w:rsidP="0043303B">
      <w:pPr>
        <w:pStyle w:val="BodyText"/>
        <w:spacing w:before="6"/>
        <w:rPr>
          <w:rFonts w:cs="Calibri"/>
          <w:sz w:val="9"/>
        </w:rPr>
      </w:pPr>
    </w:p>
    <w:tbl>
      <w:tblPr>
        <w:tblW w:w="9642" w:type="dxa"/>
        <w:tblBorders>
          <w:top w:val="single" w:sz="4" w:space="0" w:color="C48F1B"/>
          <w:left w:val="single" w:sz="4" w:space="0" w:color="C48F1B"/>
          <w:bottom w:val="single" w:sz="4" w:space="0" w:color="C48F1B"/>
          <w:right w:val="single" w:sz="4" w:space="0" w:color="C48F1B"/>
          <w:insideH w:val="single" w:sz="4" w:space="0" w:color="C48F1B"/>
          <w:insideV w:val="single" w:sz="4" w:space="0" w:color="C48F1B"/>
        </w:tblBorders>
        <w:tblLayout w:type="fixed"/>
        <w:tblCellMar>
          <w:left w:w="0" w:type="dxa"/>
          <w:right w:w="0" w:type="dxa"/>
        </w:tblCellMar>
        <w:tblLook w:val="01E0" w:firstRow="1" w:lastRow="1" w:firstColumn="1" w:lastColumn="1" w:noHBand="0" w:noVBand="0"/>
      </w:tblPr>
      <w:tblGrid>
        <w:gridCol w:w="3402"/>
        <w:gridCol w:w="1248"/>
        <w:gridCol w:w="1248"/>
        <w:gridCol w:w="1248"/>
        <w:gridCol w:w="1248"/>
        <w:gridCol w:w="1248"/>
      </w:tblGrid>
      <w:tr w:rsidR="00FA4226" w:rsidRPr="00CA2CC1" w14:paraId="1F33D079" w14:textId="77777777" w:rsidTr="00126374">
        <w:trPr>
          <w:trHeight w:val="1344"/>
        </w:trPr>
        <w:tc>
          <w:tcPr>
            <w:tcW w:w="3402" w:type="dxa"/>
            <w:tcBorders>
              <w:top w:val="nil"/>
              <w:left w:val="nil"/>
              <w:right w:val="nil"/>
            </w:tcBorders>
          </w:tcPr>
          <w:p w14:paraId="1C8B1FF7" w14:textId="77777777" w:rsidR="00FA4226" w:rsidRPr="00CA2CC1" w:rsidRDefault="00FA4226" w:rsidP="0043303B">
            <w:pPr>
              <w:pStyle w:val="TableParagraph"/>
              <w:jc w:val="left"/>
              <w:rPr>
                <w:rFonts w:cs="Calibri"/>
                <w:sz w:val="16"/>
              </w:rPr>
            </w:pPr>
          </w:p>
        </w:tc>
        <w:tc>
          <w:tcPr>
            <w:tcW w:w="1248" w:type="dxa"/>
            <w:tcBorders>
              <w:top w:val="nil"/>
              <w:left w:val="nil"/>
              <w:right w:val="single" w:sz="8" w:space="0" w:color="FFFFFF"/>
            </w:tcBorders>
            <w:shd w:val="clear" w:color="auto" w:fill="FFF0E7"/>
            <w:tcMar>
              <w:right w:w="57" w:type="dxa"/>
            </w:tcMar>
            <w:vAlign w:val="bottom"/>
          </w:tcPr>
          <w:p w14:paraId="2055F5A3" w14:textId="77777777" w:rsidR="00FA4226" w:rsidRPr="00CA2CC1" w:rsidRDefault="00FA4226" w:rsidP="0043303B">
            <w:pPr>
              <w:pStyle w:val="TableParagraph"/>
              <w:rPr>
                <w:rFonts w:cs="Calibri"/>
                <w:sz w:val="20"/>
              </w:rPr>
            </w:pPr>
          </w:p>
          <w:p w14:paraId="1CBD3CD1" w14:textId="77777777" w:rsidR="00FA4226" w:rsidRPr="00CA2CC1" w:rsidRDefault="00FA4226" w:rsidP="0043303B">
            <w:pPr>
              <w:pStyle w:val="TableParagraph"/>
              <w:rPr>
                <w:rFonts w:cs="Calibri"/>
                <w:sz w:val="20"/>
              </w:rPr>
            </w:pPr>
          </w:p>
          <w:p w14:paraId="22D2E629" w14:textId="77777777" w:rsidR="00FA4226" w:rsidRPr="00CA2CC1" w:rsidRDefault="00FA4226" w:rsidP="0043303B">
            <w:pPr>
              <w:pStyle w:val="TableParagraph"/>
              <w:spacing w:before="1"/>
              <w:rPr>
                <w:rFonts w:cs="Calibri"/>
                <w:sz w:val="21"/>
              </w:rPr>
            </w:pPr>
          </w:p>
          <w:p w14:paraId="0FD46A45" w14:textId="77777777" w:rsidR="00FA4226" w:rsidRPr="00CA2CC1" w:rsidRDefault="00000000" w:rsidP="0043303B">
            <w:pPr>
              <w:pStyle w:val="TableParagraph"/>
              <w:rPr>
                <w:rFonts w:cs="Calibri"/>
                <w:sz w:val="17"/>
              </w:rPr>
            </w:pPr>
            <w:r w:rsidRPr="00CA2CC1">
              <w:rPr>
                <w:rFonts w:cs="Calibri"/>
                <w:color w:val="F68C59"/>
                <w:spacing w:val="-4"/>
                <w:sz w:val="17"/>
              </w:rPr>
              <w:t>2023</w:t>
            </w:r>
          </w:p>
          <w:p w14:paraId="62FD9575" w14:textId="77777777" w:rsidR="00FA4226" w:rsidRPr="00CA2CC1" w:rsidRDefault="00000000" w:rsidP="0043303B">
            <w:pPr>
              <w:pStyle w:val="TableParagraph"/>
              <w:spacing w:before="1"/>
              <w:rPr>
                <w:rFonts w:cs="Calibri"/>
                <w:sz w:val="17"/>
              </w:rPr>
            </w:pPr>
            <w:r w:rsidRPr="00CA2CC1">
              <w:rPr>
                <w:rFonts w:cs="Calibri"/>
                <w:color w:val="F68C59"/>
                <w:sz w:val="17"/>
              </w:rPr>
              <w:t>$</w:t>
            </w:r>
          </w:p>
        </w:tc>
        <w:tc>
          <w:tcPr>
            <w:tcW w:w="1248" w:type="dxa"/>
            <w:tcBorders>
              <w:top w:val="nil"/>
              <w:left w:val="single" w:sz="8" w:space="0" w:color="FFFFFF"/>
              <w:right w:val="single" w:sz="8" w:space="0" w:color="FFFFFF"/>
            </w:tcBorders>
            <w:shd w:val="clear" w:color="auto" w:fill="EDEFF0"/>
            <w:tcMar>
              <w:right w:w="57" w:type="dxa"/>
            </w:tcMar>
            <w:vAlign w:val="bottom"/>
          </w:tcPr>
          <w:p w14:paraId="355B92C7" w14:textId="77777777" w:rsidR="00FA4226" w:rsidRPr="00CA2CC1" w:rsidRDefault="00FA4226" w:rsidP="0043303B">
            <w:pPr>
              <w:pStyle w:val="TableParagraph"/>
              <w:spacing w:before="9"/>
              <w:rPr>
                <w:rFonts w:cs="Calibri"/>
                <w:sz w:val="23"/>
              </w:rPr>
            </w:pPr>
          </w:p>
          <w:p w14:paraId="151ABE01" w14:textId="77777777" w:rsidR="00FA4226" w:rsidRPr="00CA2CC1" w:rsidRDefault="00000000" w:rsidP="0043303B">
            <w:pPr>
              <w:pStyle w:val="TableParagraph"/>
              <w:rPr>
                <w:rFonts w:cs="Calibri"/>
                <w:sz w:val="17"/>
              </w:rPr>
            </w:pPr>
            <w:r w:rsidRPr="00CA2CC1">
              <w:rPr>
                <w:rFonts w:cs="Calibri"/>
                <w:color w:val="F68C59"/>
                <w:spacing w:val="-4"/>
                <w:sz w:val="17"/>
              </w:rPr>
              <w:t>2022</w:t>
            </w:r>
          </w:p>
          <w:p w14:paraId="3DF7DA72" w14:textId="77777777" w:rsidR="00FA4226" w:rsidRPr="00CA2CC1" w:rsidRDefault="00000000" w:rsidP="0043303B">
            <w:pPr>
              <w:pStyle w:val="TableParagraph"/>
              <w:spacing w:before="108"/>
              <w:rPr>
                <w:rFonts w:cs="Calibri"/>
                <w:sz w:val="17"/>
              </w:rPr>
            </w:pPr>
            <w:r w:rsidRPr="00CA2CC1">
              <w:rPr>
                <w:rFonts w:cs="Calibri"/>
                <w:color w:val="F68C59"/>
                <w:spacing w:val="-2"/>
                <w:sz w:val="17"/>
              </w:rPr>
              <w:t>(restated balance)</w:t>
            </w:r>
          </w:p>
          <w:p w14:paraId="68841616" w14:textId="77777777" w:rsidR="00FA4226" w:rsidRPr="00CA2CC1" w:rsidRDefault="00000000" w:rsidP="0043303B">
            <w:pPr>
              <w:pStyle w:val="TableParagraph"/>
              <w:spacing w:before="6"/>
              <w:rPr>
                <w:rFonts w:cs="Calibri"/>
                <w:sz w:val="17"/>
              </w:rPr>
            </w:pPr>
            <w:r w:rsidRPr="00CA2CC1">
              <w:rPr>
                <w:rFonts w:cs="Calibri"/>
                <w:color w:val="F68C59"/>
                <w:sz w:val="17"/>
              </w:rPr>
              <w:t>$</w:t>
            </w:r>
          </w:p>
        </w:tc>
        <w:tc>
          <w:tcPr>
            <w:tcW w:w="1248" w:type="dxa"/>
            <w:tcBorders>
              <w:top w:val="nil"/>
              <w:left w:val="single" w:sz="8" w:space="0" w:color="FFFFFF"/>
              <w:right w:val="single" w:sz="8" w:space="0" w:color="FFFFFF"/>
            </w:tcBorders>
            <w:shd w:val="clear" w:color="auto" w:fill="FFF0E7"/>
            <w:tcMar>
              <w:right w:w="57" w:type="dxa"/>
            </w:tcMar>
            <w:vAlign w:val="bottom"/>
          </w:tcPr>
          <w:p w14:paraId="2E503F8E" w14:textId="77777777" w:rsidR="00FA4226" w:rsidRPr="00CA2CC1" w:rsidRDefault="00000000" w:rsidP="0043303B">
            <w:pPr>
              <w:pStyle w:val="TableParagraph"/>
              <w:spacing w:before="66"/>
              <w:rPr>
                <w:rFonts w:cs="Calibri"/>
                <w:sz w:val="17"/>
              </w:rPr>
            </w:pPr>
            <w:r w:rsidRPr="00CA2CC1">
              <w:rPr>
                <w:rFonts w:cs="Calibri"/>
                <w:color w:val="F68C59"/>
                <w:spacing w:val="-2"/>
                <w:sz w:val="17"/>
              </w:rPr>
              <w:t xml:space="preserve">Correction </w:t>
            </w:r>
            <w:r w:rsidRPr="00CA2CC1">
              <w:rPr>
                <w:rFonts w:cs="Calibri"/>
                <w:color w:val="F68C59"/>
                <w:sz w:val="17"/>
              </w:rPr>
              <w:t>of</w:t>
            </w:r>
            <w:r w:rsidRPr="00CA2CC1">
              <w:rPr>
                <w:rFonts w:cs="Calibri"/>
                <w:color w:val="F68C59"/>
                <w:spacing w:val="1"/>
                <w:sz w:val="17"/>
              </w:rPr>
              <w:t xml:space="preserve"> </w:t>
            </w:r>
            <w:r w:rsidRPr="00CA2CC1">
              <w:rPr>
                <w:rFonts w:cs="Calibri"/>
                <w:color w:val="F68C59"/>
                <w:spacing w:val="-2"/>
                <w:sz w:val="17"/>
              </w:rPr>
              <w:t>leased</w:t>
            </w:r>
          </w:p>
          <w:p w14:paraId="57A30433" w14:textId="77777777" w:rsidR="00FA4226" w:rsidRPr="00CA2CC1" w:rsidRDefault="00000000" w:rsidP="0043303B">
            <w:pPr>
              <w:pStyle w:val="TableParagraph"/>
              <w:rPr>
                <w:rFonts w:cs="Calibri"/>
                <w:sz w:val="10"/>
              </w:rPr>
            </w:pPr>
            <w:r w:rsidRPr="00CA2CC1">
              <w:rPr>
                <w:rFonts w:cs="Calibri"/>
                <w:color w:val="F68C59"/>
                <w:spacing w:val="-2"/>
                <w:sz w:val="17"/>
              </w:rPr>
              <w:t xml:space="preserve">motor vehicle </w:t>
            </w:r>
            <w:r w:rsidRPr="00CA2CC1">
              <w:rPr>
                <w:rFonts w:cs="Calibri"/>
                <w:color w:val="F68C59"/>
                <w:sz w:val="17"/>
              </w:rPr>
              <w:t xml:space="preserve">error </w:t>
            </w:r>
            <w:r w:rsidRPr="00CA2CC1">
              <w:rPr>
                <w:rFonts w:cs="Calibri"/>
                <w:color w:val="F68C59"/>
                <w:position w:val="6"/>
                <w:sz w:val="10"/>
              </w:rPr>
              <w:t>(i)</w:t>
            </w:r>
          </w:p>
          <w:p w14:paraId="23E4FBA9" w14:textId="77777777" w:rsidR="00FA4226" w:rsidRPr="00CA2CC1" w:rsidRDefault="00000000" w:rsidP="0043303B">
            <w:pPr>
              <w:pStyle w:val="TableParagraph"/>
              <w:spacing w:before="4"/>
              <w:rPr>
                <w:rFonts w:cs="Calibri"/>
                <w:sz w:val="17"/>
              </w:rPr>
            </w:pPr>
            <w:r w:rsidRPr="00CA2CC1">
              <w:rPr>
                <w:rFonts w:cs="Calibri"/>
                <w:color w:val="F68C59"/>
                <w:sz w:val="17"/>
              </w:rPr>
              <w:t>$</w:t>
            </w:r>
          </w:p>
        </w:tc>
        <w:tc>
          <w:tcPr>
            <w:tcW w:w="1248" w:type="dxa"/>
            <w:tcBorders>
              <w:top w:val="nil"/>
              <w:left w:val="single" w:sz="8" w:space="0" w:color="FFFFFF"/>
              <w:right w:val="single" w:sz="8" w:space="0" w:color="FFFFFF"/>
            </w:tcBorders>
            <w:shd w:val="clear" w:color="auto" w:fill="EDEFF0"/>
            <w:tcMar>
              <w:right w:w="57" w:type="dxa"/>
            </w:tcMar>
            <w:vAlign w:val="bottom"/>
          </w:tcPr>
          <w:p w14:paraId="229741C9" w14:textId="77777777" w:rsidR="00FA4226" w:rsidRPr="00CA2CC1" w:rsidRDefault="00FA4226" w:rsidP="0043303B">
            <w:pPr>
              <w:pStyle w:val="TableParagraph"/>
              <w:spacing w:before="5"/>
              <w:rPr>
                <w:rFonts w:cs="Calibri"/>
                <w:sz w:val="19"/>
              </w:rPr>
            </w:pPr>
          </w:p>
          <w:p w14:paraId="1FC3891F" w14:textId="77777777" w:rsidR="00FA4226" w:rsidRPr="00CA2CC1" w:rsidRDefault="00000000" w:rsidP="0043303B">
            <w:pPr>
              <w:pStyle w:val="TableParagraph"/>
              <w:rPr>
                <w:rFonts w:cs="Calibri"/>
                <w:sz w:val="17"/>
              </w:rPr>
            </w:pPr>
            <w:r w:rsidRPr="00CA2CC1">
              <w:rPr>
                <w:rFonts w:cs="Calibri"/>
                <w:color w:val="F68C59"/>
                <w:spacing w:val="-2"/>
                <w:sz w:val="17"/>
              </w:rPr>
              <w:t xml:space="preserve">Correction </w:t>
            </w:r>
            <w:r w:rsidRPr="00CA2CC1">
              <w:rPr>
                <w:rFonts w:cs="Calibri"/>
                <w:color w:val="F68C59"/>
                <w:sz w:val="17"/>
              </w:rPr>
              <w:t>of</w:t>
            </w:r>
            <w:r w:rsidRPr="00CA2CC1">
              <w:rPr>
                <w:rFonts w:cs="Calibri"/>
                <w:color w:val="F68C59"/>
                <w:spacing w:val="-12"/>
                <w:sz w:val="17"/>
              </w:rPr>
              <w:t xml:space="preserve"> </w:t>
            </w:r>
            <w:r w:rsidRPr="00CA2CC1">
              <w:rPr>
                <w:rFonts w:cs="Calibri"/>
                <w:color w:val="F68C59"/>
                <w:sz w:val="17"/>
              </w:rPr>
              <w:t xml:space="preserve">interest </w:t>
            </w:r>
            <w:r w:rsidRPr="00CA2CC1">
              <w:rPr>
                <w:rFonts w:cs="Calibri"/>
                <w:color w:val="F68C59"/>
                <w:spacing w:val="-2"/>
                <w:sz w:val="17"/>
              </w:rPr>
              <w:t>expense</w:t>
            </w:r>
          </w:p>
          <w:p w14:paraId="2B704095" w14:textId="77777777" w:rsidR="00FA4226" w:rsidRPr="00CA2CC1" w:rsidRDefault="00000000" w:rsidP="0043303B">
            <w:pPr>
              <w:pStyle w:val="TableParagraph"/>
              <w:rPr>
                <w:rFonts w:cs="Calibri"/>
                <w:sz w:val="17"/>
              </w:rPr>
            </w:pPr>
            <w:r w:rsidRPr="00CA2CC1">
              <w:rPr>
                <w:rFonts w:cs="Calibri"/>
                <w:color w:val="F68C59"/>
                <w:spacing w:val="-2"/>
                <w:sz w:val="17"/>
              </w:rPr>
              <w:t>error</w:t>
            </w:r>
          </w:p>
          <w:p w14:paraId="0C6A5133" w14:textId="77777777" w:rsidR="00FA4226" w:rsidRPr="00CA2CC1" w:rsidRDefault="00000000" w:rsidP="0043303B">
            <w:pPr>
              <w:pStyle w:val="TableParagraph"/>
              <w:spacing w:before="2"/>
              <w:rPr>
                <w:rFonts w:cs="Calibri"/>
                <w:sz w:val="17"/>
              </w:rPr>
            </w:pPr>
            <w:r w:rsidRPr="00CA2CC1">
              <w:rPr>
                <w:rFonts w:cs="Calibri"/>
                <w:color w:val="F68C59"/>
                <w:sz w:val="17"/>
              </w:rPr>
              <w:t>$</w:t>
            </w:r>
          </w:p>
        </w:tc>
        <w:tc>
          <w:tcPr>
            <w:tcW w:w="1248" w:type="dxa"/>
            <w:tcBorders>
              <w:top w:val="nil"/>
              <w:left w:val="single" w:sz="8" w:space="0" w:color="FFFFFF"/>
              <w:right w:val="nil"/>
            </w:tcBorders>
            <w:shd w:val="clear" w:color="auto" w:fill="FFF0E7"/>
            <w:tcMar>
              <w:right w:w="57" w:type="dxa"/>
            </w:tcMar>
            <w:vAlign w:val="bottom"/>
          </w:tcPr>
          <w:p w14:paraId="65B9C66D" w14:textId="77777777" w:rsidR="00FA4226" w:rsidRPr="00CA2CC1" w:rsidRDefault="00000000" w:rsidP="0043303B">
            <w:pPr>
              <w:pStyle w:val="TableParagraph"/>
              <w:spacing w:before="125"/>
              <w:rPr>
                <w:rFonts w:cs="Calibri"/>
                <w:sz w:val="17"/>
              </w:rPr>
            </w:pPr>
            <w:r w:rsidRPr="00CA2CC1">
              <w:rPr>
                <w:rFonts w:cs="Calibri"/>
                <w:color w:val="F68C59"/>
                <w:spacing w:val="-4"/>
                <w:sz w:val="17"/>
              </w:rPr>
              <w:t>2022</w:t>
            </w:r>
          </w:p>
          <w:p w14:paraId="22FE2694" w14:textId="77777777" w:rsidR="00FA4226" w:rsidRPr="00CA2CC1" w:rsidRDefault="00000000" w:rsidP="0043303B">
            <w:pPr>
              <w:pStyle w:val="TableParagraph"/>
              <w:spacing w:before="108"/>
              <w:rPr>
                <w:rFonts w:cs="Calibri"/>
                <w:sz w:val="17"/>
              </w:rPr>
            </w:pPr>
            <w:r w:rsidRPr="00CA2CC1">
              <w:rPr>
                <w:rFonts w:cs="Calibri"/>
                <w:color w:val="F68C59"/>
                <w:spacing w:val="-2"/>
                <w:sz w:val="17"/>
              </w:rPr>
              <w:t>(previously presented balance)</w:t>
            </w:r>
          </w:p>
          <w:p w14:paraId="0B1AD396" w14:textId="77777777" w:rsidR="00FA4226" w:rsidRPr="00CA2CC1" w:rsidRDefault="00000000" w:rsidP="0043303B">
            <w:pPr>
              <w:pStyle w:val="TableParagraph"/>
              <w:spacing w:before="5"/>
              <w:rPr>
                <w:rFonts w:cs="Calibri"/>
                <w:sz w:val="17"/>
              </w:rPr>
            </w:pPr>
            <w:r w:rsidRPr="00CA2CC1">
              <w:rPr>
                <w:rFonts w:cs="Calibri"/>
                <w:color w:val="F68C59"/>
                <w:sz w:val="17"/>
              </w:rPr>
              <w:t>$</w:t>
            </w:r>
          </w:p>
        </w:tc>
      </w:tr>
      <w:tr w:rsidR="00FA4226" w:rsidRPr="00CA2CC1" w14:paraId="25C71886" w14:textId="77777777" w:rsidTr="00126374">
        <w:trPr>
          <w:trHeight w:val="569"/>
        </w:trPr>
        <w:tc>
          <w:tcPr>
            <w:tcW w:w="3402" w:type="dxa"/>
            <w:tcBorders>
              <w:left w:val="nil"/>
              <w:bottom w:val="single" w:sz="2" w:space="0" w:color="73777A"/>
              <w:right w:val="nil"/>
            </w:tcBorders>
          </w:tcPr>
          <w:p w14:paraId="21D18787" w14:textId="77777777" w:rsidR="00FA4226" w:rsidRPr="00CA2CC1" w:rsidRDefault="00000000" w:rsidP="0043303B">
            <w:pPr>
              <w:pStyle w:val="TableParagraph"/>
              <w:jc w:val="left"/>
              <w:rPr>
                <w:rFonts w:cs="Calibri"/>
                <w:sz w:val="18"/>
              </w:rPr>
            </w:pPr>
            <w:r w:rsidRPr="00CA2CC1">
              <w:rPr>
                <w:rFonts w:cs="Calibri"/>
                <w:color w:val="F68C59"/>
                <w:sz w:val="18"/>
              </w:rPr>
              <w:t>Cash</w:t>
            </w:r>
            <w:r w:rsidRPr="00CA2CC1">
              <w:rPr>
                <w:rFonts w:cs="Calibri"/>
                <w:color w:val="F68C59"/>
                <w:spacing w:val="5"/>
                <w:sz w:val="18"/>
              </w:rPr>
              <w:t xml:space="preserve"> </w:t>
            </w:r>
            <w:r w:rsidRPr="00CA2CC1">
              <w:rPr>
                <w:rFonts w:cs="Calibri"/>
                <w:color w:val="F68C59"/>
                <w:sz w:val="18"/>
              </w:rPr>
              <w:t>flows</w:t>
            </w:r>
            <w:r w:rsidRPr="00CA2CC1">
              <w:rPr>
                <w:rFonts w:cs="Calibri"/>
                <w:color w:val="F68C59"/>
                <w:spacing w:val="7"/>
                <w:sz w:val="18"/>
              </w:rPr>
              <w:t xml:space="preserve"> </w:t>
            </w:r>
            <w:r w:rsidRPr="00CA2CC1">
              <w:rPr>
                <w:rFonts w:cs="Calibri"/>
                <w:color w:val="F68C59"/>
                <w:sz w:val="18"/>
              </w:rPr>
              <w:t>from</w:t>
            </w:r>
            <w:r w:rsidRPr="00CA2CC1">
              <w:rPr>
                <w:rFonts w:cs="Calibri"/>
                <w:color w:val="F68C59"/>
                <w:spacing w:val="7"/>
                <w:sz w:val="18"/>
              </w:rPr>
              <w:t xml:space="preserve"> </w:t>
            </w:r>
            <w:r w:rsidRPr="00CA2CC1">
              <w:rPr>
                <w:rFonts w:cs="Calibri"/>
                <w:color w:val="F68C59"/>
                <w:sz w:val="18"/>
              </w:rPr>
              <w:t>operating</w:t>
            </w:r>
            <w:r w:rsidRPr="00CA2CC1">
              <w:rPr>
                <w:rFonts w:cs="Calibri"/>
                <w:color w:val="F68C59"/>
                <w:spacing w:val="7"/>
                <w:sz w:val="18"/>
              </w:rPr>
              <w:t xml:space="preserve"> </w:t>
            </w:r>
            <w:r w:rsidRPr="00CA2CC1">
              <w:rPr>
                <w:rFonts w:cs="Calibri"/>
                <w:color w:val="F68C59"/>
                <w:spacing w:val="-2"/>
                <w:sz w:val="18"/>
              </w:rPr>
              <w:t>activities</w:t>
            </w:r>
          </w:p>
          <w:p w14:paraId="7E490A26" w14:textId="77777777" w:rsidR="00FA4226" w:rsidRPr="00CA2CC1" w:rsidRDefault="00000000" w:rsidP="0043303B">
            <w:pPr>
              <w:pStyle w:val="TableParagraph"/>
              <w:spacing w:before="41"/>
              <w:jc w:val="left"/>
              <w:rPr>
                <w:rFonts w:cs="Calibri"/>
                <w:sz w:val="18"/>
              </w:rPr>
            </w:pPr>
            <w:r w:rsidRPr="00CA2CC1">
              <w:rPr>
                <w:rFonts w:cs="Calibri"/>
                <w:color w:val="F68C59"/>
                <w:spacing w:val="-2"/>
                <w:sz w:val="18"/>
              </w:rPr>
              <w:t>Receipts</w:t>
            </w:r>
          </w:p>
        </w:tc>
        <w:tc>
          <w:tcPr>
            <w:tcW w:w="1248" w:type="dxa"/>
            <w:tcBorders>
              <w:left w:val="nil"/>
              <w:bottom w:val="single" w:sz="2" w:space="0" w:color="73777A"/>
              <w:right w:val="single" w:sz="8" w:space="0" w:color="FFFFFF"/>
            </w:tcBorders>
            <w:shd w:val="clear" w:color="auto" w:fill="FFF0E7"/>
            <w:tcMar>
              <w:right w:w="57" w:type="dxa"/>
            </w:tcMar>
          </w:tcPr>
          <w:p w14:paraId="53175847" w14:textId="77777777" w:rsidR="00FA4226" w:rsidRPr="00CA2CC1" w:rsidRDefault="00FA4226" w:rsidP="0043303B">
            <w:pPr>
              <w:pStyle w:val="TableParagraph"/>
              <w:jc w:val="left"/>
              <w:rPr>
                <w:rFonts w:cs="Calibri"/>
                <w:sz w:val="16"/>
              </w:rPr>
            </w:pPr>
          </w:p>
        </w:tc>
        <w:tc>
          <w:tcPr>
            <w:tcW w:w="1248" w:type="dxa"/>
            <w:tcBorders>
              <w:left w:val="single" w:sz="8" w:space="0" w:color="FFFFFF"/>
              <w:bottom w:val="single" w:sz="2" w:space="0" w:color="73777A"/>
              <w:right w:val="single" w:sz="8" w:space="0" w:color="FFFFFF"/>
            </w:tcBorders>
            <w:shd w:val="clear" w:color="auto" w:fill="EDEFF0"/>
            <w:tcMar>
              <w:right w:w="57" w:type="dxa"/>
            </w:tcMar>
          </w:tcPr>
          <w:p w14:paraId="41A27B07" w14:textId="77777777" w:rsidR="00FA4226" w:rsidRPr="00CA2CC1" w:rsidRDefault="00FA4226" w:rsidP="0043303B">
            <w:pPr>
              <w:pStyle w:val="TableParagraph"/>
              <w:jc w:val="left"/>
              <w:rPr>
                <w:rFonts w:cs="Calibri"/>
                <w:sz w:val="16"/>
              </w:rPr>
            </w:pPr>
          </w:p>
        </w:tc>
        <w:tc>
          <w:tcPr>
            <w:tcW w:w="1248" w:type="dxa"/>
            <w:tcBorders>
              <w:left w:val="single" w:sz="8" w:space="0" w:color="FFFFFF"/>
              <w:bottom w:val="single" w:sz="2" w:space="0" w:color="73777A"/>
              <w:right w:val="single" w:sz="8" w:space="0" w:color="FFFFFF"/>
            </w:tcBorders>
            <w:shd w:val="clear" w:color="auto" w:fill="FFF0E7"/>
            <w:tcMar>
              <w:right w:w="57" w:type="dxa"/>
            </w:tcMar>
          </w:tcPr>
          <w:p w14:paraId="11569037" w14:textId="77777777" w:rsidR="00FA4226" w:rsidRPr="00CA2CC1" w:rsidRDefault="00FA4226" w:rsidP="0043303B">
            <w:pPr>
              <w:pStyle w:val="TableParagraph"/>
              <w:jc w:val="left"/>
              <w:rPr>
                <w:rFonts w:cs="Calibri"/>
                <w:sz w:val="16"/>
              </w:rPr>
            </w:pPr>
          </w:p>
        </w:tc>
        <w:tc>
          <w:tcPr>
            <w:tcW w:w="1248" w:type="dxa"/>
            <w:tcBorders>
              <w:left w:val="single" w:sz="8" w:space="0" w:color="FFFFFF"/>
              <w:bottom w:val="single" w:sz="2" w:space="0" w:color="73777A"/>
              <w:right w:val="single" w:sz="8" w:space="0" w:color="FFFFFF"/>
            </w:tcBorders>
            <w:shd w:val="clear" w:color="auto" w:fill="EDEFF0"/>
            <w:tcMar>
              <w:right w:w="57" w:type="dxa"/>
            </w:tcMar>
          </w:tcPr>
          <w:p w14:paraId="40E74B32" w14:textId="77777777" w:rsidR="00FA4226" w:rsidRPr="00CA2CC1" w:rsidRDefault="00FA4226" w:rsidP="0043303B">
            <w:pPr>
              <w:pStyle w:val="TableParagraph"/>
              <w:jc w:val="left"/>
              <w:rPr>
                <w:rFonts w:cs="Calibri"/>
                <w:sz w:val="16"/>
              </w:rPr>
            </w:pPr>
          </w:p>
        </w:tc>
        <w:tc>
          <w:tcPr>
            <w:tcW w:w="1248" w:type="dxa"/>
            <w:tcBorders>
              <w:left w:val="single" w:sz="8" w:space="0" w:color="FFFFFF"/>
              <w:bottom w:val="single" w:sz="2" w:space="0" w:color="73777A"/>
              <w:right w:val="nil"/>
            </w:tcBorders>
            <w:shd w:val="clear" w:color="auto" w:fill="FFF0E7"/>
            <w:tcMar>
              <w:right w:w="57" w:type="dxa"/>
            </w:tcMar>
          </w:tcPr>
          <w:p w14:paraId="043CA65E" w14:textId="77777777" w:rsidR="00FA4226" w:rsidRPr="00CA2CC1" w:rsidRDefault="00FA4226" w:rsidP="0043303B">
            <w:pPr>
              <w:pStyle w:val="TableParagraph"/>
              <w:jc w:val="left"/>
              <w:rPr>
                <w:rFonts w:cs="Calibri"/>
                <w:sz w:val="16"/>
              </w:rPr>
            </w:pPr>
          </w:p>
        </w:tc>
      </w:tr>
      <w:tr w:rsidR="00FA4226" w:rsidRPr="00CA2CC1" w14:paraId="584B989B" w14:textId="77777777" w:rsidTr="00126374">
        <w:trPr>
          <w:trHeight w:val="283"/>
        </w:trPr>
        <w:tc>
          <w:tcPr>
            <w:tcW w:w="3402" w:type="dxa"/>
            <w:tcBorders>
              <w:top w:val="single" w:sz="2" w:space="0" w:color="73777A"/>
              <w:left w:val="nil"/>
              <w:bottom w:val="single" w:sz="2" w:space="0" w:color="73777A"/>
              <w:right w:val="nil"/>
            </w:tcBorders>
          </w:tcPr>
          <w:p w14:paraId="6204A53E" w14:textId="77777777" w:rsidR="00FA4226" w:rsidRPr="00CA2CC1" w:rsidRDefault="00000000" w:rsidP="0043303B">
            <w:pPr>
              <w:pStyle w:val="TableParagraph"/>
              <w:jc w:val="left"/>
              <w:rPr>
                <w:rFonts w:cs="Calibri"/>
                <w:sz w:val="18"/>
              </w:rPr>
            </w:pPr>
            <w:r w:rsidRPr="00CA2CC1">
              <w:rPr>
                <w:rFonts w:cs="Calibri"/>
                <w:color w:val="414042"/>
                <w:sz w:val="18"/>
              </w:rPr>
              <w:t>Receipts</w:t>
            </w:r>
            <w:r w:rsidRPr="00CA2CC1">
              <w:rPr>
                <w:rFonts w:cs="Calibri"/>
                <w:color w:val="414042"/>
                <w:spacing w:val="4"/>
                <w:sz w:val="18"/>
              </w:rPr>
              <w:t xml:space="preserve"> </w:t>
            </w:r>
            <w:r w:rsidRPr="00CA2CC1">
              <w:rPr>
                <w:rFonts w:cs="Calibri"/>
                <w:color w:val="414042"/>
                <w:sz w:val="18"/>
              </w:rPr>
              <w:t>from</w:t>
            </w:r>
            <w:r w:rsidRPr="00CA2CC1">
              <w:rPr>
                <w:rFonts w:cs="Calibri"/>
                <w:color w:val="414042"/>
                <w:spacing w:val="5"/>
                <w:sz w:val="18"/>
              </w:rPr>
              <w:t xml:space="preserve"> </w:t>
            </w:r>
            <w:r w:rsidRPr="00CA2CC1">
              <w:rPr>
                <w:rFonts w:cs="Calibri"/>
                <w:color w:val="414042"/>
                <w:spacing w:val="-2"/>
                <w:sz w:val="18"/>
              </w:rPr>
              <w:t>government</w:t>
            </w:r>
          </w:p>
        </w:tc>
        <w:tc>
          <w:tcPr>
            <w:tcW w:w="1248" w:type="dxa"/>
            <w:tcBorders>
              <w:top w:val="single" w:sz="2" w:space="0" w:color="73777A"/>
              <w:left w:val="nil"/>
              <w:bottom w:val="single" w:sz="2" w:space="0" w:color="73777A"/>
              <w:right w:val="single" w:sz="8" w:space="0" w:color="FFFFFF"/>
            </w:tcBorders>
            <w:shd w:val="clear" w:color="auto" w:fill="FFF0E7"/>
            <w:tcMar>
              <w:right w:w="57" w:type="dxa"/>
            </w:tcMar>
          </w:tcPr>
          <w:p w14:paraId="6744302F" w14:textId="77777777" w:rsidR="00FA4226" w:rsidRPr="00CA2CC1" w:rsidRDefault="00000000" w:rsidP="0043303B">
            <w:pPr>
              <w:pStyle w:val="TableParagraph"/>
              <w:rPr>
                <w:rFonts w:cs="Calibri"/>
                <w:sz w:val="18"/>
              </w:rPr>
            </w:pPr>
            <w:r w:rsidRPr="00CA2CC1">
              <w:rPr>
                <w:rFonts w:cs="Calibri"/>
                <w:color w:val="414042"/>
                <w:spacing w:val="-2"/>
                <w:sz w:val="18"/>
              </w:rPr>
              <w:t>9,877,677</w:t>
            </w:r>
          </w:p>
        </w:tc>
        <w:tc>
          <w:tcPr>
            <w:tcW w:w="1248" w:type="dxa"/>
            <w:tcBorders>
              <w:top w:val="single" w:sz="2" w:space="0" w:color="73777A"/>
              <w:left w:val="single" w:sz="8" w:space="0" w:color="FFFFFF"/>
              <w:bottom w:val="single" w:sz="2" w:space="0" w:color="73777A"/>
              <w:right w:val="single" w:sz="8" w:space="0" w:color="FFFFFF"/>
            </w:tcBorders>
            <w:shd w:val="clear" w:color="auto" w:fill="EDEFF0"/>
            <w:tcMar>
              <w:right w:w="57" w:type="dxa"/>
            </w:tcMar>
          </w:tcPr>
          <w:p w14:paraId="3DF97429" w14:textId="77777777" w:rsidR="00FA4226" w:rsidRPr="00CA2CC1" w:rsidRDefault="00000000" w:rsidP="0043303B">
            <w:pPr>
              <w:pStyle w:val="TableParagraph"/>
              <w:rPr>
                <w:rFonts w:cs="Calibri"/>
                <w:sz w:val="18"/>
              </w:rPr>
            </w:pPr>
            <w:r w:rsidRPr="00CA2CC1">
              <w:rPr>
                <w:rFonts w:cs="Calibri"/>
                <w:color w:val="414042"/>
                <w:spacing w:val="-2"/>
                <w:sz w:val="18"/>
              </w:rPr>
              <w:t>8,646,777</w:t>
            </w:r>
          </w:p>
        </w:tc>
        <w:tc>
          <w:tcPr>
            <w:tcW w:w="1248" w:type="dxa"/>
            <w:tcBorders>
              <w:top w:val="single" w:sz="2" w:space="0" w:color="73777A"/>
              <w:left w:val="single" w:sz="8" w:space="0" w:color="FFFFFF"/>
              <w:bottom w:val="single" w:sz="2" w:space="0" w:color="73777A"/>
              <w:right w:val="single" w:sz="8" w:space="0" w:color="FFFFFF"/>
            </w:tcBorders>
            <w:shd w:val="clear" w:color="auto" w:fill="FFF0E7"/>
            <w:tcMar>
              <w:right w:w="57" w:type="dxa"/>
            </w:tcMar>
          </w:tcPr>
          <w:p w14:paraId="25EA10C1" w14:textId="77777777" w:rsidR="00FA4226" w:rsidRPr="00CA2CC1" w:rsidRDefault="00000000" w:rsidP="0043303B">
            <w:pPr>
              <w:pStyle w:val="TableParagraph"/>
              <w:rPr>
                <w:rFonts w:cs="Calibri"/>
                <w:sz w:val="18"/>
              </w:rPr>
            </w:pPr>
            <w:r w:rsidRPr="00CA2CC1">
              <w:rPr>
                <w:rFonts w:cs="Calibri"/>
                <w:color w:val="414042"/>
                <w:sz w:val="18"/>
              </w:rPr>
              <w:t>-</w:t>
            </w:r>
          </w:p>
        </w:tc>
        <w:tc>
          <w:tcPr>
            <w:tcW w:w="1248" w:type="dxa"/>
            <w:tcBorders>
              <w:top w:val="single" w:sz="2" w:space="0" w:color="73777A"/>
              <w:left w:val="single" w:sz="8" w:space="0" w:color="FFFFFF"/>
              <w:bottom w:val="single" w:sz="2" w:space="0" w:color="73777A"/>
              <w:right w:val="single" w:sz="8" w:space="0" w:color="FFFFFF"/>
            </w:tcBorders>
            <w:shd w:val="clear" w:color="auto" w:fill="EDEFF0"/>
            <w:tcMar>
              <w:right w:w="57" w:type="dxa"/>
            </w:tcMar>
          </w:tcPr>
          <w:p w14:paraId="1F917702" w14:textId="77777777" w:rsidR="00FA4226" w:rsidRPr="00CA2CC1" w:rsidRDefault="00000000" w:rsidP="0043303B">
            <w:pPr>
              <w:pStyle w:val="TableParagraph"/>
              <w:rPr>
                <w:rFonts w:cs="Calibri"/>
                <w:sz w:val="18"/>
              </w:rPr>
            </w:pPr>
            <w:r w:rsidRPr="00CA2CC1">
              <w:rPr>
                <w:rFonts w:cs="Calibri"/>
                <w:color w:val="414042"/>
                <w:sz w:val="18"/>
              </w:rPr>
              <w:t>-</w:t>
            </w:r>
          </w:p>
        </w:tc>
        <w:tc>
          <w:tcPr>
            <w:tcW w:w="1248" w:type="dxa"/>
            <w:tcBorders>
              <w:top w:val="single" w:sz="2" w:space="0" w:color="73777A"/>
              <w:left w:val="single" w:sz="8" w:space="0" w:color="FFFFFF"/>
              <w:bottom w:val="single" w:sz="2" w:space="0" w:color="73777A"/>
              <w:right w:val="nil"/>
            </w:tcBorders>
            <w:shd w:val="clear" w:color="auto" w:fill="FFF0E7"/>
            <w:tcMar>
              <w:right w:w="57" w:type="dxa"/>
            </w:tcMar>
          </w:tcPr>
          <w:p w14:paraId="2A8F58BA" w14:textId="77777777" w:rsidR="00FA4226" w:rsidRPr="00CA2CC1" w:rsidRDefault="00000000" w:rsidP="0043303B">
            <w:pPr>
              <w:pStyle w:val="TableParagraph"/>
              <w:rPr>
                <w:rFonts w:cs="Calibri"/>
                <w:sz w:val="18"/>
              </w:rPr>
            </w:pPr>
            <w:r w:rsidRPr="00CA2CC1">
              <w:rPr>
                <w:rFonts w:cs="Calibri"/>
                <w:color w:val="414042"/>
                <w:spacing w:val="-2"/>
                <w:sz w:val="18"/>
              </w:rPr>
              <w:t>8,646,777</w:t>
            </w:r>
          </w:p>
        </w:tc>
      </w:tr>
      <w:tr w:rsidR="00FA4226" w:rsidRPr="00CA2CC1" w14:paraId="6C208C78" w14:textId="77777777" w:rsidTr="00126374">
        <w:trPr>
          <w:trHeight w:val="283"/>
        </w:trPr>
        <w:tc>
          <w:tcPr>
            <w:tcW w:w="3402" w:type="dxa"/>
            <w:tcBorders>
              <w:top w:val="single" w:sz="2" w:space="0" w:color="73777A"/>
              <w:left w:val="nil"/>
              <w:bottom w:val="single" w:sz="2" w:space="0" w:color="73777A"/>
              <w:right w:val="nil"/>
            </w:tcBorders>
          </w:tcPr>
          <w:p w14:paraId="672A659F" w14:textId="77777777" w:rsidR="00FA4226" w:rsidRPr="00CA2CC1" w:rsidRDefault="00000000" w:rsidP="0043303B">
            <w:pPr>
              <w:pStyle w:val="TableParagraph"/>
              <w:jc w:val="left"/>
              <w:rPr>
                <w:rFonts w:cs="Calibri"/>
                <w:sz w:val="18"/>
              </w:rPr>
            </w:pPr>
            <w:r w:rsidRPr="00CA2CC1">
              <w:rPr>
                <w:rFonts w:cs="Calibri"/>
                <w:color w:val="414042"/>
                <w:sz w:val="18"/>
              </w:rPr>
              <w:t>Receipts</w:t>
            </w:r>
            <w:r w:rsidRPr="00CA2CC1">
              <w:rPr>
                <w:rFonts w:cs="Calibri"/>
                <w:color w:val="414042"/>
                <w:spacing w:val="1"/>
                <w:sz w:val="18"/>
              </w:rPr>
              <w:t xml:space="preserve"> </w:t>
            </w:r>
            <w:r w:rsidRPr="00CA2CC1">
              <w:rPr>
                <w:rFonts w:cs="Calibri"/>
                <w:color w:val="414042"/>
                <w:sz w:val="18"/>
              </w:rPr>
              <w:t>from</w:t>
            </w:r>
            <w:r w:rsidRPr="00CA2CC1">
              <w:rPr>
                <w:rFonts w:cs="Calibri"/>
                <w:color w:val="414042"/>
                <w:spacing w:val="4"/>
                <w:sz w:val="18"/>
              </w:rPr>
              <w:t xml:space="preserve"> </w:t>
            </w:r>
            <w:r w:rsidRPr="00CA2CC1">
              <w:rPr>
                <w:rFonts w:cs="Calibri"/>
                <w:color w:val="414042"/>
                <w:sz w:val="18"/>
              </w:rPr>
              <w:t>other</w:t>
            </w:r>
            <w:r w:rsidRPr="00CA2CC1">
              <w:rPr>
                <w:rFonts w:cs="Calibri"/>
                <w:color w:val="414042"/>
                <w:spacing w:val="4"/>
                <w:sz w:val="18"/>
              </w:rPr>
              <w:t xml:space="preserve"> </w:t>
            </w:r>
            <w:r w:rsidRPr="00CA2CC1">
              <w:rPr>
                <w:rFonts w:cs="Calibri"/>
                <w:color w:val="414042"/>
                <w:spacing w:val="-2"/>
                <w:sz w:val="18"/>
              </w:rPr>
              <w:t>entities</w:t>
            </w:r>
          </w:p>
        </w:tc>
        <w:tc>
          <w:tcPr>
            <w:tcW w:w="1248" w:type="dxa"/>
            <w:tcBorders>
              <w:top w:val="single" w:sz="2" w:space="0" w:color="73777A"/>
              <w:left w:val="nil"/>
              <w:bottom w:val="single" w:sz="2" w:space="0" w:color="73777A"/>
              <w:right w:val="single" w:sz="8" w:space="0" w:color="FFFFFF"/>
            </w:tcBorders>
            <w:shd w:val="clear" w:color="auto" w:fill="FFF0E7"/>
            <w:tcMar>
              <w:right w:w="57" w:type="dxa"/>
            </w:tcMar>
          </w:tcPr>
          <w:p w14:paraId="60897381" w14:textId="77777777" w:rsidR="00FA4226" w:rsidRPr="00CA2CC1" w:rsidRDefault="00000000" w:rsidP="0043303B">
            <w:pPr>
              <w:pStyle w:val="TableParagraph"/>
              <w:rPr>
                <w:rFonts w:cs="Calibri"/>
                <w:sz w:val="18"/>
              </w:rPr>
            </w:pPr>
            <w:r w:rsidRPr="00CA2CC1">
              <w:rPr>
                <w:rFonts w:cs="Calibri"/>
                <w:color w:val="414042"/>
                <w:spacing w:val="-2"/>
                <w:sz w:val="18"/>
              </w:rPr>
              <w:t>122,520</w:t>
            </w:r>
          </w:p>
        </w:tc>
        <w:tc>
          <w:tcPr>
            <w:tcW w:w="1248" w:type="dxa"/>
            <w:tcBorders>
              <w:top w:val="single" w:sz="2" w:space="0" w:color="73777A"/>
              <w:left w:val="single" w:sz="8" w:space="0" w:color="FFFFFF"/>
              <w:bottom w:val="single" w:sz="2" w:space="0" w:color="73777A"/>
              <w:right w:val="single" w:sz="8" w:space="0" w:color="FFFFFF"/>
            </w:tcBorders>
            <w:shd w:val="clear" w:color="auto" w:fill="EDEFF0"/>
            <w:tcMar>
              <w:right w:w="57" w:type="dxa"/>
            </w:tcMar>
          </w:tcPr>
          <w:p w14:paraId="1421078A" w14:textId="77777777" w:rsidR="00FA4226" w:rsidRPr="00CA2CC1" w:rsidRDefault="00000000" w:rsidP="0043303B">
            <w:pPr>
              <w:pStyle w:val="TableParagraph"/>
              <w:rPr>
                <w:rFonts w:cs="Calibri"/>
                <w:sz w:val="18"/>
              </w:rPr>
            </w:pPr>
            <w:r w:rsidRPr="00CA2CC1">
              <w:rPr>
                <w:rFonts w:cs="Calibri"/>
                <w:color w:val="414042"/>
                <w:sz w:val="18"/>
              </w:rPr>
              <w:t>-</w:t>
            </w:r>
          </w:p>
        </w:tc>
        <w:tc>
          <w:tcPr>
            <w:tcW w:w="1248" w:type="dxa"/>
            <w:tcBorders>
              <w:top w:val="single" w:sz="2" w:space="0" w:color="73777A"/>
              <w:left w:val="single" w:sz="8" w:space="0" w:color="FFFFFF"/>
              <w:bottom w:val="single" w:sz="2" w:space="0" w:color="73777A"/>
              <w:right w:val="single" w:sz="8" w:space="0" w:color="FFFFFF"/>
            </w:tcBorders>
            <w:shd w:val="clear" w:color="auto" w:fill="FFF0E7"/>
            <w:tcMar>
              <w:right w:w="57" w:type="dxa"/>
            </w:tcMar>
          </w:tcPr>
          <w:p w14:paraId="522AED48" w14:textId="77777777" w:rsidR="00FA4226" w:rsidRPr="00CA2CC1" w:rsidRDefault="00000000" w:rsidP="0043303B">
            <w:pPr>
              <w:pStyle w:val="TableParagraph"/>
              <w:rPr>
                <w:rFonts w:cs="Calibri"/>
                <w:sz w:val="18"/>
              </w:rPr>
            </w:pPr>
            <w:r w:rsidRPr="00CA2CC1">
              <w:rPr>
                <w:rFonts w:cs="Calibri"/>
                <w:color w:val="414042"/>
                <w:sz w:val="18"/>
              </w:rPr>
              <w:t>-</w:t>
            </w:r>
          </w:p>
        </w:tc>
        <w:tc>
          <w:tcPr>
            <w:tcW w:w="1248" w:type="dxa"/>
            <w:tcBorders>
              <w:top w:val="single" w:sz="2" w:space="0" w:color="73777A"/>
              <w:left w:val="single" w:sz="8" w:space="0" w:color="FFFFFF"/>
              <w:bottom w:val="single" w:sz="2" w:space="0" w:color="73777A"/>
              <w:right w:val="single" w:sz="8" w:space="0" w:color="FFFFFF"/>
            </w:tcBorders>
            <w:shd w:val="clear" w:color="auto" w:fill="EDEFF0"/>
            <w:tcMar>
              <w:right w:w="57" w:type="dxa"/>
            </w:tcMar>
          </w:tcPr>
          <w:p w14:paraId="53DDCD2E" w14:textId="77777777" w:rsidR="00FA4226" w:rsidRPr="00CA2CC1" w:rsidRDefault="00000000" w:rsidP="0043303B">
            <w:pPr>
              <w:pStyle w:val="TableParagraph"/>
              <w:rPr>
                <w:rFonts w:cs="Calibri"/>
                <w:sz w:val="18"/>
              </w:rPr>
            </w:pPr>
            <w:r w:rsidRPr="00CA2CC1">
              <w:rPr>
                <w:rFonts w:cs="Calibri"/>
                <w:color w:val="414042"/>
                <w:sz w:val="18"/>
              </w:rPr>
              <w:t>-</w:t>
            </w:r>
          </w:p>
        </w:tc>
        <w:tc>
          <w:tcPr>
            <w:tcW w:w="1248" w:type="dxa"/>
            <w:tcBorders>
              <w:top w:val="single" w:sz="2" w:space="0" w:color="73777A"/>
              <w:left w:val="single" w:sz="8" w:space="0" w:color="FFFFFF"/>
              <w:bottom w:val="single" w:sz="2" w:space="0" w:color="73777A"/>
              <w:right w:val="nil"/>
            </w:tcBorders>
            <w:shd w:val="clear" w:color="auto" w:fill="FFF0E7"/>
            <w:tcMar>
              <w:right w:w="57" w:type="dxa"/>
            </w:tcMar>
          </w:tcPr>
          <w:p w14:paraId="7F15385F" w14:textId="77777777" w:rsidR="00FA4226" w:rsidRPr="00CA2CC1" w:rsidRDefault="00000000" w:rsidP="0043303B">
            <w:pPr>
              <w:pStyle w:val="TableParagraph"/>
              <w:rPr>
                <w:rFonts w:cs="Calibri"/>
                <w:sz w:val="18"/>
              </w:rPr>
            </w:pPr>
            <w:r w:rsidRPr="00CA2CC1">
              <w:rPr>
                <w:rFonts w:cs="Calibri"/>
                <w:color w:val="414042"/>
                <w:sz w:val="18"/>
              </w:rPr>
              <w:t>-</w:t>
            </w:r>
          </w:p>
        </w:tc>
      </w:tr>
      <w:tr w:rsidR="00FA4226" w:rsidRPr="00CA2CC1" w14:paraId="73BF8EEF" w14:textId="77777777" w:rsidTr="00126374">
        <w:trPr>
          <w:trHeight w:val="278"/>
        </w:trPr>
        <w:tc>
          <w:tcPr>
            <w:tcW w:w="3402" w:type="dxa"/>
            <w:tcBorders>
              <w:top w:val="single" w:sz="2" w:space="0" w:color="73777A"/>
              <w:left w:val="nil"/>
              <w:bottom w:val="single" w:sz="6" w:space="0" w:color="73777A"/>
              <w:right w:val="nil"/>
            </w:tcBorders>
          </w:tcPr>
          <w:p w14:paraId="37B9D074" w14:textId="77777777" w:rsidR="00FA4226" w:rsidRPr="00CA2CC1" w:rsidRDefault="00000000" w:rsidP="0043303B">
            <w:pPr>
              <w:pStyle w:val="TableParagraph"/>
              <w:jc w:val="left"/>
              <w:rPr>
                <w:rFonts w:cs="Calibri"/>
                <w:sz w:val="18"/>
              </w:rPr>
            </w:pPr>
            <w:r w:rsidRPr="00CA2CC1">
              <w:rPr>
                <w:rFonts w:cs="Calibri"/>
                <w:color w:val="414042"/>
                <w:sz w:val="18"/>
              </w:rPr>
              <w:t>Total</w:t>
            </w:r>
            <w:r w:rsidRPr="00CA2CC1">
              <w:rPr>
                <w:rFonts w:cs="Calibri"/>
                <w:color w:val="414042"/>
                <w:spacing w:val="-8"/>
                <w:sz w:val="18"/>
              </w:rPr>
              <w:t xml:space="preserve"> </w:t>
            </w:r>
            <w:r w:rsidRPr="00CA2CC1">
              <w:rPr>
                <w:rFonts w:cs="Calibri"/>
                <w:color w:val="414042"/>
                <w:spacing w:val="-2"/>
                <w:sz w:val="18"/>
              </w:rPr>
              <w:t>receipts</w:t>
            </w:r>
          </w:p>
        </w:tc>
        <w:tc>
          <w:tcPr>
            <w:tcW w:w="1248" w:type="dxa"/>
            <w:tcBorders>
              <w:top w:val="single" w:sz="2" w:space="0" w:color="73777A"/>
              <w:left w:val="nil"/>
              <w:bottom w:val="single" w:sz="6" w:space="0" w:color="73777A"/>
              <w:right w:val="single" w:sz="8" w:space="0" w:color="FFFFFF"/>
            </w:tcBorders>
            <w:shd w:val="clear" w:color="auto" w:fill="FFF0E7"/>
            <w:tcMar>
              <w:right w:w="57" w:type="dxa"/>
            </w:tcMar>
          </w:tcPr>
          <w:p w14:paraId="6E7ECB87" w14:textId="77777777" w:rsidR="00FA4226" w:rsidRPr="00CA2CC1" w:rsidRDefault="00000000" w:rsidP="0043303B">
            <w:pPr>
              <w:pStyle w:val="TableParagraph"/>
              <w:rPr>
                <w:rFonts w:cs="Calibri"/>
                <w:sz w:val="18"/>
              </w:rPr>
            </w:pPr>
            <w:r w:rsidRPr="00CA2CC1">
              <w:rPr>
                <w:rFonts w:cs="Calibri"/>
                <w:color w:val="414042"/>
                <w:spacing w:val="-2"/>
                <w:sz w:val="18"/>
              </w:rPr>
              <w:t>10,000,197</w:t>
            </w:r>
          </w:p>
        </w:tc>
        <w:tc>
          <w:tcPr>
            <w:tcW w:w="1248" w:type="dxa"/>
            <w:tcBorders>
              <w:top w:val="single" w:sz="2" w:space="0" w:color="73777A"/>
              <w:left w:val="single" w:sz="8" w:space="0" w:color="FFFFFF"/>
              <w:bottom w:val="single" w:sz="6" w:space="0" w:color="73777A"/>
              <w:right w:val="single" w:sz="8" w:space="0" w:color="FFFFFF"/>
            </w:tcBorders>
            <w:shd w:val="clear" w:color="auto" w:fill="EDEFF0"/>
            <w:tcMar>
              <w:right w:w="57" w:type="dxa"/>
            </w:tcMar>
          </w:tcPr>
          <w:p w14:paraId="1152EEA2" w14:textId="77777777" w:rsidR="00FA4226" w:rsidRPr="00CA2CC1" w:rsidRDefault="00000000" w:rsidP="0043303B">
            <w:pPr>
              <w:pStyle w:val="TableParagraph"/>
              <w:rPr>
                <w:rFonts w:cs="Calibri"/>
                <w:sz w:val="18"/>
              </w:rPr>
            </w:pPr>
            <w:r w:rsidRPr="00CA2CC1">
              <w:rPr>
                <w:rFonts w:cs="Calibri"/>
                <w:color w:val="414042"/>
                <w:spacing w:val="-2"/>
                <w:sz w:val="18"/>
              </w:rPr>
              <w:t>8,646,777</w:t>
            </w:r>
          </w:p>
        </w:tc>
        <w:tc>
          <w:tcPr>
            <w:tcW w:w="1248" w:type="dxa"/>
            <w:tcBorders>
              <w:top w:val="single" w:sz="2" w:space="0" w:color="73777A"/>
              <w:left w:val="single" w:sz="8" w:space="0" w:color="FFFFFF"/>
              <w:bottom w:val="single" w:sz="6" w:space="0" w:color="73777A"/>
              <w:right w:val="single" w:sz="8" w:space="0" w:color="FFFFFF"/>
            </w:tcBorders>
            <w:shd w:val="clear" w:color="auto" w:fill="FFF0E7"/>
            <w:tcMar>
              <w:right w:w="57" w:type="dxa"/>
            </w:tcMar>
          </w:tcPr>
          <w:p w14:paraId="3599889B" w14:textId="77777777" w:rsidR="00FA4226" w:rsidRPr="00CA2CC1" w:rsidRDefault="00000000" w:rsidP="0043303B">
            <w:pPr>
              <w:pStyle w:val="TableParagraph"/>
              <w:rPr>
                <w:rFonts w:cs="Calibri"/>
                <w:sz w:val="18"/>
              </w:rPr>
            </w:pPr>
            <w:r w:rsidRPr="00CA2CC1">
              <w:rPr>
                <w:rFonts w:cs="Calibri"/>
                <w:color w:val="414042"/>
                <w:sz w:val="18"/>
              </w:rPr>
              <w:t>-</w:t>
            </w:r>
          </w:p>
        </w:tc>
        <w:tc>
          <w:tcPr>
            <w:tcW w:w="1248" w:type="dxa"/>
            <w:tcBorders>
              <w:top w:val="single" w:sz="2" w:space="0" w:color="73777A"/>
              <w:left w:val="single" w:sz="8" w:space="0" w:color="FFFFFF"/>
              <w:bottom w:val="single" w:sz="6" w:space="0" w:color="73777A"/>
              <w:right w:val="single" w:sz="8" w:space="0" w:color="FFFFFF"/>
            </w:tcBorders>
            <w:shd w:val="clear" w:color="auto" w:fill="EDEFF0"/>
            <w:tcMar>
              <w:right w:w="57" w:type="dxa"/>
            </w:tcMar>
          </w:tcPr>
          <w:p w14:paraId="5E1A6E49" w14:textId="77777777" w:rsidR="00FA4226" w:rsidRPr="00CA2CC1" w:rsidRDefault="00000000" w:rsidP="0043303B">
            <w:pPr>
              <w:pStyle w:val="TableParagraph"/>
              <w:rPr>
                <w:rFonts w:cs="Calibri"/>
                <w:sz w:val="18"/>
              </w:rPr>
            </w:pPr>
            <w:r w:rsidRPr="00CA2CC1">
              <w:rPr>
                <w:rFonts w:cs="Calibri"/>
                <w:color w:val="414042"/>
                <w:sz w:val="18"/>
              </w:rPr>
              <w:t>-</w:t>
            </w:r>
          </w:p>
        </w:tc>
        <w:tc>
          <w:tcPr>
            <w:tcW w:w="1248" w:type="dxa"/>
            <w:tcBorders>
              <w:top w:val="single" w:sz="2" w:space="0" w:color="73777A"/>
              <w:left w:val="single" w:sz="8" w:space="0" w:color="FFFFFF"/>
              <w:bottom w:val="single" w:sz="6" w:space="0" w:color="73777A"/>
              <w:right w:val="nil"/>
            </w:tcBorders>
            <w:shd w:val="clear" w:color="auto" w:fill="FFF0E7"/>
            <w:tcMar>
              <w:right w:w="57" w:type="dxa"/>
            </w:tcMar>
          </w:tcPr>
          <w:p w14:paraId="3705C767" w14:textId="77777777" w:rsidR="00FA4226" w:rsidRPr="00CA2CC1" w:rsidRDefault="00000000" w:rsidP="0043303B">
            <w:pPr>
              <w:pStyle w:val="TableParagraph"/>
              <w:rPr>
                <w:rFonts w:cs="Calibri"/>
                <w:sz w:val="18"/>
              </w:rPr>
            </w:pPr>
            <w:r w:rsidRPr="00CA2CC1">
              <w:rPr>
                <w:rFonts w:cs="Calibri"/>
                <w:color w:val="414042"/>
                <w:spacing w:val="-2"/>
                <w:sz w:val="18"/>
              </w:rPr>
              <w:t>8,646,777</w:t>
            </w:r>
          </w:p>
        </w:tc>
      </w:tr>
      <w:tr w:rsidR="00FA4226" w:rsidRPr="00CA2CC1" w14:paraId="21750230" w14:textId="77777777" w:rsidTr="00126374">
        <w:trPr>
          <w:trHeight w:val="278"/>
        </w:trPr>
        <w:tc>
          <w:tcPr>
            <w:tcW w:w="3402" w:type="dxa"/>
            <w:tcBorders>
              <w:top w:val="single" w:sz="6" w:space="0" w:color="73777A"/>
              <w:left w:val="nil"/>
              <w:bottom w:val="single" w:sz="2" w:space="0" w:color="73777A"/>
              <w:right w:val="nil"/>
            </w:tcBorders>
          </w:tcPr>
          <w:p w14:paraId="16DB62D5" w14:textId="77777777" w:rsidR="00FA4226" w:rsidRPr="00CA2CC1" w:rsidRDefault="00000000" w:rsidP="0043303B">
            <w:pPr>
              <w:pStyle w:val="TableParagraph"/>
              <w:jc w:val="left"/>
              <w:rPr>
                <w:rFonts w:cs="Calibri"/>
                <w:sz w:val="18"/>
              </w:rPr>
            </w:pPr>
            <w:r w:rsidRPr="00CA2CC1">
              <w:rPr>
                <w:rFonts w:cs="Calibri"/>
                <w:color w:val="F68C59"/>
                <w:spacing w:val="-2"/>
                <w:sz w:val="18"/>
              </w:rPr>
              <w:t>Payments</w:t>
            </w:r>
          </w:p>
        </w:tc>
        <w:tc>
          <w:tcPr>
            <w:tcW w:w="1248" w:type="dxa"/>
            <w:tcBorders>
              <w:top w:val="single" w:sz="6" w:space="0" w:color="73777A"/>
              <w:left w:val="nil"/>
              <w:bottom w:val="single" w:sz="2" w:space="0" w:color="73777A"/>
              <w:right w:val="single" w:sz="8" w:space="0" w:color="FFFFFF"/>
            </w:tcBorders>
            <w:shd w:val="clear" w:color="auto" w:fill="FFF0E7"/>
            <w:tcMar>
              <w:right w:w="57" w:type="dxa"/>
            </w:tcMar>
          </w:tcPr>
          <w:p w14:paraId="796B5087" w14:textId="77777777" w:rsidR="00FA4226" w:rsidRPr="00CA2CC1" w:rsidRDefault="00FA4226" w:rsidP="0043303B">
            <w:pPr>
              <w:pStyle w:val="TableParagraph"/>
              <w:jc w:val="left"/>
              <w:rPr>
                <w:rFonts w:cs="Calibri"/>
                <w:sz w:val="16"/>
              </w:rPr>
            </w:pPr>
          </w:p>
        </w:tc>
        <w:tc>
          <w:tcPr>
            <w:tcW w:w="1248" w:type="dxa"/>
            <w:tcBorders>
              <w:top w:val="single" w:sz="6" w:space="0" w:color="73777A"/>
              <w:left w:val="single" w:sz="8" w:space="0" w:color="FFFFFF"/>
              <w:bottom w:val="single" w:sz="2" w:space="0" w:color="73777A"/>
              <w:right w:val="single" w:sz="8" w:space="0" w:color="FFFFFF"/>
            </w:tcBorders>
            <w:shd w:val="clear" w:color="auto" w:fill="EDEFF0"/>
            <w:tcMar>
              <w:right w:w="57" w:type="dxa"/>
            </w:tcMar>
          </w:tcPr>
          <w:p w14:paraId="24FD525E" w14:textId="77777777" w:rsidR="00FA4226" w:rsidRPr="00CA2CC1" w:rsidRDefault="00FA4226" w:rsidP="0043303B">
            <w:pPr>
              <w:pStyle w:val="TableParagraph"/>
              <w:jc w:val="left"/>
              <w:rPr>
                <w:rFonts w:cs="Calibri"/>
                <w:sz w:val="16"/>
              </w:rPr>
            </w:pPr>
          </w:p>
        </w:tc>
        <w:tc>
          <w:tcPr>
            <w:tcW w:w="1248" w:type="dxa"/>
            <w:tcBorders>
              <w:top w:val="single" w:sz="6" w:space="0" w:color="73777A"/>
              <w:left w:val="single" w:sz="8" w:space="0" w:color="FFFFFF"/>
              <w:bottom w:val="single" w:sz="2" w:space="0" w:color="73777A"/>
              <w:right w:val="single" w:sz="8" w:space="0" w:color="FFFFFF"/>
            </w:tcBorders>
            <w:shd w:val="clear" w:color="auto" w:fill="FFF0E7"/>
            <w:tcMar>
              <w:right w:w="57" w:type="dxa"/>
            </w:tcMar>
          </w:tcPr>
          <w:p w14:paraId="254D9546" w14:textId="77777777" w:rsidR="00FA4226" w:rsidRPr="00CA2CC1" w:rsidRDefault="00FA4226" w:rsidP="0043303B">
            <w:pPr>
              <w:pStyle w:val="TableParagraph"/>
              <w:jc w:val="left"/>
              <w:rPr>
                <w:rFonts w:cs="Calibri"/>
                <w:sz w:val="16"/>
              </w:rPr>
            </w:pPr>
          </w:p>
        </w:tc>
        <w:tc>
          <w:tcPr>
            <w:tcW w:w="1248" w:type="dxa"/>
            <w:tcBorders>
              <w:top w:val="single" w:sz="6" w:space="0" w:color="73777A"/>
              <w:left w:val="single" w:sz="8" w:space="0" w:color="FFFFFF"/>
              <w:bottom w:val="single" w:sz="2" w:space="0" w:color="73777A"/>
              <w:right w:val="single" w:sz="8" w:space="0" w:color="FFFFFF"/>
            </w:tcBorders>
            <w:shd w:val="clear" w:color="auto" w:fill="EDEFF0"/>
            <w:tcMar>
              <w:right w:w="57" w:type="dxa"/>
            </w:tcMar>
          </w:tcPr>
          <w:p w14:paraId="2C646FF4" w14:textId="77777777" w:rsidR="00FA4226" w:rsidRPr="00CA2CC1" w:rsidRDefault="00FA4226" w:rsidP="0043303B">
            <w:pPr>
              <w:pStyle w:val="TableParagraph"/>
              <w:jc w:val="left"/>
              <w:rPr>
                <w:rFonts w:cs="Calibri"/>
                <w:sz w:val="16"/>
              </w:rPr>
            </w:pPr>
          </w:p>
        </w:tc>
        <w:tc>
          <w:tcPr>
            <w:tcW w:w="1248" w:type="dxa"/>
            <w:tcBorders>
              <w:top w:val="single" w:sz="6" w:space="0" w:color="73777A"/>
              <w:left w:val="single" w:sz="8" w:space="0" w:color="FFFFFF"/>
              <w:bottom w:val="single" w:sz="2" w:space="0" w:color="73777A"/>
              <w:right w:val="nil"/>
            </w:tcBorders>
            <w:shd w:val="clear" w:color="auto" w:fill="FFF0E7"/>
            <w:tcMar>
              <w:right w:w="57" w:type="dxa"/>
            </w:tcMar>
          </w:tcPr>
          <w:p w14:paraId="2427AF18" w14:textId="77777777" w:rsidR="00FA4226" w:rsidRPr="00CA2CC1" w:rsidRDefault="00FA4226" w:rsidP="0043303B">
            <w:pPr>
              <w:pStyle w:val="TableParagraph"/>
              <w:jc w:val="left"/>
              <w:rPr>
                <w:rFonts w:cs="Calibri"/>
                <w:sz w:val="16"/>
              </w:rPr>
            </w:pPr>
          </w:p>
        </w:tc>
      </w:tr>
      <w:tr w:rsidR="00FA4226" w:rsidRPr="00CA2CC1" w14:paraId="31FF5D99" w14:textId="77777777" w:rsidTr="00126374">
        <w:trPr>
          <w:trHeight w:val="283"/>
        </w:trPr>
        <w:tc>
          <w:tcPr>
            <w:tcW w:w="3402" w:type="dxa"/>
            <w:tcBorders>
              <w:top w:val="single" w:sz="2" w:space="0" w:color="73777A"/>
              <w:left w:val="nil"/>
              <w:bottom w:val="single" w:sz="2" w:space="0" w:color="73777A"/>
              <w:right w:val="nil"/>
            </w:tcBorders>
          </w:tcPr>
          <w:p w14:paraId="20E1B671" w14:textId="77777777" w:rsidR="00FA4226" w:rsidRPr="00CA2CC1" w:rsidRDefault="00000000" w:rsidP="0043303B">
            <w:pPr>
              <w:pStyle w:val="TableParagraph"/>
              <w:jc w:val="left"/>
              <w:rPr>
                <w:rFonts w:cs="Calibri"/>
                <w:sz w:val="18"/>
              </w:rPr>
            </w:pPr>
            <w:r w:rsidRPr="00CA2CC1">
              <w:rPr>
                <w:rFonts w:cs="Calibri"/>
                <w:color w:val="414042"/>
                <w:sz w:val="18"/>
              </w:rPr>
              <w:t>Payments</w:t>
            </w:r>
            <w:r w:rsidRPr="00CA2CC1">
              <w:rPr>
                <w:rFonts w:cs="Calibri"/>
                <w:color w:val="414042"/>
                <w:spacing w:val="1"/>
                <w:sz w:val="18"/>
              </w:rPr>
              <w:t xml:space="preserve"> </w:t>
            </w:r>
            <w:r w:rsidRPr="00CA2CC1">
              <w:rPr>
                <w:rFonts w:cs="Calibri"/>
                <w:color w:val="414042"/>
                <w:sz w:val="18"/>
              </w:rPr>
              <w:t>to</w:t>
            </w:r>
            <w:r w:rsidRPr="00CA2CC1">
              <w:rPr>
                <w:rFonts w:cs="Calibri"/>
                <w:color w:val="414042"/>
                <w:spacing w:val="3"/>
                <w:sz w:val="18"/>
              </w:rPr>
              <w:t xml:space="preserve"> </w:t>
            </w:r>
            <w:r w:rsidRPr="00CA2CC1">
              <w:rPr>
                <w:rFonts w:cs="Calibri"/>
                <w:color w:val="414042"/>
                <w:sz w:val="18"/>
              </w:rPr>
              <w:t>suppliers</w:t>
            </w:r>
            <w:r w:rsidRPr="00CA2CC1">
              <w:rPr>
                <w:rFonts w:cs="Calibri"/>
                <w:color w:val="414042"/>
                <w:spacing w:val="3"/>
                <w:sz w:val="18"/>
              </w:rPr>
              <w:t xml:space="preserve"> </w:t>
            </w:r>
            <w:r w:rsidRPr="00CA2CC1">
              <w:rPr>
                <w:rFonts w:cs="Calibri"/>
                <w:color w:val="414042"/>
                <w:sz w:val="18"/>
              </w:rPr>
              <w:t>and</w:t>
            </w:r>
            <w:r w:rsidRPr="00CA2CC1">
              <w:rPr>
                <w:rFonts w:cs="Calibri"/>
                <w:color w:val="414042"/>
                <w:spacing w:val="4"/>
                <w:sz w:val="18"/>
              </w:rPr>
              <w:t xml:space="preserve"> </w:t>
            </w:r>
            <w:r w:rsidRPr="00CA2CC1">
              <w:rPr>
                <w:rFonts w:cs="Calibri"/>
                <w:color w:val="414042"/>
                <w:spacing w:val="-2"/>
                <w:sz w:val="18"/>
              </w:rPr>
              <w:t>employees</w:t>
            </w:r>
          </w:p>
        </w:tc>
        <w:tc>
          <w:tcPr>
            <w:tcW w:w="1248" w:type="dxa"/>
            <w:tcBorders>
              <w:top w:val="single" w:sz="2" w:space="0" w:color="73777A"/>
              <w:left w:val="nil"/>
              <w:bottom w:val="single" w:sz="2" w:space="0" w:color="73777A"/>
              <w:right w:val="single" w:sz="8" w:space="0" w:color="FFFFFF"/>
            </w:tcBorders>
            <w:shd w:val="clear" w:color="auto" w:fill="FFF0E7"/>
            <w:tcMar>
              <w:right w:w="57" w:type="dxa"/>
            </w:tcMar>
          </w:tcPr>
          <w:p w14:paraId="0E20E013" w14:textId="77777777" w:rsidR="00FA4226" w:rsidRPr="00CA2CC1" w:rsidRDefault="00000000" w:rsidP="0043303B">
            <w:pPr>
              <w:pStyle w:val="TableParagraph"/>
              <w:rPr>
                <w:rFonts w:cs="Calibri"/>
                <w:sz w:val="18"/>
              </w:rPr>
            </w:pPr>
            <w:r w:rsidRPr="00CA2CC1">
              <w:rPr>
                <w:rFonts w:cs="Calibri"/>
                <w:color w:val="414042"/>
                <w:spacing w:val="-2"/>
                <w:sz w:val="18"/>
              </w:rPr>
              <w:t>(9,526,400)</w:t>
            </w:r>
          </w:p>
        </w:tc>
        <w:tc>
          <w:tcPr>
            <w:tcW w:w="1248" w:type="dxa"/>
            <w:tcBorders>
              <w:top w:val="single" w:sz="2" w:space="0" w:color="73777A"/>
              <w:left w:val="single" w:sz="8" w:space="0" w:color="FFFFFF"/>
              <w:bottom w:val="single" w:sz="2" w:space="0" w:color="73777A"/>
              <w:right w:val="single" w:sz="8" w:space="0" w:color="FFFFFF"/>
            </w:tcBorders>
            <w:shd w:val="clear" w:color="auto" w:fill="EDEFF0"/>
            <w:tcMar>
              <w:right w:w="57" w:type="dxa"/>
            </w:tcMar>
          </w:tcPr>
          <w:p w14:paraId="1E40F645" w14:textId="77777777" w:rsidR="00FA4226" w:rsidRPr="00CA2CC1" w:rsidRDefault="00000000" w:rsidP="0043303B">
            <w:pPr>
              <w:pStyle w:val="TableParagraph"/>
              <w:rPr>
                <w:rFonts w:cs="Calibri"/>
                <w:sz w:val="18"/>
              </w:rPr>
            </w:pPr>
            <w:r w:rsidRPr="00CA2CC1">
              <w:rPr>
                <w:rFonts w:cs="Calibri"/>
                <w:color w:val="414042"/>
                <w:spacing w:val="-2"/>
                <w:sz w:val="18"/>
              </w:rPr>
              <w:t>(8,245,253)</w:t>
            </w:r>
          </w:p>
        </w:tc>
        <w:tc>
          <w:tcPr>
            <w:tcW w:w="1248" w:type="dxa"/>
            <w:tcBorders>
              <w:top w:val="single" w:sz="2" w:space="0" w:color="73777A"/>
              <w:left w:val="single" w:sz="8" w:space="0" w:color="FFFFFF"/>
              <w:bottom w:val="single" w:sz="2" w:space="0" w:color="73777A"/>
              <w:right w:val="single" w:sz="8" w:space="0" w:color="FFFFFF"/>
            </w:tcBorders>
            <w:shd w:val="clear" w:color="auto" w:fill="FFF0E7"/>
            <w:tcMar>
              <w:right w:w="57" w:type="dxa"/>
            </w:tcMar>
          </w:tcPr>
          <w:p w14:paraId="3D3485D7" w14:textId="77777777" w:rsidR="00FA4226" w:rsidRPr="00CA2CC1" w:rsidRDefault="00000000" w:rsidP="0043303B">
            <w:pPr>
              <w:pStyle w:val="TableParagraph"/>
              <w:rPr>
                <w:rFonts w:cs="Calibri"/>
                <w:sz w:val="18"/>
              </w:rPr>
            </w:pPr>
            <w:r w:rsidRPr="00CA2CC1">
              <w:rPr>
                <w:rFonts w:cs="Calibri"/>
                <w:color w:val="414042"/>
                <w:spacing w:val="-4"/>
                <w:sz w:val="18"/>
              </w:rPr>
              <w:t>(47)</w:t>
            </w:r>
          </w:p>
        </w:tc>
        <w:tc>
          <w:tcPr>
            <w:tcW w:w="1248" w:type="dxa"/>
            <w:tcBorders>
              <w:top w:val="single" w:sz="2" w:space="0" w:color="73777A"/>
              <w:left w:val="single" w:sz="8" w:space="0" w:color="FFFFFF"/>
              <w:bottom w:val="single" w:sz="2" w:space="0" w:color="73777A"/>
              <w:right w:val="single" w:sz="8" w:space="0" w:color="FFFFFF"/>
            </w:tcBorders>
            <w:shd w:val="clear" w:color="auto" w:fill="EDEFF0"/>
            <w:tcMar>
              <w:right w:w="57" w:type="dxa"/>
            </w:tcMar>
          </w:tcPr>
          <w:p w14:paraId="22FF5B9B" w14:textId="77777777" w:rsidR="00FA4226" w:rsidRPr="00CA2CC1" w:rsidRDefault="00000000" w:rsidP="0043303B">
            <w:pPr>
              <w:pStyle w:val="TableParagraph"/>
              <w:rPr>
                <w:rFonts w:cs="Calibri"/>
                <w:sz w:val="18"/>
              </w:rPr>
            </w:pPr>
            <w:r w:rsidRPr="00CA2CC1">
              <w:rPr>
                <w:rFonts w:cs="Calibri"/>
                <w:color w:val="414042"/>
                <w:spacing w:val="-2"/>
                <w:sz w:val="18"/>
              </w:rPr>
              <w:t>4,577</w:t>
            </w:r>
          </w:p>
        </w:tc>
        <w:tc>
          <w:tcPr>
            <w:tcW w:w="1248" w:type="dxa"/>
            <w:tcBorders>
              <w:top w:val="single" w:sz="2" w:space="0" w:color="73777A"/>
              <w:left w:val="single" w:sz="8" w:space="0" w:color="FFFFFF"/>
              <w:bottom w:val="single" w:sz="2" w:space="0" w:color="73777A"/>
              <w:right w:val="nil"/>
            </w:tcBorders>
            <w:shd w:val="clear" w:color="auto" w:fill="FFF0E7"/>
            <w:tcMar>
              <w:right w:w="57" w:type="dxa"/>
            </w:tcMar>
          </w:tcPr>
          <w:p w14:paraId="3969FC43" w14:textId="77777777" w:rsidR="00FA4226" w:rsidRPr="00CA2CC1" w:rsidRDefault="00000000" w:rsidP="0043303B">
            <w:pPr>
              <w:pStyle w:val="TableParagraph"/>
              <w:rPr>
                <w:rFonts w:cs="Calibri"/>
                <w:sz w:val="18"/>
              </w:rPr>
            </w:pPr>
            <w:r w:rsidRPr="00CA2CC1">
              <w:rPr>
                <w:rFonts w:cs="Calibri"/>
                <w:color w:val="414042"/>
                <w:spacing w:val="-2"/>
                <w:sz w:val="18"/>
              </w:rPr>
              <w:t>(8,249,783)</w:t>
            </w:r>
          </w:p>
        </w:tc>
      </w:tr>
      <w:tr w:rsidR="00FA4226" w:rsidRPr="00CA2CC1" w14:paraId="05530E41" w14:textId="77777777" w:rsidTr="00126374">
        <w:trPr>
          <w:trHeight w:val="283"/>
        </w:trPr>
        <w:tc>
          <w:tcPr>
            <w:tcW w:w="3402" w:type="dxa"/>
            <w:tcBorders>
              <w:top w:val="single" w:sz="2" w:space="0" w:color="73777A"/>
              <w:left w:val="nil"/>
              <w:bottom w:val="single" w:sz="2" w:space="0" w:color="73777A"/>
              <w:right w:val="nil"/>
            </w:tcBorders>
          </w:tcPr>
          <w:p w14:paraId="2CB68675" w14:textId="77777777" w:rsidR="00FA4226" w:rsidRPr="00CA2CC1" w:rsidRDefault="00000000" w:rsidP="0043303B">
            <w:pPr>
              <w:pStyle w:val="TableParagraph"/>
              <w:jc w:val="left"/>
              <w:rPr>
                <w:rFonts w:cs="Calibri"/>
                <w:sz w:val="18"/>
              </w:rPr>
            </w:pPr>
            <w:r w:rsidRPr="00CA2CC1">
              <w:rPr>
                <w:rFonts w:cs="Calibri"/>
                <w:color w:val="414042"/>
                <w:sz w:val="18"/>
              </w:rPr>
              <w:t>Interest</w:t>
            </w:r>
            <w:r w:rsidRPr="00CA2CC1">
              <w:rPr>
                <w:rFonts w:cs="Calibri"/>
                <w:color w:val="414042"/>
                <w:spacing w:val="3"/>
                <w:sz w:val="18"/>
              </w:rPr>
              <w:t xml:space="preserve"> </w:t>
            </w:r>
            <w:r w:rsidRPr="00CA2CC1">
              <w:rPr>
                <w:rFonts w:cs="Calibri"/>
                <w:color w:val="414042"/>
                <w:sz w:val="18"/>
              </w:rPr>
              <w:t>and</w:t>
            </w:r>
            <w:r w:rsidRPr="00CA2CC1">
              <w:rPr>
                <w:rFonts w:cs="Calibri"/>
                <w:color w:val="414042"/>
                <w:spacing w:val="4"/>
                <w:sz w:val="18"/>
              </w:rPr>
              <w:t xml:space="preserve"> </w:t>
            </w:r>
            <w:r w:rsidRPr="00CA2CC1">
              <w:rPr>
                <w:rFonts w:cs="Calibri"/>
                <w:color w:val="414042"/>
                <w:sz w:val="18"/>
              </w:rPr>
              <w:t>other</w:t>
            </w:r>
            <w:r w:rsidRPr="00CA2CC1">
              <w:rPr>
                <w:rFonts w:cs="Calibri"/>
                <w:color w:val="414042"/>
                <w:spacing w:val="4"/>
                <w:sz w:val="18"/>
              </w:rPr>
              <w:t xml:space="preserve"> </w:t>
            </w:r>
            <w:r w:rsidRPr="00CA2CC1">
              <w:rPr>
                <w:rFonts w:cs="Calibri"/>
                <w:color w:val="414042"/>
                <w:sz w:val="18"/>
              </w:rPr>
              <w:t>finance</w:t>
            </w:r>
            <w:r w:rsidRPr="00CA2CC1">
              <w:rPr>
                <w:rFonts w:cs="Calibri"/>
                <w:color w:val="414042"/>
                <w:spacing w:val="4"/>
                <w:sz w:val="18"/>
              </w:rPr>
              <w:t xml:space="preserve"> </w:t>
            </w:r>
            <w:r w:rsidRPr="00CA2CC1">
              <w:rPr>
                <w:rFonts w:cs="Calibri"/>
                <w:color w:val="414042"/>
                <w:sz w:val="18"/>
              </w:rPr>
              <w:t>costs</w:t>
            </w:r>
            <w:r w:rsidRPr="00CA2CC1">
              <w:rPr>
                <w:rFonts w:cs="Calibri"/>
                <w:color w:val="414042"/>
                <w:spacing w:val="4"/>
                <w:sz w:val="18"/>
              </w:rPr>
              <w:t xml:space="preserve"> </w:t>
            </w:r>
            <w:r w:rsidRPr="00CA2CC1">
              <w:rPr>
                <w:rFonts w:cs="Calibri"/>
                <w:color w:val="414042"/>
                <w:spacing w:val="-4"/>
                <w:sz w:val="18"/>
              </w:rPr>
              <w:t>paid</w:t>
            </w:r>
          </w:p>
        </w:tc>
        <w:tc>
          <w:tcPr>
            <w:tcW w:w="1248" w:type="dxa"/>
            <w:tcBorders>
              <w:top w:val="single" w:sz="2" w:space="0" w:color="73777A"/>
              <w:left w:val="nil"/>
              <w:bottom w:val="single" w:sz="2" w:space="0" w:color="73777A"/>
              <w:right w:val="single" w:sz="8" w:space="0" w:color="FFFFFF"/>
            </w:tcBorders>
            <w:shd w:val="clear" w:color="auto" w:fill="FFF0E7"/>
            <w:tcMar>
              <w:right w:w="57" w:type="dxa"/>
            </w:tcMar>
          </w:tcPr>
          <w:p w14:paraId="7151021B" w14:textId="77777777" w:rsidR="00FA4226" w:rsidRPr="00CA2CC1" w:rsidRDefault="00000000" w:rsidP="0043303B">
            <w:pPr>
              <w:pStyle w:val="TableParagraph"/>
              <w:rPr>
                <w:rFonts w:cs="Calibri"/>
                <w:sz w:val="18"/>
              </w:rPr>
            </w:pPr>
            <w:r w:rsidRPr="00CA2CC1">
              <w:rPr>
                <w:rFonts w:cs="Calibri"/>
                <w:color w:val="414042"/>
                <w:spacing w:val="-2"/>
                <w:sz w:val="18"/>
              </w:rPr>
              <w:t>(57,129)</w:t>
            </w:r>
          </w:p>
        </w:tc>
        <w:tc>
          <w:tcPr>
            <w:tcW w:w="1248" w:type="dxa"/>
            <w:tcBorders>
              <w:top w:val="single" w:sz="2" w:space="0" w:color="73777A"/>
              <w:left w:val="single" w:sz="8" w:space="0" w:color="FFFFFF"/>
              <w:bottom w:val="single" w:sz="2" w:space="0" w:color="73777A"/>
              <w:right w:val="single" w:sz="8" w:space="0" w:color="FFFFFF"/>
            </w:tcBorders>
            <w:shd w:val="clear" w:color="auto" w:fill="EDEFF0"/>
            <w:tcMar>
              <w:right w:w="57" w:type="dxa"/>
            </w:tcMar>
          </w:tcPr>
          <w:p w14:paraId="4BCAAA36" w14:textId="77777777" w:rsidR="00FA4226" w:rsidRPr="00CA2CC1" w:rsidRDefault="00000000" w:rsidP="0043303B">
            <w:pPr>
              <w:pStyle w:val="TableParagraph"/>
              <w:rPr>
                <w:rFonts w:cs="Calibri"/>
                <w:sz w:val="18"/>
              </w:rPr>
            </w:pPr>
            <w:r w:rsidRPr="00CA2CC1">
              <w:rPr>
                <w:rFonts w:cs="Calibri"/>
                <w:color w:val="414042"/>
                <w:spacing w:val="-2"/>
                <w:sz w:val="18"/>
              </w:rPr>
              <w:t>(65,486)</w:t>
            </w:r>
          </w:p>
        </w:tc>
        <w:tc>
          <w:tcPr>
            <w:tcW w:w="1248" w:type="dxa"/>
            <w:tcBorders>
              <w:top w:val="single" w:sz="2" w:space="0" w:color="73777A"/>
              <w:left w:val="single" w:sz="8" w:space="0" w:color="FFFFFF"/>
              <w:bottom w:val="single" w:sz="2" w:space="0" w:color="73777A"/>
              <w:right w:val="single" w:sz="8" w:space="0" w:color="FFFFFF"/>
            </w:tcBorders>
            <w:shd w:val="clear" w:color="auto" w:fill="FFF0E7"/>
            <w:tcMar>
              <w:right w:w="57" w:type="dxa"/>
            </w:tcMar>
          </w:tcPr>
          <w:p w14:paraId="38F0C2BE" w14:textId="77777777" w:rsidR="00FA4226" w:rsidRPr="00CA2CC1" w:rsidRDefault="00000000" w:rsidP="0043303B">
            <w:pPr>
              <w:pStyle w:val="TableParagraph"/>
              <w:rPr>
                <w:rFonts w:cs="Calibri"/>
                <w:sz w:val="18"/>
              </w:rPr>
            </w:pPr>
            <w:r w:rsidRPr="00CA2CC1">
              <w:rPr>
                <w:rFonts w:cs="Calibri"/>
                <w:color w:val="414042"/>
                <w:spacing w:val="-2"/>
                <w:sz w:val="18"/>
              </w:rPr>
              <w:t>(374)</w:t>
            </w:r>
          </w:p>
        </w:tc>
        <w:tc>
          <w:tcPr>
            <w:tcW w:w="1248" w:type="dxa"/>
            <w:tcBorders>
              <w:top w:val="single" w:sz="2" w:space="0" w:color="73777A"/>
              <w:left w:val="single" w:sz="8" w:space="0" w:color="FFFFFF"/>
              <w:bottom w:val="single" w:sz="2" w:space="0" w:color="73777A"/>
              <w:right w:val="single" w:sz="8" w:space="0" w:color="FFFFFF"/>
            </w:tcBorders>
            <w:shd w:val="clear" w:color="auto" w:fill="EDEFF0"/>
            <w:tcMar>
              <w:right w:w="57" w:type="dxa"/>
            </w:tcMar>
          </w:tcPr>
          <w:p w14:paraId="076BC6CC" w14:textId="77777777" w:rsidR="00FA4226" w:rsidRPr="00CA2CC1" w:rsidRDefault="00000000" w:rsidP="0043303B">
            <w:pPr>
              <w:pStyle w:val="TableParagraph"/>
              <w:rPr>
                <w:rFonts w:cs="Calibri"/>
                <w:sz w:val="18"/>
              </w:rPr>
            </w:pPr>
            <w:r w:rsidRPr="00CA2CC1">
              <w:rPr>
                <w:rFonts w:cs="Calibri"/>
                <w:color w:val="414042"/>
                <w:spacing w:val="-2"/>
                <w:sz w:val="18"/>
              </w:rPr>
              <w:t>(4,577)</w:t>
            </w:r>
          </w:p>
        </w:tc>
        <w:tc>
          <w:tcPr>
            <w:tcW w:w="1248" w:type="dxa"/>
            <w:tcBorders>
              <w:top w:val="single" w:sz="2" w:space="0" w:color="73777A"/>
              <w:left w:val="single" w:sz="8" w:space="0" w:color="FFFFFF"/>
              <w:bottom w:val="single" w:sz="2" w:space="0" w:color="73777A"/>
              <w:right w:val="nil"/>
            </w:tcBorders>
            <w:shd w:val="clear" w:color="auto" w:fill="FFF0E7"/>
            <w:tcMar>
              <w:right w:w="57" w:type="dxa"/>
            </w:tcMar>
          </w:tcPr>
          <w:p w14:paraId="4CB6366F" w14:textId="77777777" w:rsidR="00FA4226" w:rsidRPr="00CA2CC1" w:rsidRDefault="00000000" w:rsidP="0043303B">
            <w:pPr>
              <w:pStyle w:val="TableParagraph"/>
              <w:rPr>
                <w:rFonts w:cs="Calibri"/>
                <w:sz w:val="18"/>
              </w:rPr>
            </w:pPr>
            <w:r w:rsidRPr="00CA2CC1">
              <w:rPr>
                <w:rFonts w:cs="Calibri"/>
                <w:color w:val="414042"/>
                <w:spacing w:val="-2"/>
                <w:sz w:val="18"/>
              </w:rPr>
              <w:t>(60,535)</w:t>
            </w:r>
          </w:p>
        </w:tc>
      </w:tr>
      <w:tr w:rsidR="00FA4226" w:rsidRPr="00CA2CC1" w14:paraId="1F17E214" w14:textId="77777777" w:rsidTr="00126374">
        <w:trPr>
          <w:trHeight w:val="278"/>
        </w:trPr>
        <w:tc>
          <w:tcPr>
            <w:tcW w:w="3402" w:type="dxa"/>
            <w:tcBorders>
              <w:top w:val="single" w:sz="2" w:space="0" w:color="73777A"/>
              <w:left w:val="nil"/>
              <w:bottom w:val="single" w:sz="6" w:space="0" w:color="73777A"/>
              <w:right w:val="nil"/>
            </w:tcBorders>
          </w:tcPr>
          <w:p w14:paraId="5E56837E" w14:textId="77777777" w:rsidR="00FA4226" w:rsidRPr="00CA2CC1" w:rsidRDefault="00000000" w:rsidP="0043303B">
            <w:pPr>
              <w:pStyle w:val="TableParagraph"/>
              <w:jc w:val="left"/>
              <w:rPr>
                <w:rFonts w:cs="Calibri"/>
                <w:sz w:val="18"/>
              </w:rPr>
            </w:pPr>
            <w:r w:rsidRPr="00CA2CC1">
              <w:rPr>
                <w:rFonts w:cs="Calibri"/>
                <w:color w:val="414042"/>
                <w:sz w:val="18"/>
              </w:rPr>
              <w:t>Total</w:t>
            </w:r>
            <w:r w:rsidRPr="00CA2CC1">
              <w:rPr>
                <w:rFonts w:cs="Calibri"/>
                <w:color w:val="414042"/>
                <w:spacing w:val="-7"/>
                <w:sz w:val="18"/>
              </w:rPr>
              <w:t xml:space="preserve"> </w:t>
            </w:r>
            <w:r w:rsidRPr="00CA2CC1">
              <w:rPr>
                <w:rFonts w:cs="Calibri"/>
                <w:color w:val="414042"/>
                <w:spacing w:val="-2"/>
                <w:sz w:val="18"/>
              </w:rPr>
              <w:t>payments</w:t>
            </w:r>
          </w:p>
        </w:tc>
        <w:tc>
          <w:tcPr>
            <w:tcW w:w="1248" w:type="dxa"/>
            <w:tcBorders>
              <w:top w:val="single" w:sz="2" w:space="0" w:color="73777A"/>
              <w:left w:val="nil"/>
              <w:bottom w:val="single" w:sz="6" w:space="0" w:color="73777A"/>
              <w:right w:val="single" w:sz="8" w:space="0" w:color="FFFFFF"/>
            </w:tcBorders>
            <w:shd w:val="clear" w:color="auto" w:fill="FFF0E7"/>
            <w:tcMar>
              <w:right w:w="57" w:type="dxa"/>
            </w:tcMar>
          </w:tcPr>
          <w:p w14:paraId="37FF553C" w14:textId="77777777" w:rsidR="00FA4226" w:rsidRPr="00CA2CC1" w:rsidRDefault="00000000" w:rsidP="0043303B">
            <w:pPr>
              <w:pStyle w:val="TableParagraph"/>
              <w:rPr>
                <w:rFonts w:cs="Calibri"/>
                <w:sz w:val="18"/>
              </w:rPr>
            </w:pPr>
            <w:r w:rsidRPr="00CA2CC1">
              <w:rPr>
                <w:rFonts w:cs="Calibri"/>
                <w:color w:val="414042"/>
                <w:spacing w:val="-2"/>
                <w:sz w:val="18"/>
              </w:rPr>
              <w:t>(9,583,529)</w:t>
            </w:r>
          </w:p>
        </w:tc>
        <w:tc>
          <w:tcPr>
            <w:tcW w:w="1248" w:type="dxa"/>
            <w:tcBorders>
              <w:top w:val="single" w:sz="2" w:space="0" w:color="73777A"/>
              <w:left w:val="single" w:sz="8" w:space="0" w:color="FFFFFF"/>
              <w:bottom w:val="single" w:sz="6" w:space="0" w:color="73777A"/>
              <w:right w:val="single" w:sz="8" w:space="0" w:color="FFFFFF"/>
            </w:tcBorders>
            <w:shd w:val="clear" w:color="auto" w:fill="EDEFF0"/>
            <w:tcMar>
              <w:right w:w="57" w:type="dxa"/>
            </w:tcMar>
          </w:tcPr>
          <w:p w14:paraId="5975BE2E" w14:textId="77777777" w:rsidR="00FA4226" w:rsidRPr="00CA2CC1" w:rsidRDefault="00000000" w:rsidP="0043303B">
            <w:pPr>
              <w:pStyle w:val="TableParagraph"/>
              <w:rPr>
                <w:rFonts w:cs="Calibri"/>
                <w:sz w:val="18"/>
              </w:rPr>
            </w:pPr>
            <w:r w:rsidRPr="00CA2CC1">
              <w:rPr>
                <w:rFonts w:cs="Calibri"/>
                <w:color w:val="414042"/>
                <w:spacing w:val="-2"/>
                <w:sz w:val="18"/>
              </w:rPr>
              <w:t>(8,310,739)</w:t>
            </w:r>
          </w:p>
        </w:tc>
        <w:tc>
          <w:tcPr>
            <w:tcW w:w="1248" w:type="dxa"/>
            <w:tcBorders>
              <w:top w:val="single" w:sz="2" w:space="0" w:color="73777A"/>
              <w:left w:val="single" w:sz="8" w:space="0" w:color="FFFFFF"/>
              <w:bottom w:val="single" w:sz="6" w:space="0" w:color="73777A"/>
              <w:right w:val="single" w:sz="8" w:space="0" w:color="FFFFFF"/>
            </w:tcBorders>
            <w:shd w:val="clear" w:color="auto" w:fill="FFF0E7"/>
            <w:tcMar>
              <w:right w:w="57" w:type="dxa"/>
            </w:tcMar>
          </w:tcPr>
          <w:p w14:paraId="150DCD52" w14:textId="77777777" w:rsidR="00FA4226" w:rsidRPr="00CA2CC1" w:rsidRDefault="00000000" w:rsidP="0043303B">
            <w:pPr>
              <w:pStyle w:val="TableParagraph"/>
              <w:rPr>
                <w:rFonts w:cs="Calibri"/>
                <w:sz w:val="18"/>
              </w:rPr>
            </w:pPr>
            <w:r w:rsidRPr="00CA2CC1">
              <w:rPr>
                <w:rFonts w:cs="Calibri"/>
                <w:color w:val="414042"/>
                <w:spacing w:val="-2"/>
                <w:sz w:val="18"/>
              </w:rPr>
              <w:t>(421)</w:t>
            </w:r>
          </w:p>
        </w:tc>
        <w:tc>
          <w:tcPr>
            <w:tcW w:w="1248" w:type="dxa"/>
            <w:tcBorders>
              <w:top w:val="single" w:sz="2" w:space="0" w:color="73777A"/>
              <w:left w:val="single" w:sz="8" w:space="0" w:color="FFFFFF"/>
              <w:bottom w:val="single" w:sz="6" w:space="0" w:color="73777A"/>
              <w:right w:val="single" w:sz="8" w:space="0" w:color="FFFFFF"/>
            </w:tcBorders>
            <w:shd w:val="clear" w:color="auto" w:fill="EDEFF0"/>
            <w:tcMar>
              <w:right w:w="57" w:type="dxa"/>
            </w:tcMar>
          </w:tcPr>
          <w:p w14:paraId="4D8A77C3" w14:textId="77777777" w:rsidR="00FA4226" w:rsidRPr="00CA2CC1" w:rsidRDefault="00000000" w:rsidP="0043303B">
            <w:pPr>
              <w:pStyle w:val="TableParagraph"/>
              <w:rPr>
                <w:rFonts w:cs="Calibri"/>
                <w:sz w:val="18"/>
              </w:rPr>
            </w:pPr>
            <w:r w:rsidRPr="00CA2CC1">
              <w:rPr>
                <w:rFonts w:cs="Calibri"/>
                <w:color w:val="414042"/>
                <w:sz w:val="18"/>
              </w:rPr>
              <w:t>-</w:t>
            </w:r>
          </w:p>
        </w:tc>
        <w:tc>
          <w:tcPr>
            <w:tcW w:w="1248" w:type="dxa"/>
            <w:tcBorders>
              <w:top w:val="single" w:sz="2" w:space="0" w:color="73777A"/>
              <w:left w:val="single" w:sz="8" w:space="0" w:color="FFFFFF"/>
              <w:bottom w:val="single" w:sz="6" w:space="0" w:color="73777A"/>
              <w:right w:val="nil"/>
            </w:tcBorders>
            <w:shd w:val="clear" w:color="auto" w:fill="FFF0E7"/>
            <w:tcMar>
              <w:right w:w="57" w:type="dxa"/>
            </w:tcMar>
          </w:tcPr>
          <w:p w14:paraId="54215DCA" w14:textId="77777777" w:rsidR="00FA4226" w:rsidRPr="00CA2CC1" w:rsidRDefault="00000000" w:rsidP="0043303B">
            <w:pPr>
              <w:pStyle w:val="TableParagraph"/>
              <w:rPr>
                <w:rFonts w:cs="Calibri"/>
                <w:sz w:val="18"/>
              </w:rPr>
            </w:pPr>
            <w:r w:rsidRPr="00CA2CC1">
              <w:rPr>
                <w:rFonts w:cs="Calibri"/>
                <w:color w:val="414042"/>
                <w:spacing w:val="-2"/>
                <w:sz w:val="18"/>
              </w:rPr>
              <w:t>(8,310,318)</w:t>
            </w:r>
          </w:p>
        </w:tc>
      </w:tr>
      <w:tr w:rsidR="00FA4226" w:rsidRPr="00CA2CC1" w14:paraId="7243C113" w14:textId="77777777" w:rsidTr="00126374">
        <w:trPr>
          <w:trHeight w:val="493"/>
        </w:trPr>
        <w:tc>
          <w:tcPr>
            <w:tcW w:w="3402" w:type="dxa"/>
            <w:tcBorders>
              <w:top w:val="single" w:sz="6" w:space="0" w:color="73777A"/>
              <w:left w:val="nil"/>
              <w:bottom w:val="single" w:sz="6" w:space="0" w:color="73777A"/>
              <w:right w:val="nil"/>
            </w:tcBorders>
          </w:tcPr>
          <w:p w14:paraId="7248EEFB" w14:textId="77777777" w:rsidR="00FA4226" w:rsidRPr="00CA2CC1" w:rsidRDefault="00000000" w:rsidP="0043303B">
            <w:pPr>
              <w:pStyle w:val="TableParagraph"/>
              <w:spacing w:before="16"/>
              <w:jc w:val="left"/>
              <w:rPr>
                <w:rFonts w:cs="Calibri"/>
                <w:sz w:val="18"/>
              </w:rPr>
            </w:pPr>
            <w:r w:rsidRPr="00CA2CC1">
              <w:rPr>
                <w:rFonts w:cs="Calibri"/>
                <w:color w:val="414042"/>
                <w:sz w:val="18"/>
              </w:rPr>
              <w:t>Net</w:t>
            </w:r>
            <w:r w:rsidRPr="00CA2CC1">
              <w:rPr>
                <w:rFonts w:cs="Calibri"/>
                <w:color w:val="414042"/>
                <w:spacing w:val="-2"/>
                <w:sz w:val="18"/>
              </w:rPr>
              <w:t xml:space="preserve"> </w:t>
            </w:r>
            <w:r w:rsidRPr="00CA2CC1">
              <w:rPr>
                <w:rFonts w:cs="Calibri"/>
                <w:color w:val="414042"/>
                <w:sz w:val="18"/>
              </w:rPr>
              <w:t>cash</w:t>
            </w:r>
            <w:r w:rsidRPr="00CA2CC1">
              <w:rPr>
                <w:rFonts w:cs="Calibri"/>
                <w:color w:val="414042"/>
                <w:spacing w:val="-2"/>
                <w:sz w:val="18"/>
              </w:rPr>
              <w:t xml:space="preserve"> </w:t>
            </w:r>
            <w:r w:rsidRPr="00CA2CC1">
              <w:rPr>
                <w:rFonts w:cs="Calibri"/>
                <w:color w:val="414042"/>
                <w:sz w:val="18"/>
              </w:rPr>
              <w:t>flows</w:t>
            </w:r>
            <w:r w:rsidRPr="00CA2CC1">
              <w:rPr>
                <w:rFonts w:cs="Calibri"/>
                <w:color w:val="414042"/>
                <w:spacing w:val="-2"/>
                <w:sz w:val="18"/>
              </w:rPr>
              <w:t xml:space="preserve"> </w:t>
            </w:r>
            <w:r w:rsidRPr="00CA2CC1">
              <w:rPr>
                <w:rFonts w:cs="Calibri"/>
                <w:color w:val="414042"/>
                <w:sz w:val="18"/>
              </w:rPr>
              <w:t>from/(used</w:t>
            </w:r>
            <w:r w:rsidRPr="00CA2CC1">
              <w:rPr>
                <w:rFonts w:cs="Calibri"/>
                <w:color w:val="414042"/>
                <w:spacing w:val="-2"/>
                <w:sz w:val="18"/>
              </w:rPr>
              <w:t xml:space="preserve"> </w:t>
            </w:r>
            <w:r w:rsidRPr="00CA2CC1">
              <w:rPr>
                <w:rFonts w:cs="Calibri"/>
                <w:color w:val="414042"/>
                <w:sz w:val="18"/>
              </w:rPr>
              <w:t>in) operating activities</w:t>
            </w:r>
          </w:p>
        </w:tc>
        <w:tc>
          <w:tcPr>
            <w:tcW w:w="1248" w:type="dxa"/>
            <w:tcBorders>
              <w:top w:val="single" w:sz="6" w:space="0" w:color="73777A"/>
              <w:left w:val="nil"/>
              <w:bottom w:val="single" w:sz="6" w:space="0" w:color="73777A"/>
              <w:right w:val="single" w:sz="8" w:space="0" w:color="FFFFFF"/>
            </w:tcBorders>
            <w:shd w:val="clear" w:color="auto" w:fill="FFF0E7"/>
            <w:tcMar>
              <w:right w:w="57" w:type="dxa"/>
            </w:tcMar>
          </w:tcPr>
          <w:p w14:paraId="73050B97" w14:textId="77777777" w:rsidR="00FA4226" w:rsidRPr="00CA2CC1" w:rsidRDefault="00FA4226" w:rsidP="0043303B">
            <w:pPr>
              <w:pStyle w:val="TableParagraph"/>
              <w:spacing w:before="7"/>
              <w:jc w:val="left"/>
              <w:rPr>
                <w:rFonts w:cs="Calibri"/>
                <w:sz w:val="15"/>
              </w:rPr>
            </w:pPr>
          </w:p>
          <w:p w14:paraId="239A9C2A" w14:textId="77777777" w:rsidR="00FA4226" w:rsidRPr="00CA2CC1" w:rsidRDefault="00000000" w:rsidP="0043303B">
            <w:pPr>
              <w:pStyle w:val="TableParagraph"/>
              <w:rPr>
                <w:rFonts w:cs="Calibri"/>
                <w:sz w:val="18"/>
              </w:rPr>
            </w:pPr>
            <w:r w:rsidRPr="00CA2CC1">
              <w:rPr>
                <w:rFonts w:cs="Calibri"/>
                <w:color w:val="414042"/>
                <w:spacing w:val="-2"/>
                <w:sz w:val="18"/>
              </w:rPr>
              <w:t>416,668</w:t>
            </w:r>
          </w:p>
        </w:tc>
        <w:tc>
          <w:tcPr>
            <w:tcW w:w="1248" w:type="dxa"/>
            <w:tcBorders>
              <w:top w:val="single" w:sz="6" w:space="0" w:color="73777A"/>
              <w:left w:val="single" w:sz="8" w:space="0" w:color="FFFFFF"/>
              <w:bottom w:val="single" w:sz="6" w:space="0" w:color="73777A"/>
              <w:right w:val="single" w:sz="8" w:space="0" w:color="FFFFFF"/>
            </w:tcBorders>
            <w:shd w:val="clear" w:color="auto" w:fill="EDEFF0"/>
            <w:tcMar>
              <w:right w:w="57" w:type="dxa"/>
            </w:tcMar>
          </w:tcPr>
          <w:p w14:paraId="7D65B7EB" w14:textId="77777777" w:rsidR="00FA4226" w:rsidRPr="00CA2CC1" w:rsidRDefault="00FA4226" w:rsidP="0043303B">
            <w:pPr>
              <w:pStyle w:val="TableParagraph"/>
              <w:spacing w:before="7"/>
              <w:jc w:val="left"/>
              <w:rPr>
                <w:rFonts w:cs="Calibri"/>
                <w:sz w:val="15"/>
              </w:rPr>
            </w:pPr>
          </w:p>
          <w:p w14:paraId="424DA935" w14:textId="77777777" w:rsidR="00FA4226" w:rsidRPr="00CA2CC1" w:rsidRDefault="00000000" w:rsidP="0043303B">
            <w:pPr>
              <w:pStyle w:val="TableParagraph"/>
              <w:rPr>
                <w:rFonts w:cs="Calibri"/>
                <w:sz w:val="18"/>
              </w:rPr>
            </w:pPr>
            <w:r w:rsidRPr="00CA2CC1">
              <w:rPr>
                <w:rFonts w:cs="Calibri"/>
                <w:color w:val="414042"/>
                <w:spacing w:val="-2"/>
                <w:sz w:val="18"/>
              </w:rPr>
              <w:t>336,038</w:t>
            </w:r>
          </w:p>
        </w:tc>
        <w:tc>
          <w:tcPr>
            <w:tcW w:w="1248" w:type="dxa"/>
            <w:tcBorders>
              <w:top w:val="single" w:sz="6" w:space="0" w:color="73777A"/>
              <w:left w:val="single" w:sz="8" w:space="0" w:color="FFFFFF"/>
              <w:bottom w:val="single" w:sz="6" w:space="0" w:color="73777A"/>
              <w:right w:val="single" w:sz="8" w:space="0" w:color="FFFFFF"/>
            </w:tcBorders>
            <w:shd w:val="clear" w:color="auto" w:fill="FFF0E7"/>
            <w:tcMar>
              <w:right w:w="57" w:type="dxa"/>
            </w:tcMar>
          </w:tcPr>
          <w:p w14:paraId="3861333E" w14:textId="77777777" w:rsidR="00FA4226" w:rsidRPr="00CA2CC1" w:rsidRDefault="00FA4226" w:rsidP="0043303B">
            <w:pPr>
              <w:pStyle w:val="TableParagraph"/>
              <w:spacing w:before="7"/>
              <w:jc w:val="left"/>
              <w:rPr>
                <w:rFonts w:cs="Calibri"/>
                <w:sz w:val="15"/>
              </w:rPr>
            </w:pPr>
          </w:p>
          <w:p w14:paraId="03F794F7" w14:textId="77777777" w:rsidR="00FA4226" w:rsidRPr="00CA2CC1" w:rsidRDefault="00000000" w:rsidP="0043303B">
            <w:pPr>
              <w:pStyle w:val="TableParagraph"/>
              <w:rPr>
                <w:rFonts w:cs="Calibri"/>
                <w:sz w:val="18"/>
              </w:rPr>
            </w:pPr>
            <w:r w:rsidRPr="00CA2CC1">
              <w:rPr>
                <w:rFonts w:cs="Calibri"/>
                <w:color w:val="414042"/>
                <w:spacing w:val="-2"/>
                <w:sz w:val="18"/>
              </w:rPr>
              <w:t>(421)</w:t>
            </w:r>
          </w:p>
        </w:tc>
        <w:tc>
          <w:tcPr>
            <w:tcW w:w="1248" w:type="dxa"/>
            <w:tcBorders>
              <w:top w:val="single" w:sz="6" w:space="0" w:color="73777A"/>
              <w:left w:val="single" w:sz="8" w:space="0" w:color="FFFFFF"/>
              <w:bottom w:val="single" w:sz="6" w:space="0" w:color="73777A"/>
              <w:right w:val="single" w:sz="8" w:space="0" w:color="FFFFFF"/>
            </w:tcBorders>
            <w:shd w:val="clear" w:color="auto" w:fill="EDEFF0"/>
            <w:tcMar>
              <w:right w:w="57" w:type="dxa"/>
            </w:tcMar>
          </w:tcPr>
          <w:p w14:paraId="4C1A6720" w14:textId="77777777" w:rsidR="00FA4226" w:rsidRPr="00CA2CC1" w:rsidRDefault="00FA4226" w:rsidP="0043303B">
            <w:pPr>
              <w:pStyle w:val="TableParagraph"/>
              <w:spacing w:before="7"/>
              <w:jc w:val="left"/>
              <w:rPr>
                <w:rFonts w:cs="Calibri"/>
                <w:sz w:val="15"/>
              </w:rPr>
            </w:pPr>
          </w:p>
          <w:p w14:paraId="2BF31496" w14:textId="77777777" w:rsidR="00FA4226" w:rsidRPr="00CA2CC1" w:rsidRDefault="00000000" w:rsidP="0043303B">
            <w:pPr>
              <w:pStyle w:val="TableParagraph"/>
              <w:rPr>
                <w:rFonts w:cs="Calibri"/>
                <w:sz w:val="18"/>
              </w:rPr>
            </w:pPr>
            <w:r w:rsidRPr="00CA2CC1">
              <w:rPr>
                <w:rFonts w:cs="Calibri"/>
                <w:color w:val="414042"/>
                <w:sz w:val="18"/>
              </w:rPr>
              <w:t>-</w:t>
            </w:r>
          </w:p>
        </w:tc>
        <w:tc>
          <w:tcPr>
            <w:tcW w:w="1248" w:type="dxa"/>
            <w:tcBorders>
              <w:top w:val="single" w:sz="6" w:space="0" w:color="73777A"/>
              <w:left w:val="single" w:sz="8" w:space="0" w:color="FFFFFF"/>
              <w:bottom w:val="single" w:sz="6" w:space="0" w:color="73777A"/>
              <w:right w:val="nil"/>
            </w:tcBorders>
            <w:shd w:val="clear" w:color="auto" w:fill="FFF0E7"/>
            <w:tcMar>
              <w:right w:w="57" w:type="dxa"/>
            </w:tcMar>
          </w:tcPr>
          <w:p w14:paraId="27698FCB" w14:textId="77777777" w:rsidR="00FA4226" w:rsidRPr="00CA2CC1" w:rsidRDefault="00FA4226" w:rsidP="0043303B">
            <w:pPr>
              <w:pStyle w:val="TableParagraph"/>
              <w:spacing w:before="7"/>
              <w:jc w:val="left"/>
              <w:rPr>
                <w:rFonts w:cs="Calibri"/>
                <w:sz w:val="15"/>
              </w:rPr>
            </w:pPr>
          </w:p>
          <w:p w14:paraId="17BE154C" w14:textId="77777777" w:rsidR="00FA4226" w:rsidRPr="00CA2CC1" w:rsidRDefault="00000000" w:rsidP="0043303B">
            <w:pPr>
              <w:pStyle w:val="TableParagraph"/>
              <w:rPr>
                <w:rFonts w:cs="Calibri"/>
                <w:sz w:val="18"/>
              </w:rPr>
            </w:pPr>
            <w:r w:rsidRPr="00CA2CC1">
              <w:rPr>
                <w:rFonts w:cs="Calibri"/>
                <w:color w:val="414042"/>
                <w:spacing w:val="-2"/>
                <w:sz w:val="18"/>
              </w:rPr>
              <w:t>336,459</w:t>
            </w:r>
          </w:p>
        </w:tc>
      </w:tr>
      <w:tr w:rsidR="00FA4226" w:rsidRPr="00CA2CC1" w14:paraId="1E171C6B" w14:textId="77777777" w:rsidTr="00126374">
        <w:trPr>
          <w:trHeight w:val="278"/>
        </w:trPr>
        <w:tc>
          <w:tcPr>
            <w:tcW w:w="3402" w:type="dxa"/>
            <w:tcBorders>
              <w:top w:val="single" w:sz="6" w:space="0" w:color="73777A"/>
              <w:left w:val="nil"/>
              <w:bottom w:val="single" w:sz="2" w:space="0" w:color="73777A"/>
              <w:right w:val="nil"/>
            </w:tcBorders>
          </w:tcPr>
          <w:p w14:paraId="2C52E625" w14:textId="77777777" w:rsidR="00FA4226" w:rsidRPr="00CA2CC1" w:rsidRDefault="00000000" w:rsidP="0043303B">
            <w:pPr>
              <w:pStyle w:val="TableParagraph"/>
              <w:jc w:val="left"/>
              <w:rPr>
                <w:rFonts w:cs="Calibri"/>
                <w:sz w:val="18"/>
              </w:rPr>
            </w:pPr>
            <w:r w:rsidRPr="00CA2CC1">
              <w:rPr>
                <w:rFonts w:cs="Calibri"/>
                <w:color w:val="F68C59"/>
                <w:sz w:val="18"/>
              </w:rPr>
              <w:t>Cash</w:t>
            </w:r>
            <w:r w:rsidRPr="00CA2CC1">
              <w:rPr>
                <w:rFonts w:cs="Calibri"/>
                <w:color w:val="F68C59"/>
                <w:spacing w:val="5"/>
                <w:sz w:val="18"/>
              </w:rPr>
              <w:t xml:space="preserve"> </w:t>
            </w:r>
            <w:r w:rsidRPr="00CA2CC1">
              <w:rPr>
                <w:rFonts w:cs="Calibri"/>
                <w:color w:val="F68C59"/>
                <w:sz w:val="18"/>
              </w:rPr>
              <w:t>flows</w:t>
            </w:r>
            <w:r w:rsidRPr="00CA2CC1">
              <w:rPr>
                <w:rFonts w:cs="Calibri"/>
                <w:color w:val="F68C59"/>
                <w:spacing w:val="5"/>
                <w:sz w:val="18"/>
              </w:rPr>
              <w:t xml:space="preserve"> </w:t>
            </w:r>
            <w:r w:rsidRPr="00CA2CC1">
              <w:rPr>
                <w:rFonts w:cs="Calibri"/>
                <w:color w:val="F68C59"/>
                <w:sz w:val="18"/>
              </w:rPr>
              <w:t>from</w:t>
            </w:r>
            <w:r w:rsidRPr="00CA2CC1">
              <w:rPr>
                <w:rFonts w:cs="Calibri"/>
                <w:color w:val="F68C59"/>
                <w:spacing w:val="5"/>
                <w:sz w:val="18"/>
              </w:rPr>
              <w:t xml:space="preserve"> </w:t>
            </w:r>
            <w:r w:rsidRPr="00CA2CC1">
              <w:rPr>
                <w:rFonts w:cs="Calibri"/>
                <w:color w:val="F68C59"/>
                <w:sz w:val="18"/>
              </w:rPr>
              <w:t>investing</w:t>
            </w:r>
            <w:r w:rsidRPr="00CA2CC1">
              <w:rPr>
                <w:rFonts w:cs="Calibri"/>
                <w:color w:val="F68C59"/>
                <w:spacing w:val="5"/>
                <w:sz w:val="18"/>
              </w:rPr>
              <w:t xml:space="preserve"> </w:t>
            </w:r>
            <w:r w:rsidRPr="00CA2CC1">
              <w:rPr>
                <w:rFonts w:cs="Calibri"/>
                <w:color w:val="F68C59"/>
                <w:spacing w:val="-2"/>
                <w:sz w:val="18"/>
              </w:rPr>
              <w:t>activities</w:t>
            </w:r>
          </w:p>
        </w:tc>
        <w:tc>
          <w:tcPr>
            <w:tcW w:w="1248" w:type="dxa"/>
            <w:tcBorders>
              <w:top w:val="single" w:sz="6" w:space="0" w:color="73777A"/>
              <w:left w:val="nil"/>
              <w:bottom w:val="single" w:sz="2" w:space="0" w:color="73777A"/>
              <w:right w:val="single" w:sz="8" w:space="0" w:color="FFFFFF"/>
            </w:tcBorders>
            <w:shd w:val="clear" w:color="auto" w:fill="FFF0E7"/>
            <w:tcMar>
              <w:right w:w="57" w:type="dxa"/>
            </w:tcMar>
          </w:tcPr>
          <w:p w14:paraId="0353F708" w14:textId="77777777" w:rsidR="00FA4226" w:rsidRPr="00CA2CC1" w:rsidRDefault="00FA4226" w:rsidP="0043303B">
            <w:pPr>
              <w:pStyle w:val="TableParagraph"/>
              <w:jc w:val="left"/>
              <w:rPr>
                <w:rFonts w:cs="Calibri"/>
                <w:sz w:val="16"/>
              </w:rPr>
            </w:pPr>
          </w:p>
        </w:tc>
        <w:tc>
          <w:tcPr>
            <w:tcW w:w="1248" w:type="dxa"/>
            <w:tcBorders>
              <w:top w:val="single" w:sz="6" w:space="0" w:color="73777A"/>
              <w:left w:val="single" w:sz="8" w:space="0" w:color="FFFFFF"/>
              <w:bottom w:val="single" w:sz="2" w:space="0" w:color="73777A"/>
              <w:right w:val="single" w:sz="8" w:space="0" w:color="FFFFFF"/>
            </w:tcBorders>
            <w:shd w:val="clear" w:color="auto" w:fill="EDEFF0"/>
            <w:tcMar>
              <w:right w:w="57" w:type="dxa"/>
            </w:tcMar>
          </w:tcPr>
          <w:p w14:paraId="47389C5D" w14:textId="77777777" w:rsidR="00FA4226" w:rsidRPr="00CA2CC1" w:rsidRDefault="00FA4226" w:rsidP="0043303B">
            <w:pPr>
              <w:pStyle w:val="TableParagraph"/>
              <w:jc w:val="left"/>
              <w:rPr>
                <w:rFonts w:cs="Calibri"/>
                <w:sz w:val="16"/>
              </w:rPr>
            </w:pPr>
          </w:p>
        </w:tc>
        <w:tc>
          <w:tcPr>
            <w:tcW w:w="1248" w:type="dxa"/>
            <w:tcBorders>
              <w:top w:val="single" w:sz="6" w:space="0" w:color="73777A"/>
              <w:left w:val="single" w:sz="8" w:space="0" w:color="FFFFFF"/>
              <w:bottom w:val="single" w:sz="2" w:space="0" w:color="73777A"/>
              <w:right w:val="single" w:sz="8" w:space="0" w:color="FFFFFF"/>
            </w:tcBorders>
            <w:shd w:val="clear" w:color="auto" w:fill="FFF0E7"/>
            <w:tcMar>
              <w:right w:w="57" w:type="dxa"/>
            </w:tcMar>
          </w:tcPr>
          <w:p w14:paraId="61D366F0" w14:textId="77777777" w:rsidR="00FA4226" w:rsidRPr="00CA2CC1" w:rsidRDefault="00FA4226" w:rsidP="0043303B">
            <w:pPr>
              <w:pStyle w:val="TableParagraph"/>
              <w:jc w:val="left"/>
              <w:rPr>
                <w:rFonts w:cs="Calibri"/>
                <w:sz w:val="16"/>
              </w:rPr>
            </w:pPr>
          </w:p>
        </w:tc>
        <w:tc>
          <w:tcPr>
            <w:tcW w:w="1248" w:type="dxa"/>
            <w:tcBorders>
              <w:top w:val="single" w:sz="6" w:space="0" w:color="73777A"/>
              <w:left w:val="single" w:sz="8" w:space="0" w:color="FFFFFF"/>
              <w:bottom w:val="single" w:sz="2" w:space="0" w:color="73777A"/>
              <w:right w:val="single" w:sz="8" w:space="0" w:color="FFFFFF"/>
            </w:tcBorders>
            <w:shd w:val="clear" w:color="auto" w:fill="EDEFF0"/>
            <w:tcMar>
              <w:right w:w="57" w:type="dxa"/>
            </w:tcMar>
          </w:tcPr>
          <w:p w14:paraId="0620FD27" w14:textId="77777777" w:rsidR="00FA4226" w:rsidRPr="00CA2CC1" w:rsidRDefault="00FA4226" w:rsidP="0043303B">
            <w:pPr>
              <w:pStyle w:val="TableParagraph"/>
              <w:jc w:val="left"/>
              <w:rPr>
                <w:rFonts w:cs="Calibri"/>
                <w:sz w:val="16"/>
              </w:rPr>
            </w:pPr>
          </w:p>
        </w:tc>
        <w:tc>
          <w:tcPr>
            <w:tcW w:w="1248" w:type="dxa"/>
            <w:tcBorders>
              <w:top w:val="single" w:sz="6" w:space="0" w:color="73777A"/>
              <w:left w:val="single" w:sz="8" w:space="0" w:color="FFFFFF"/>
              <w:bottom w:val="single" w:sz="2" w:space="0" w:color="73777A"/>
              <w:right w:val="nil"/>
            </w:tcBorders>
            <w:shd w:val="clear" w:color="auto" w:fill="FFF0E7"/>
            <w:tcMar>
              <w:right w:w="57" w:type="dxa"/>
            </w:tcMar>
          </w:tcPr>
          <w:p w14:paraId="3A9C6D3A" w14:textId="77777777" w:rsidR="00FA4226" w:rsidRPr="00CA2CC1" w:rsidRDefault="00FA4226" w:rsidP="0043303B">
            <w:pPr>
              <w:pStyle w:val="TableParagraph"/>
              <w:jc w:val="left"/>
              <w:rPr>
                <w:rFonts w:cs="Calibri"/>
                <w:sz w:val="16"/>
              </w:rPr>
            </w:pPr>
          </w:p>
        </w:tc>
      </w:tr>
      <w:tr w:rsidR="00FA4226" w:rsidRPr="00CA2CC1" w14:paraId="6FEC5193" w14:textId="77777777" w:rsidTr="00126374">
        <w:trPr>
          <w:trHeight w:val="283"/>
        </w:trPr>
        <w:tc>
          <w:tcPr>
            <w:tcW w:w="3402" w:type="dxa"/>
            <w:tcBorders>
              <w:top w:val="single" w:sz="2" w:space="0" w:color="73777A"/>
              <w:left w:val="nil"/>
              <w:bottom w:val="single" w:sz="2" w:space="0" w:color="73777A"/>
              <w:right w:val="nil"/>
            </w:tcBorders>
          </w:tcPr>
          <w:p w14:paraId="77AA003F" w14:textId="77777777" w:rsidR="00FA4226" w:rsidRPr="00CA2CC1" w:rsidRDefault="00000000" w:rsidP="0043303B">
            <w:pPr>
              <w:pStyle w:val="TableParagraph"/>
              <w:jc w:val="left"/>
              <w:rPr>
                <w:rFonts w:cs="Calibri"/>
                <w:sz w:val="18"/>
              </w:rPr>
            </w:pPr>
            <w:r w:rsidRPr="00CA2CC1">
              <w:rPr>
                <w:rFonts w:cs="Calibri"/>
                <w:color w:val="414042"/>
                <w:sz w:val="18"/>
              </w:rPr>
              <w:t>Purchases</w:t>
            </w:r>
            <w:r w:rsidRPr="00CA2CC1">
              <w:rPr>
                <w:rFonts w:cs="Calibri"/>
                <w:color w:val="414042"/>
                <w:spacing w:val="5"/>
                <w:sz w:val="18"/>
              </w:rPr>
              <w:t xml:space="preserve"> </w:t>
            </w:r>
            <w:r w:rsidRPr="00CA2CC1">
              <w:rPr>
                <w:rFonts w:cs="Calibri"/>
                <w:color w:val="414042"/>
                <w:sz w:val="18"/>
              </w:rPr>
              <w:t>of</w:t>
            </w:r>
            <w:r w:rsidRPr="00CA2CC1">
              <w:rPr>
                <w:rFonts w:cs="Calibri"/>
                <w:color w:val="414042"/>
                <w:spacing w:val="5"/>
                <w:sz w:val="18"/>
              </w:rPr>
              <w:t xml:space="preserve"> </w:t>
            </w:r>
            <w:r w:rsidRPr="00CA2CC1">
              <w:rPr>
                <w:rFonts w:cs="Calibri"/>
                <w:color w:val="414042"/>
                <w:sz w:val="18"/>
              </w:rPr>
              <w:t>non-financial</w:t>
            </w:r>
            <w:r w:rsidRPr="00CA2CC1">
              <w:rPr>
                <w:rFonts w:cs="Calibri"/>
                <w:color w:val="414042"/>
                <w:spacing w:val="6"/>
                <w:sz w:val="18"/>
              </w:rPr>
              <w:t xml:space="preserve"> </w:t>
            </w:r>
            <w:r w:rsidRPr="00CA2CC1">
              <w:rPr>
                <w:rFonts w:cs="Calibri"/>
                <w:color w:val="414042"/>
                <w:spacing w:val="-2"/>
                <w:sz w:val="18"/>
              </w:rPr>
              <w:t>assets</w:t>
            </w:r>
          </w:p>
        </w:tc>
        <w:tc>
          <w:tcPr>
            <w:tcW w:w="1248" w:type="dxa"/>
            <w:tcBorders>
              <w:top w:val="single" w:sz="2" w:space="0" w:color="73777A"/>
              <w:left w:val="nil"/>
              <w:bottom w:val="single" w:sz="2" w:space="0" w:color="73777A"/>
              <w:right w:val="single" w:sz="8" w:space="0" w:color="FFFFFF"/>
            </w:tcBorders>
            <w:shd w:val="clear" w:color="auto" w:fill="FFF0E7"/>
            <w:tcMar>
              <w:right w:w="57" w:type="dxa"/>
            </w:tcMar>
          </w:tcPr>
          <w:p w14:paraId="4FD866C0" w14:textId="77777777" w:rsidR="00FA4226" w:rsidRPr="00CA2CC1" w:rsidRDefault="00000000" w:rsidP="0043303B">
            <w:pPr>
              <w:pStyle w:val="TableParagraph"/>
              <w:rPr>
                <w:rFonts w:cs="Calibri"/>
                <w:sz w:val="18"/>
              </w:rPr>
            </w:pPr>
            <w:r w:rsidRPr="00CA2CC1">
              <w:rPr>
                <w:rFonts w:cs="Calibri"/>
                <w:color w:val="414042"/>
                <w:spacing w:val="-2"/>
                <w:sz w:val="18"/>
              </w:rPr>
              <w:t>(53,815)</w:t>
            </w:r>
          </w:p>
        </w:tc>
        <w:tc>
          <w:tcPr>
            <w:tcW w:w="1248" w:type="dxa"/>
            <w:tcBorders>
              <w:top w:val="single" w:sz="2" w:space="0" w:color="73777A"/>
              <w:left w:val="single" w:sz="8" w:space="0" w:color="FFFFFF"/>
              <w:bottom w:val="single" w:sz="2" w:space="0" w:color="73777A"/>
              <w:right w:val="single" w:sz="8" w:space="0" w:color="FFFFFF"/>
            </w:tcBorders>
            <w:shd w:val="clear" w:color="auto" w:fill="EDEFF0"/>
            <w:tcMar>
              <w:right w:w="57" w:type="dxa"/>
            </w:tcMar>
          </w:tcPr>
          <w:p w14:paraId="3BEAA2F3" w14:textId="77777777" w:rsidR="00FA4226" w:rsidRPr="00CA2CC1" w:rsidRDefault="00000000" w:rsidP="0043303B">
            <w:pPr>
              <w:pStyle w:val="TableParagraph"/>
              <w:rPr>
                <w:rFonts w:cs="Calibri"/>
                <w:sz w:val="18"/>
              </w:rPr>
            </w:pPr>
            <w:r w:rsidRPr="00CA2CC1">
              <w:rPr>
                <w:rFonts w:cs="Calibri"/>
                <w:color w:val="414042"/>
                <w:sz w:val="18"/>
              </w:rPr>
              <w:t>-</w:t>
            </w:r>
          </w:p>
        </w:tc>
        <w:tc>
          <w:tcPr>
            <w:tcW w:w="1248" w:type="dxa"/>
            <w:tcBorders>
              <w:top w:val="single" w:sz="2" w:space="0" w:color="73777A"/>
              <w:left w:val="single" w:sz="8" w:space="0" w:color="FFFFFF"/>
              <w:bottom w:val="single" w:sz="2" w:space="0" w:color="73777A"/>
              <w:right w:val="single" w:sz="8" w:space="0" w:color="FFFFFF"/>
            </w:tcBorders>
            <w:shd w:val="clear" w:color="auto" w:fill="FFF0E7"/>
            <w:tcMar>
              <w:right w:w="57" w:type="dxa"/>
            </w:tcMar>
          </w:tcPr>
          <w:p w14:paraId="337A1DE5" w14:textId="77777777" w:rsidR="00FA4226" w:rsidRPr="00CA2CC1" w:rsidRDefault="00000000" w:rsidP="0043303B">
            <w:pPr>
              <w:pStyle w:val="TableParagraph"/>
              <w:rPr>
                <w:rFonts w:cs="Calibri"/>
                <w:sz w:val="18"/>
              </w:rPr>
            </w:pPr>
            <w:r w:rsidRPr="00CA2CC1">
              <w:rPr>
                <w:rFonts w:cs="Calibri"/>
                <w:color w:val="414042"/>
                <w:sz w:val="18"/>
              </w:rPr>
              <w:t>-</w:t>
            </w:r>
          </w:p>
        </w:tc>
        <w:tc>
          <w:tcPr>
            <w:tcW w:w="1248" w:type="dxa"/>
            <w:tcBorders>
              <w:top w:val="single" w:sz="2" w:space="0" w:color="73777A"/>
              <w:left w:val="single" w:sz="8" w:space="0" w:color="FFFFFF"/>
              <w:bottom w:val="single" w:sz="2" w:space="0" w:color="73777A"/>
              <w:right w:val="single" w:sz="8" w:space="0" w:color="FFFFFF"/>
            </w:tcBorders>
            <w:shd w:val="clear" w:color="auto" w:fill="EDEFF0"/>
            <w:tcMar>
              <w:right w:w="57" w:type="dxa"/>
            </w:tcMar>
          </w:tcPr>
          <w:p w14:paraId="6ED996F5" w14:textId="77777777" w:rsidR="00FA4226" w:rsidRPr="00CA2CC1" w:rsidRDefault="00000000" w:rsidP="0043303B">
            <w:pPr>
              <w:pStyle w:val="TableParagraph"/>
              <w:rPr>
                <w:rFonts w:cs="Calibri"/>
                <w:sz w:val="18"/>
              </w:rPr>
            </w:pPr>
            <w:r w:rsidRPr="00CA2CC1">
              <w:rPr>
                <w:rFonts w:cs="Calibri"/>
                <w:color w:val="414042"/>
                <w:sz w:val="18"/>
              </w:rPr>
              <w:t>-</w:t>
            </w:r>
          </w:p>
        </w:tc>
        <w:tc>
          <w:tcPr>
            <w:tcW w:w="1248" w:type="dxa"/>
            <w:tcBorders>
              <w:top w:val="single" w:sz="2" w:space="0" w:color="73777A"/>
              <w:left w:val="single" w:sz="8" w:space="0" w:color="FFFFFF"/>
              <w:bottom w:val="single" w:sz="2" w:space="0" w:color="73777A"/>
              <w:right w:val="nil"/>
            </w:tcBorders>
            <w:shd w:val="clear" w:color="auto" w:fill="FFF0E7"/>
            <w:tcMar>
              <w:right w:w="57" w:type="dxa"/>
            </w:tcMar>
          </w:tcPr>
          <w:p w14:paraId="2C811AC2" w14:textId="77777777" w:rsidR="00FA4226" w:rsidRPr="00CA2CC1" w:rsidRDefault="00000000" w:rsidP="0043303B">
            <w:pPr>
              <w:pStyle w:val="TableParagraph"/>
              <w:rPr>
                <w:rFonts w:cs="Calibri"/>
                <w:sz w:val="18"/>
              </w:rPr>
            </w:pPr>
            <w:r w:rsidRPr="00CA2CC1">
              <w:rPr>
                <w:rFonts w:cs="Calibri"/>
                <w:color w:val="414042"/>
                <w:sz w:val="18"/>
              </w:rPr>
              <w:t>-</w:t>
            </w:r>
          </w:p>
        </w:tc>
      </w:tr>
      <w:tr w:rsidR="00FA4226" w:rsidRPr="00CA2CC1" w14:paraId="084BD0D9" w14:textId="77777777" w:rsidTr="00126374">
        <w:trPr>
          <w:trHeight w:val="498"/>
        </w:trPr>
        <w:tc>
          <w:tcPr>
            <w:tcW w:w="3402" w:type="dxa"/>
            <w:tcBorders>
              <w:top w:val="single" w:sz="2" w:space="0" w:color="73777A"/>
              <w:left w:val="nil"/>
              <w:bottom w:val="single" w:sz="6" w:space="0" w:color="73777A"/>
              <w:right w:val="nil"/>
            </w:tcBorders>
          </w:tcPr>
          <w:p w14:paraId="58027115" w14:textId="77777777" w:rsidR="00FA4226" w:rsidRPr="00CA2CC1" w:rsidRDefault="00000000" w:rsidP="0043303B">
            <w:pPr>
              <w:pStyle w:val="TableParagraph"/>
              <w:spacing w:before="21"/>
              <w:jc w:val="left"/>
              <w:rPr>
                <w:rFonts w:cs="Calibri"/>
                <w:sz w:val="18"/>
              </w:rPr>
            </w:pPr>
            <w:r w:rsidRPr="00CA2CC1">
              <w:rPr>
                <w:rFonts w:cs="Calibri"/>
                <w:color w:val="414042"/>
                <w:sz w:val="18"/>
              </w:rPr>
              <w:t>Net</w:t>
            </w:r>
            <w:r w:rsidRPr="00CA2CC1">
              <w:rPr>
                <w:rFonts w:cs="Calibri"/>
                <w:color w:val="414042"/>
                <w:spacing w:val="-2"/>
                <w:sz w:val="18"/>
              </w:rPr>
              <w:t xml:space="preserve"> </w:t>
            </w:r>
            <w:r w:rsidRPr="00CA2CC1">
              <w:rPr>
                <w:rFonts w:cs="Calibri"/>
                <w:color w:val="414042"/>
                <w:sz w:val="18"/>
              </w:rPr>
              <w:t>cash</w:t>
            </w:r>
            <w:r w:rsidRPr="00CA2CC1">
              <w:rPr>
                <w:rFonts w:cs="Calibri"/>
                <w:color w:val="414042"/>
                <w:spacing w:val="-2"/>
                <w:sz w:val="18"/>
              </w:rPr>
              <w:t xml:space="preserve"> </w:t>
            </w:r>
            <w:r w:rsidRPr="00CA2CC1">
              <w:rPr>
                <w:rFonts w:cs="Calibri"/>
                <w:color w:val="414042"/>
                <w:sz w:val="18"/>
              </w:rPr>
              <w:t>flows</w:t>
            </w:r>
            <w:r w:rsidRPr="00CA2CC1">
              <w:rPr>
                <w:rFonts w:cs="Calibri"/>
                <w:color w:val="414042"/>
                <w:spacing w:val="-2"/>
                <w:sz w:val="18"/>
              </w:rPr>
              <w:t xml:space="preserve"> </w:t>
            </w:r>
            <w:r w:rsidRPr="00CA2CC1">
              <w:rPr>
                <w:rFonts w:cs="Calibri"/>
                <w:color w:val="414042"/>
                <w:sz w:val="18"/>
              </w:rPr>
              <w:t>from/(used</w:t>
            </w:r>
            <w:r w:rsidRPr="00CA2CC1">
              <w:rPr>
                <w:rFonts w:cs="Calibri"/>
                <w:color w:val="414042"/>
                <w:spacing w:val="-2"/>
                <w:sz w:val="18"/>
              </w:rPr>
              <w:t xml:space="preserve"> </w:t>
            </w:r>
            <w:r w:rsidRPr="00CA2CC1">
              <w:rPr>
                <w:rFonts w:cs="Calibri"/>
                <w:color w:val="414042"/>
                <w:sz w:val="18"/>
              </w:rPr>
              <w:t>in) investing activities</w:t>
            </w:r>
          </w:p>
        </w:tc>
        <w:tc>
          <w:tcPr>
            <w:tcW w:w="1248" w:type="dxa"/>
            <w:tcBorders>
              <w:top w:val="single" w:sz="2" w:space="0" w:color="73777A"/>
              <w:left w:val="nil"/>
              <w:bottom w:val="single" w:sz="6" w:space="0" w:color="73777A"/>
              <w:right w:val="single" w:sz="8" w:space="0" w:color="FFFFFF"/>
            </w:tcBorders>
            <w:shd w:val="clear" w:color="auto" w:fill="FFF0E7"/>
            <w:tcMar>
              <w:right w:w="57" w:type="dxa"/>
            </w:tcMar>
          </w:tcPr>
          <w:p w14:paraId="70B9160E" w14:textId="77777777" w:rsidR="00FA4226" w:rsidRPr="00CA2CC1" w:rsidRDefault="00FA4226" w:rsidP="0043303B">
            <w:pPr>
              <w:pStyle w:val="TableParagraph"/>
              <w:spacing w:before="12"/>
              <w:jc w:val="left"/>
              <w:rPr>
                <w:rFonts w:cs="Calibri"/>
                <w:sz w:val="15"/>
              </w:rPr>
            </w:pPr>
          </w:p>
          <w:p w14:paraId="079018B7" w14:textId="77777777" w:rsidR="00FA4226" w:rsidRPr="00CA2CC1" w:rsidRDefault="00000000" w:rsidP="0043303B">
            <w:pPr>
              <w:pStyle w:val="TableParagraph"/>
              <w:rPr>
                <w:rFonts w:cs="Calibri"/>
                <w:sz w:val="18"/>
              </w:rPr>
            </w:pPr>
            <w:r w:rsidRPr="00CA2CC1">
              <w:rPr>
                <w:rFonts w:cs="Calibri"/>
                <w:color w:val="414042"/>
                <w:spacing w:val="-2"/>
                <w:sz w:val="18"/>
              </w:rPr>
              <w:t>(53,815)</w:t>
            </w:r>
          </w:p>
        </w:tc>
        <w:tc>
          <w:tcPr>
            <w:tcW w:w="1248" w:type="dxa"/>
            <w:tcBorders>
              <w:top w:val="single" w:sz="2" w:space="0" w:color="73777A"/>
              <w:left w:val="single" w:sz="8" w:space="0" w:color="FFFFFF"/>
              <w:bottom w:val="single" w:sz="6" w:space="0" w:color="73777A"/>
              <w:right w:val="single" w:sz="8" w:space="0" w:color="FFFFFF"/>
            </w:tcBorders>
            <w:shd w:val="clear" w:color="auto" w:fill="EDEFF0"/>
            <w:tcMar>
              <w:right w:w="57" w:type="dxa"/>
            </w:tcMar>
          </w:tcPr>
          <w:p w14:paraId="3E10E119" w14:textId="77777777" w:rsidR="00FA4226" w:rsidRPr="00CA2CC1" w:rsidRDefault="00FA4226" w:rsidP="0043303B">
            <w:pPr>
              <w:pStyle w:val="TableParagraph"/>
              <w:spacing w:before="12"/>
              <w:jc w:val="left"/>
              <w:rPr>
                <w:rFonts w:cs="Calibri"/>
                <w:sz w:val="15"/>
              </w:rPr>
            </w:pPr>
          </w:p>
          <w:p w14:paraId="289853E6" w14:textId="77777777" w:rsidR="00FA4226" w:rsidRPr="00CA2CC1" w:rsidRDefault="00000000" w:rsidP="0043303B">
            <w:pPr>
              <w:pStyle w:val="TableParagraph"/>
              <w:rPr>
                <w:rFonts w:cs="Calibri"/>
                <w:sz w:val="18"/>
              </w:rPr>
            </w:pPr>
            <w:r w:rsidRPr="00CA2CC1">
              <w:rPr>
                <w:rFonts w:cs="Calibri"/>
                <w:color w:val="414042"/>
                <w:sz w:val="18"/>
              </w:rPr>
              <w:t>-</w:t>
            </w:r>
          </w:p>
        </w:tc>
        <w:tc>
          <w:tcPr>
            <w:tcW w:w="1248" w:type="dxa"/>
            <w:tcBorders>
              <w:top w:val="single" w:sz="2" w:space="0" w:color="73777A"/>
              <w:left w:val="single" w:sz="8" w:space="0" w:color="FFFFFF"/>
              <w:bottom w:val="single" w:sz="6" w:space="0" w:color="73777A"/>
              <w:right w:val="single" w:sz="8" w:space="0" w:color="FFFFFF"/>
            </w:tcBorders>
            <w:shd w:val="clear" w:color="auto" w:fill="FFF0E7"/>
            <w:tcMar>
              <w:right w:w="57" w:type="dxa"/>
            </w:tcMar>
          </w:tcPr>
          <w:p w14:paraId="76D773E5" w14:textId="77777777" w:rsidR="00FA4226" w:rsidRPr="00CA2CC1" w:rsidRDefault="00FA4226" w:rsidP="0043303B">
            <w:pPr>
              <w:pStyle w:val="TableParagraph"/>
              <w:spacing w:before="12"/>
              <w:jc w:val="left"/>
              <w:rPr>
                <w:rFonts w:cs="Calibri"/>
                <w:sz w:val="15"/>
              </w:rPr>
            </w:pPr>
          </w:p>
          <w:p w14:paraId="4286141F" w14:textId="77777777" w:rsidR="00FA4226" w:rsidRPr="00CA2CC1" w:rsidRDefault="00000000" w:rsidP="0043303B">
            <w:pPr>
              <w:pStyle w:val="TableParagraph"/>
              <w:rPr>
                <w:rFonts w:cs="Calibri"/>
                <w:sz w:val="18"/>
              </w:rPr>
            </w:pPr>
            <w:r w:rsidRPr="00CA2CC1">
              <w:rPr>
                <w:rFonts w:cs="Calibri"/>
                <w:color w:val="414042"/>
                <w:sz w:val="18"/>
              </w:rPr>
              <w:t>-</w:t>
            </w:r>
          </w:p>
        </w:tc>
        <w:tc>
          <w:tcPr>
            <w:tcW w:w="1248" w:type="dxa"/>
            <w:tcBorders>
              <w:top w:val="single" w:sz="2" w:space="0" w:color="73777A"/>
              <w:left w:val="single" w:sz="8" w:space="0" w:color="FFFFFF"/>
              <w:bottom w:val="single" w:sz="6" w:space="0" w:color="73777A"/>
              <w:right w:val="single" w:sz="8" w:space="0" w:color="FFFFFF"/>
            </w:tcBorders>
            <w:shd w:val="clear" w:color="auto" w:fill="EDEFF0"/>
            <w:tcMar>
              <w:right w:w="57" w:type="dxa"/>
            </w:tcMar>
          </w:tcPr>
          <w:p w14:paraId="2CBED3BC" w14:textId="77777777" w:rsidR="00FA4226" w:rsidRPr="00CA2CC1" w:rsidRDefault="00FA4226" w:rsidP="0043303B">
            <w:pPr>
              <w:pStyle w:val="TableParagraph"/>
              <w:spacing w:before="12"/>
              <w:jc w:val="left"/>
              <w:rPr>
                <w:rFonts w:cs="Calibri"/>
                <w:sz w:val="15"/>
              </w:rPr>
            </w:pPr>
          </w:p>
          <w:p w14:paraId="2FCDB168" w14:textId="77777777" w:rsidR="00FA4226" w:rsidRPr="00CA2CC1" w:rsidRDefault="00000000" w:rsidP="0043303B">
            <w:pPr>
              <w:pStyle w:val="TableParagraph"/>
              <w:rPr>
                <w:rFonts w:cs="Calibri"/>
                <w:sz w:val="18"/>
              </w:rPr>
            </w:pPr>
            <w:r w:rsidRPr="00CA2CC1">
              <w:rPr>
                <w:rFonts w:cs="Calibri"/>
                <w:color w:val="414042"/>
                <w:sz w:val="18"/>
              </w:rPr>
              <w:t>-</w:t>
            </w:r>
          </w:p>
        </w:tc>
        <w:tc>
          <w:tcPr>
            <w:tcW w:w="1248" w:type="dxa"/>
            <w:tcBorders>
              <w:top w:val="single" w:sz="2" w:space="0" w:color="73777A"/>
              <w:left w:val="single" w:sz="8" w:space="0" w:color="FFFFFF"/>
              <w:bottom w:val="single" w:sz="6" w:space="0" w:color="73777A"/>
              <w:right w:val="nil"/>
            </w:tcBorders>
            <w:shd w:val="clear" w:color="auto" w:fill="FFF0E7"/>
            <w:tcMar>
              <w:right w:w="57" w:type="dxa"/>
            </w:tcMar>
          </w:tcPr>
          <w:p w14:paraId="011BC205" w14:textId="77777777" w:rsidR="00FA4226" w:rsidRPr="00CA2CC1" w:rsidRDefault="00FA4226" w:rsidP="0043303B">
            <w:pPr>
              <w:pStyle w:val="TableParagraph"/>
              <w:spacing w:before="12"/>
              <w:jc w:val="left"/>
              <w:rPr>
                <w:rFonts w:cs="Calibri"/>
                <w:sz w:val="15"/>
              </w:rPr>
            </w:pPr>
          </w:p>
          <w:p w14:paraId="20EEE820" w14:textId="77777777" w:rsidR="00FA4226" w:rsidRPr="00CA2CC1" w:rsidRDefault="00000000" w:rsidP="0043303B">
            <w:pPr>
              <w:pStyle w:val="TableParagraph"/>
              <w:rPr>
                <w:rFonts w:cs="Calibri"/>
                <w:sz w:val="18"/>
              </w:rPr>
            </w:pPr>
            <w:r w:rsidRPr="00CA2CC1">
              <w:rPr>
                <w:rFonts w:cs="Calibri"/>
                <w:color w:val="414042"/>
                <w:sz w:val="18"/>
              </w:rPr>
              <w:t>-</w:t>
            </w:r>
          </w:p>
        </w:tc>
      </w:tr>
      <w:tr w:rsidR="00FA4226" w:rsidRPr="00CA2CC1" w14:paraId="0FCFFBF0" w14:textId="77777777" w:rsidTr="00126374">
        <w:trPr>
          <w:trHeight w:val="278"/>
        </w:trPr>
        <w:tc>
          <w:tcPr>
            <w:tcW w:w="3402" w:type="dxa"/>
            <w:tcBorders>
              <w:top w:val="single" w:sz="6" w:space="0" w:color="73777A"/>
              <w:left w:val="nil"/>
              <w:bottom w:val="single" w:sz="2" w:space="0" w:color="73777A"/>
              <w:right w:val="nil"/>
            </w:tcBorders>
          </w:tcPr>
          <w:p w14:paraId="5F97BCCE" w14:textId="77777777" w:rsidR="00FA4226" w:rsidRPr="00CA2CC1" w:rsidRDefault="00000000" w:rsidP="0043303B">
            <w:pPr>
              <w:pStyle w:val="TableParagraph"/>
              <w:jc w:val="left"/>
              <w:rPr>
                <w:rFonts w:cs="Calibri"/>
                <w:sz w:val="18"/>
              </w:rPr>
            </w:pPr>
            <w:r w:rsidRPr="00CA2CC1">
              <w:rPr>
                <w:rFonts w:cs="Calibri"/>
                <w:color w:val="F68C59"/>
                <w:sz w:val="18"/>
              </w:rPr>
              <w:t>Cash</w:t>
            </w:r>
            <w:r w:rsidRPr="00CA2CC1">
              <w:rPr>
                <w:rFonts w:cs="Calibri"/>
                <w:color w:val="F68C59"/>
                <w:spacing w:val="4"/>
                <w:sz w:val="18"/>
              </w:rPr>
              <w:t xml:space="preserve"> </w:t>
            </w:r>
            <w:r w:rsidRPr="00CA2CC1">
              <w:rPr>
                <w:rFonts w:cs="Calibri"/>
                <w:color w:val="F68C59"/>
                <w:sz w:val="18"/>
              </w:rPr>
              <w:t>flows</w:t>
            </w:r>
            <w:r w:rsidRPr="00CA2CC1">
              <w:rPr>
                <w:rFonts w:cs="Calibri"/>
                <w:color w:val="F68C59"/>
                <w:spacing w:val="6"/>
                <w:sz w:val="18"/>
              </w:rPr>
              <w:t xml:space="preserve"> </w:t>
            </w:r>
            <w:r w:rsidRPr="00CA2CC1">
              <w:rPr>
                <w:rFonts w:cs="Calibri"/>
                <w:color w:val="F68C59"/>
                <w:sz w:val="18"/>
              </w:rPr>
              <w:t>from</w:t>
            </w:r>
            <w:r w:rsidRPr="00CA2CC1">
              <w:rPr>
                <w:rFonts w:cs="Calibri"/>
                <w:color w:val="F68C59"/>
                <w:spacing w:val="6"/>
                <w:sz w:val="18"/>
              </w:rPr>
              <w:t xml:space="preserve"> </w:t>
            </w:r>
            <w:r w:rsidRPr="00CA2CC1">
              <w:rPr>
                <w:rFonts w:cs="Calibri"/>
                <w:color w:val="F68C59"/>
                <w:sz w:val="18"/>
              </w:rPr>
              <w:t>financing</w:t>
            </w:r>
            <w:r w:rsidRPr="00CA2CC1">
              <w:rPr>
                <w:rFonts w:cs="Calibri"/>
                <w:color w:val="F68C59"/>
                <w:spacing w:val="7"/>
                <w:sz w:val="18"/>
              </w:rPr>
              <w:t xml:space="preserve"> </w:t>
            </w:r>
            <w:r w:rsidRPr="00CA2CC1">
              <w:rPr>
                <w:rFonts w:cs="Calibri"/>
                <w:color w:val="F68C59"/>
                <w:spacing w:val="-2"/>
                <w:sz w:val="18"/>
              </w:rPr>
              <w:t>activities</w:t>
            </w:r>
          </w:p>
        </w:tc>
        <w:tc>
          <w:tcPr>
            <w:tcW w:w="1248" w:type="dxa"/>
            <w:tcBorders>
              <w:top w:val="single" w:sz="6" w:space="0" w:color="73777A"/>
              <w:left w:val="nil"/>
              <w:bottom w:val="single" w:sz="2" w:space="0" w:color="73777A"/>
              <w:right w:val="single" w:sz="8" w:space="0" w:color="FFFFFF"/>
            </w:tcBorders>
            <w:shd w:val="clear" w:color="auto" w:fill="FFF0E7"/>
            <w:tcMar>
              <w:right w:w="57" w:type="dxa"/>
            </w:tcMar>
          </w:tcPr>
          <w:p w14:paraId="5B331439" w14:textId="77777777" w:rsidR="00FA4226" w:rsidRPr="00CA2CC1" w:rsidRDefault="00FA4226" w:rsidP="0043303B">
            <w:pPr>
              <w:pStyle w:val="TableParagraph"/>
              <w:jc w:val="left"/>
              <w:rPr>
                <w:rFonts w:cs="Calibri"/>
                <w:sz w:val="16"/>
              </w:rPr>
            </w:pPr>
          </w:p>
        </w:tc>
        <w:tc>
          <w:tcPr>
            <w:tcW w:w="1248" w:type="dxa"/>
            <w:tcBorders>
              <w:top w:val="single" w:sz="6" w:space="0" w:color="73777A"/>
              <w:left w:val="single" w:sz="8" w:space="0" w:color="FFFFFF"/>
              <w:bottom w:val="single" w:sz="2" w:space="0" w:color="73777A"/>
              <w:right w:val="single" w:sz="8" w:space="0" w:color="FFFFFF"/>
            </w:tcBorders>
            <w:shd w:val="clear" w:color="auto" w:fill="EDEFF0"/>
            <w:tcMar>
              <w:right w:w="57" w:type="dxa"/>
            </w:tcMar>
          </w:tcPr>
          <w:p w14:paraId="519BA7B9" w14:textId="77777777" w:rsidR="00FA4226" w:rsidRPr="00CA2CC1" w:rsidRDefault="00FA4226" w:rsidP="0043303B">
            <w:pPr>
              <w:pStyle w:val="TableParagraph"/>
              <w:jc w:val="left"/>
              <w:rPr>
                <w:rFonts w:cs="Calibri"/>
                <w:sz w:val="16"/>
              </w:rPr>
            </w:pPr>
          </w:p>
        </w:tc>
        <w:tc>
          <w:tcPr>
            <w:tcW w:w="1248" w:type="dxa"/>
            <w:tcBorders>
              <w:top w:val="single" w:sz="6" w:space="0" w:color="73777A"/>
              <w:left w:val="single" w:sz="8" w:space="0" w:color="FFFFFF"/>
              <w:bottom w:val="single" w:sz="2" w:space="0" w:color="73777A"/>
              <w:right w:val="single" w:sz="8" w:space="0" w:color="FFFFFF"/>
            </w:tcBorders>
            <w:shd w:val="clear" w:color="auto" w:fill="FFF0E7"/>
            <w:tcMar>
              <w:right w:w="57" w:type="dxa"/>
            </w:tcMar>
          </w:tcPr>
          <w:p w14:paraId="5B7E35F4" w14:textId="77777777" w:rsidR="00FA4226" w:rsidRPr="00CA2CC1" w:rsidRDefault="00FA4226" w:rsidP="0043303B">
            <w:pPr>
              <w:pStyle w:val="TableParagraph"/>
              <w:jc w:val="left"/>
              <w:rPr>
                <w:rFonts w:cs="Calibri"/>
                <w:sz w:val="16"/>
              </w:rPr>
            </w:pPr>
          </w:p>
        </w:tc>
        <w:tc>
          <w:tcPr>
            <w:tcW w:w="1248" w:type="dxa"/>
            <w:tcBorders>
              <w:top w:val="single" w:sz="6" w:space="0" w:color="73777A"/>
              <w:left w:val="single" w:sz="8" w:space="0" w:color="FFFFFF"/>
              <w:bottom w:val="single" w:sz="2" w:space="0" w:color="73777A"/>
              <w:right w:val="single" w:sz="8" w:space="0" w:color="FFFFFF"/>
            </w:tcBorders>
            <w:shd w:val="clear" w:color="auto" w:fill="EDEFF0"/>
            <w:tcMar>
              <w:right w:w="57" w:type="dxa"/>
            </w:tcMar>
          </w:tcPr>
          <w:p w14:paraId="13E8B200" w14:textId="77777777" w:rsidR="00FA4226" w:rsidRPr="00CA2CC1" w:rsidRDefault="00FA4226" w:rsidP="0043303B">
            <w:pPr>
              <w:pStyle w:val="TableParagraph"/>
              <w:jc w:val="left"/>
              <w:rPr>
                <w:rFonts w:cs="Calibri"/>
                <w:sz w:val="16"/>
              </w:rPr>
            </w:pPr>
          </w:p>
        </w:tc>
        <w:tc>
          <w:tcPr>
            <w:tcW w:w="1248" w:type="dxa"/>
            <w:tcBorders>
              <w:top w:val="single" w:sz="6" w:space="0" w:color="73777A"/>
              <w:left w:val="single" w:sz="8" w:space="0" w:color="FFFFFF"/>
              <w:bottom w:val="single" w:sz="2" w:space="0" w:color="73777A"/>
              <w:right w:val="nil"/>
            </w:tcBorders>
            <w:shd w:val="clear" w:color="auto" w:fill="FFF0E7"/>
            <w:tcMar>
              <w:right w:w="57" w:type="dxa"/>
            </w:tcMar>
          </w:tcPr>
          <w:p w14:paraId="6101741A" w14:textId="77777777" w:rsidR="00FA4226" w:rsidRPr="00CA2CC1" w:rsidRDefault="00FA4226" w:rsidP="0043303B">
            <w:pPr>
              <w:pStyle w:val="TableParagraph"/>
              <w:jc w:val="left"/>
              <w:rPr>
                <w:rFonts w:cs="Calibri"/>
                <w:sz w:val="16"/>
              </w:rPr>
            </w:pPr>
          </w:p>
        </w:tc>
      </w:tr>
      <w:tr w:rsidR="00FA4226" w:rsidRPr="00CA2CC1" w14:paraId="1D12E54D" w14:textId="77777777" w:rsidTr="00126374">
        <w:trPr>
          <w:trHeight w:val="283"/>
        </w:trPr>
        <w:tc>
          <w:tcPr>
            <w:tcW w:w="3402" w:type="dxa"/>
            <w:tcBorders>
              <w:top w:val="single" w:sz="2" w:space="0" w:color="73777A"/>
              <w:left w:val="nil"/>
              <w:bottom w:val="single" w:sz="2" w:space="0" w:color="73777A"/>
              <w:right w:val="nil"/>
            </w:tcBorders>
          </w:tcPr>
          <w:p w14:paraId="3900EEA5" w14:textId="77777777" w:rsidR="00FA4226" w:rsidRPr="00CA2CC1" w:rsidRDefault="00000000" w:rsidP="0043303B">
            <w:pPr>
              <w:pStyle w:val="TableParagraph"/>
              <w:jc w:val="left"/>
              <w:rPr>
                <w:rFonts w:cs="Calibri"/>
                <w:sz w:val="18"/>
              </w:rPr>
            </w:pPr>
            <w:r w:rsidRPr="00CA2CC1">
              <w:rPr>
                <w:rFonts w:cs="Calibri"/>
                <w:color w:val="414042"/>
                <w:sz w:val="18"/>
              </w:rPr>
              <w:t>Repayment</w:t>
            </w:r>
            <w:r w:rsidRPr="00CA2CC1">
              <w:rPr>
                <w:rFonts w:cs="Calibri"/>
                <w:color w:val="414042"/>
                <w:spacing w:val="3"/>
                <w:sz w:val="18"/>
              </w:rPr>
              <w:t xml:space="preserve"> </w:t>
            </w:r>
            <w:r w:rsidRPr="00CA2CC1">
              <w:rPr>
                <w:rFonts w:cs="Calibri"/>
                <w:color w:val="414042"/>
                <w:sz w:val="18"/>
              </w:rPr>
              <w:t>of</w:t>
            </w:r>
            <w:r w:rsidRPr="00CA2CC1">
              <w:rPr>
                <w:rFonts w:cs="Calibri"/>
                <w:color w:val="414042"/>
                <w:spacing w:val="4"/>
                <w:sz w:val="18"/>
              </w:rPr>
              <w:t xml:space="preserve"> </w:t>
            </w:r>
            <w:r w:rsidRPr="00CA2CC1">
              <w:rPr>
                <w:rFonts w:cs="Calibri"/>
                <w:color w:val="414042"/>
                <w:spacing w:val="-2"/>
                <w:sz w:val="18"/>
              </w:rPr>
              <w:t>leases</w:t>
            </w:r>
          </w:p>
        </w:tc>
        <w:tc>
          <w:tcPr>
            <w:tcW w:w="1248" w:type="dxa"/>
            <w:tcBorders>
              <w:top w:val="single" w:sz="2" w:space="0" w:color="73777A"/>
              <w:left w:val="nil"/>
              <w:bottom w:val="single" w:sz="2" w:space="0" w:color="73777A"/>
              <w:right w:val="single" w:sz="8" w:space="0" w:color="FFFFFF"/>
            </w:tcBorders>
            <w:shd w:val="clear" w:color="auto" w:fill="FFF0E7"/>
            <w:tcMar>
              <w:right w:w="57" w:type="dxa"/>
            </w:tcMar>
          </w:tcPr>
          <w:p w14:paraId="73CFFC37" w14:textId="77777777" w:rsidR="00FA4226" w:rsidRPr="00CA2CC1" w:rsidRDefault="00000000" w:rsidP="0043303B">
            <w:pPr>
              <w:pStyle w:val="TableParagraph"/>
              <w:rPr>
                <w:rFonts w:cs="Calibri"/>
                <w:sz w:val="18"/>
              </w:rPr>
            </w:pPr>
            <w:r w:rsidRPr="00CA2CC1">
              <w:rPr>
                <w:rFonts w:cs="Calibri"/>
                <w:color w:val="414042"/>
                <w:spacing w:val="-2"/>
                <w:sz w:val="18"/>
              </w:rPr>
              <w:t>(362,853)</w:t>
            </w:r>
          </w:p>
        </w:tc>
        <w:tc>
          <w:tcPr>
            <w:tcW w:w="1248" w:type="dxa"/>
            <w:tcBorders>
              <w:top w:val="single" w:sz="2" w:space="0" w:color="73777A"/>
              <w:left w:val="single" w:sz="8" w:space="0" w:color="FFFFFF"/>
              <w:bottom w:val="single" w:sz="2" w:space="0" w:color="73777A"/>
              <w:right w:val="single" w:sz="8" w:space="0" w:color="FFFFFF"/>
            </w:tcBorders>
            <w:shd w:val="clear" w:color="auto" w:fill="EDEFF0"/>
            <w:tcMar>
              <w:right w:w="57" w:type="dxa"/>
            </w:tcMar>
          </w:tcPr>
          <w:p w14:paraId="0D0BC6BD" w14:textId="77777777" w:rsidR="00FA4226" w:rsidRPr="00CA2CC1" w:rsidRDefault="00000000" w:rsidP="0043303B">
            <w:pPr>
              <w:pStyle w:val="TableParagraph"/>
              <w:rPr>
                <w:rFonts w:cs="Calibri"/>
                <w:sz w:val="18"/>
              </w:rPr>
            </w:pPr>
            <w:r w:rsidRPr="00CA2CC1">
              <w:rPr>
                <w:rFonts w:cs="Calibri"/>
                <w:color w:val="414042"/>
                <w:spacing w:val="-2"/>
                <w:sz w:val="18"/>
              </w:rPr>
              <w:t>(336,038)</w:t>
            </w:r>
          </w:p>
        </w:tc>
        <w:tc>
          <w:tcPr>
            <w:tcW w:w="1248" w:type="dxa"/>
            <w:tcBorders>
              <w:top w:val="single" w:sz="2" w:space="0" w:color="73777A"/>
              <w:left w:val="single" w:sz="8" w:space="0" w:color="FFFFFF"/>
              <w:bottom w:val="single" w:sz="2" w:space="0" w:color="73777A"/>
              <w:right w:val="single" w:sz="8" w:space="0" w:color="FFFFFF"/>
            </w:tcBorders>
            <w:shd w:val="clear" w:color="auto" w:fill="FFF0E7"/>
            <w:tcMar>
              <w:right w:w="57" w:type="dxa"/>
            </w:tcMar>
          </w:tcPr>
          <w:p w14:paraId="17D404C6" w14:textId="77777777" w:rsidR="00FA4226" w:rsidRPr="00CA2CC1" w:rsidRDefault="00000000" w:rsidP="0043303B">
            <w:pPr>
              <w:pStyle w:val="TableParagraph"/>
              <w:rPr>
                <w:rFonts w:cs="Calibri"/>
                <w:sz w:val="18"/>
              </w:rPr>
            </w:pPr>
            <w:r w:rsidRPr="00CA2CC1">
              <w:rPr>
                <w:rFonts w:cs="Calibri"/>
                <w:color w:val="414042"/>
                <w:spacing w:val="-5"/>
                <w:sz w:val="18"/>
              </w:rPr>
              <w:t>421</w:t>
            </w:r>
          </w:p>
        </w:tc>
        <w:tc>
          <w:tcPr>
            <w:tcW w:w="1248" w:type="dxa"/>
            <w:tcBorders>
              <w:top w:val="single" w:sz="2" w:space="0" w:color="73777A"/>
              <w:left w:val="single" w:sz="8" w:space="0" w:color="FFFFFF"/>
              <w:bottom w:val="single" w:sz="2" w:space="0" w:color="73777A"/>
              <w:right w:val="single" w:sz="8" w:space="0" w:color="FFFFFF"/>
            </w:tcBorders>
            <w:shd w:val="clear" w:color="auto" w:fill="EDEFF0"/>
            <w:tcMar>
              <w:right w:w="57" w:type="dxa"/>
            </w:tcMar>
          </w:tcPr>
          <w:p w14:paraId="3BC7D7AD" w14:textId="77777777" w:rsidR="00FA4226" w:rsidRPr="00CA2CC1" w:rsidRDefault="00000000" w:rsidP="0043303B">
            <w:pPr>
              <w:pStyle w:val="TableParagraph"/>
              <w:rPr>
                <w:rFonts w:cs="Calibri"/>
                <w:sz w:val="18"/>
              </w:rPr>
            </w:pPr>
            <w:r w:rsidRPr="00CA2CC1">
              <w:rPr>
                <w:rFonts w:cs="Calibri"/>
                <w:color w:val="414042"/>
                <w:sz w:val="18"/>
              </w:rPr>
              <w:t>-</w:t>
            </w:r>
          </w:p>
        </w:tc>
        <w:tc>
          <w:tcPr>
            <w:tcW w:w="1248" w:type="dxa"/>
            <w:tcBorders>
              <w:top w:val="single" w:sz="2" w:space="0" w:color="73777A"/>
              <w:left w:val="single" w:sz="8" w:space="0" w:color="FFFFFF"/>
              <w:bottom w:val="single" w:sz="2" w:space="0" w:color="73777A"/>
              <w:right w:val="nil"/>
            </w:tcBorders>
            <w:shd w:val="clear" w:color="auto" w:fill="FFF0E7"/>
            <w:tcMar>
              <w:right w:w="57" w:type="dxa"/>
            </w:tcMar>
          </w:tcPr>
          <w:p w14:paraId="7CA9E714" w14:textId="77777777" w:rsidR="00FA4226" w:rsidRPr="00CA2CC1" w:rsidRDefault="00000000" w:rsidP="0043303B">
            <w:pPr>
              <w:pStyle w:val="TableParagraph"/>
              <w:rPr>
                <w:rFonts w:cs="Calibri"/>
                <w:sz w:val="18"/>
              </w:rPr>
            </w:pPr>
            <w:r w:rsidRPr="00CA2CC1">
              <w:rPr>
                <w:rFonts w:cs="Calibri"/>
                <w:color w:val="414042"/>
                <w:spacing w:val="-2"/>
                <w:sz w:val="18"/>
              </w:rPr>
              <w:t>(336,459)</w:t>
            </w:r>
          </w:p>
        </w:tc>
      </w:tr>
      <w:tr w:rsidR="00FA4226" w:rsidRPr="00CA2CC1" w14:paraId="5EE9F147" w14:textId="77777777" w:rsidTr="00126374">
        <w:trPr>
          <w:trHeight w:val="498"/>
        </w:trPr>
        <w:tc>
          <w:tcPr>
            <w:tcW w:w="3402" w:type="dxa"/>
            <w:tcBorders>
              <w:top w:val="single" w:sz="2" w:space="0" w:color="73777A"/>
              <w:left w:val="nil"/>
              <w:bottom w:val="single" w:sz="6" w:space="0" w:color="73777A"/>
              <w:right w:val="nil"/>
            </w:tcBorders>
          </w:tcPr>
          <w:p w14:paraId="78F37830" w14:textId="77777777" w:rsidR="00FA4226" w:rsidRPr="00CA2CC1" w:rsidRDefault="00000000" w:rsidP="0043303B">
            <w:pPr>
              <w:pStyle w:val="TableParagraph"/>
              <w:spacing w:before="21"/>
              <w:jc w:val="left"/>
              <w:rPr>
                <w:rFonts w:cs="Calibri"/>
                <w:sz w:val="18"/>
              </w:rPr>
            </w:pPr>
            <w:r w:rsidRPr="00CA2CC1">
              <w:rPr>
                <w:rFonts w:cs="Calibri"/>
                <w:color w:val="414042"/>
                <w:sz w:val="18"/>
              </w:rPr>
              <w:t>Net</w:t>
            </w:r>
            <w:r w:rsidRPr="00CA2CC1">
              <w:rPr>
                <w:rFonts w:cs="Calibri"/>
                <w:color w:val="414042"/>
                <w:spacing w:val="-2"/>
                <w:sz w:val="18"/>
              </w:rPr>
              <w:t xml:space="preserve"> </w:t>
            </w:r>
            <w:r w:rsidRPr="00CA2CC1">
              <w:rPr>
                <w:rFonts w:cs="Calibri"/>
                <w:color w:val="414042"/>
                <w:sz w:val="18"/>
              </w:rPr>
              <w:t>cash</w:t>
            </w:r>
            <w:r w:rsidRPr="00CA2CC1">
              <w:rPr>
                <w:rFonts w:cs="Calibri"/>
                <w:color w:val="414042"/>
                <w:spacing w:val="-2"/>
                <w:sz w:val="18"/>
              </w:rPr>
              <w:t xml:space="preserve"> </w:t>
            </w:r>
            <w:r w:rsidRPr="00CA2CC1">
              <w:rPr>
                <w:rFonts w:cs="Calibri"/>
                <w:color w:val="414042"/>
                <w:sz w:val="18"/>
              </w:rPr>
              <w:t>flows</w:t>
            </w:r>
            <w:r w:rsidRPr="00CA2CC1">
              <w:rPr>
                <w:rFonts w:cs="Calibri"/>
                <w:color w:val="414042"/>
                <w:spacing w:val="-2"/>
                <w:sz w:val="18"/>
              </w:rPr>
              <w:t xml:space="preserve"> </w:t>
            </w:r>
            <w:r w:rsidRPr="00CA2CC1">
              <w:rPr>
                <w:rFonts w:cs="Calibri"/>
                <w:color w:val="414042"/>
                <w:sz w:val="18"/>
              </w:rPr>
              <w:t>from/(used</w:t>
            </w:r>
            <w:r w:rsidRPr="00CA2CC1">
              <w:rPr>
                <w:rFonts w:cs="Calibri"/>
                <w:color w:val="414042"/>
                <w:spacing w:val="-2"/>
                <w:sz w:val="18"/>
              </w:rPr>
              <w:t xml:space="preserve"> </w:t>
            </w:r>
            <w:r w:rsidRPr="00CA2CC1">
              <w:rPr>
                <w:rFonts w:cs="Calibri"/>
                <w:color w:val="414042"/>
                <w:sz w:val="18"/>
              </w:rPr>
              <w:t>in) financing activities</w:t>
            </w:r>
          </w:p>
        </w:tc>
        <w:tc>
          <w:tcPr>
            <w:tcW w:w="1248" w:type="dxa"/>
            <w:tcBorders>
              <w:top w:val="single" w:sz="2" w:space="0" w:color="73777A"/>
              <w:left w:val="nil"/>
              <w:bottom w:val="single" w:sz="6" w:space="0" w:color="73777A"/>
              <w:right w:val="single" w:sz="8" w:space="0" w:color="FFFFFF"/>
            </w:tcBorders>
            <w:shd w:val="clear" w:color="auto" w:fill="FFF0E7"/>
            <w:tcMar>
              <w:right w:w="57" w:type="dxa"/>
            </w:tcMar>
          </w:tcPr>
          <w:p w14:paraId="2F56B2A3" w14:textId="77777777" w:rsidR="00FA4226" w:rsidRPr="00CA2CC1" w:rsidRDefault="00FA4226" w:rsidP="0043303B">
            <w:pPr>
              <w:pStyle w:val="TableParagraph"/>
              <w:spacing w:before="12"/>
              <w:jc w:val="left"/>
              <w:rPr>
                <w:rFonts w:cs="Calibri"/>
                <w:sz w:val="15"/>
              </w:rPr>
            </w:pPr>
          </w:p>
          <w:p w14:paraId="2C0FF1F4" w14:textId="77777777" w:rsidR="00FA4226" w:rsidRPr="00CA2CC1" w:rsidRDefault="00000000" w:rsidP="0043303B">
            <w:pPr>
              <w:pStyle w:val="TableParagraph"/>
              <w:rPr>
                <w:rFonts w:cs="Calibri"/>
                <w:sz w:val="18"/>
              </w:rPr>
            </w:pPr>
            <w:r w:rsidRPr="00CA2CC1">
              <w:rPr>
                <w:rFonts w:cs="Calibri"/>
                <w:color w:val="414042"/>
                <w:spacing w:val="-2"/>
                <w:sz w:val="18"/>
              </w:rPr>
              <w:t>(362,853)</w:t>
            </w:r>
          </w:p>
        </w:tc>
        <w:tc>
          <w:tcPr>
            <w:tcW w:w="1248" w:type="dxa"/>
            <w:tcBorders>
              <w:top w:val="single" w:sz="2" w:space="0" w:color="73777A"/>
              <w:left w:val="single" w:sz="8" w:space="0" w:color="FFFFFF"/>
              <w:bottom w:val="single" w:sz="6" w:space="0" w:color="73777A"/>
              <w:right w:val="single" w:sz="8" w:space="0" w:color="FFFFFF"/>
            </w:tcBorders>
            <w:shd w:val="clear" w:color="auto" w:fill="EDEFF0"/>
            <w:tcMar>
              <w:right w:w="57" w:type="dxa"/>
            </w:tcMar>
          </w:tcPr>
          <w:p w14:paraId="7AC1F634" w14:textId="77777777" w:rsidR="00FA4226" w:rsidRPr="00CA2CC1" w:rsidRDefault="00FA4226" w:rsidP="0043303B">
            <w:pPr>
              <w:pStyle w:val="TableParagraph"/>
              <w:spacing w:before="12"/>
              <w:jc w:val="left"/>
              <w:rPr>
                <w:rFonts w:cs="Calibri"/>
                <w:sz w:val="15"/>
              </w:rPr>
            </w:pPr>
          </w:p>
          <w:p w14:paraId="7E0F1D8D" w14:textId="77777777" w:rsidR="00FA4226" w:rsidRPr="00CA2CC1" w:rsidRDefault="00000000" w:rsidP="0043303B">
            <w:pPr>
              <w:pStyle w:val="TableParagraph"/>
              <w:rPr>
                <w:rFonts w:cs="Calibri"/>
                <w:sz w:val="18"/>
              </w:rPr>
            </w:pPr>
            <w:r w:rsidRPr="00CA2CC1">
              <w:rPr>
                <w:rFonts w:cs="Calibri"/>
                <w:color w:val="414042"/>
                <w:spacing w:val="-2"/>
                <w:sz w:val="18"/>
              </w:rPr>
              <w:t>(336,038)</w:t>
            </w:r>
          </w:p>
        </w:tc>
        <w:tc>
          <w:tcPr>
            <w:tcW w:w="1248" w:type="dxa"/>
            <w:tcBorders>
              <w:top w:val="single" w:sz="2" w:space="0" w:color="73777A"/>
              <w:left w:val="single" w:sz="8" w:space="0" w:color="FFFFFF"/>
              <w:bottom w:val="single" w:sz="6" w:space="0" w:color="73777A"/>
              <w:right w:val="single" w:sz="8" w:space="0" w:color="FFFFFF"/>
            </w:tcBorders>
            <w:shd w:val="clear" w:color="auto" w:fill="FFF0E7"/>
            <w:tcMar>
              <w:right w:w="57" w:type="dxa"/>
            </w:tcMar>
          </w:tcPr>
          <w:p w14:paraId="24EDA362" w14:textId="77777777" w:rsidR="00FA4226" w:rsidRPr="00CA2CC1" w:rsidRDefault="00FA4226" w:rsidP="0043303B">
            <w:pPr>
              <w:pStyle w:val="TableParagraph"/>
              <w:spacing w:before="12"/>
              <w:jc w:val="left"/>
              <w:rPr>
                <w:rFonts w:cs="Calibri"/>
                <w:sz w:val="15"/>
              </w:rPr>
            </w:pPr>
          </w:p>
          <w:p w14:paraId="4BA1B580" w14:textId="77777777" w:rsidR="00FA4226" w:rsidRPr="00CA2CC1" w:rsidRDefault="00000000" w:rsidP="0043303B">
            <w:pPr>
              <w:pStyle w:val="TableParagraph"/>
              <w:rPr>
                <w:rFonts w:cs="Calibri"/>
                <w:sz w:val="18"/>
              </w:rPr>
            </w:pPr>
            <w:r w:rsidRPr="00CA2CC1">
              <w:rPr>
                <w:rFonts w:cs="Calibri"/>
                <w:color w:val="414042"/>
                <w:spacing w:val="-5"/>
                <w:sz w:val="18"/>
              </w:rPr>
              <w:t>421</w:t>
            </w:r>
          </w:p>
        </w:tc>
        <w:tc>
          <w:tcPr>
            <w:tcW w:w="1248" w:type="dxa"/>
            <w:tcBorders>
              <w:top w:val="single" w:sz="2" w:space="0" w:color="73777A"/>
              <w:left w:val="single" w:sz="8" w:space="0" w:color="FFFFFF"/>
              <w:bottom w:val="single" w:sz="6" w:space="0" w:color="73777A"/>
              <w:right w:val="single" w:sz="8" w:space="0" w:color="FFFFFF"/>
            </w:tcBorders>
            <w:shd w:val="clear" w:color="auto" w:fill="EDEFF0"/>
            <w:tcMar>
              <w:right w:w="57" w:type="dxa"/>
            </w:tcMar>
          </w:tcPr>
          <w:p w14:paraId="15BCD39B" w14:textId="77777777" w:rsidR="00FA4226" w:rsidRPr="00CA2CC1" w:rsidRDefault="00FA4226" w:rsidP="0043303B">
            <w:pPr>
              <w:pStyle w:val="TableParagraph"/>
              <w:spacing w:before="12"/>
              <w:jc w:val="left"/>
              <w:rPr>
                <w:rFonts w:cs="Calibri"/>
                <w:sz w:val="15"/>
              </w:rPr>
            </w:pPr>
          </w:p>
          <w:p w14:paraId="080EAE90" w14:textId="77777777" w:rsidR="00FA4226" w:rsidRPr="00CA2CC1" w:rsidRDefault="00000000" w:rsidP="0043303B">
            <w:pPr>
              <w:pStyle w:val="TableParagraph"/>
              <w:rPr>
                <w:rFonts w:cs="Calibri"/>
                <w:sz w:val="18"/>
              </w:rPr>
            </w:pPr>
            <w:r w:rsidRPr="00CA2CC1">
              <w:rPr>
                <w:rFonts w:cs="Calibri"/>
                <w:color w:val="414042"/>
                <w:sz w:val="18"/>
              </w:rPr>
              <w:t>-</w:t>
            </w:r>
          </w:p>
        </w:tc>
        <w:tc>
          <w:tcPr>
            <w:tcW w:w="1248" w:type="dxa"/>
            <w:tcBorders>
              <w:top w:val="single" w:sz="2" w:space="0" w:color="73777A"/>
              <w:left w:val="single" w:sz="8" w:space="0" w:color="FFFFFF"/>
              <w:bottom w:val="single" w:sz="6" w:space="0" w:color="73777A"/>
              <w:right w:val="nil"/>
            </w:tcBorders>
            <w:shd w:val="clear" w:color="auto" w:fill="FFF0E7"/>
            <w:tcMar>
              <w:right w:w="57" w:type="dxa"/>
            </w:tcMar>
          </w:tcPr>
          <w:p w14:paraId="364B8834" w14:textId="77777777" w:rsidR="00FA4226" w:rsidRPr="00CA2CC1" w:rsidRDefault="00FA4226" w:rsidP="0043303B">
            <w:pPr>
              <w:pStyle w:val="TableParagraph"/>
              <w:spacing w:before="12"/>
              <w:jc w:val="left"/>
              <w:rPr>
                <w:rFonts w:cs="Calibri"/>
                <w:sz w:val="15"/>
              </w:rPr>
            </w:pPr>
          </w:p>
          <w:p w14:paraId="0AB50E15" w14:textId="77777777" w:rsidR="00FA4226" w:rsidRPr="00CA2CC1" w:rsidRDefault="00000000" w:rsidP="0043303B">
            <w:pPr>
              <w:pStyle w:val="TableParagraph"/>
              <w:rPr>
                <w:rFonts w:cs="Calibri"/>
                <w:sz w:val="18"/>
              </w:rPr>
            </w:pPr>
            <w:r w:rsidRPr="00CA2CC1">
              <w:rPr>
                <w:rFonts w:cs="Calibri"/>
                <w:color w:val="414042"/>
                <w:spacing w:val="-2"/>
                <w:sz w:val="18"/>
              </w:rPr>
              <w:t>(336,459)</w:t>
            </w:r>
          </w:p>
        </w:tc>
      </w:tr>
      <w:tr w:rsidR="00FA4226" w:rsidRPr="00CA2CC1" w14:paraId="495B0D72" w14:textId="77777777" w:rsidTr="00126374">
        <w:trPr>
          <w:trHeight w:val="493"/>
        </w:trPr>
        <w:tc>
          <w:tcPr>
            <w:tcW w:w="3402" w:type="dxa"/>
            <w:tcBorders>
              <w:top w:val="single" w:sz="6" w:space="0" w:color="73777A"/>
              <w:left w:val="nil"/>
              <w:bottom w:val="single" w:sz="6" w:space="0" w:color="73777A"/>
              <w:right w:val="nil"/>
            </w:tcBorders>
          </w:tcPr>
          <w:p w14:paraId="4FDA0CBB" w14:textId="77777777" w:rsidR="00FA4226" w:rsidRPr="00CA2CC1" w:rsidRDefault="00000000" w:rsidP="0043303B">
            <w:pPr>
              <w:pStyle w:val="TableParagraph"/>
              <w:spacing w:before="16"/>
              <w:jc w:val="left"/>
              <w:rPr>
                <w:rFonts w:cs="Calibri"/>
                <w:sz w:val="18"/>
              </w:rPr>
            </w:pPr>
            <w:r w:rsidRPr="00CA2CC1">
              <w:rPr>
                <w:rFonts w:cs="Calibri"/>
                <w:color w:val="414042"/>
                <w:sz w:val="18"/>
              </w:rPr>
              <w:t>Net increase/(decrease) in cash and cash equivalents</w:t>
            </w:r>
          </w:p>
        </w:tc>
        <w:tc>
          <w:tcPr>
            <w:tcW w:w="1248" w:type="dxa"/>
            <w:tcBorders>
              <w:top w:val="single" w:sz="6" w:space="0" w:color="73777A"/>
              <w:left w:val="nil"/>
              <w:bottom w:val="single" w:sz="6" w:space="0" w:color="73777A"/>
              <w:right w:val="single" w:sz="8" w:space="0" w:color="FFFFFF"/>
            </w:tcBorders>
            <w:shd w:val="clear" w:color="auto" w:fill="FFF0E7"/>
            <w:tcMar>
              <w:right w:w="57" w:type="dxa"/>
            </w:tcMar>
          </w:tcPr>
          <w:p w14:paraId="7B2736E6" w14:textId="77777777" w:rsidR="00FA4226" w:rsidRPr="00CA2CC1" w:rsidRDefault="00FA4226" w:rsidP="0043303B">
            <w:pPr>
              <w:pStyle w:val="TableParagraph"/>
              <w:spacing w:before="7"/>
              <w:jc w:val="left"/>
              <w:rPr>
                <w:rFonts w:cs="Calibri"/>
                <w:sz w:val="15"/>
              </w:rPr>
            </w:pPr>
          </w:p>
          <w:p w14:paraId="2A721502" w14:textId="77777777" w:rsidR="00FA4226" w:rsidRPr="00CA2CC1" w:rsidRDefault="00000000" w:rsidP="0043303B">
            <w:pPr>
              <w:pStyle w:val="TableParagraph"/>
              <w:rPr>
                <w:rFonts w:cs="Calibri"/>
                <w:sz w:val="18"/>
              </w:rPr>
            </w:pPr>
            <w:r w:rsidRPr="00CA2CC1">
              <w:rPr>
                <w:rFonts w:cs="Calibri"/>
                <w:color w:val="414042"/>
                <w:sz w:val="18"/>
              </w:rPr>
              <w:t>-</w:t>
            </w:r>
          </w:p>
        </w:tc>
        <w:tc>
          <w:tcPr>
            <w:tcW w:w="1248" w:type="dxa"/>
            <w:tcBorders>
              <w:top w:val="single" w:sz="6" w:space="0" w:color="73777A"/>
              <w:left w:val="single" w:sz="8" w:space="0" w:color="FFFFFF"/>
              <w:bottom w:val="single" w:sz="6" w:space="0" w:color="73777A"/>
              <w:right w:val="single" w:sz="8" w:space="0" w:color="FFFFFF"/>
            </w:tcBorders>
            <w:shd w:val="clear" w:color="auto" w:fill="EDEFF0"/>
            <w:tcMar>
              <w:right w:w="57" w:type="dxa"/>
            </w:tcMar>
          </w:tcPr>
          <w:p w14:paraId="759CC683" w14:textId="77777777" w:rsidR="00FA4226" w:rsidRPr="00CA2CC1" w:rsidRDefault="00FA4226" w:rsidP="0043303B">
            <w:pPr>
              <w:pStyle w:val="TableParagraph"/>
              <w:spacing w:before="7"/>
              <w:jc w:val="left"/>
              <w:rPr>
                <w:rFonts w:cs="Calibri"/>
                <w:sz w:val="15"/>
              </w:rPr>
            </w:pPr>
          </w:p>
          <w:p w14:paraId="1A789929" w14:textId="77777777" w:rsidR="00FA4226" w:rsidRPr="00CA2CC1" w:rsidRDefault="00000000" w:rsidP="0043303B">
            <w:pPr>
              <w:pStyle w:val="TableParagraph"/>
              <w:rPr>
                <w:rFonts w:cs="Calibri"/>
                <w:sz w:val="18"/>
              </w:rPr>
            </w:pPr>
            <w:r w:rsidRPr="00CA2CC1">
              <w:rPr>
                <w:rFonts w:cs="Calibri"/>
                <w:color w:val="414042"/>
                <w:sz w:val="18"/>
              </w:rPr>
              <w:t>-</w:t>
            </w:r>
          </w:p>
        </w:tc>
        <w:tc>
          <w:tcPr>
            <w:tcW w:w="1248" w:type="dxa"/>
            <w:tcBorders>
              <w:top w:val="single" w:sz="6" w:space="0" w:color="73777A"/>
              <w:left w:val="single" w:sz="8" w:space="0" w:color="FFFFFF"/>
              <w:bottom w:val="single" w:sz="6" w:space="0" w:color="73777A"/>
              <w:right w:val="single" w:sz="8" w:space="0" w:color="FFFFFF"/>
            </w:tcBorders>
            <w:shd w:val="clear" w:color="auto" w:fill="FFF0E7"/>
            <w:tcMar>
              <w:right w:w="57" w:type="dxa"/>
            </w:tcMar>
          </w:tcPr>
          <w:p w14:paraId="1F988041" w14:textId="77777777" w:rsidR="00FA4226" w:rsidRPr="00CA2CC1" w:rsidRDefault="00FA4226" w:rsidP="0043303B">
            <w:pPr>
              <w:pStyle w:val="TableParagraph"/>
              <w:spacing w:before="7"/>
              <w:jc w:val="left"/>
              <w:rPr>
                <w:rFonts w:cs="Calibri"/>
                <w:sz w:val="15"/>
              </w:rPr>
            </w:pPr>
          </w:p>
          <w:p w14:paraId="387D0698" w14:textId="77777777" w:rsidR="00FA4226" w:rsidRPr="00CA2CC1" w:rsidRDefault="00000000" w:rsidP="0043303B">
            <w:pPr>
              <w:pStyle w:val="TableParagraph"/>
              <w:rPr>
                <w:rFonts w:cs="Calibri"/>
                <w:sz w:val="18"/>
              </w:rPr>
            </w:pPr>
            <w:r w:rsidRPr="00CA2CC1">
              <w:rPr>
                <w:rFonts w:cs="Calibri"/>
                <w:color w:val="414042"/>
                <w:sz w:val="18"/>
              </w:rPr>
              <w:t>-</w:t>
            </w:r>
          </w:p>
        </w:tc>
        <w:tc>
          <w:tcPr>
            <w:tcW w:w="1248" w:type="dxa"/>
            <w:tcBorders>
              <w:top w:val="single" w:sz="6" w:space="0" w:color="73777A"/>
              <w:left w:val="single" w:sz="8" w:space="0" w:color="FFFFFF"/>
              <w:bottom w:val="single" w:sz="6" w:space="0" w:color="73777A"/>
              <w:right w:val="single" w:sz="8" w:space="0" w:color="FFFFFF"/>
            </w:tcBorders>
            <w:shd w:val="clear" w:color="auto" w:fill="EDEFF0"/>
            <w:tcMar>
              <w:right w:w="57" w:type="dxa"/>
            </w:tcMar>
          </w:tcPr>
          <w:p w14:paraId="2F72CBEA" w14:textId="77777777" w:rsidR="00FA4226" w:rsidRPr="00CA2CC1" w:rsidRDefault="00FA4226" w:rsidP="0043303B">
            <w:pPr>
              <w:pStyle w:val="TableParagraph"/>
              <w:spacing w:before="7"/>
              <w:jc w:val="left"/>
              <w:rPr>
                <w:rFonts w:cs="Calibri"/>
                <w:sz w:val="15"/>
              </w:rPr>
            </w:pPr>
          </w:p>
          <w:p w14:paraId="6205898D" w14:textId="77777777" w:rsidR="00FA4226" w:rsidRPr="00CA2CC1" w:rsidRDefault="00000000" w:rsidP="0043303B">
            <w:pPr>
              <w:pStyle w:val="TableParagraph"/>
              <w:rPr>
                <w:rFonts w:cs="Calibri"/>
                <w:sz w:val="18"/>
              </w:rPr>
            </w:pPr>
            <w:r w:rsidRPr="00CA2CC1">
              <w:rPr>
                <w:rFonts w:cs="Calibri"/>
                <w:color w:val="414042"/>
                <w:sz w:val="18"/>
              </w:rPr>
              <w:t>-</w:t>
            </w:r>
          </w:p>
        </w:tc>
        <w:tc>
          <w:tcPr>
            <w:tcW w:w="1248" w:type="dxa"/>
            <w:tcBorders>
              <w:top w:val="single" w:sz="6" w:space="0" w:color="73777A"/>
              <w:left w:val="single" w:sz="8" w:space="0" w:color="FFFFFF"/>
              <w:bottom w:val="single" w:sz="6" w:space="0" w:color="73777A"/>
              <w:right w:val="nil"/>
            </w:tcBorders>
            <w:shd w:val="clear" w:color="auto" w:fill="FFF0E7"/>
            <w:tcMar>
              <w:right w:w="57" w:type="dxa"/>
            </w:tcMar>
          </w:tcPr>
          <w:p w14:paraId="097AD33F" w14:textId="77777777" w:rsidR="00FA4226" w:rsidRPr="00CA2CC1" w:rsidRDefault="00FA4226" w:rsidP="0043303B">
            <w:pPr>
              <w:pStyle w:val="TableParagraph"/>
              <w:spacing w:before="7"/>
              <w:jc w:val="left"/>
              <w:rPr>
                <w:rFonts w:cs="Calibri"/>
                <w:sz w:val="15"/>
              </w:rPr>
            </w:pPr>
          </w:p>
          <w:p w14:paraId="4806D660" w14:textId="77777777" w:rsidR="00FA4226" w:rsidRPr="00CA2CC1" w:rsidRDefault="00000000" w:rsidP="0043303B">
            <w:pPr>
              <w:pStyle w:val="TableParagraph"/>
              <w:rPr>
                <w:rFonts w:cs="Calibri"/>
                <w:sz w:val="18"/>
              </w:rPr>
            </w:pPr>
            <w:r w:rsidRPr="00CA2CC1">
              <w:rPr>
                <w:rFonts w:cs="Calibri"/>
                <w:color w:val="414042"/>
                <w:sz w:val="18"/>
              </w:rPr>
              <w:t>-</w:t>
            </w:r>
          </w:p>
        </w:tc>
      </w:tr>
      <w:tr w:rsidR="00FA4226" w:rsidRPr="00CA2CC1" w14:paraId="69941631" w14:textId="77777777" w:rsidTr="00EA7B5A">
        <w:trPr>
          <w:trHeight w:val="493"/>
        </w:trPr>
        <w:tc>
          <w:tcPr>
            <w:tcW w:w="3402" w:type="dxa"/>
            <w:tcBorders>
              <w:top w:val="single" w:sz="6" w:space="0" w:color="73777A"/>
              <w:left w:val="nil"/>
              <w:bottom w:val="single" w:sz="6" w:space="0" w:color="73777A"/>
              <w:right w:val="nil"/>
            </w:tcBorders>
          </w:tcPr>
          <w:p w14:paraId="451FAFD2" w14:textId="77777777" w:rsidR="00FA4226" w:rsidRPr="00CA2CC1" w:rsidRDefault="00000000" w:rsidP="0043303B">
            <w:pPr>
              <w:pStyle w:val="TableParagraph"/>
              <w:spacing w:before="14"/>
              <w:jc w:val="left"/>
              <w:rPr>
                <w:rFonts w:cs="Calibri"/>
                <w:sz w:val="18"/>
              </w:rPr>
            </w:pPr>
            <w:r w:rsidRPr="00CA2CC1">
              <w:rPr>
                <w:rFonts w:cs="Calibri"/>
                <w:color w:val="414042"/>
                <w:sz w:val="18"/>
              </w:rPr>
              <w:t>Cash and cash equivalents at beginning of financial year</w:t>
            </w:r>
          </w:p>
        </w:tc>
        <w:tc>
          <w:tcPr>
            <w:tcW w:w="1248" w:type="dxa"/>
            <w:tcBorders>
              <w:top w:val="single" w:sz="6" w:space="0" w:color="73777A"/>
              <w:left w:val="nil"/>
              <w:bottom w:val="single" w:sz="6" w:space="0" w:color="73777A"/>
              <w:right w:val="single" w:sz="8" w:space="0" w:color="FFFFFF"/>
            </w:tcBorders>
            <w:shd w:val="clear" w:color="auto" w:fill="FFF0E7"/>
            <w:tcMar>
              <w:right w:w="57" w:type="dxa"/>
            </w:tcMar>
          </w:tcPr>
          <w:p w14:paraId="6BA8EA39" w14:textId="77777777" w:rsidR="00FA4226" w:rsidRPr="00CA2CC1" w:rsidRDefault="00000000" w:rsidP="0043303B">
            <w:pPr>
              <w:pStyle w:val="TableParagraph"/>
              <w:rPr>
                <w:rFonts w:cs="Calibri"/>
                <w:sz w:val="18"/>
              </w:rPr>
            </w:pPr>
            <w:r w:rsidRPr="00CA2CC1">
              <w:rPr>
                <w:rFonts w:cs="Calibri"/>
                <w:color w:val="414042"/>
                <w:sz w:val="18"/>
              </w:rPr>
              <w:t>-</w:t>
            </w:r>
          </w:p>
        </w:tc>
        <w:tc>
          <w:tcPr>
            <w:tcW w:w="1248" w:type="dxa"/>
            <w:tcBorders>
              <w:top w:val="single" w:sz="6" w:space="0" w:color="73777A"/>
              <w:left w:val="single" w:sz="8" w:space="0" w:color="FFFFFF"/>
              <w:bottom w:val="single" w:sz="6" w:space="0" w:color="73777A"/>
              <w:right w:val="single" w:sz="8" w:space="0" w:color="FFFFFF"/>
            </w:tcBorders>
            <w:shd w:val="clear" w:color="auto" w:fill="EDEFF0"/>
            <w:tcMar>
              <w:right w:w="57" w:type="dxa"/>
            </w:tcMar>
          </w:tcPr>
          <w:p w14:paraId="4A2E6BDE" w14:textId="77777777" w:rsidR="00FA4226" w:rsidRPr="00CA2CC1" w:rsidRDefault="00000000" w:rsidP="0043303B">
            <w:pPr>
              <w:pStyle w:val="TableParagraph"/>
              <w:rPr>
                <w:rFonts w:cs="Calibri"/>
                <w:sz w:val="18"/>
              </w:rPr>
            </w:pPr>
            <w:r w:rsidRPr="00CA2CC1">
              <w:rPr>
                <w:rFonts w:cs="Calibri"/>
                <w:color w:val="414042"/>
                <w:sz w:val="18"/>
              </w:rPr>
              <w:t>-</w:t>
            </w:r>
          </w:p>
        </w:tc>
        <w:tc>
          <w:tcPr>
            <w:tcW w:w="1248" w:type="dxa"/>
            <w:tcBorders>
              <w:top w:val="single" w:sz="6" w:space="0" w:color="73777A"/>
              <w:left w:val="single" w:sz="8" w:space="0" w:color="FFFFFF"/>
              <w:bottom w:val="single" w:sz="6" w:space="0" w:color="73777A"/>
              <w:right w:val="single" w:sz="8" w:space="0" w:color="FFFFFF"/>
            </w:tcBorders>
            <w:shd w:val="clear" w:color="auto" w:fill="FFF0E7"/>
            <w:tcMar>
              <w:right w:w="57" w:type="dxa"/>
            </w:tcMar>
          </w:tcPr>
          <w:p w14:paraId="71ECF159" w14:textId="77777777" w:rsidR="00FA4226" w:rsidRPr="00CA2CC1" w:rsidRDefault="00000000" w:rsidP="0043303B">
            <w:pPr>
              <w:pStyle w:val="TableParagraph"/>
              <w:rPr>
                <w:rFonts w:cs="Calibri"/>
                <w:sz w:val="18"/>
              </w:rPr>
            </w:pPr>
            <w:r w:rsidRPr="00CA2CC1">
              <w:rPr>
                <w:rFonts w:cs="Calibri"/>
                <w:color w:val="414042"/>
                <w:sz w:val="18"/>
              </w:rPr>
              <w:t>-</w:t>
            </w:r>
          </w:p>
        </w:tc>
        <w:tc>
          <w:tcPr>
            <w:tcW w:w="1248" w:type="dxa"/>
            <w:tcBorders>
              <w:top w:val="single" w:sz="6" w:space="0" w:color="73777A"/>
              <w:left w:val="single" w:sz="8" w:space="0" w:color="FFFFFF"/>
              <w:bottom w:val="single" w:sz="6" w:space="0" w:color="73777A"/>
              <w:right w:val="single" w:sz="8" w:space="0" w:color="FFFFFF"/>
            </w:tcBorders>
            <w:shd w:val="clear" w:color="auto" w:fill="EDEFF0"/>
            <w:tcMar>
              <w:right w:w="57" w:type="dxa"/>
            </w:tcMar>
          </w:tcPr>
          <w:p w14:paraId="29F3CB09" w14:textId="77777777" w:rsidR="00FA4226" w:rsidRPr="00CA2CC1" w:rsidRDefault="00000000" w:rsidP="0043303B">
            <w:pPr>
              <w:pStyle w:val="TableParagraph"/>
              <w:rPr>
                <w:rFonts w:cs="Calibri"/>
                <w:sz w:val="18"/>
              </w:rPr>
            </w:pPr>
            <w:r w:rsidRPr="00CA2CC1">
              <w:rPr>
                <w:rFonts w:cs="Calibri"/>
                <w:color w:val="414042"/>
                <w:sz w:val="18"/>
              </w:rPr>
              <w:t>-</w:t>
            </w:r>
          </w:p>
        </w:tc>
        <w:tc>
          <w:tcPr>
            <w:tcW w:w="1248" w:type="dxa"/>
            <w:tcBorders>
              <w:top w:val="single" w:sz="6" w:space="0" w:color="73777A"/>
              <w:left w:val="single" w:sz="8" w:space="0" w:color="FFFFFF"/>
              <w:bottom w:val="single" w:sz="6" w:space="0" w:color="73777A"/>
              <w:right w:val="nil"/>
            </w:tcBorders>
            <w:shd w:val="clear" w:color="auto" w:fill="FFF0E7"/>
            <w:tcMar>
              <w:right w:w="57" w:type="dxa"/>
            </w:tcMar>
          </w:tcPr>
          <w:p w14:paraId="08C0DABC" w14:textId="77777777" w:rsidR="00FA4226" w:rsidRPr="00CA2CC1" w:rsidRDefault="00000000" w:rsidP="0043303B">
            <w:pPr>
              <w:pStyle w:val="TableParagraph"/>
              <w:rPr>
                <w:rFonts w:cs="Calibri"/>
                <w:sz w:val="18"/>
              </w:rPr>
            </w:pPr>
            <w:r w:rsidRPr="00CA2CC1">
              <w:rPr>
                <w:rFonts w:cs="Calibri"/>
                <w:color w:val="414042"/>
                <w:sz w:val="18"/>
              </w:rPr>
              <w:t>-</w:t>
            </w:r>
          </w:p>
        </w:tc>
      </w:tr>
      <w:tr w:rsidR="00FA4226" w:rsidRPr="00CA2CC1" w14:paraId="559915E8" w14:textId="77777777" w:rsidTr="007D0585">
        <w:trPr>
          <w:trHeight w:val="310"/>
        </w:trPr>
        <w:tc>
          <w:tcPr>
            <w:tcW w:w="3402" w:type="dxa"/>
            <w:tcBorders>
              <w:top w:val="single" w:sz="6" w:space="0" w:color="73777A"/>
              <w:left w:val="nil"/>
              <w:bottom w:val="double" w:sz="6" w:space="0" w:color="73777A"/>
              <w:right w:val="nil"/>
            </w:tcBorders>
          </w:tcPr>
          <w:p w14:paraId="712442F8" w14:textId="77777777" w:rsidR="00FA4226" w:rsidRPr="00CA2CC1" w:rsidRDefault="00000000" w:rsidP="0043303B">
            <w:pPr>
              <w:pStyle w:val="TableParagraph"/>
              <w:spacing w:before="16"/>
              <w:jc w:val="left"/>
              <w:rPr>
                <w:rFonts w:cs="Calibri"/>
                <w:sz w:val="18"/>
              </w:rPr>
            </w:pPr>
            <w:r w:rsidRPr="00CA2CC1">
              <w:rPr>
                <w:rFonts w:cs="Calibri"/>
                <w:color w:val="414042"/>
                <w:sz w:val="18"/>
              </w:rPr>
              <w:t>Cash and cash equivalents at end of year</w:t>
            </w:r>
          </w:p>
        </w:tc>
        <w:tc>
          <w:tcPr>
            <w:tcW w:w="1248" w:type="dxa"/>
            <w:tcBorders>
              <w:top w:val="single" w:sz="6" w:space="0" w:color="73777A"/>
              <w:left w:val="nil"/>
              <w:bottom w:val="double" w:sz="4" w:space="0" w:color="73777A"/>
              <w:right w:val="single" w:sz="8" w:space="0" w:color="FFFFFF"/>
            </w:tcBorders>
            <w:shd w:val="clear" w:color="auto" w:fill="FFF0E7"/>
            <w:tcMar>
              <w:right w:w="57" w:type="dxa"/>
            </w:tcMar>
          </w:tcPr>
          <w:p w14:paraId="44BCC06E" w14:textId="77777777" w:rsidR="00FA4226" w:rsidRPr="00CA2CC1" w:rsidRDefault="00000000" w:rsidP="0043303B">
            <w:pPr>
              <w:pStyle w:val="TableParagraph"/>
              <w:rPr>
                <w:rFonts w:cs="Calibri"/>
                <w:sz w:val="18"/>
              </w:rPr>
            </w:pPr>
            <w:r w:rsidRPr="00CA2CC1">
              <w:rPr>
                <w:rFonts w:cs="Calibri"/>
                <w:color w:val="414042"/>
                <w:sz w:val="18"/>
              </w:rPr>
              <w:t>-</w:t>
            </w:r>
          </w:p>
        </w:tc>
        <w:tc>
          <w:tcPr>
            <w:tcW w:w="1248" w:type="dxa"/>
            <w:tcBorders>
              <w:top w:val="single" w:sz="6" w:space="0" w:color="73777A"/>
              <w:left w:val="single" w:sz="8" w:space="0" w:color="FFFFFF"/>
              <w:bottom w:val="double" w:sz="4" w:space="0" w:color="73777A"/>
              <w:right w:val="single" w:sz="8" w:space="0" w:color="FFFFFF"/>
            </w:tcBorders>
            <w:shd w:val="clear" w:color="auto" w:fill="EDEFF0"/>
            <w:tcMar>
              <w:right w:w="57" w:type="dxa"/>
            </w:tcMar>
          </w:tcPr>
          <w:p w14:paraId="62A33CCA" w14:textId="77777777" w:rsidR="00FA4226" w:rsidRPr="00CA2CC1" w:rsidRDefault="00000000" w:rsidP="0043303B">
            <w:pPr>
              <w:pStyle w:val="TableParagraph"/>
              <w:rPr>
                <w:rFonts w:cs="Calibri"/>
                <w:sz w:val="18"/>
              </w:rPr>
            </w:pPr>
            <w:r w:rsidRPr="00CA2CC1">
              <w:rPr>
                <w:rFonts w:cs="Calibri"/>
                <w:color w:val="414042"/>
                <w:sz w:val="18"/>
              </w:rPr>
              <w:t>-</w:t>
            </w:r>
          </w:p>
        </w:tc>
        <w:tc>
          <w:tcPr>
            <w:tcW w:w="1248" w:type="dxa"/>
            <w:tcBorders>
              <w:top w:val="single" w:sz="6" w:space="0" w:color="73777A"/>
              <w:left w:val="single" w:sz="8" w:space="0" w:color="FFFFFF"/>
              <w:bottom w:val="double" w:sz="4" w:space="0" w:color="73777A"/>
              <w:right w:val="single" w:sz="8" w:space="0" w:color="FFFFFF"/>
            </w:tcBorders>
            <w:shd w:val="clear" w:color="auto" w:fill="FFF0E7"/>
            <w:tcMar>
              <w:right w:w="57" w:type="dxa"/>
            </w:tcMar>
          </w:tcPr>
          <w:p w14:paraId="1A2E971D" w14:textId="19D5574C" w:rsidR="00FA4226" w:rsidRPr="00CA2CC1" w:rsidRDefault="00000000" w:rsidP="0043303B">
            <w:pPr>
              <w:pStyle w:val="TableParagraph"/>
              <w:rPr>
                <w:rFonts w:cs="Calibri"/>
                <w:sz w:val="18"/>
              </w:rPr>
            </w:pPr>
            <w:r w:rsidRPr="00CA2CC1">
              <w:rPr>
                <w:rFonts w:cs="Calibri"/>
                <w:color w:val="414042"/>
                <w:sz w:val="18"/>
              </w:rPr>
              <w:t>-</w:t>
            </w:r>
          </w:p>
        </w:tc>
        <w:tc>
          <w:tcPr>
            <w:tcW w:w="1248" w:type="dxa"/>
            <w:tcBorders>
              <w:top w:val="single" w:sz="6" w:space="0" w:color="73777A"/>
              <w:left w:val="single" w:sz="8" w:space="0" w:color="FFFFFF"/>
              <w:bottom w:val="double" w:sz="4" w:space="0" w:color="73777A"/>
              <w:right w:val="single" w:sz="8" w:space="0" w:color="FFFFFF"/>
            </w:tcBorders>
            <w:shd w:val="clear" w:color="auto" w:fill="EDEFF0"/>
            <w:tcMar>
              <w:right w:w="57" w:type="dxa"/>
            </w:tcMar>
          </w:tcPr>
          <w:p w14:paraId="17A2B268" w14:textId="77777777" w:rsidR="00FA4226" w:rsidRPr="00CA2CC1" w:rsidRDefault="00000000" w:rsidP="0043303B">
            <w:pPr>
              <w:pStyle w:val="TableParagraph"/>
              <w:rPr>
                <w:rFonts w:cs="Calibri"/>
                <w:sz w:val="18"/>
              </w:rPr>
            </w:pPr>
            <w:r w:rsidRPr="00CA2CC1">
              <w:rPr>
                <w:rFonts w:cs="Calibri"/>
                <w:color w:val="414042"/>
                <w:sz w:val="18"/>
              </w:rPr>
              <w:t>-</w:t>
            </w:r>
          </w:p>
        </w:tc>
        <w:tc>
          <w:tcPr>
            <w:tcW w:w="1248" w:type="dxa"/>
            <w:tcBorders>
              <w:top w:val="single" w:sz="6" w:space="0" w:color="73777A"/>
              <w:left w:val="single" w:sz="8" w:space="0" w:color="FFFFFF"/>
              <w:bottom w:val="double" w:sz="4" w:space="0" w:color="73777A"/>
              <w:right w:val="nil"/>
            </w:tcBorders>
            <w:shd w:val="clear" w:color="auto" w:fill="FFF0E7"/>
            <w:tcMar>
              <w:right w:w="57" w:type="dxa"/>
            </w:tcMar>
          </w:tcPr>
          <w:p w14:paraId="24D334B0" w14:textId="77777777" w:rsidR="00FA4226" w:rsidRPr="00CA2CC1" w:rsidRDefault="00000000" w:rsidP="0043303B">
            <w:pPr>
              <w:pStyle w:val="TableParagraph"/>
              <w:rPr>
                <w:rFonts w:cs="Calibri"/>
                <w:sz w:val="18"/>
              </w:rPr>
            </w:pPr>
            <w:r w:rsidRPr="00CA2CC1">
              <w:rPr>
                <w:rFonts w:cs="Calibri"/>
                <w:color w:val="414042"/>
                <w:sz w:val="18"/>
              </w:rPr>
              <w:t>-</w:t>
            </w:r>
          </w:p>
        </w:tc>
      </w:tr>
    </w:tbl>
    <w:p w14:paraId="6CEA5A8B" w14:textId="77777777" w:rsidR="00FA4226" w:rsidRPr="00CA2CC1" w:rsidRDefault="00FA4226" w:rsidP="0043303B">
      <w:pPr>
        <w:pStyle w:val="BodyText"/>
        <w:spacing w:before="5"/>
        <w:rPr>
          <w:rFonts w:cs="Calibri"/>
          <w:sz w:val="17"/>
        </w:rPr>
      </w:pPr>
    </w:p>
    <w:p w14:paraId="75A06A99" w14:textId="77777777" w:rsidR="00FA4226" w:rsidRPr="00CA2CC1" w:rsidRDefault="00000000" w:rsidP="0043303B">
      <w:pPr>
        <w:rPr>
          <w:rFonts w:cs="Calibri"/>
          <w:i/>
          <w:sz w:val="16"/>
        </w:rPr>
      </w:pPr>
      <w:r w:rsidRPr="00CA2CC1">
        <w:rPr>
          <w:rFonts w:cs="Calibri"/>
          <w:i/>
          <w:color w:val="414042"/>
          <w:sz w:val="16"/>
        </w:rPr>
        <w:t xml:space="preserve">(i) This correction contains a minor rounding </w:t>
      </w:r>
      <w:r w:rsidRPr="00CA2CC1">
        <w:rPr>
          <w:rFonts w:cs="Calibri"/>
          <w:i/>
          <w:color w:val="414042"/>
          <w:spacing w:val="-2"/>
          <w:sz w:val="16"/>
        </w:rPr>
        <w:t>error.</w:t>
      </w:r>
    </w:p>
    <w:p w14:paraId="26266333" w14:textId="77777777" w:rsidR="00FA4226" w:rsidRPr="00CA2CC1" w:rsidRDefault="00FA4226" w:rsidP="0043303B">
      <w:pPr>
        <w:pStyle w:val="BodyText"/>
        <w:rPr>
          <w:rFonts w:cs="Calibri"/>
          <w:i/>
          <w:sz w:val="20"/>
        </w:rPr>
      </w:pPr>
    </w:p>
    <w:p w14:paraId="29B8597F" w14:textId="77777777" w:rsidR="00FA4226" w:rsidRPr="00CA2CC1" w:rsidRDefault="00FA4226" w:rsidP="0043303B">
      <w:pPr>
        <w:pStyle w:val="BodyText"/>
        <w:rPr>
          <w:rFonts w:cs="Calibri"/>
          <w:i/>
          <w:sz w:val="20"/>
        </w:rPr>
      </w:pPr>
    </w:p>
    <w:p w14:paraId="204E18EF" w14:textId="77777777" w:rsidR="00FA4226" w:rsidRPr="00CA2CC1" w:rsidRDefault="00FA4226" w:rsidP="0043303B">
      <w:pPr>
        <w:pStyle w:val="BodyText"/>
        <w:rPr>
          <w:rFonts w:cs="Calibri"/>
          <w:i/>
          <w:sz w:val="20"/>
        </w:rPr>
      </w:pPr>
    </w:p>
    <w:p w14:paraId="6F1F3A59" w14:textId="77777777" w:rsidR="00FA4226" w:rsidRPr="00CA2CC1" w:rsidRDefault="00FA4226" w:rsidP="0043303B">
      <w:pPr>
        <w:pStyle w:val="BodyText"/>
        <w:rPr>
          <w:rFonts w:cs="Calibri"/>
          <w:i/>
          <w:sz w:val="20"/>
        </w:rPr>
      </w:pPr>
    </w:p>
    <w:p w14:paraId="1C0E6B02" w14:textId="77777777" w:rsidR="00FA4226" w:rsidRPr="00CA2CC1" w:rsidRDefault="00FA4226" w:rsidP="0043303B">
      <w:pPr>
        <w:pStyle w:val="BodyText"/>
        <w:rPr>
          <w:rFonts w:cs="Calibri"/>
          <w:i/>
          <w:sz w:val="20"/>
        </w:rPr>
      </w:pPr>
    </w:p>
    <w:p w14:paraId="702BFD2C" w14:textId="77777777" w:rsidR="00FA4226" w:rsidRPr="00CA2CC1" w:rsidRDefault="00FA4226" w:rsidP="0043303B">
      <w:pPr>
        <w:pStyle w:val="BodyText"/>
        <w:rPr>
          <w:rFonts w:cs="Calibri"/>
          <w:i/>
          <w:sz w:val="20"/>
        </w:rPr>
      </w:pPr>
    </w:p>
    <w:p w14:paraId="629C6BD5" w14:textId="77777777" w:rsidR="00FA4226" w:rsidRPr="00CA2CC1" w:rsidRDefault="00FA4226" w:rsidP="0043303B">
      <w:pPr>
        <w:pStyle w:val="BodyText"/>
        <w:rPr>
          <w:rFonts w:cs="Calibri"/>
          <w:i/>
          <w:sz w:val="20"/>
        </w:rPr>
      </w:pPr>
    </w:p>
    <w:p w14:paraId="25E1A4F8" w14:textId="77777777" w:rsidR="00FA4226" w:rsidRPr="00CA2CC1" w:rsidRDefault="00FA4226" w:rsidP="0043303B">
      <w:pPr>
        <w:pStyle w:val="BodyText"/>
        <w:rPr>
          <w:rFonts w:cs="Calibri"/>
          <w:i/>
          <w:sz w:val="20"/>
        </w:rPr>
      </w:pPr>
    </w:p>
    <w:p w14:paraId="5C8288B9" w14:textId="77777777" w:rsidR="00FA4226" w:rsidRPr="00CA2CC1" w:rsidRDefault="00FA4226" w:rsidP="0043303B">
      <w:pPr>
        <w:pStyle w:val="BodyText"/>
        <w:rPr>
          <w:rFonts w:cs="Calibri"/>
          <w:i/>
          <w:sz w:val="20"/>
        </w:rPr>
      </w:pPr>
    </w:p>
    <w:p w14:paraId="16C3F7C1" w14:textId="77777777" w:rsidR="00FA4226" w:rsidRPr="00CA2CC1" w:rsidRDefault="00FA4226" w:rsidP="0043303B">
      <w:pPr>
        <w:pStyle w:val="BodyText"/>
        <w:rPr>
          <w:rFonts w:cs="Calibri"/>
          <w:i/>
          <w:sz w:val="20"/>
        </w:rPr>
      </w:pPr>
    </w:p>
    <w:p w14:paraId="770452B8" w14:textId="77777777" w:rsidR="00FA4226" w:rsidRPr="00CA2CC1" w:rsidRDefault="00FA4226" w:rsidP="0043303B">
      <w:pPr>
        <w:pStyle w:val="BodyText"/>
        <w:rPr>
          <w:rFonts w:cs="Calibri"/>
          <w:i/>
          <w:sz w:val="20"/>
        </w:rPr>
      </w:pPr>
    </w:p>
    <w:p w14:paraId="7BE6521A" w14:textId="77777777" w:rsidR="00FA4226" w:rsidRPr="00CA2CC1" w:rsidRDefault="00FA4226" w:rsidP="0043303B">
      <w:pPr>
        <w:pStyle w:val="BodyText"/>
        <w:rPr>
          <w:rFonts w:cs="Calibri"/>
          <w:i/>
          <w:sz w:val="20"/>
        </w:rPr>
      </w:pPr>
    </w:p>
    <w:p w14:paraId="4DE8B9FD" w14:textId="77777777" w:rsidR="00FA4226" w:rsidRPr="00CA2CC1" w:rsidRDefault="00FA4226" w:rsidP="0043303B">
      <w:pPr>
        <w:pStyle w:val="BodyText"/>
        <w:rPr>
          <w:rFonts w:cs="Calibri"/>
          <w:i/>
          <w:sz w:val="20"/>
        </w:rPr>
      </w:pPr>
    </w:p>
    <w:p w14:paraId="7433F334" w14:textId="77777777" w:rsidR="00FA4226" w:rsidRPr="00CA2CC1" w:rsidRDefault="00FA4226" w:rsidP="0043303B">
      <w:pPr>
        <w:pStyle w:val="BodyText"/>
        <w:rPr>
          <w:rFonts w:cs="Calibri"/>
          <w:i/>
          <w:sz w:val="20"/>
        </w:rPr>
      </w:pPr>
    </w:p>
    <w:p w14:paraId="0805F8FF" w14:textId="77777777" w:rsidR="00FA4226" w:rsidRPr="00CA2CC1" w:rsidRDefault="00FA4226" w:rsidP="0043303B">
      <w:pPr>
        <w:pStyle w:val="BodyText"/>
        <w:rPr>
          <w:rFonts w:cs="Calibri"/>
          <w:i/>
          <w:sz w:val="20"/>
        </w:rPr>
      </w:pPr>
    </w:p>
    <w:p w14:paraId="682DFFB6" w14:textId="77777777" w:rsidR="00FA4226" w:rsidRPr="00CA2CC1" w:rsidRDefault="00FA4226" w:rsidP="0043303B">
      <w:pPr>
        <w:pStyle w:val="BodyText"/>
        <w:rPr>
          <w:rFonts w:cs="Calibri"/>
          <w:i/>
          <w:sz w:val="20"/>
        </w:rPr>
      </w:pPr>
    </w:p>
    <w:p w14:paraId="47B7E858" w14:textId="77777777" w:rsidR="00FA4226" w:rsidRPr="00CA2CC1" w:rsidRDefault="00FA4226" w:rsidP="0043303B">
      <w:pPr>
        <w:pStyle w:val="BodyText"/>
        <w:spacing w:before="6"/>
        <w:rPr>
          <w:rFonts w:cs="Calibri"/>
          <w:i/>
          <w:sz w:val="19"/>
        </w:rPr>
      </w:pPr>
    </w:p>
    <w:p w14:paraId="0116E7AF" w14:textId="77777777" w:rsidR="00FA4226" w:rsidRPr="00CA2CC1" w:rsidRDefault="00FA4226" w:rsidP="0043303B">
      <w:pPr>
        <w:jc w:val="right"/>
        <w:rPr>
          <w:rFonts w:cs="Calibri"/>
          <w:sz w:val="16"/>
        </w:rPr>
        <w:sectPr w:rsidR="00FA4226" w:rsidRPr="00CA2CC1" w:rsidSect="00E941A5">
          <w:pgSz w:w="11910" w:h="16840"/>
          <w:pgMar w:top="1134" w:right="1278" w:bottom="1134" w:left="1134" w:header="720" w:footer="720" w:gutter="0"/>
          <w:cols w:space="720"/>
        </w:sectPr>
      </w:pPr>
    </w:p>
    <w:p w14:paraId="596ED8D9" w14:textId="77777777" w:rsidR="00FA4226" w:rsidRPr="005B49BC" w:rsidRDefault="00000000" w:rsidP="0043303B">
      <w:pPr>
        <w:pStyle w:val="Heading7"/>
        <w:spacing w:before="60"/>
        <w:rPr>
          <w:rFonts w:cs="Calibri"/>
          <w:color w:val="000000" w:themeColor="text1"/>
        </w:rPr>
      </w:pPr>
      <w:r w:rsidRPr="005B49BC">
        <w:rPr>
          <w:rFonts w:cs="Calibri"/>
          <w:color w:val="000000" w:themeColor="text1"/>
        </w:rPr>
        <w:t>Impact</w:t>
      </w:r>
      <w:r w:rsidRPr="005B49BC">
        <w:rPr>
          <w:rFonts w:cs="Calibri"/>
          <w:color w:val="000000" w:themeColor="text1"/>
          <w:spacing w:val="-1"/>
        </w:rPr>
        <w:t xml:space="preserve"> </w:t>
      </w:r>
      <w:r w:rsidRPr="005B49BC">
        <w:rPr>
          <w:rFonts w:cs="Calibri"/>
          <w:color w:val="000000" w:themeColor="text1"/>
        </w:rPr>
        <w:t>of</w:t>
      </w:r>
      <w:r w:rsidRPr="005B49BC">
        <w:rPr>
          <w:rFonts w:cs="Calibri"/>
          <w:color w:val="000000" w:themeColor="text1"/>
          <w:spacing w:val="-1"/>
        </w:rPr>
        <w:t xml:space="preserve"> </w:t>
      </w:r>
      <w:r w:rsidRPr="005B49BC">
        <w:rPr>
          <w:rFonts w:cs="Calibri"/>
          <w:color w:val="000000" w:themeColor="text1"/>
        </w:rPr>
        <w:t>correction</w:t>
      </w:r>
      <w:r w:rsidRPr="005B49BC">
        <w:rPr>
          <w:rFonts w:cs="Calibri"/>
          <w:color w:val="000000" w:themeColor="text1"/>
          <w:spacing w:val="-1"/>
        </w:rPr>
        <w:t xml:space="preserve"> </w:t>
      </w:r>
      <w:r w:rsidRPr="005B49BC">
        <w:rPr>
          <w:rFonts w:cs="Calibri"/>
          <w:color w:val="000000" w:themeColor="text1"/>
        </w:rPr>
        <w:t>of error</w:t>
      </w:r>
      <w:r w:rsidRPr="005B49BC">
        <w:rPr>
          <w:rFonts w:cs="Calibri"/>
          <w:color w:val="000000" w:themeColor="text1"/>
          <w:spacing w:val="-1"/>
        </w:rPr>
        <w:t xml:space="preserve"> </w:t>
      </w:r>
      <w:r w:rsidRPr="005B49BC">
        <w:rPr>
          <w:rFonts w:cs="Calibri"/>
          <w:color w:val="000000" w:themeColor="text1"/>
        </w:rPr>
        <w:t>on</w:t>
      </w:r>
      <w:r w:rsidRPr="005B49BC">
        <w:rPr>
          <w:rFonts w:cs="Calibri"/>
          <w:color w:val="000000" w:themeColor="text1"/>
          <w:spacing w:val="-1"/>
        </w:rPr>
        <w:t xml:space="preserve"> </w:t>
      </w:r>
      <w:r w:rsidRPr="005B49BC">
        <w:rPr>
          <w:rFonts w:cs="Calibri"/>
          <w:color w:val="000000" w:themeColor="text1"/>
        </w:rPr>
        <w:t>the</w:t>
      </w:r>
      <w:r w:rsidRPr="005B49BC">
        <w:rPr>
          <w:rFonts w:cs="Calibri"/>
          <w:color w:val="000000" w:themeColor="text1"/>
          <w:spacing w:val="-1"/>
        </w:rPr>
        <w:t xml:space="preserve"> </w:t>
      </w:r>
      <w:r w:rsidRPr="005B49BC">
        <w:rPr>
          <w:rFonts w:cs="Calibri"/>
          <w:color w:val="000000" w:themeColor="text1"/>
        </w:rPr>
        <w:t>statement of</w:t>
      </w:r>
      <w:r w:rsidRPr="005B49BC">
        <w:rPr>
          <w:rFonts w:cs="Calibri"/>
          <w:color w:val="000000" w:themeColor="text1"/>
          <w:spacing w:val="-1"/>
        </w:rPr>
        <w:t xml:space="preserve"> </w:t>
      </w:r>
      <w:r w:rsidRPr="005B49BC">
        <w:rPr>
          <w:rFonts w:cs="Calibri"/>
          <w:color w:val="000000" w:themeColor="text1"/>
        </w:rPr>
        <w:t>changes</w:t>
      </w:r>
      <w:r w:rsidRPr="005B49BC">
        <w:rPr>
          <w:rFonts w:cs="Calibri"/>
          <w:color w:val="000000" w:themeColor="text1"/>
          <w:spacing w:val="-1"/>
        </w:rPr>
        <w:t xml:space="preserve"> </w:t>
      </w:r>
      <w:r w:rsidRPr="005B49BC">
        <w:rPr>
          <w:rFonts w:cs="Calibri"/>
          <w:color w:val="000000" w:themeColor="text1"/>
        </w:rPr>
        <w:t xml:space="preserve">in </w:t>
      </w:r>
      <w:r w:rsidRPr="005B49BC">
        <w:rPr>
          <w:rFonts w:cs="Calibri"/>
          <w:color w:val="000000" w:themeColor="text1"/>
          <w:spacing w:val="-2"/>
        </w:rPr>
        <w:t>equity</w:t>
      </w:r>
    </w:p>
    <w:p w14:paraId="0C81D39A" w14:textId="77777777" w:rsidR="00FA4226" w:rsidRPr="00CA2CC1" w:rsidRDefault="00FA4226" w:rsidP="0043303B">
      <w:pPr>
        <w:pStyle w:val="BodyText"/>
        <w:spacing w:before="6"/>
        <w:rPr>
          <w:rFonts w:cs="Calibri"/>
          <w:sz w:val="9"/>
        </w:rPr>
      </w:pPr>
    </w:p>
    <w:tbl>
      <w:tblPr>
        <w:tblW w:w="9635" w:type="dxa"/>
        <w:tblBorders>
          <w:top w:val="single" w:sz="4" w:space="0" w:color="C48F1B"/>
          <w:left w:val="single" w:sz="4" w:space="0" w:color="C48F1B"/>
          <w:bottom w:val="single" w:sz="4" w:space="0" w:color="C48F1B"/>
          <w:right w:val="single" w:sz="4" w:space="0" w:color="C48F1B"/>
          <w:insideH w:val="single" w:sz="4" w:space="0" w:color="C48F1B"/>
          <w:insideV w:val="single" w:sz="4" w:space="0" w:color="C48F1B"/>
        </w:tblBorders>
        <w:tblLayout w:type="fixed"/>
        <w:tblCellMar>
          <w:left w:w="0" w:type="dxa"/>
          <w:right w:w="0" w:type="dxa"/>
        </w:tblCellMar>
        <w:tblLook w:val="01E0" w:firstRow="1" w:lastRow="1" w:firstColumn="1" w:lastColumn="1" w:noHBand="0" w:noVBand="0"/>
      </w:tblPr>
      <w:tblGrid>
        <w:gridCol w:w="4648"/>
        <w:gridCol w:w="1246"/>
        <w:gridCol w:w="1246"/>
        <w:gridCol w:w="1246"/>
        <w:gridCol w:w="1249"/>
      </w:tblGrid>
      <w:tr w:rsidR="00FA4226" w:rsidRPr="00CA2CC1" w14:paraId="3A75C851" w14:textId="77777777" w:rsidTr="005B49BC">
        <w:trPr>
          <w:trHeight w:val="1457"/>
        </w:trPr>
        <w:tc>
          <w:tcPr>
            <w:tcW w:w="4648" w:type="dxa"/>
            <w:tcBorders>
              <w:top w:val="nil"/>
              <w:left w:val="nil"/>
              <w:right w:val="nil"/>
            </w:tcBorders>
          </w:tcPr>
          <w:p w14:paraId="6B9F7B75" w14:textId="77777777" w:rsidR="00FA4226" w:rsidRPr="00CA2CC1" w:rsidRDefault="00FA4226" w:rsidP="0043303B">
            <w:pPr>
              <w:pStyle w:val="TableParagraph"/>
              <w:jc w:val="left"/>
              <w:rPr>
                <w:rFonts w:cs="Calibri"/>
                <w:sz w:val="16"/>
              </w:rPr>
            </w:pPr>
          </w:p>
        </w:tc>
        <w:tc>
          <w:tcPr>
            <w:tcW w:w="1246" w:type="dxa"/>
            <w:tcBorders>
              <w:top w:val="nil"/>
              <w:left w:val="nil"/>
              <w:right w:val="single" w:sz="8" w:space="0" w:color="FFFFFF"/>
            </w:tcBorders>
            <w:shd w:val="clear" w:color="auto" w:fill="FFF0E7"/>
            <w:tcMar>
              <w:right w:w="57" w:type="dxa"/>
            </w:tcMar>
            <w:vAlign w:val="bottom"/>
          </w:tcPr>
          <w:p w14:paraId="60502067" w14:textId="77777777" w:rsidR="00FA4226" w:rsidRPr="00CA2CC1" w:rsidRDefault="00FA4226" w:rsidP="005B49BC">
            <w:pPr>
              <w:pStyle w:val="TableParagraph"/>
              <w:spacing w:before="9"/>
              <w:rPr>
                <w:rFonts w:cs="Calibri"/>
                <w:sz w:val="25"/>
              </w:rPr>
            </w:pPr>
          </w:p>
          <w:p w14:paraId="7CF7F4A5" w14:textId="77777777" w:rsidR="00FA4226" w:rsidRPr="00CA2CC1" w:rsidRDefault="00000000" w:rsidP="005B49BC">
            <w:pPr>
              <w:pStyle w:val="TableParagraph"/>
              <w:rPr>
                <w:rFonts w:cs="Calibri"/>
                <w:sz w:val="17"/>
              </w:rPr>
            </w:pPr>
            <w:r w:rsidRPr="00CA2CC1">
              <w:rPr>
                <w:rFonts w:cs="Calibri"/>
                <w:color w:val="F68C59"/>
                <w:spacing w:val="-2"/>
                <w:sz w:val="17"/>
              </w:rPr>
              <w:t>Accumulated</w:t>
            </w:r>
          </w:p>
          <w:p w14:paraId="4F7146FE" w14:textId="643560A8" w:rsidR="00FA4226" w:rsidRPr="00CA2CC1" w:rsidRDefault="00000000" w:rsidP="005B49BC">
            <w:pPr>
              <w:pStyle w:val="TableParagraph"/>
              <w:spacing w:before="10"/>
              <w:rPr>
                <w:rFonts w:cs="Calibri"/>
                <w:sz w:val="10"/>
              </w:rPr>
            </w:pPr>
            <w:r w:rsidRPr="00CA2CC1">
              <w:rPr>
                <w:rFonts w:cs="Calibri"/>
                <w:color w:val="F68C59"/>
                <w:spacing w:val="-2"/>
                <w:sz w:val="17"/>
              </w:rPr>
              <w:t xml:space="preserve">surplus </w:t>
            </w:r>
            <w:r w:rsidR="005B49BC">
              <w:rPr>
                <w:rFonts w:cs="Calibri"/>
                <w:color w:val="F68C59"/>
                <w:spacing w:val="-2"/>
                <w:sz w:val="17"/>
              </w:rPr>
              <w:br/>
            </w:r>
            <w:r w:rsidRPr="00CA2CC1">
              <w:rPr>
                <w:rFonts w:cs="Calibri"/>
                <w:color w:val="F68C59"/>
                <w:spacing w:val="-2"/>
                <w:sz w:val="17"/>
              </w:rPr>
              <w:t xml:space="preserve">(restated </w:t>
            </w:r>
            <w:r w:rsidRPr="00CA2CC1">
              <w:rPr>
                <w:rFonts w:cs="Calibri"/>
                <w:color w:val="F68C59"/>
                <w:sz w:val="17"/>
              </w:rPr>
              <w:t>balance)</w:t>
            </w:r>
            <w:r w:rsidRPr="00CA2CC1">
              <w:rPr>
                <w:rFonts w:cs="Calibri"/>
                <w:color w:val="F68C59"/>
                <w:spacing w:val="-12"/>
                <w:sz w:val="17"/>
              </w:rPr>
              <w:t xml:space="preserve"> </w:t>
            </w:r>
            <w:r w:rsidRPr="00CA2CC1">
              <w:rPr>
                <w:rFonts w:cs="Calibri"/>
                <w:color w:val="F68C59"/>
                <w:position w:val="6"/>
                <w:sz w:val="10"/>
              </w:rPr>
              <w:t>(i)</w:t>
            </w:r>
          </w:p>
          <w:p w14:paraId="47BD4B13" w14:textId="77777777" w:rsidR="00FA4226" w:rsidRPr="00CA2CC1" w:rsidRDefault="00000000" w:rsidP="005B49BC">
            <w:pPr>
              <w:pStyle w:val="TableParagraph"/>
              <w:spacing w:before="6"/>
              <w:rPr>
                <w:rFonts w:cs="Calibri"/>
                <w:sz w:val="17"/>
              </w:rPr>
            </w:pPr>
            <w:r w:rsidRPr="00CA2CC1">
              <w:rPr>
                <w:rFonts w:cs="Calibri"/>
                <w:color w:val="F68C59"/>
                <w:sz w:val="17"/>
              </w:rPr>
              <w:t>$</w:t>
            </w:r>
          </w:p>
        </w:tc>
        <w:tc>
          <w:tcPr>
            <w:tcW w:w="1246" w:type="dxa"/>
            <w:tcBorders>
              <w:top w:val="nil"/>
              <w:left w:val="single" w:sz="8" w:space="0" w:color="FFFFFF"/>
              <w:right w:val="single" w:sz="8" w:space="0" w:color="FFFFFF"/>
            </w:tcBorders>
            <w:shd w:val="clear" w:color="auto" w:fill="EDEFF0"/>
            <w:tcMar>
              <w:right w:w="57" w:type="dxa"/>
            </w:tcMar>
            <w:vAlign w:val="bottom"/>
          </w:tcPr>
          <w:p w14:paraId="43F5F8B6" w14:textId="77777777" w:rsidR="00FA4226" w:rsidRPr="00CA2CC1" w:rsidRDefault="00000000" w:rsidP="005B49BC">
            <w:pPr>
              <w:pStyle w:val="TableParagraph"/>
              <w:spacing w:before="179"/>
              <w:rPr>
                <w:rFonts w:cs="Calibri"/>
                <w:sz w:val="17"/>
              </w:rPr>
            </w:pPr>
            <w:r w:rsidRPr="00CA2CC1">
              <w:rPr>
                <w:rFonts w:cs="Calibri"/>
                <w:color w:val="F68C59"/>
                <w:spacing w:val="-2"/>
                <w:sz w:val="17"/>
              </w:rPr>
              <w:t xml:space="preserve">Correction </w:t>
            </w:r>
            <w:r w:rsidRPr="00CA2CC1">
              <w:rPr>
                <w:rFonts w:cs="Calibri"/>
                <w:color w:val="F68C59"/>
                <w:sz w:val="17"/>
              </w:rPr>
              <w:t>of</w:t>
            </w:r>
            <w:r w:rsidRPr="00CA2CC1">
              <w:rPr>
                <w:rFonts w:cs="Calibri"/>
                <w:color w:val="F68C59"/>
                <w:spacing w:val="1"/>
                <w:sz w:val="17"/>
              </w:rPr>
              <w:t xml:space="preserve"> </w:t>
            </w:r>
            <w:r w:rsidRPr="00CA2CC1">
              <w:rPr>
                <w:rFonts w:cs="Calibri"/>
                <w:color w:val="F68C59"/>
                <w:spacing w:val="-2"/>
                <w:sz w:val="17"/>
              </w:rPr>
              <w:t>leased</w:t>
            </w:r>
          </w:p>
          <w:p w14:paraId="4E532BAB" w14:textId="0CB3AE60" w:rsidR="00FA4226" w:rsidRPr="00CA2CC1" w:rsidRDefault="00000000" w:rsidP="005B49BC">
            <w:pPr>
              <w:pStyle w:val="TableParagraph"/>
              <w:rPr>
                <w:rFonts w:cs="Calibri"/>
                <w:sz w:val="10"/>
              </w:rPr>
            </w:pPr>
            <w:r w:rsidRPr="00CA2CC1">
              <w:rPr>
                <w:rFonts w:cs="Calibri"/>
                <w:color w:val="F68C59"/>
                <w:spacing w:val="-2"/>
                <w:sz w:val="17"/>
              </w:rPr>
              <w:t xml:space="preserve">motor </w:t>
            </w:r>
            <w:r w:rsidR="005B49BC">
              <w:rPr>
                <w:rFonts w:cs="Calibri"/>
                <w:color w:val="F68C59"/>
                <w:spacing w:val="-2"/>
                <w:sz w:val="17"/>
              </w:rPr>
              <w:br/>
            </w:r>
            <w:r w:rsidRPr="00CA2CC1">
              <w:rPr>
                <w:rFonts w:cs="Calibri"/>
                <w:color w:val="F68C59"/>
                <w:spacing w:val="-2"/>
                <w:sz w:val="17"/>
              </w:rPr>
              <w:t xml:space="preserve">vehicle </w:t>
            </w:r>
            <w:r w:rsidRPr="00CA2CC1">
              <w:rPr>
                <w:rFonts w:cs="Calibri"/>
                <w:color w:val="F68C59"/>
                <w:sz w:val="17"/>
              </w:rPr>
              <w:t>error</w:t>
            </w:r>
            <w:r w:rsidRPr="00CA2CC1">
              <w:rPr>
                <w:rFonts w:cs="Calibri"/>
                <w:color w:val="F68C59"/>
                <w:spacing w:val="11"/>
                <w:sz w:val="17"/>
              </w:rPr>
              <w:t xml:space="preserve"> </w:t>
            </w:r>
            <w:r w:rsidRPr="00CA2CC1">
              <w:rPr>
                <w:rFonts w:cs="Calibri"/>
                <w:color w:val="F68C59"/>
                <w:spacing w:val="-4"/>
                <w:position w:val="6"/>
                <w:sz w:val="10"/>
              </w:rPr>
              <w:t>(ii)</w:t>
            </w:r>
          </w:p>
          <w:p w14:paraId="67BF18E2" w14:textId="77777777" w:rsidR="00FA4226" w:rsidRPr="00CA2CC1" w:rsidRDefault="00000000" w:rsidP="005B49BC">
            <w:pPr>
              <w:pStyle w:val="TableParagraph"/>
              <w:spacing w:before="4"/>
              <w:rPr>
                <w:rFonts w:cs="Calibri"/>
                <w:sz w:val="17"/>
              </w:rPr>
            </w:pPr>
            <w:r w:rsidRPr="00CA2CC1">
              <w:rPr>
                <w:rFonts w:cs="Calibri"/>
                <w:color w:val="F68C59"/>
                <w:sz w:val="17"/>
              </w:rPr>
              <w:t>$</w:t>
            </w:r>
          </w:p>
        </w:tc>
        <w:tc>
          <w:tcPr>
            <w:tcW w:w="1246" w:type="dxa"/>
            <w:tcBorders>
              <w:top w:val="nil"/>
              <w:left w:val="single" w:sz="8" w:space="0" w:color="FFFFFF"/>
              <w:right w:val="single" w:sz="8" w:space="0" w:color="FFFFFF"/>
            </w:tcBorders>
            <w:shd w:val="clear" w:color="auto" w:fill="FFF0E7"/>
            <w:tcMar>
              <w:right w:w="57" w:type="dxa"/>
            </w:tcMar>
            <w:vAlign w:val="bottom"/>
          </w:tcPr>
          <w:p w14:paraId="292A872C" w14:textId="77777777" w:rsidR="00FA4226" w:rsidRPr="00CA2CC1" w:rsidRDefault="00FA4226" w:rsidP="005B49BC">
            <w:pPr>
              <w:pStyle w:val="TableParagraph"/>
              <w:spacing w:before="9"/>
              <w:rPr>
                <w:rFonts w:cs="Calibri"/>
                <w:sz w:val="27"/>
              </w:rPr>
            </w:pPr>
          </w:p>
          <w:p w14:paraId="5F905A21" w14:textId="5FEC70E3" w:rsidR="00FA4226" w:rsidRPr="00CA2CC1" w:rsidRDefault="00000000" w:rsidP="005B49BC">
            <w:pPr>
              <w:pStyle w:val="TableParagraph"/>
              <w:rPr>
                <w:rFonts w:cs="Calibri"/>
                <w:sz w:val="17"/>
              </w:rPr>
            </w:pPr>
            <w:r w:rsidRPr="00CA2CC1">
              <w:rPr>
                <w:rFonts w:cs="Calibri"/>
                <w:color w:val="F68C59"/>
                <w:spacing w:val="-2"/>
                <w:sz w:val="17"/>
              </w:rPr>
              <w:t xml:space="preserve">Correction </w:t>
            </w:r>
            <w:r w:rsidRPr="00CA2CC1">
              <w:rPr>
                <w:rFonts w:cs="Calibri"/>
                <w:color w:val="F68C59"/>
                <w:sz w:val="17"/>
              </w:rPr>
              <w:t>of</w:t>
            </w:r>
            <w:r w:rsidRPr="00CA2CC1">
              <w:rPr>
                <w:rFonts w:cs="Calibri"/>
                <w:color w:val="F68C59"/>
                <w:spacing w:val="-12"/>
                <w:sz w:val="17"/>
              </w:rPr>
              <w:t xml:space="preserve"> </w:t>
            </w:r>
            <w:r w:rsidRPr="00CA2CC1">
              <w:rPr>
                <w:rFonts w:cs="Calibri"/>
                <w:color w:val="F68C59"/>
                <w:sz w:val="17"/>
              </w:rPr>
              <w:t xml:space="preserve">interest </w:t>
            </w:r>
            <w:r w:rsidR="005B49BC">
              <w:rPr>
                <w:rFonts w:cs="Calibri"/>
                <w:color w:val="F68C59"/>
                <w:sz w:val="17"/>
              </w:rPr>
              <w:br/>
            </w:r>
            <w:r w:rsidRPr="00CA2CC1">
              <w:rPr>
                <w:rFonts w:cs="Calibri"/>
                <w:color w:val="F68C59"/>
                <w:spacing w:val="-2"/>
                <w:sz w:val="17"/>
              </w:rPr>
              <w:t>expense</w:t>
            </w:r>
          </w:p>
          <w:p w14:paraId="3FDE9834" w14:textId="77777777" w:rsidR="00FA4226" w:rsidRPr="00CA2CC1" w:rsidRDefault="00000000" w:rsidP="005B49BC">
            <w:pPr>
              <w:pStyle w:val="TableParagraph"/>
              <w:rPr>
                <w:rFonts w:cs="Calibri"/>
                <w:sz w:val="17"/>
              </w:rPr>
            </w:pPr>
            <w:r w:rsidRPr="00CA2CC1">
              <w:rPr>
                <w:rFonts w:cs="Calibri"/>
                <w:color w:val="F68C59"/>
                <w:spacing w:val="-2"/>
                <w:sz w:val="17"/>
              </w:rPr>
              <w:t>error</w:t>
            </w:r>
          </w:p>
          <w:p w14:paraId="5981D22A" w14:textId="77777777" w:rsidR="00FA4226" w:rsidRPr="00CA2CC1" w:rsidRDefault="00000000" w:rsidP="005B49BC">
            <w:pPr>
              <w:pStyle w:val="TableParagraph"/>
              <w:spacing w:before="1"/>
              <w:rPr>
                <w:rFonts w:cs="Calibri"/>
                <w:sz w:val="17"/>
              </w:rPr>
            </w:pPr>
            <w:r w:rsidRPr="00CA2CC1">
              <w:rPr>
                <w:rFonts w:cs="Calibri"/>
                <w:color w:val="F68C59"/>
                <w:sz w:val="17"/>
              </w:rPr>
              <w:t>$</w:t>
            </w:r>
          </w:p>
        </w:tc>
        <w:tc>
          <w:tcPr>
            <w:tcW w:w="1249" w:type="dxa"/>
            <w:tcBorders>
              <w:top w:val="nil"/>
              <w:left w:val="single" w:sz="8" w:space="0" w:color="FFFFFF"/>
              <w:right w:val="nil"/>
            </w:tcBorders>
            <w:shd w:val="clear" w:color="auto" w:fill="EDEFF0"/>
            <w:tcMar>
              <w:right w:w="57" w:type="dxa"/>
            </w:tcMar>
            <w:vAlign w:val="bottom"/>
          </w:tcPr>
          <w:p w14:paraId="646875D7" w14:textId="77777777" w:rsidR="00FA4226" w:rsidRPr="00CA2CC1" w:rsidRDefault="00000000" w:rsidP="005B49BC">
            <w:pPr>
              <w:pStyle w:val="TableParagraph"/>
              <w:spacing w:before="39"/>
              <w:rPr>
                <w:rFonts w:cs="Calibri"/>
                <w:sz w:val="17"/>
              </w:rPr>
            </w:pPr>
            <w:r w:rsidRPr="00CA2CC1">
              <w:rPr>
                <w:rFonts w:cs="Calibri"/>
                <w:color w:val="F68C59"/>
                <w:spacing w:val="-2"/>
                <w:sz w:val="17"/>
              </w:rPr>
              <w:t>Accumulated</w:t>
            </w:r>
          </w:p>
          <w:p w14:paraId="167D981E" w14:textId="77777777" w:rsidR="00FA4226" w:rsidRPr="00CA2CC1" w:rsidRDefault="00000000" w:rsidP="005B49BC">
            <w:pPr>
              <w:pStyle w:val="TableParagraph"/>
              <w:rPr>
                <w:rFonts w:cs="Calibri"/>
                <w:sz w:val="17"/>
              </w:rPr>
            </w:pPr>
            <w:r w:rsidRPr="00CA2CC1">
              <w:rPr>
                <w:rFonts w:cs="Calibri"/>
                <w:color w:val="F68C59"/>
                <w:spacing w:val="-2"/>
                <w:sz w:val="17"/>
              </w:rPr>
              <w:t>surplus</w:t>
            </w:r>
          </w:p>
          <w:p w14:paraId="6B4176A9" w14:textId="77777777" w:rsidR="00FA4226" w:rsidRPr="00CA2CC1" w:rsidRDefault="00000000" w:rsidP="005B49BC">
            <w:pPr>
              <w:pStyle w:val="TableParagraph"/>
              <w:spacing w:before="107"/>
              <w:rPr>
                <w:rFonts w:cs="Calibri"/>
                <w:sz w:val="17"/>
              </w:rPr>
            </w:pPr>
            <w:r w:rsidRPr="00CA2CC1">
              <w:rPr>
                <w:rFonts w:cs="Calibri"/>
                <w:color w:val="F68C59"/>
                <w:spacing w:val="-2"/>
                <w:sz w:val="17"/>
              </w:rPr>
              <w:t>(previously presented balance)</w:t>
            </w:r>
          </w:p>
          <w:p w14:paraId="49722156" w14:textId="77777777" w:rsidR="00FA4226" w:rsidRPr="00CA2CC1" w:rsidRDefault="00000000" w:rsidP="005B49BC">
            <w:pPr>
              <w:pStyle w:val="TableParagraph"/>
              <w:spacing w:before="5"/>
              <w:rPr>
                <w:rFonts w:cs="Calibri"/>
                <w:sz w:val="17"/>
              </w:rPr>
            </w:pPr>
            <w:r w:rsidRPr="00CA2CC1">
              <w:rPr>
                <w:rFonts w:cs="Calibri"/>
                <w:color w:val="F68C59"/>
                <w:sz w:val="17"/>
              </w:rPr>
              <w:t>$</w:t>
            </w:r>
          </w:p>
        </w:tc>
      </w:tr>
      <w:tr w:rsidR="00FA4226" w:rsidRPr="00CA2CC1" w14:paraId="4AD2E1A5" w14:textId="77777777" w:rsidTr="005B49BC">
        <w:trPr>
          <w:trHeight w:val="281"/>
        </w:trPr>
        <w:tc>
          <w:tcPr>
            <w:tcW w:w="4648" w:type="dxa"/>
            <w:tcBorders>
              <w:left w:val="nil"/>
              <w:bottom w:val="single" w:sz="2" w:space="0" w:color="73777A"/>
              <w:right w:val="nil"/>
            </w:tcBorders>
          </w:tcPr>
          <w:p w14:paraId="5392B0BA" w14:textId="77777777" w:rsidR="00FA4226" w:rsidRPr="00CA2CC1" w:rsidRDefault="00000000" w:rsidP="0043303B">
            <w:pPr>
              <w:pStyle w:val="TableParagraph"/>
              <w:jc w:val="left"/>
              <w:rPr>
                <w:rFonts w:cs="Calibri"/>
                <w:sz w:val="18"/>
              </w:rPr>
            </w:pPr>
            <w:r w:rsidRPr="00CA2CC1">
              <w:rPr>
                <w:rFonts w:cs="Calibri"/>
                <w:color w:val="414042"/>
                <w:sz w:val="18"/>
              </w:rPr>
              <w:t>Balance</w:t>
            </w:r>
            <w:r w:rsidRPr="00CA2CC1">
              <w:rPr>
                <w:rFonts w:cs="Calibri"/>
                <w:color w:val="414042"/>
                <w:spacing w:val="4"/>
                <w:sz w:val="18"/>
              </w:rPr>
              <w:t xml:space="preserve"> </w:t>
            </w:r>
            <w:r w:rsidRPr="00CA2CC1">
              <w:rPr>
                <w:rFonts w:cs="Calibri"/>
                <w:color w:val="414042"/>
                <w:sz w:val="18"/>
              </w:rPr>
              <w:t>at</w:t>
            </w:r>
            <w:r w:rsidRPr="00CA2CC1">
              <w:rPr>
                <w:rFonts w:cs="Calibri"/>
                <w:color w:val="414042"/>
                <w:spacing w:val="5"/>
                <w:sz w:val="18"/>
              </w:rPr>
              <w:t xml:space="preserve"> </w:t>
            </w:r>
            <w:r w:rsidRPr="00CA2CC1">
              <w:rPr>
                <w:rFonts w:cs="Calibri"/>
                <w:color w:val="414042"/>
                <w:sz w:val="18"/>
              </w:rPr>
              <w:t>1</w:t>
            </w:r>
            <w:r w:rsidRPr="00CA2CC1">
              <w:rPr>
                <w:rFonts w:cs="Calibri"/>
                <w:color w:val="414042"/>
                <w:spacing w:val="4"/>
                <w:sz w:val="18"/>
              </w:rPr>
              <w:t xml:space="preserve"> </w:t>
            </w:r>
            <w:r w:rsidRPr="00CA2CC1">
              <w:rPr>
                <w:rFonts w:cs="Calibri"/>
                <w:color w:val="414042"/>
                <w:sz w:val="18"/>
              </w:rPr>
              <w:t>July</w:t>
            </w:r>
            <w:r w:rsidRPr="00CA2CC1">
              <w:rPr>
                <w:rFonts w:cs="Calibri"/>
                <w:color w:val="414042"/>
                <w:spacing w:val="5"/>
                <w:sz w:val="18"/>
              </w:rPr>
              <w:t xml:space="preserve"> </w:t>
            </w:r>
            <w:r w:rsidRPr="00CA2CC1">
              <w:rPr>
                <w:rFonts w:cs="Calibri"/>
                <w:color w:val="414042"/>
                <w:spacing w:val="-4"/>
                <w:sz w:val="18"/>
              </w:rPr>
              <w:t>2021</w:t>
            </w:r>
          </w:p>
        </w:tc>
        <w:tc>
          <w:tcPr>
            <w:tcW w:w="1246" w:type="dxa"/>
            <w:tcBorders>
              <w:left w:val="nil"/>
              <w:bottom w:val="single" w:sz="2" w:space="0" w:color="73777A"/>
              <w:right w:val="single" w:sz="8" w:space="0" w:color="FFFFFF"/>
            </w:tcBorders>
            <w:shd w:val="clear" w:color="auto" w:fill="FFF0E7"/>
            <w:tcMar>
              <w:right w:w="57" w:type="dxa"/>
            </w:tcMar>
          </w:tcPr>
          <w:p w14:paraId="3D92BF97" w14:textId="77777777" w:rsidR="00FA4226" w:rsidRPr="00CA2CC1" w:rsidRDefault="00000000" w:rsidP="0043303B">
            <w:pPr>
              <w:pStyle w:val="TableParagraph"/>
              <w:rPr>
                <w:rFonts w:cs="Calibri"/>
                <w:sz w:val="18"/>
              </w:rPr>
            </w:pPr>
            <w:r w:rsidRPr="00CA2CC1">
              <w:rPr>
                <w:rFonts w:cs="Calibri"/>
                <w:color w:val="414042"/>
                <w:spacing w:val="-2"/>
                <w:sz w:val="18"/>
              </w:rPr>
              <w:t>439,622</w:t>
            </w:r>
          </w:p>
        </w:tc>
        <w:tc>
          <w:tcPr>
            <w:tcW w:w="1246" w:type="dxa"/>
            <w:tcBorders>
              <w:left w:val="single" w:sz="8" w:space="0" w:color="FFFFFF"/>
              <w:bottom w:val="single" w:sz="2" w:space="0" w:color="73777A"/>
              <w:right w:val="single" w:sz="8" w:space="0" w:color="FFFFFF"/>
            </w:tcBorders>
            <w:shd w:val="clear" w:color="auto" w:fill="EDEFF0"/>
            <w:tcMar>
              <w:right w:w="57" w:type="dxa"/>
            </w:tcMar>
          </w:tcPr>
          <w:p w14:paraId="41CCCC89" w14:textId="77777777" w:rsidR="00FA4226" w:rsidRPr="00CA2CC1" w:rsidRDefault="00000000" w:rsidP="0043303B">
            <w:pPr>
              <w:pStyle w:val="TableParagraph"/>
              <w:rPr>
                <w:rFonts w:cs="Calibri"/>
                <w:sz w:val="18"/>
              </w:rPr>
            </w:pPr>
            <w:r w:rsidRPr="00CA2CC1">
              <w:rPr>
                <w:rFonts w:cs="Calibri"/>
                <w:color w:val="414042"/>
                <w:sz w:val="18"/>
              </w:rPr>
              <w:t>-</w:t>
            </w:r>
          </w:p>
        </w:tc>
        <w:tc>
          <w:tcPr>
            <w:tcW w:w="1246" w:type="dxa"/>
            <w:tcBorders>
              <w:left w:val="single" w:sz="8" w:space="0" w:color="FFFFFF"/>
              <w:bottom w:val="single" w:sz="2" w:space="0" w:color="73777A"/>
              <w:right w:val="single" w:sz="8" w:space="0" w:color="FFFFFF"/>
            </w:tcBorders>
            <w:shd w:val="clear" w:color="auto" w:fill="FFF0E7"/>
            <w:tcMar>
              <w:right w:w="57" w:type="dxa"/>
            </w:tcMar>
          </w:tcPr>
          <w:p w14:paraId="68CF84F3" w14:textId="77777777" w:rsidR="00FA4226" w:rsidRPr="00CA2CC1" w:rsidRDefault="00000000" w:rsidP="0043303B">
            <w:pPr>
              <w:pStyle w:val="TableParagraph"/>
              <w:rPr>
                <w:rFonts w:cs="Calibri"/>
                <w:sz w:val="18"/>
              </w:rPr>
            </w:pPr>
            <w:r w:rsidRPr="00CA2CC1">
              <w:rPr>
                <w:rFonts w:cs="Calibri"/>
                <w:color w:val="414042"/>
                <w:sz w:val="18"/>
              </w:rPr>
              <w:t>-</w:t>
            </w:r>
          </w:p>
        </w:tc>
        <w:tc>
          <w:tcPr>
            <w:tcW w:w="1249" w:type="dxa"/>
            <w:tcBorders>
              <w:left w:val="single" w:sz="8" w:space="0" w:color="FFFFFF"/>
              <w:bottom w:val="single" w:sz="2" w:space="0" w:color="73777A"/>
              <w:right w:val="nil"/>
            </w:tcBorders>
            <w:shd w:val="clear" w:color="auto" w:fill="EDEFF0"/>
            <w:tcMar>
              <w:right w:w="57" w:type="dxa"/>
            </w:tcMar>
          </w:tcPr>
          <w:p w14:paraId="7C2C4EAB" w14:textId="77777777" w:rsidR="00FA4226" w:rsidRPr="00CA2CC1" w:rsidRDefault="00000000" w:rsidP="0043303B">
            <w:pPr>
              <w:pStyle w:val="TableParagraph"/>
              <w:rPr>
                <w:rFonts w:cs="Calibri"/>
                <w:sz w:val="18"/>
              </w:rPr>
            </w:pPr>
            <w:r w:rsidRPr="00CA2CC1">
              <w:rPr>
                <w:rFonts w:cs="Calibri"/>
                <w:color w:val="414042"/>
                <w:spacing w:val="-2"/>
                <w:sz w:val="18"/>
              </w:rPr>
              <w:t>439,621</w:t>
            </w:r>
          </w:p>
        </w:tc>
      </w:tr>
      <w:tr w:rsidR="00FA4226" w:rsidRPr="00CA2CC1" w14:paraId="15B69EA1" w14:textId="77777777" w:rsidTr="005B49BC">
        <w:trPr>
          <w:trHeight w:val="278"/>
        </w:trPr>
        <w:tc>
          <w:tcPr>
            <w:tcW w:w="4648" w:type="dxa"/>
            <w:tcBorders>
              <w:top w:val="single" w:sz="2" w:space="0" w:color="73777A"/>
              <w:left w:val="nil"/>
              <w:bottom w:val="single" w:sz="6" w:space="0" w:color="73777A"/>
              <w:right w:val="nil"/>
            </w:tcBorders>
          </w:tcPr>
          <w:p w14:paraId="17274399" w14:textId="77777777" w:rsidR="00FA4226" w:rsidRPr="00CA2CC1" w:rsidRDefault="00000000" w:rsidP="0043303B">
            <w:pPr>
              <w:pStyle w:val="TableParagraph"/>
              <w:jc w:val="left"/>
              <w:rPr>
                <w:rFonts w:cs="Calibri"/>
                <w:sz w:val="18"/>
              </w:rPr>
            </w:pPr>
            <w:r w:rsidRPr="00CA2CC1">
              <w:rPr>
                <w:rFonts w:cs="Calibri"/>
                <w:color w:val="414042"/>
                <w:sz w:val="18"/>
              </w:rPr>
              <w:t>Net</w:t>
            </w:r>
            <w:r w:rsidRPr="00CA2CC1">
              <w:rPr>
                <w:rFonts w:cs="Calibri"/>
                <w:color w:val="414042"/>
                <w:spacing w:val="2"/>
                <w:sz w:val="18"/>
              </w:rPr>
              <w:t xml:space="preserve"> </w:t>
            </w:r>
            <w:r w:rsidRPr="00CA2CC1">
              <w:rPr>
                <w:rFonts w:cs="Calibri"/>
                <w:color w:val="414042"/>
                <w:sz w:val="18"/>
              </w:rPr>
              <w:t>result</w:t>
            </w:r>
            <w:r w:rsidRPr="00CA2CC1">
              <w:rPr>
                <w:rFonts w:cs="Calibri"/>
                <w:color w:val="414042"/>
                <w:spacing w:val="3"/>
                <w:sz w:val="18"/>
              </w:rPr>
              <w:t xml:space="preserve"> </w:t>
            </w:r>
            <w:r w:rsidRPr="00CA2CC1">
              <w:rPr>
                <w:rFonts w:cs="Calibri"/>
                <w:color w:val="414042"/>
                <w:sz w:val="18"/>
              </w:rPr>
              <w:t>for</w:t>
            </w:r>
            <w:r w:rsidRPr="00CA2CC1">
              <w:rPr>
                <w:rFonts w:cs="Calibri"/>
                <w:color w:val="414042"/>
                <w:spacing w:val="3"/>
                <w:sz w:val="18"/>
              </w:rPr>
              <w:t xml:space="preserve"> </w:t>
            </w:r>
            <w:r w:rsidRPr="00CA2CC1">
              <w:rPr>
                <w:rFonts w:cs="Calibri"/>
                <w:color w:val="414042"/>
                <w:spacing w:val="-4"/>
                <w:sz w:val="18"/>
              </w:rPr>
              <w:t>year</w:t>
            </w:r>
          </w:p>
        </w:tc>
        <w:tc>
          <w:tcPr>
            <w:tcW w:w="1246" w:type="dxa"/>
            <w:tcBorders>
              <w:top w:val="single" w:sz="2" w:space="0" w:color="73777A"/>
              <w:left w:val="nil"/>
              <w:bottom w:val="single" w:sz="6" w:space="0" w:color="73777A"/>
              <w:right w:val="single" w:sz="8" w:space="0" w:color="FFFFFF"/>
            </w:tcBorders>
            <w:shd w:val="clear" w:color="auto" w:fill="FFF0E7"/>
            <w:tcMar>
              <w:right w:w="57" w:type="dxa"/>
            </w:tcMar>
          </w:tcPr>
          <w:p w14:paraId="5858F117" w14:textId="77777777" w:rsidR="00FA4226" w:rsidRPr="00CA2CC1" w:rsidRDefault="00000000" w:rsidP="0043303B">
            <w:pPr>
              <w:pStyle w:val="TableParagraph"/>
              <w:rPr>
                <w:rFonts w:cs="Calibri"/>
                <w:sz w:val="18"/>
              </w:rPr>
            </w:pPr>
            <w:r w:rsidRPr="00CA2CC1">
              <w:rPr>
                <w:rFonts w:cs="Calibri"/>
                <w:color w:val="414042"/>
                <w:spacing w:val="-2"/>
                <w:sz w:val="18"/>
              </w:rPr>
              <w:t>592,053</w:t>
            </w:r>
          </w:p>
        </w:tc>
        <w:tc>
          <w:tcPr>
            <w:tcW w:w="1246" w:type="dxa"/>
            <w:tcBorders>
              <w:top w:val="single" w:sz="2" w:space="0" w:color="73777A"/>
              <w:left w:val="single" w:sz="8" w:space="0" w:color="FFFFFF"/>
              <w:bottom w:val="single" w:sz="6" w:space="0" w:color="73777A"/>
              <w:right w:val="single" w:sz="8" w:space="0" w:color="FFFFFF"/>
            </w:tcBorders>
            <w:shd w:val="clear" w:color="auto" w:fill="EDEFF0"/>
            <w:tcMar>
              <w:right w:w="57" w:type="dxa"/>
            </w:tcMar>
          </w:tcPr>
          <w:p w14:paraId="6725D525" w14:textId="77777777" w:rsidR="00FA4226" w:rsidRPr="00CA2CC1" w:rsidRDefault="00000000" w:rsidP="0043303B">
            <w:pPr>
              <w:pStyle w:val="TableParagraph"/>
              <w:rPr>
                <w:rFonts w:cs="Calibri"/>
                <w:sz w:val="18"/>
              </w:rPr>
            </w:pPr>
            <w:r w:rsidRPr="00CA2CC1">
              <w:rPr>
                <w:rFonts w:cs="Calibri"/>
                <w:color w:val="414042"/>
                <w:spacing w:val="-2"/>
                <w:sz w:val="18"/>
              </w:rPr>
              <w:t>(306)</w:t>
            </w:r>
          </w:p>
        </w:tc>
        <w:tc>
          <w:tcPr>
            <w:tcW w:w="1246" w:type="dxa"/>
            <w:tcBorders>
              <w:top w:val="single" w:sz="2" w:space="0" w:color="73777A"/>
              <w:left w:val="single" w:sz="8" w:space="0" w:color="FFFFFF"/>
              <w:bottom w:val="single" w:sz="6" w:space="0" w:color="73777A"/>
              <w:right w:val="single" w:sz="8" w:space="0" w:color="FFFFFF"/>
            </w:tcBorders>
            <w:shd w:val="clear" w:color="auto" w:fill="FFF0E7"/>
            <w:tcMar>
              <w:right w:w="57" w:type="dxa"/>
            </w:tcMar>
          </w:tcPr>
          <w:p w14:paraId="316EEBD2" w14:textId="77777777" w:rsidR="00FA4226" w:rsidRPr="00CA2CC1" w:rsidRDefault="00000000" w:rsidP="0043303B">
            <w:pPr>
              <w:pStyle w:val="TableParagraph"/>
              <w:rPr>
                <w:rFonts w:cs="Calibri"/>
                <w:sz w:val="18"/>
              </w:rPr>
            </w:pPr>
            <w:r w:rsidRPr="00CA2CC1">
              <w:rPr>
                <w:rFonts w:cs="Calibri"/>
                <w:color w:val="414042"/>
                <w:sz w:val="18"/>
              </w:rPr>
              <w:t>-</w:t>
            </w:r>
          </w:p>
        </w:tc>
        <w:tc>
          <w:tcPr>
            <w:tcW w:w="1249" w:type="dxa"/>
            <w:tcBorders>
              <w:top w:val="single" w:sz="2" w:space="0" w:color="73777A"/>
              <w:left w:val="single" w:sz="8" w:space="0" w:color="FFFFFF"/>
              <w:bottom w:val="single" w:sz="6" w:space="0" w:color="73777A"/>
              <w:right w:val="nil"/>
            </w:tcBorders>
            <w:shd w:val="clear" w:color="auto" w:fill="EDEFF0"/>
            <w:tcMar>
              <w:right w:w="57" w:type="dxa"/>
            </w:tcMar>
          </w:tcPr>
          <w:p w14:paraId="0759A90A" w14:textId="77777777" w:rsidR="00FA4226" w:rsidRPr="00CA2CC1" w:rsidRDefault="00000000" w:rsidP="0043303B">
            <w:pPr>
              <w:pStyle w:val="TableParagraph"/>
              <w:rPr>
                <w:rFonts w:cs="Calibri"/>
                <w:sz w:val="18"/>
              </w:rPr>
            </w:pPr>
            <w:r w:rsidRPr="00CA2CC1">
              <w:rPr>
                <w:rFonts w:cs="Calibri"/>
                <w:color w:val="414042"/>
                <w:spacing w:val="-2"/>
                <w:sz w:val="18"/>
              </w:rPr>
              <w:t>592,359</w:t>
            </w:r>
          </w:p>
        </w:tc>
      </w:tr>
      <w:tr w:rsidR="00FA4226" w:rsidRPr="00CA2CC1" w14:paraId="50D7F06B" w14:textId="77777777" w:rsidTr="005B49BC">
        <w:trPr>
          <w:trHeight w:val="258"/>
        </w:trPr>
        <w:tc>
          <w:tcPr>
            <w:tcW w:w="4648" w:type="dxa"/>
            <w:tcBorders>
              <w:top w:val="single" w:sz="6" w:space="0" w:color="73777A"/>
              <w:left w:val="nil"/>
              <w:bottom w:val="double" w:sz="6" w:space="0" w:color="73777A"/>
              <w:right w:val="nil"/>
            </w:tcBorders>
          </w:tcPr>
          <w:p w14:paraId="19F05098" w14:textId="77777777" w:rsidR="00FA4226" w:rsidRPr="00CA2CC1" w:rsidRDefault="00000000" w:rsidP="0043303B">
            <w:pPr>
              <w:pStyle w:val="TableParagraph"/>
              <w:jc w:val="left"/>
              <w:rPr>
                <w:rFonts w:cs="Calibri"/>
                <w:sz w:val="18"/>
              </w:rPr>
            </w:pPr>
            <w:r w:rsidRPr="00CA2CC1">
              <w:rPr>
                <w:rFonts w:cs="Calibri"/>
                <w:color w:val="414042"/>
                <w:sz w:val="18"/>
              </w:rPr>
              <w:t>Balance</w:t>
            </w:r>
            <w:r w:rsidRPr="00CA2CC1">
              <w:rPr>
                <w:rFonts w:cs="Calibri"/>
                <w:color w:val="414042"/>
                <w:spacing w:val="3"/>
                <w:sz w:val="18"/>
              </w:rPr>
              <w:t xml:space="preserve"> </w:t>
            </w:r>
            <w:r w:rsidRPr="00CA2CC1">
              <w:rPr>
                <w:rFonts w:cs="Calibri"/>
                <w:color w:val="414042"/>
                <w:sz w:val="18"/>
              </w:rPr>
              <w:t>at</w:t>
            </w:r>
            <w:r w:rsidRPr="00CA2CC1">
              <w:rPr>
                <w:rFonts w:cs="Calibri"/>
                <w:color w:val="414042"/>
                <w:spacing w:val="5"/>
                <w:sz w:val="18"/>
              </w:rPr>
              <w:t xml:space="preserve"> </w:t>
            </w:r>
            <w:r w:rsidRPr="00CA2CC1">
              <w:rPr>
                <w:rFonts w:cs="Calibri"/>
                <w:color w:val="414042"/>
                <w:sz w:val="18"/>
              </w:rPr>
              <w:t>30</w:t>
            </w:r>
            <w:r w:rsidRPr="00CA2CC1">
              <w:rPr>
                <w:rFonts w:cs="Calibri"/>
                <w:color w:val="414042"/>
                <w:spacing w:val="5"/>
                <w:sz w:val="18"/>
              </w:rPr>
              <w:t xml:space="preserve"> </w:t>
            </w:r>
            <w:r w:rsidRPr="00CA2CC1">
              <w:rPr>
                <w:rFonts w:cs="Calibri"/>
                <w:color w:val="414042"/>
                <w:sz w:val="18"/>
              </w:rPr>
              <w:t>June</w:t>
            </w:r>
            <w:r w:rsidRPr="00CA2CC1">
              <w:rPr>
                <w:rFonts w:cs="Calibri"/>
                <w:color w:val="414042"/>
                <w:spacing w:val="6"/>
                <w:sz w:val="18"/>
              </w:rPr>
              <w:t xml:space="preserve"> </w:t>
            </w:r>
            <w:r w:rsidRPr="00CA2CC1">
              <w:rPr>
                <w:rFonts w:cs="Calibri"/>
                <w:color w:val="414042"/>
                <w:spacing w:val="-4"/>
                <w:sz w:val="18"/>
              </w:rPr>
              <w:t>2022</w:t>
            </w:r>
          </w:p>
        </w:tc>
        <w:tc>
          <w:tcPr>
            <w:tcW w:w="1246" w:type="dxa"/>
            <w:tcBorders>
              <w:top w:val="single" w:sz="6" w:space="0" w:color="73777A"/>
              <w:left w:val="nil"/>
              <w:bottom w:val="double" w:sz="4" w:space="0" w:color="73777A"/>
              <w:right w:val="single" w:sz="8" w:space="0" w:color="FFFFFF"/>
            </w:tcBorders>
            <w:shd w:val="clear" w:color="auto" w:fill="FFF0E7"/>
            <w:tcMar>
              <w:right w:w="57" w:type="dxa"/>
            </w:tcMar>
          </w:tcPr>
          <w:p w14:paraId="3350A359" w14:textId="77777777" w:rsidR="00FA4226" w:rsidRPr="00CA2CC1" w:rsidRDefault="00000000" w:rsidP="0043303B">
            <w:pPr>
              <w:pStyle w:val="TableParagraph"/>
              <w:rPr>
                <w:rFonts w:cs="Calibri"/>
                <w:sz w:val="18"/>
              </w:rPr>
            </w:pPr>
            <w:r w:rsidRPr="00CA2CC1">
              <w:rPr>
                <w:rFonts w:cs="Calibri"/>
                <w:color w:val="414042"/>
                <w:spacing w:val="-2"/>
                <w:sz w:val="18"/>
              </w:rPr>
              <w:t>1,031,675</w:t>
            </w:r>
          </w:p>
        </w:tc>
        <w:tc>
          <w:tcPr>
            <w:tcW w:w="1246" w:type="dxa"/>
            <w:tcBorders>
              <w:top w:val="single" w:sz="6" w:space="0" w:color="73777A"/>
              <w:left w:val="single" w:sz="8" w:space="0" w:color="FFFFFF"/>
              <w:bottom w:val="double" w:sz="4" w:space="0" w:color="73777A"/>
              <w:right w:val="single" w:sz="8" w:space="0" w:color="FFFFFF"/>
            </w:tcBorders>
            <w:shd w:val="clear" w:color="auto" w:fill="EDEFF0"/>
            <w:tcMar>
              <w:right w:w="57" w:type="dxa"/>
            </w:tcMar>
          </w:tcPr>
          <w:p w14:paraId="379755CA" w14:textId="77777777" w:rsidR="00FA4226" w:rsidRPr="00CA2CC1" w:rsidRDefault="00000000" w:rsidP="0043303B">
            <w:pPr>
              <w:pStyle w:val="TableParagraph"/>
              <w:rPr>
                <w:rFonts w:cs="Calibri"/>
                <w:sz w:val="18"/>
              </w:rPr>
            </w:pPr>
            <w:r w:rsidRPr="00CA2CC1">
              <w:rPr>
                <w:rFonts w:cs="Calibri"/>
                <w:color w:val="414042"/>
                <w:spacing w:val="-2"/>
                <w:sz w:val="18"/>
              </w:rPr>
              <w:t>(306)</w:t>
            </w:r>
          </w:p>
        </w:tc>
        <w:tc>
          <w:tcPr>
            <w:tcW w:w="1246" w:type="dxa"/>
            <w:tcBorders>
              <w:top w:val="single" w:sz="6" w:space="0" w:color="73777A"/>
              <w:left w:val="single" w:sz="8" w:space="0" w:color="FFFFFF"/>
              <w:bottom w:val="double" w:sz="4" w:space="0" w:color="73777A"/>
              <w:right w:val="single" w:sz="8" w:space="0" w:color="FFFFFF"/>
            </w:tcBorders>
            <w:shd w:val="clear" w:color="auto" w:fill="FFF0E7"/>
            <w:tcMar>
              <w:right w:w="57" w:type="dxa"/>
            </w:tcMar>
          </w:tcPr>
          <w:p w14:paraId="43C2F2A9" w14:textId="77777777" w:rsidR="00FA4226" w:rsidRPr="00CA2CC1" w:rsidRDefault="00000000" w:rsidP="0043303B">
            <w:pPr>
              <w:pStyle w:val="TableParagraph"/>
              <w:rPr>
                <w:rFonts w:cs="Calibri"/>
                <w:sz w:val="18"/>
              </w:rPr>
            </w:pPr>
            <w:r w:rsidRPr="00CA2CC1">
              <w:rPr>
                <w:rFonts w:cs="Calibri"/>
                <w:color w:val="414042"/>
                <w:sz w:val="18"/>
              </w:rPr>
              <w:t>-</w:t>
            </w:r>
          </w:p>
        </w:tc>
        <w:tc>
          <w:tcPr>
            <w:tcW w:w="1249" w:type="dxa"/>
            <w:tcBorders>
              <w:top w:val="single" w:sz="6" w:space="0" w:color="73777A"/>
              <w:left w:val="single" w:sz="8" w:space="0" w:color="FFFFFF"/>
              <w:bottom w:val="double" w:sz="4" w:space="0" w:color="73777A"/>
              <w:right w:val="nil"/>
            </w:tcBorders>
            <w:shd w:val="clear" w:color="auto" w:fill="EDEFF0"/>
            <w:tcMar>
              <w:right w:w="57" w:type="dxa"/>
            </w:tcMar>
          </w:tcPr>
          <w:p w14:paraId="28E413CA" w14:textId="77777777" w:rsidR="00FA4226" w:rsidRPr="00CA2CC1" w:rsidRDefault="00000000" w:rsidP="0043303B">
            <w:pPr>
              <w:pStyle w:val="TableParagraph"/>
              <w:rPr>
                <w:rFonts w:cs="Calibri"/>
                <w:sz w:val="18"/>
              </w:rPr>
            </w:pPr>
            <w:r w:rsidRPr="00CA2CC1">
              <w:rPr>
                <w:rFonts w:cs="Calibri"/>
                <w:color w:val="414042"/>
                <w:spacing w:val="-2"/>
                <w:sz w:val="18"/>
              </w:rPr>
              <w:t>1,031,980</w:t>
            </w:r>
          </w:p>
        </w:tc>
      </w:tr>
    </w:tbl>
    <w:p w14:paraId="072F1004" w14:textId="77777777" w:rsidR="00FA4226" w:rsidRPr="00CA2CC1" w:rsidRDefault="00FA4226" w:rsidP="0043303B">
      <w:pPr>
        <w:pStyle w:val="BodyText"/>
        <w:spacing w:before="5"/>
        <w:rPr>
          <w:rFonts w:cs="Calibri"/>
          <w:sz w:val="21"/>
        </w:rPr>
      </w:pPr>
    </w:p>
    <w:p w14:paraId="33862672" w14:textId="77777777" w:rsidR="00FA4226" w:rsidRPr="00CA2CC1" w:rsidRDefault="00000000" w:rsidP="0043303B">
      <w:pPr>
        <w:rPr>
          <w:rFonts w:cs="Calibri"/>
          <w:i/>
          <w:sz w:val="16"/>
        </w:rPr>
      </w:pPr>
      <w:r w:rsidRPr="00CA2CC1">
        <w:rPr>
          <w:rFonts w:cs="Calibri"/>
          <w:i/>
          <w:color w:val="414042"/>
          <w:sz w:val="16"/>
        </w:rPr>
        <w:t xml:space="preserve">(i) Includes the correction of a rounding </w:t>
      </w:r>
      <w:r w:rsidRPr="00CA2CC1">
        <w:rPr>
          <w:rFonts w:cs="Calibri"/>
          <w:i/>
          <w:color w:val="414042"/>
          <w:spacing w:val="-2"/>
          <w:sz w:val="16"/>
        </w:rPr>
        <w:t>error.</w:t>
      </w:r>
    </w:p>
    <w:p w14:paraId="3C7DB7B5" w14:textId="77777777" w:rsidR="00FA4226" w:rsidRPr="00CA2CC1" w:rsidRDefault="00000000" w:rsidP="0043303B">
      <w:pPr>
        <w:spacing w:before="141"/>
        <w:rPr>
          <w:rFonts w:cs="Calibri"/>
          <w:i/>
          <w:sz w:val="16"/>
        </w:rPr>
      </w:pPr>
      <w:r w:rsidRPr="00CA2CC1">
        <w:rPr>
          <w:rFonts w:cs="Calibri"/>
          <w:i/>
          <w:color w:val="414042"/>
          <w:sz w:val="16"/>
        </w:rPr>
        <w:t xml:space="preserve">(ii) This correction contains a minor rounding </w:t>
      </w:r>
      <w:r w:rsidRPr="00CA2CC1">
        <w:rPr>
          <w:rFonts w:cs="Calibri"/>
          <w:i/>
          <w:color w:val="414042"/>
          <w:spacing w:val="-2"/>
          <w:sz w:val="16"/>
        </w:rPr>
        <w:t>error.</w:t>
      </w:r>
    </w:p>
    <w:p w14:paraId="3DFD81DB" w14:textId="77777777" w:rsidR="00FA4226" w:rsidRPr="00CA2CC1" w:rsidRDefault="00FA4226" w:rsidP="0043303B">
      <w:pPr>
        <w:pStyle w:val="BodyText"/>
        <w:spacing w:before="5"/>
        <w:rPr>
          <w:rFonts w:cs="Calibri"/>
          <w:i/>
          <w:sz w:val="11"/>
        </w:rPr>
      </w:pPr>
    </w:p>
    <w:p w14:paraId="416B8600" w14:textId="77777777" w:rsidR="00FA4226" w:rsidRPr="00CA2CC1" w:rsidRDefault="00FA4226" w:rsidP="0043303B">
      <w:pPr>
        <w:rPr>
          <w:rFonts w:cs="Calibri"/>
          <w:sz w:val="11"/>
        </w:rPr>
        <w:sectPr w:rsidR="00FA4226" w:rsidRPr="00CA2CC1" w:rsidSect="00E941A5">
          <w:pgSz w:w="11910" w:h="16840"/>
          <w:pgMar w:top="1134" w:right="1278" w:bottom="1134" w:left="1134" w:header="720" w:footer="720" w:gutter="0"/>
          <w:cols w:space="720"/>
        </w:sectPr>
      </w:pPr>
    </w:p>
    <w:p w14:paraId="550086DD" w14:textId="77777777" w:rsidR="00FA4226" w:rsidRPr="005B49BC" w:rsidRDefault="00000000" w:rsidP="0043303B">
      <w:pPr>
        <w:pStyle w:val="Heading7"/>
        <w:numPr>
          <w:ilvl w:val="1"/>
          <w:numId w:val="4"/>
        </w:numPr>
        <w:spacing w:before="61"/>
        <w:ind w:left="0" w:firstLine="0"/>
        <w:jc w:val="left"/>
        <w:rPr>
          <w:rFonts w:cs="Calibri"/>
          <w:color w:val="000000" w:themeColor="text1"/>
        </w:rPr>
      </w:pPr>
      <w:r w:rsidRPr="005B49BC">
        <w:rPr>
          <w:rFonts w:cs="Calibri"/>
          <w:color w:val="000000" w:themeColor="text1"/>
        </w:rPr>
        <w:t xml:space="preserve">Changes in accounting </w:t>
      </w:r>
      <w:r w:rsidRPr="005B49BC">
        <w:rPr>
          <w:rFonts w:cs="Calibri"/>
          <w:color w:val="000000" w:themeColor="text1"/>
          <w:spacing w:val="-2"/>
        </w:rPr>
        <w:t>policies</w:t>
      </w:r>
    </w:p>
    <w:p w14:paraId="1042B676" w14:textId="77777777" w:rsidR="00FA4226" w:rsidRPr="005B49BC" w:rsidRDefault="00000000" w:rsidP="0043303B">
      <w:pPr>
        <w:pStyle w:val="BodyText"/>
        <w:spacing w:before="112"/>
        <w:rPr>
          <w:rFonts w:cs="Calibri"/>
        </w:rPr>
      </w:pPr>
      <w:r w:rsidRPr="005B49BC">
        <w:rPr>
          <w:rFonts w:cs="Calibri"/>
        </w:rPr>
        <w:t>There have been no changes in accounting policies for Infrastructure</w:t>
      </w:r>
      <w:r w:rsidRPr="005B49BC">
        <w:rPr>
          <w:rFonts w:cs="Calibri"/>
          <w:spacing w:val="-1"/>
        </w:rPr>
        <w:t xml:space="preserve"> </w:t>
      </w:r>
      <w:r w:rsidRPr="005B49BC">
        <w:rPr>
          <w:rFonts w:cs="Calibri"/>
        </w:rPr>
        <w:t>Victoria</w:t>
      </w:r>
      <w:r w:rsidRPr="005B49BC">
        <w:rPr>
          <w:rFonts w:cs="Calibri"/>
          <w:spacing w:val="-1"/>
        </w:rPr>
        <w:t xml:space="preserve"> </w:t>
      </w:r>
      <w:r w:rsidRPr="005B49BC">
        <w:rPr>
          <w:rFonts w:cs="Calibri"/>
        </w:rPr>
        <w:t>during 2022-23</w:t>
      </w:r>
      <w:r w:rsidRPr="005B49BC">
        <w:rPr>
          <w:rFonts w:cs="Calibri"/>
          <w:spacing w:val="-1"/>
        </w:rPr>
        <w:t xml:space="preserve"> </w:t>
      </w:r>
      <w:r w:rsidRPr="005B49BC">
        <w:rPr>
          <w:rFonts w:cs="Calibri"/>
        </w:rPr>
        <w:t xml:space="preserve">(2021-22: </w:t>
      </w:r>
      <w:r w:rsidRPr="005B49BC">
        <w:rPr>
          <w:rFonts w:cs="Calibri"/>
          <w:spacing w:val="-2"/>
        </w:rPr>
        <w:t>None).</w:t>
      </w:r>
    </w:p>
    <w:p w14:paraId="6A5E8F1A" w14:textId="77777777" w:rsidR="00FA4226" w:rsidRPr="005B49BC" w:rsidRDefault="00FA4226" w:rsidP="0043303B">
      <w:pPr>
        <w:pStyle w:val="BodyText"/>
        <w:spacing w:before="6"/>
        <w:rPr>
          <w:rFonts w:cs="Calibri"/>
          <w:sz w:val="17"/>
        </w:rPr>
      </w:pPr>
    </w:p>
    <w:p w14:paraId="48A4C82A" w14:textId="77777777" w:rsidR="00FA4226" w:rsidRPr="005B49BC" w:rsidRDefault="00000000" w:rsidP="0043303B">
      <w:pPr>
        <w:pStyle w:val="Heading7"/>
        <w:numPr>
          <w:ilvl w:val="1"/>
          <w:numId w:val="4"/>
        </w:numPr>
        <w:ind w:left="0" w:firstLine="0"/>
        <w:jc w:val="left"/>
        <w:rPr>
          <w:rFonts w:cs="Calibri"/>
          <w:color w:val="000000" w:themeColor="text1"/>
        </w:rPr>
      </w:pPr>
      <w:r w:rsidRPr="005B49BC">
        <w:rPr>
          <w:rFonts w:cs="Calibri"/>
          <w:color w:val="000000" w:themeColor="text1"/>
        </w:rPr>
        <w:t>Australian</w:t>
      </w:r>
      <w:r w:rsidRPr="005B49BC">
        <w:rPr>
          <w:rFonts w:cs="Calibri"/>
          <w:color w:val="000000" w:themeColor="text1"/>
          <w:spacing w:val="-14"/>
        </w:rPr>
        <w:t xml:space="preserve"> </w:t>
      </w:r>
      <w:r w:rsidRPr="005B49BC">
        <w:rPr>
          <w:rFonts w:cs="Calibri"/>
          <w:color w:val="000000" w:themeColor="text1"/>
        </w:rPr>
        <w:t>Accounting</w:t>
      </w:r>
      <w:r w:rsidRPr="005B49BC">
        <w:rPr>
          <w:rFonts w:cs="Calibri"/>
          <w:color w:val="000000" w:themeColor="text1"/>
          <w:spacing w:val="-13"/>
        </w:rPr>
        <w:t xml:space="preserve"> </w:t>
      </w:r>
      <w:r w:rsidRPr="005B49BC">
        <w:rPr>
          <w:rFonts w:cs="Calibri"/>
          <w:color w:val="000000" w:themeColor="text1"/>
        </w:rPr>
        <w:t>Standards</w:t>
      </w:r>
      <w:r w:rsidRPr="005B49BC">
        <w:rPr>
          <w:rFonts w:cs="Calibri"/>
          <w:color w:val="000000" w:themeColor="text1"/>
          <w:spacing w:val="-14"/>
        </w:rPr>
        <w:t xml:space="preserve"> </w:t>
      </w:r>
      <w:r w:rsidRPr="005B49BC">
        <w:rPr>
          <w:rFonts w:cs="Calibri"/>
          <w:color w:val="000000" w:themeColor="text1"/>
        </w:rPr>
        <w:t>(AASs) issued but not yet effective</w:t>
      </w:r>
    </w:p>
    <w:p w14:paraId="749FC66D" w14:textId="77777777" w:rsidR="00FA4226" w:rsidRPr="005B49BC" w:rsidRDefault="00000000" w:rsidP="0043303B">
      <w:pPr>
        <w:pStyle w:val="BodyText"/>
        <w:spacing w:before="119"/>
        <w:rPr>
          <w:rFonts w:cs="Calibri"/>
        </w:rPr>
      </w:pPr>
      <w:r w:rsidRPr="005B49BC">
        <w:rPr>
          <w:rFonts w:cs="Calibri"/>
        </w:rPr>
        <w:t>Certain new and revised accounting standards have been issued</w:t>
      </w:r>
      <w:r w:rsidRPr="005B49BC">
        <w:rPr>
          <w:rFonts w:cs="Calibri"/>
          <w:spacing w:val="-6"/>
        </w:rPr>
        <w:t xml:space="preserve"> </w:t>
      </w:r>
      <w:r w:rsidRPr="005B49BC">
        <w:rPr>
          <w:rFonts w:cs="Calibri"/>
        </w:rPr>
        <w:t>but</w:t>
      </w:r>
      <w:r w:rsidRPr="005B49BC">
        <w:rPr>
          <w:rFonts w:cs="Calibri"/>
          <w:spacing w:val="-6"/>
        </w:rPr>
        <w:t xml:space="preserve"> </w:t>
      </w:r>
      <w:r w:rsidRPr="005B49BC">
        <w:rPr>
          <w:rFonts w:cs="Calibri"/>
        </w:rPr>
        <w:t>are</w:t>
      </w:r>
      <w:r w:rsidRPr="005B49BC">
        <w:rPr>
          <w:rFonts w:cs="Calibri"/>
          <w:spacing w:val="-6"/>
        </w:rPr>
        <w:t xml:space="preserve"> </w:t>
      </w:r>
      <w:r w:rsidRPr="005B49BC">
        <w:rPr>
          <w:rFonts w:cs="Calibri"/>
        </w:rPr>
        <w:t>not</w:t>
      </w:r>
      <w:r w:rsidRPr="005B49BC">
        <w:rPr>
          <w:rFonts w:cs="Calibri"/>
          <w:spacing w:val="-6"/>
        </w:rPr>
        <w:t xml:space="preserve"> </w:t>
      </w:r>
      <w:r w:rsidRPr="005B49BC">
        <w:rPr>
          <w:rFonts w:cs="Calibri"/>
        </w:rPr>
        <w:t>effective</w:t>
      </w:r>
      <w:r w:rsidRPr="005B49BC">
        <w:rPr>
          <w:rFonts w:cs="Calibri"/>
          <w:spacing w:val="-6"/>
        </w:rPr>
        <w:t xml:space="preserve"> </w:t>
      </w:r>
      <w:r w:rsidRPr="005B49BC">
        <w:rPr>
          <w:rFonts w:cs="Calibri"/>
        </w:rPr>
        <w:t>for</w:t>
      </w:r>
      <w:r w:rsidRPr="005B49BC">
        <w:rPr>
          <w:rFonts w:cs="Calibri"/>
          <w:spacing w:val="-6"/>
        </w:rPr>
        <w:t xml:space="preserve"> </w:t>
      </w:r>
      <w:r w:rsidRPr="005B49BC">
        <w:rPr>
          <w:rFonts w:cs="Calibri"/>
        </w:rPr>
        <w:t>the</w:t>
      </w:r>
      <w:r w:rsidRPr="005B49BC">
        <w:rPr>
          <w:rFonts w:cs="Calibri"/>
          <w:spacing w:val="-6"/>
        </w:rPr>
        <w:t xml:space="preserve"> </w:t>
      </w:r>
      <w:r w:rsidRPr="005B49BC">
        <w:rPr>
          <w:rFonts w:cs="Calibri"/>
        </w:rPr>
        <w:t>2022-23</w:t>
      </w:r>
      <w:r w:rsidRPr="005B49BC">
        <w:rPr>
          <w:rFonts w:cs="Calibri"/>
          <w:spacing w:val="-6"/>
        </w:rPr>
        <w:t xml:space="preserve"> </w:t>
      </w:r>
      <w:r w:rsidRPr="005B49BC">
        <w:rPr>
          <w:rFonts w:cs="Calibri"/>
        </w:rPr>
        <w:t>reporting</w:t>
      </w:r>
      <w:r w:rsidRPr="005B49BC">
        <w:rPr>
          <w:rFonts w:cs="Calibri"/>
          <w:spacing w:val="-6"/>
        </w:rPr>
        <w:t xml:space="preserve"> </w:t>
      </w:r>
      <w:r w:rsidRPr="005B49BC">
        <w:rPr>
          <w:rFonts w:cs="Calibri"/>
        </w:rPr>
        <w:t>period. These</w:t>
      </w:r>
      <w:r w:rsidRPr="005B49BC">
        <w:rPr>
          <w:rFonts w:cs="Calibri"/>
          <w:spacing w:val="-2"/>
        </w:rPr>
        <w:t xml:space="preserve"> </w:t>
      </w:r>
      <w:r w:rsidRPr="005B49BC">
        <w:rPr>
          <w:rFonts w:cs="Calibri"/>
        </w:rPr>
        <w:t>accounting</w:t>
      </w:r>
      <w:r w:rsidRPr="005B49BC">
        <w:rPr>
          <w:rFonts w:cs="Calibri"/>
          <w:spacing w:val="-2"/>
        </w:rPr>
        <w:t xml:space="preserve"> </w:t>
      </w:r>
      <w:r w:rsidRPr="005B49BC">
        <w:rPr>
          <w:rFonts w:cs="Calibri"/>
        </w:rPr>
        <w:t>standards</w:t>
      </w:r>
      <w:r w:rsidRPr="005B49BC">
        <w:rPr>
          <w:rFonts w:cs="Calibri"/>
          <w:spacing w:val="-2"/>
        </w:rPr>
        <w:t xml:space="preserve"> </w:t>
      </w:r>
      <w:r w:rsidRPr="005B49BC">
        <w:rPr>
          <w:rFonts w:cs="Calibri"/>
        </w:rPr>
        <w:t>have</w:t>
      </w:r>
      <w:r w:rsidRPr="005B49BC">
        <w:rPr>
          <w:rFonts w:cs="Calibri"/>
          <w:spacing w:val="-2"/>
        </w:rPr>
        <w:t xml:space="preserve"> </w:t>
      </w:r>
      <w:r w:rsidRPr="005B49BC">
        <w:rPr>
          <w:rFonts w:cs="Calibri"/>
        </w:rPr>
        <w:t>not</w:t>
      </w:r>
      <w:r w:rsidRPr="005B49BC">
        <w:rPr>
          <w:rFonts w:cs="Calibri"/>
          <w:spacing w:val="-2"/>
        </w:rPr>
        <w:t xml:space="preserve"> </w:t>
      </w:r>
      <w:r w:rsidRPr="005B49BC">
        <w:rPr>
          <w:rFonts w:cs="Calibri"/>
        </w:rPr>
        <w:t>been</w:t>
      </w:r>
      <w:r w:rsidRPr="005B49BC">
        <w:rPr>
          <w:rFonts w:cs="Calibri"/>
          <w:spacing w:val="-2"/>
        </w:rPr>
        <w:t xml:space="preserve"> </w:t>
      </w:r>
      <w:r w:rsidRPr="005B49BC">
        <w:rPr>
          <w:rFonts w:cs="Calibri"/>
        </w:rPr>
        <w:t>applied</w:t>
      </w:r>
      <w:r w:rsidRPr="005B49BC">
        <w:rPr>
          <w:rFonts w:cs="Calibri"/>
          <w:spacing w:val="-2"/>
        </w:rPr>
        <w:t xml:space="preserve"> </w:t>
      </w:r>
      <w:r w:rsidRPr="005B49BC">
        <w:rPr>
          <w:rFonts w:cs="Calibri"/>
        </w:rPr>
        <w:t>to</w:t>
      </w:r>
      <w:r w:rsidRPr="005B49BC">
        <w:rPr>
          <w:rFonts w:cs="Calibri"/>
          <w:spacing w:val="-2"/>
        </w:rPr>
        <w:t xml:space="preserve"> </w:t>
      </w:r>
      <w:r w:rsidRPr="005B49BC">
        <w:rPr>
          <w:rFonts w:cs="Calibri"/>
        </w:rPr>
        <w:t>these financial statements. Infrastructure Victoria is reviewing its existing policies and assessing the potential implications</w:t>
      </w:r>
    </w:p>
    <w:p w14:paraId="308C3544" w14:textId="77777777" w:rsidR="00FA4226" w:rsidRPr="005B49BC" w:rsidRDefault="00000000" w:rsidP="0043303B">
      <w:pPr>
        <w:pStyle w:val="BodyText"/>
        <w:rPr>
          <w:rFonts w:cs="Calibri"/>
        </w:rPr>
      </w:pPr>
      <w:r w:rsidRPr="005B49BC">
        <w:rPr>
          <w:rFonts w:cs="Calibri"/>
        </w:rPr>
        <w:t>of</w:t>
      </w:r>
      <w:r w:rsidRPr="005B49BC">
        <w:rPr>
          <w:rFonts w:cs="Calibri"/>
          <w:spacing w:val="-1"/>
        </w:rPr>
        <w:t xml:space="preserve"> </w:t>
      </w:r>
      <w:r w:rsidRPr="005B49BC">
        <w:rPr>
          <w:rFonts w:cs="Calibri"/>
        </w:rPr>
        <w:t>these</w:t>
      </w:r>
      <w:r w:rsidRPr="005B49BC">
        <w:rPr>
          <w:rFonts w:cs="Calibri"/>
          <w:spacing w:val="-1"/>
        </w:rPr>
        <w:t xml:space="preserve"> </w:t>
      </w:r>
      <w:r w:rsidRPr="005B49BC">
        <w:rPr>
          <w:rFonts w:cs="Calibri"/>
        </w:rPr>
        <w:t>accounting</w:t>
      </w:r>
      <w:r w:rsidRPr="005B49BC">
        <w:rPr>
          <w:rFonts w:cs="Calibri"/>
          <w:spacing w:val="-1"/>
        </w:rPr>
        <w:t xml:space="preserve"> </w:t>
      </w:r>
      <w:r w:rsidRPr="005B49BC">
        <w:rPr>
          <w:rFonts w:cs="Calibri"/>
        </w:rPr>
        <w:t>standards</w:t>
      </w:r>
      <w:r w:rsidRPr="005B49BC">
        <w:rPr>
          <w:rFonts w:cs="Calibri"/>
          <w:spacing w:val="-1"/>
        </w:rPr>
        <w:t xml:space="preserve"> </w:t>
      </w:r>
      <w:r w:rsidRPr="005B49BC">
        <w:rPr>
          <w:rFonts w:cs="Calibri"/>
        </w:rPr>
        <w:t xml:space="preserve">which </w:t>
      </w:r>
      <w:r w:rsidRPr="005B49BC">
        <w:rPr>
          <w:rFonts w:cs="Calibri"/>
          <w:spacing w:val="-2"/>
        </w:rPr>
        <w:t>includes:</w:t>
      </w:r>
    </w:p>
    <w:p w14:paraId="0DE43A50" w14:textId="77777777" w:rsidR="00FA4226" w:rsidRPr="005B49BC" w:rsidRDefault="00000000" w:rsidP="0043303B">
      <w:pPr>
        <w:pStyle w:val="ListParagraph"/>
        <w:numPr>
          <w:ilvl w:val="0"/>
          <w:numId w:val="59"/>
        </w:numPr>
        <w:tabs>
          <w:tab w:val="left" w:pos="1417"/>
        </w:tabs>
        <w:spacing w:before="115"/>
        <w:rPr>
          <w:rFonts w:cs="Calibri"/>
          <w:i/>
          <w:szCs w:val="22"/>
        </w:rPr>
      </w:pPr>
      <w:r w:rsidRPr="005B49BC">
        <w:rPr>
          <w:rFonts w:cs="Calibri"/>
          <w:szCs w:val="22"/>
        </w:rPr>
        <w:t>AASB</w:t>
      </w:r>
      <w:r w:rsidRPr="005B49BC">
        <w:rPr>
          <w:rFonts w:cs="Calibri"/>
          <w:spacing w:val="-8"/>
          <w:szCs w:val="22"/>
        </w:rPr>
        <w:t xml:space="preserve"> </w:t>
      </w:r>
      <w:r w:rsidRPr="005B49BC">
        <w:rPr>
          <w:rFonts w:cs="Calibri"/>
          <w:szCs w:val="22"/>
        </w:rPr>
        <w:t>2020-1</w:t>
      </w:r>
      <w:r w:rsidRPr="005B49BC">
        <w:rPr>
          <w:rFonts w:cs="Calibri"/>
          <w:spacing w:val="-8"/>
          <w:szCs w:val="22"/>
        </w:rPr>
        <w:t xml:space="preserve"> </w:t>
      </w:r>
      <w:r w:rsidRPr="005B49BC">
        <w:rPr>
          <w:rFonts w:cs="Calibri"/>
          <w:i/>
          <w:szCs w:val="22"/>
        </w:rPr>
        <w:t>Amendments</w:t>
      </w:r>
      <w:r w:rsidRPr="005B49BC">
        <w:rPr>
          <w:rFonts w:cs="Calibri"/>
          <w:i/>
          <w:spacing w:val="-8"/>
          <w:szCs w:val="22"/>
        </w:rPr>
        <w:t xml:space="preserve"> </w:t>
      </w:r>
      <w:r w:rsidRPr="005B49BC">
        <w:rPr>
          <w:rFonts w:cs="Calibri"/>
          <w:i/>
          <w:szCs w:val="22"/>
        </w:rPr>
        <w:t>to</w:t>
      </w:r>
      <w:r w:rsidRPr="005B49BC">
        <w:rPr>
          <w:rFonts w:cs="Calibri"/>
          <w:i/>
          <w:spacing w:val="-8"/>
          <w:szCs w:val="22"/>
        </w:rPr>
        <w:t xml:space="preserve"> </w:t>
      </w:r>
      <w:r w:rsidRPr="005B49BC">
        <w:rPr>
          <w:rFonts w:cs="Calibri"/>
          <w:i/>
          <w:szCs w:val="22"/>
        </w:rPr>
        <w:t>Australian</w:t>
      </w:r>
      <w:r w:rsidRPr="005B49BC">
        <w:rPr>
          <w:rFonts w:cs="Calibri"/>
          <w:i/>
          <w:spacing w:val="-8"/>
          <w:szCs w:val="22"/>
        </w:rPr>
        <w:t xml:space="preserve"> </w:t>
      </w:r>
      <w:r w:rsidRPr="005B49BC">
        <w:rPr>
          <w:rFonts w:cs="Calibri"/>
          <w:i/>
          <w:szCs w:val="22"/>
        </w:rPr>
        <w:t xml:space="preserve">Accounting Standards – Classification of Liabilities as Current or </w:t>
      </w:r>
      <w:r w:rsidRPr="005B49BC">
        <w:rPr>
          <w:rFonts w:cs="Calibri"/>
          <w:i/>
          <w:spacing w:val="-2"/>
          <w:szCs w:val="22"/>
        </w:rPr>
        <w:t>Non-Current</w:t>
      </w:r>
    </w:p>
    <w:p w14:paraId="4A4B5928" w14:textId="78E16AD4" w:rsidR="00FA4226" w:rsidRPr="005B49BC" w:rsidRDefault="00000000" w:rsidP="0043303B">
      <w:pPr>
        <w:spacing w:before="117"/>
        <w:rPr>
          <w:rFonts w:cs="Calibri"/>
          <w:i/>
          <w:color w:val="000000" w:themeColor="text1"/>
        </w:rPr>
      </w:pPr>
      <w:r w:rsidRPr="005B49BC">
        <w:rPr>
          <w:rFonts w:cs="Calibri"/>
          <w:color w:val="000000" w:themeColor="text1"/>
        </w:rPr>
        <w:t xml:space="preserve">This Standard amends AASB 101 </w:t>
      </w:r>
      <w:r w:rsidRPr="005B49BC">
        <w:rPr>
          <w:rFonts w:cs="Calibri"/>
          <w:i/>
          <w:color w:val="000000" w:themeColor="text1"/>
        </w:rPr>
        <w:t xml:space="preserve">Presentation of Financial Statements </w:t>
      </w:r>
      <w:r w:rsidRPr="005B49BC">
        <w:rPr>
          <w:rFonts w:cs="Calibri"/>
          <w:color w:val="000000" w:themeColor="text1"/>
        </w:rPr>
        <w:t>to clarify requirements for the presentation of liabilities in the statement of financial position as current or non-current. It initially applied to annual reporting periods beginning</w:t>
      </w:r>
      <w:r w:rsidRPr="005B49BC">
        <w:rPr>
          <w:rFonts w:cs="Calibri"/>
          <w:color w:val="000000" w:themeColor="text1"/>
          <w:spacing w:val="-5"/>
        </w:rPr>
        <w:t xml:space="preserve"> </w:t>
      </w:r>
      <w:r w:rsidRPr="005B49BC">
        <w:rPr>
          <w:rFonts w:cs="Calibri"/>
          <w:color w:val="000000" w:themeColor="text1"/>
        </w:rPr>
        <w:t>on</w:t>
      </w:r>
      <w:r w:rsidRPr="005B49BC">
        <w:rPr>
          <w:rFonts w:cs="Calibri"/>
          <w:color w:val="000000" w:themeColor="text1"/>
          <w:spacing w:val="-5"/>
        </w:rPr>
        <w:t xml:space="preserve"> </w:t>
      </w:r>
      <w:r w:rsidRPr="005B49BC">
        <w:rPr>
          <w:rFonts w:cs="Calibri"/>
          <w:color w:val="000000" w:themeColor="text1"/>
        </w:rPr>
        <w:t>or</w:t>
      </w:r>
      <w:r w:rsidRPr="005B49BC">
        <w:rPr>
          <w:rFonts w:cs="Calibri"/>
          <w:color w:val="000000" w:themeColor="text1"/>
          <w:spacing w:val="-5"/>
        </w:rPr>
        <w:t xml:space="preserve"> </w:t>
      </w:r>
      <w:r w:rsidRPr="005B49BC">
        <w:rPr>
          <w:rFonts w:cs="Calibri"/>
          <w:color w:val="000000" w:themeColor="text1"/>
        </w:rPr>
        <w:t>after</w:t>
      </w:r>
      <w:r w:rsidRPr="005B49BC">
        <w:rPr>
          <w:rFonts w:cs="Calibri"/>
          <w:color w:val="000000" w:themeColor="text1"/>
          <w:spacing w:val="-5"/>
        </w:rPr>
        <w:t xml:space="preserve"> </w:t>
      </w:r>
      <w:r w:rsidRPr="005B49BC">
        <w:rPr>
          <w:rFonts w:cs="Calibri"/>
          <w:color w:val="000000" w:themeColor="text1"/>
        </w:rPr>
        <w:t>1</w:t>
      </w:r>
      <w:r w:rsidRPr="005B49BC">
        <w:rPr>
          <w:rFonts w:cs="Calibri"/>
          <w:color w:val="000000" w:themeColor="text1"/>
          <w:spacing w:val="-5"/>
        </w:rPr>
        <w:t xml:space="preserve"> </w:t>
      </w:r>
      <w:r w:rsidRPr="005B49BC">
        <w:rPr>
          <w:rFonts w:cs="Calibri"/>
          <w:color w:val="000000" w:themeColor="text1"/>
        </w:rPr>
        <w:t>January</w:t>
      </w:r>
      <w:r w:rsidRPr="005B49BC">
        <w:rPr>
          <w:rFonts w:cs="Calibri"/>
          <w:color w:val="000000" w:themeColor="text1"/>
          <w:spacing w:val="-5"/>
        </w:rPr>
        <w:t xml:space="preserve"> </w:t>
      </w:r>
      <w:r w:rsidRPr="005B49BC">
        <w:rPr>
          <w:rFonts w:cs="Calibri"/>
          <w:color w:val="000000" w:themeColor="text1"/>
        </w:rPr>
        <w:t>2022</w:t>
      </w:r>
      <w:r w:rsidRPr="005B49BC">
        <w:rPr>
          <w:rFonts w:cs="Calibri"/>
          <w:color w:val="000000" w:themeColor="text1"/>
          <w:spacing w:val="-5"/>
        </w:rPr>
        <w:t xml:space="preserve"> </w:t>
      </w:r>
      <w:r w:rsidRPr="005B49BC">
        <w:rPr>
          <w:rFonts w:cs="Calibri"/>
          <w:color w:val="000000" w:themeColor="text1"/>
        </w:rPr>
        <w:t>with</w:t>
      </w:r>
      <w:r w:rsidRPr="005B49BC">
        <w:rPr>
          <w:rFonts w:cs="Calibri"/>
          <w:color w:val="000000" w:themeColor="text1"/>
          <w:spacing w:val="-5"/>
        </w:rPr>
        <w:t xml:space="preserve"> </w:t>
      </w:r>
      <w:r w:rsidRPr="005B49BC">
        <w:rPr>
          <w:rFonts w:cs="Calibri"/>
          <w:color w:val="000000" w:themeColor="text1"/>
        </w:rPr>
        <w:t>earlier</w:t>
      </w:r>
      <w:r w:rsidRPr="005B49BC">
        <w:rPr>
          <w:rFonts w:cs="Calibri"/>
          <w:color w:val="000000" w:themeColor="text1"/>
          <w:spacing w:val="-5"/>
        </w:rPr>
        <w:t xml:space="preserve"> </w:t>
      </w:r>
      <w:r w:rsidRPr="005B49BC">
        <w:rPr>
          <w:rFonts w:cs="Calibri"/>
          <w:color w:val="000000" w:themeColor="text1"/>
        </w:rPr>
        <w:t xml:space="preserve">application permitted, however the AASB has recently issued AASB 2020-6 </w:t>
      </w:r>
      <w:r w:rsidRPr="005B49BC">
        <w:rPr>
          <w:rFonts w:cs="Calibri"/>
          <w:i/>
          <w:color w:val="000000" w:themeColor="text1"/>
        </w:rPr>
        <w:t>Amendments to Australian Accounting Standards</w:t>
      </w:r>
      <w:r w:rsidR="00E54CC2" w:rsidRPr="005B49BC">
        <w:rPr>
          <w:rFonts w:cs="Calibri"/>
          <w:i/>
          <w:color w:val="000000" w:themeColor="text1"/>
        </w:rPr>
        <w:t xml:space="preserve"> </w:t>
      </w:r>
      <w:r w:rsidRPr="005B49BC">
        <w:rPr>
          <w:rFonts w:cs="Calibri"/>
          <w:i/>
          <w:color w:val="000000" w:themeColor="text1"/>
        </w:rPr>
        <w:t xml:space="preserve">– Classification of Liabilities as Current or Non-current – Deferral of Effective Date </w:t>
      </w:r>
      <w:r w:rsidRPr="005B49BC">
        <w:rPr>
          <w:rFonts w:cs="Calibri"/>
          <w:color w:val="000000" w:themeColor="text1"/>
        </w:rPr>
        <w:t>to defer the application by one year to annual reporting periods beginning on or after 1 January 2023. Infrastructure Victoria will not early adopt the Standard. Infrastructure Victoria is in the process of analysing</w:t>
      </w:r>
      <w:r w:rsidRPr="005B49BC">
        <w:rPr>
          <w:rFonts w:cs="Calibri"/>
          <w:color w:val="000000" w:themeColor="text1"/>
          <w:spacing w:val="-7"/>
        </w:rPr>
        <w:t xml:space="preserve"> </w:t>
      </w:r>
      <w:r w:rsidRPr="005B49BC">
        <w:rPr>
          <w:rFonts w:cs="Calibri"/>
          <w:color w:val="000000" w:themeColor="text1"/>
        </w:rPr>
        <w:t>the</w:t>
      </w:r>
      <w:r w:rsidRPr="005B49BC">
        <w:rPr>
          <w:rFonts w:cs="Calibri"/>
          <w:color w:val="000000" w:themeColor="text1"/>
          <w:spacing w:val="-7"/>
        </w:rPr>
        <w:t xml:space="preserve"> </w:t>
      </w:r>
      <w:r w:rsidRPr="005B49BC">
        <w:rPr>
          <w:rFonts w:cs="Calibri"/>
          <w:color w:val="000000" w:themeColor="text1"/>
        </w:rPr>
        <w:t>impacts</w:t>
      </w:r>
      <w:r w:rsidRPr="005B49BC">
        <w:rPr>
          <w:rFonts w:cs="Calibri"/>
          <w:color w:val="000000" w:themeColor="text1"/>
          <w:spacing w:val="-7"/>
        </w:rPr>
        <w:t xml:space="preserve"> </w:t>
      </w:r>
      <w:r w:rsidRPr="005B49BC">
        <w:rPr>
          <w:rFonts w:cs="Calibri"/>
          <w:color w:val="000000" w:themeColor="text1"/>
        </w:rPr>
        <w:t>of</w:t>
      </w:r>
      <w:r w:rsidRPr="005B49BC">
        <w:rPr>
          <w:rFonts w:cs="Calibri"/>
          <w:color w:val="000000" w:themeColor="text1"/>
          <w:spacing w:val="-7"/>
        </w:rPr>
        <w:t xml:space="preserve"> </w:t>
      </w:r>
      <w:r w:rsidRPr="005B49BC">
        <w:rPr>
          <w:rFonts w:cs="Calibri"/>
          <w:color w:val="000000" w:themeColor="text1"/>
        </w:rPr>
        <w:t>this</w:t>
      </w:r>
      <w:r w:rsidRPr="005B49BC">
        <w:rPr>
          <w:rFonts w:cs="Calibri"/>
          <w:color w:val="000000" w:themeColor="text1"/>
          <w:spacing w:val="-7"/>
        </w:rPr>
        <w:t xml:space="preserve"> </w:t>
      </w:r>
      <w:r w:rsidRPr="005B49BC">
        <w:rPr>
          <w:rFonts w:cs="Calibri"/>
          <w:color w:val="000000" w:themeColor="text1"/>
        </w:rPr>
        <w:t>Standard.</w:t>
      </w:r>
      <w:r w:rsidRPr="005B49BC">
        <w:rPr>
          <w:rFonts w:cs="Calibri"/>
          <w:color w:val="000000" w:themeColor="text1"/>
          <w:spacing w:val="-7"/>
        </w:rPr>
        <w:t xml:space="preserve"> </w:t>
      </w:r>
      <w:r w:rsidRPr="005B49BC">
        <w:rPr>
          <w:rFonts w:cs="Calibri"/>
          <w:color w:val="000000" w:themeColor="text1"/>
        </w:rPr>
        <w:t>However,</w:t>
      </w:r>
      <w:r w:rsidRPr="005B49BC">
        <w:rPr>
          <w:rFonts w:cs="Calibri"/>
          <w:color w:val="000000" w:themeColor="text1"/>
          <w:spacing w:val="-7"/>
        </w:rPr>
        <w:t xml:space="preserve"> </w:t>
      </w:r>
      <w:r w:rsidRPr="005B49BC">
        <w:rPr>
          <w:rFonts w:cs="Calibri"/>
          <w:color w:val="000000" w:themeColor="text1"/>
        </w:rPr>
        <w:t>it</w:t>
      </w:r>
      <w:r w:rsidRPr="005B49BC">
        <w:rPr>
          <w:rFonts w:cs="Calibri"/>
          <w:color w:val="000000" w:themeColor="text1"/>
          <w:spacing w:val="-7"/>
        </w:rPr>
        <w:t xml:space="preserve"> </w:t>
      </w:r>
      <w:r w:rsidRPr="005B49BC">
        <w:rPr>
          <w:rFonts w:cs="Calibri"/>
          <w:color w:val="000000" w:themeColor="text1"/>
        </w:rPr>
        <w:t>is</w:t>
      </w:r>
      <w:r w:rsidRPr="005B49BC">
        <w:rPr>
          <w:rFonts w:cs="Calibri"/>
          <w:color w:val="000000" w:themeColor="text1"/>
          <w:spacing w:val="-7"/>
        </w:rPr>
        <w:t xml:space="preserve"> </w:t>
      </w:r>
      <w:r w:rsidRPr="005B49BC">
        <w:rPr>
          <w:rFonts w:cs="Calibri"/>
          <w:color w:val="000000" w:themeColor="text1"/>
        </w:rPr>
        <w:t>not anticipated to have a material impact.</w:t>
      </w:r>
    </w:p>
    <w:p w14:paraId="47A83EAE" w14:textId="77777777" w:rsidR="00FA4226" w:rsidRPr="005B49BC" w:rsidRDefault="00000000" w:rsidP="0043303B">
      <w:pPr>
        <w:pStyle w:val="ListParagraph"/>
        <w:numPr>
          <w:ilvl w:val="0"/>
          <w:numId w:val="59"/>
        </w:numPr>
        <w:tabs>
          <w:tab w:val="left" w:pos="1417"/>
        </w:tabs>
        <w:spacing w:before="105"/>
        <w:jc w:val="both"/>
        <w:rPr>
          <w:rFonts w:cs="Calibri"/>
          <w:i/>
          <w:szCs w:val="22"/>
        </w:rPr>
      </w:pPr>
      <w:r w:rsidRPr="005B49BC">
        <w:rPr>
          <w:rFonts w:cs="Calibri"/>
          <w:i/>
          <w:szCs w:val="22"/>
        </w:rPr>
        <w:t>AASB</w:t>
      </w:r>
      <w:r w:rsidRPr="005B49BC">
        <w:rPr>
          <w:rFonts w:cs="Calibri"/>
          <w:i/>
          <w:spacing w:val="-8"/>
          <w:szCs w:val="22"/>
        </w:rPr>
        <w:t xml:space="preserve"> </w:t>
      </w:r>
      <w:r w:rsidRPr="005B49BC">
        <w:rPr>
          <w:rFonts w:cs="Calibri"/>
          <w:i/>
          <w:szCs w:val="22"/>
        </w:rPr>
        <w:t>2022-10</w:t>
      </w:r>
      <w:r w:rsidRPr="005B49BC">
        <w:rPr>
          <w:rFonts w:cs="Calibri"/>
          <w:i/>
          <w:spacing w:val="-8"/>
          <w:szCs w:val="22"/>
        </w:rPr>
        <w:t xml:space="preserve"> </w:t>
      </w:r>
      <w:r w:rsidRPr="005B49BC">
        <w:rPr>
          <w:rFonts w:cs="Calibri"/>
          <w:i/>
          <w:szCs w:val="22"/>
        </w:rPr>
        <w:t>Amendments</w:t>
      </w:r>
      <w:r w:rsidRPr="005B49BC">
        <w:rPr>
          <w:rFonts w:cs="Calibri"/>
          <w:i/>
          <w:spacing w:val="-8"/>
          <w:szCs w:val="22"/>
        </w:rPr>
        <w:t xml:space="preserve"> </w:t>
      </w:r>
      <w:r w:rsidRPr="005B49BC">
        <w:rPr>
          <w:rFonts w:cs="Calibri"/>
          <w:i/>
          <w:szCs w:val="22"/>
        </w:rPr>
        <w:t>to</w:t>
      </w:r>
      <w:r w:rsidRPr="005B49BC">
        <w:rPr>
          <w:rFonts w:cs="Calibri"/>
          <w:i/>
          <w:spacing w:val="-8"/>
          <w:szCs w:val="22"/>
        </w:rPr>
        <w:t xml:space="preserve"> </w:t>
      </w:r>
      <w:r w:rsidRPr="005B49BC">
        <w:rPr>
          <w:rFonts w:cs="Calibri"/>
          <w:i/>
          <w:szCs w:val="22"/>
        </w:rPr>
        <w:t>Australian</w:t>
      </w:r>
      <w:r w:rsidRPr="005B49BC">
        <w:rPr>
          <w:rFonts w:cs="Calibri"/>
          <w:i/>
          <w:spacing w:val="-8"/>
          <w:szCs w:val="22"/>
        </w:rPr>
        <w:t xml:space="preserve"> </w:t>
      </w:r>
      <w:r w:rsidRPr="005B49BC">
        <w:rPr>
          <w:rFonts w:cs="Calibri"/>
          <w:i/>
          <w:szCs w:val="22"/>
        </w:rPr>
        <w:t>Accounting Standards</w:t>
      </w:r>
      <w:r w:rsidRPr="005B49BC">
        <w:rPr>
          <w:rFonts w:cs="Calibri"/>
          <w:i/>
          <w:spacing w:val="-1"/>
          <w:szCs w:val="22"/>
        </w:rPr>
        <w:t xml:space="preserve"> </w:t>
      </w:r>
      <w:r w:rsidRPr="005B49BC">
        <w:rPr>
          <w:rFonts w:cs="Calibri"/>
          <w:i/>
          <w:szCs w:val="22"/>
        </w:rPr>
        <w:t>–</w:t>
      </w:r>
      <w:r w:rsidRPr="005B49BC">
        <w:rPr>
          <w:rFonts w:cs="Calibri"/>
          <w:i/>
          <w:spacing w:val="-1"/>
          <w:szCs w:val="22"/>
        </w:rPr>
        <w:t xml:space="preserve"> </w:t>
      </w:r>
      <w:r w:rsidRPr="005B49BC">
        <w:rPr>
          <w:rFonts w:cs="Calibri"/>
          <w:i/>
          <w:szCs w:val="22"/>
        </w:rPr>
        <w:t>Fair</w:t>
      </w:r>
      <w:r w:rsidRPr="005B49BC">
        <w:rPr>
          <w:rFonts w:cs="Calibri"/>
          <w:i/>
          <w:spacing w:val="-1"/>
          <w:szCs w:val="22"/>
        </w:rPr>
        <w:t xml:space="preserve"> </w:t>
      </w:r>
      <w:r w:rsidRPr="005B49BC">
        <w:rPr>
          <w:rFonts w:cs="Calibri"/>
          <w:i/>
          <w:szCs w:val="22"/>
        </w:rPr>
        <w:t>Value</w:t>
      </w:r>
      <w:r w:rsidRPr="005B49BC">
        <w:rPr>
          <w:rFonts w:cs="Calibri"/>
          <w:i/>
          <w:spacing w:val="-1"/>
          <w:szCs w:val="22"/>
        </w:rPr>
        <w:t xml:space="preserve"> </w:t>
      </w:r>
      <w:r w:rsidRPr="005B49BC">
        <w:rPr>
          <w:rFonts w:cs="Calibri"/>
          <w:i/>
          <w:szCs w:val="22"/>
        </w:rPr>
        <w:t>Measurement</w:t>
      </w:r>
      <w:r w:rsidRPr="005B49BC">
        <w:rPr>
          <w:rFonts w:cs="Calibri"/>
          <w:i/>
          <w:spacing w:val="-1"/>
          <w:szCs w:val="22"/>
        </w:rPr>
        <w:t xml:space="preserve"> </w:t>
      </w:r>
      <w:r w:rsidRPr="005B49BC">
        <w:rPr>
          <w:rFonts w:cs="Calibri"/>
          <w:i/>
          <w:szCs w:val="22"/>
        </w:rPr>
        <w:t>of</w:t>
      </w:r>
      <w:r w:rsidRPr="005B49BC">
        <w:rPr>
          <w:rFonts w:cs="Calibri"/>
          <w:i/>
          <w:spacing w:val="-1"/>
          <w:szCs w:val="22"/>
        </w:rPr>
        <w:t xml:space="preserve"> </w:t>
      </w:r>
      <w:r w:rsidRPr="005B49BC">
        <w:rPr>
          <w:rFonts w:cs="Calibri"/>
          <w:i/>
          <w:szCs w:val="22"/>
        </w:rPr>
        <w:t>Non-Financial Assets of Not-for-Profit Public Sector Entities</w:t>
      </w:r>
    </w:p>
    <w:p w14:paraId="78C9DC34" w14:textId="40EC53B8" w:rsidR="00FA4226" w:rsidRPr="005B49BC" w:rsidRDefault="00000000" w:rsidP="0043303B">
      <w:pPr>
        <w:rPr>
          <w:rFonts w:cs="Calibri"/>
          <w:color w:val="000000" w:themeColor="text1"/>
        </w:rPr>
      </w:pPr>
      <w:r w:rsidRPr="005B49BC">
        <w:rPr>
          <w:rFonts w:cs="Calibri"/>
          <w:color w:val="000000" w:themeColor="text1"/>
        </w:rPr>
        <w:t xml:space="preserve">This Standard amends AASB 13 </w:t>
      </w:r>
      <w:r w:rsidRPr="005B49BC">
        <w:rPr>
          <w:rFonts w:cs="Calibri"/>
          <w:i/>
          <w:color w:val="000000" w:themeColor="text1"/>
        </w:rPr>
        <w:t>Fair Value Measurement</w:t>
      </w:r>
      <w:r w:rsidRPr="005B49BC">
        <w:rPr>
          <w:rFonts w:cs="Calibri"/>
          <w:i/>
          <w:color w:val="000000" w:themeColor="text1"/>
          <w:spacing w:val="40"/>
        </w:rPr>
        <w:t xml:space="preserve"> </w:t>
      </w:r>
      <w:r w:rsidRPr="005B49BC">
        <w:rPr>
          <w:rFonts w:cs="Calibri"/>
          <w:color w:val="000000" w:themeColor="text1"/>
        </w:rPr>
        <w:t>by providing guidance on fair value measurement of non- financial assets of not-for-profit public sector entities not held primarily for their ability to generate net cash flows.</w:t>
      </w:r>
      <w:r w:rsidRPr="005B49BC">
        <w:rPr>
          <w:rFonts w:cs="Calibri"/>
          <w:color w:val="000000" w:themeColor="text1"/>
          <w:spacing w:val="80"/>
        </w:rPr>
        <w:t xml:space="preserve"> </w:t>
      </w:r>
      <w:r w:rsidRPr="005B49BC">
        <w:rPr>
          <w:rFonts w:cs="Calibri"/>
          <w:color w:val="000000" w:themeColor="text1"/>
        </w:rPr>
        <w:t>This Standard is applicable for annual reporting periods beginning on 1 January 2024. Based on the nature of Infrastructure Victoria’s non-financial assets and the remote probability that the assets will be used for an alternative purpose</w:t>
      </w:r>
      <w:r w:rsidRPr="005B49BC">
        <w:rPr>
          <w:rFonts w:cs="Calibri"/>
          <w:color w:val="000000" w:themeColor="text1"/>
          <w:spacing w:val="-5"/>
        </w:rPr>
        <w:t xml:space="preserve"> </w:t>
      </w:r>
      <w:r w:rsidRPr="005B49BC">
        <w:rPr>
          <w:rFonts w:cs="Calibri"/>
          <w:color w:val="000000" w:themeColor="text1"/>
        </w:rPr>
        <w:t>to</w:t>
      </w:r>
      <w:r w:rsidRPr="005B49BC">
        <w:rPr>
          <w:rFonts w:cs="Calibri"/>
          <w:color w:val="000000" w:themeColor="text1"/>
          <w:spacing w:val="-5"/>
        </w:rPr>
        <w:t xml:space="preserve"> </w:t>
      </w:r>
      <w:r w:rsidRPr="005B49BC">
        <w:rPr>
          <w:rFonts w:cs="Calibri"/>
          <w:color w:val="000000" w:themeColor="text1"/>
        </w:rPr>
        <w:t>their</w:t>
      </w:r>
      <w:r w:rsidRPr="005B49BC">
        <w:rPr>
          <w:rFonts w:cs="Calibri"/>
          <w:color w:val="000000" w:themeColor="text1"/>
          <w:spacing w:val="-5"/>
        </w:rPr>
        <w:t xml:space="preserve"> </w:t>
      </w:r>
      <w:r w:rsidRPr="005B49BC">
        <w:rPr>
          <w:rFonts w:cs="Calibri"/>
          <w:color w:val="000000" w:themeColor="text1"/>
        </w:rPr>
        <w:t>current</w:t>
      </w:r>
      <w:r w:rsidRPr="005B49BC">
        <w:rPr>
          <w:rFonts w:cs="Calibri"/>
          <w:color w:val="000000" w:themeColor="text1"/>
          <w:spacing w:val="-5"/>
        </w:rPr>
        <w:t xml:space="preserve"> </w:t>
      </w:r>
      <w:r w:rsidRPr="005B49BC">
        <w:rPr>
          <w:rFonts w:cs="Calibri"/>
          <w:color w:val="000000" w:themeColor="text1"/>
        </w:rPr>
        <w:t>use,</w:t>
      </w:r>
      <w:r w:rsidRPr="005B49BC">
        <w:rPr>
          <w:rFonts w:cs="Calibri"/>
          <w:color w:val="000000" w:themeColor="text1"/>
          <w:spacing w:val="-5"/>
        </w:rPr>
        <w:t xml:space="preserve"> </w:t>
      </w:r>
      <w:r w:rsidRPr="005B49BC">
        <w:rPr>
          <w:rFonts w:cs="Calibri"/>
          <w:color w:val="000000" w:themeColor="text1"/>
        </w:rPr>
        <w:t>this</w:t>
      </w:r>
      <w:r w:rsidRPr="005B49BC">
        <w:rPr>
          <w:rFonts w:cs="Calibri"/>
          <w:color w:val="000000" w:themeColor="text1"/>
          <w:spacing w:val="-5"/>
        </w:rPr>
        <w:t xml:space="preserve"> </w:t>
      </w:r>
      <w:r w:rsidRPr="005B49BC">
        <w:rPr>
          <w:rFonts w:cs="Calibri"/>
          <w:color w:val="000000" w:themeColor="text1"/>
        </w:rPr>
        <w:t>Standard</w:t>
      </w:r>
      <w:r w:rsidRPr="005B49BC">
        <w:rPr>
          <w:rFonts w:cs="Calibri"/>
          <w:color w:val="000000" w:themeColor="text1"/>
          <w:spacing w:val="-5"/>
        </w:rPr>
        <w:t xml:space="preserve"> </w:t>
      </w:r>
      <w:r w:rsidRPr="005B49BC">
        <w:rPr>
          <w:rFonts w:cs="Calibri"/>
          <w:color w:val="000000" w:themeColor="text1"/>
        </w:rPr>
        <w:t>is</w:t>
      </w:r>
      <w:r w:rsidRPr="005B49BC">
        <w:rPr>
          <w:rFonts w:cs="Calibri"/>
          <w:color w:val="000000" w:themeColor="text1"/>
          <w:spacing w:val="-5"/>
        </w:rPr>
        <w:t xml:space="preserve"> </w:t>
      </w:r>
      <w:r w:rsidRPr="005B49BC">
        <w:rPr>
          <w:rFonts w:cs="Calibri"/>
          <w:color w:val="000000" w:themeColor="text1"/>
        </w:rPr>
        <w:t>not</w:t>
      </w:r>
      <w:r w:rsidRPr="005B49BC">
        <w:rPr>
          <w:rFonts w:cs="Calibri"/>
          <w:color w:val="000000" w:themeColor="text1"/>
          <w:spacing w:val="-5"/>
        </w:rPr>
        <w:t xml:space="preserve"> </w:t>
      </w:r>
      <w:r w:rsidRPr="005B49BC">
        <w:rPr>
          <w:rFonts w:cs="Calibri"/>
          <w:color w:val="000000" w:themeColor="text1"/>
        </w:rPr>
        <w:t>anticipated to have a material impact.</w:t>
      </w:r>
    </w:p>
    <w:p w14:paraId="0964E893" w14:textId="5E3DBBCD" w:rsidR="00FA4226" w:rsidRPr="005B49BC" w:rsidRDefault="00000000" w:rsidP="0043303B">
      <w:pPr>
        <w:pStyle w:val="BodyText"/>
        <w:spacing w:before="109"/>
        <w:rPr>
          <w:rFonts w:cs="Calibri"/>
        </w:rPr>
      </w:pPr>
      <w:r w:rsidRPr="005B49BC">
        <w:rPr>
          <w:rFonts w:cs="Calibri"/>
        </w:rPr>
        <w:t>Several</w:t>
      </w:r>
      <w:r w:rsidRPr="005B49BC">
        <w:rPr>
          <w:rFonts w:cs="Calibri"/>
          <w:spacing w:val="-7"/>
        </w:rPr>
        <w:t xml:space="preserve"> </w:t>
      </w:r>
      <w:r w:rsidRPr="005B49BC">
        <w:rPr>
          <w:rFonts w:cs="Calibri"/>
        </w:rPr>
        <w:t>other</w:t>
      </w:r>
      <w:r w:rsidRPr="005B49BC">
        <w:rPr>
          <w:rFonts w:cs="Calibri"/>
          <w:spacing w:val="-7"/>
        </w:rPr>
        <w:t xml:space="preserve"> </w:t>
      </w:r>
      <w:r w:rsidRPr="005B49BC">
        <w:rPr>
          <w:rFonts w:cs="Calibri"/>
        </w:rPr>
        <w:t>amending</w:t>
      </w:r>
      <w:r w:rsidRPr="005B49BC">
        <w:rPr>
          <w:rFonts w:cs="Calibri"/>
          <w:spacing w:val="-7"/>
        </w:rPr>
        <w:t xml:space="preserve"> </w:t>
      </w:r>
      <w:r w:rsidRPr="005B49BC">
        <w:rPr>
          <w:rFonts w:cs="Calibri"/>
        </w:rPr>
        <w:t>standards</w:t>
      </w:r>
      <w:r w:rsidRPr="005B49BC">
        <w:rPr>
          <w:rFonts w:cs="Calibri"/>
          <w:spacing w:val="-7"/>
        </w:rPr>
        <w:t xml:space="preserve"> </w:t>
      </w:r>
      <w:r w:rsidRPr="005B49BC">
        <w:rPr>
          <w:rFonts w:cs="Calibri"/>
        </w:rPr>
        <w:t>and</w:t>
      </w:r>
      <w:r w:rsidRPr="005B49BC">
        <w:rPr>
          <w:rFonts w:cs="Calibri"/>
          <w:spacing w:val="-7"/>
        </w:rPr>
        <w:t xml:space="preserve"> </w:t>
      </w:r>
      <w:r w:rsidRPr="005B49BC">
        <w:rPr>
          <w:rFonts w:cs="Calibri"/>
        </w:rPr>
        <w:t>AASB</w:t>
      </w:r>
      <w:r w:rsidRPr="005B49BC">
        <w:rPr>
          <w:rFonts w:cs="Calibri"/>
          <w:spacing w:val="-7"/>
        </w:rPr>
        <w:t xml:space="preserve"> </w:t>
      </w:r>
      <w:r w:rsidRPr="005B49BC">
        <w:rPr>
          <w:rFonts w:cs="Calibri"/>
        </w:rPr>
        <w:t>interpretations have been issued that apply to future reporting periods</w:t>
      </w:r>
      <w:r w:rsidR="008011FC" w:rsidRPr="005B49BC">
        <w:rPr>
          <w:rFonts w:cs="Calibri"/>
        </w:rPr>
        <w:t xml:space="preserve"> </w:t>
      </w:r>
      <w:r w:rsidRPr="005B49BC">
        <w:rPr>
          <w:rFonts w:cs="Calibri"/>
        </w:rPr>
        <w:t>but</w:t>
      </w:r>
      <w:r w:rsidRPr="005B49BC">
        <w:rPr>
          <w:rFonts w:cs="Calibri"/>
          <w:spacing w:val="-6"/>
        </w:rPr>
        <w:t xml:space="preserve"> </w:t>
      </w:r>
      <w:r w:rsidRPr="005B49BC">
        <w:rPr>
          <w:rFonts w:cs="Calibri"/>
        </w:rPr>
        <w:t>are</w:t>
      </w:r>
      <w:r w:rsidRPr="005B49BC">
        <w:rPr>
          <w:rFonts w:cs="Calibri"/>
          <w:spacing w:val="-6"/>
        </w:rPr>
        <w:t xml:space="preserve"> </w:t>
      </w:r>
      <w:r w:rsidRPr="005B49BC">
        <w:rPr>
          <w:rFonts w:cs="Calibri"/>
        </w:rPr>
        <w:t>considered</w:t>
      </w:r>
      <w:r w:rsidRPr="005B49BC">
        <w:rPr>
          <w:rFonts w:cs="Calibri"/>
          <w:spacing w:val="-6"/>
        </w:rPr>
        <w:t xml:space="preserve"> </w:t>
      </w:r>
      <w:r w:rsidRPr="005B49BC">
        <w:rPr>
          <w:rFonts w:cs="Calibri"/>
        </w:rPr>
        <w:t>to</w:t>
      </w:r>
      <w:r w:rsidRPr="005B49BC">
        <w:rPr>
          <w:rFonts w:cs="Calibri"/>
          <w:spacing w:val="-6"/>
        </w:rPr>
        <w:t xml:space="preserve"> </w:t>
      </w:r>
      <w:r w:rsidRPr="005B49BC">
        <w:rPr>
          <w:rFonts w:cs="Calibri"/>
        </w:rPr>
        <w:t>have</w:t>
      </w:r>
      <w:r w:rsidRPr="005B49BC">
        <w:rPr>
          <w:rFonts w:cs="Calibri"/>
          <w:spacing w:val="-6"/>
        </w:rPr>
        <w:t xml:space="preserve"> </w:t>
      </w:r>
      <w:r w:rsidRPr="005B49BC">
        <w:rPr>
          <w:rFonts w:cs="Calibri"/>
        </w:rPr>
        <w:t>limited</w:t>
      </w:r>
      <w:r w:rsidRPr="005B49BC">
        <w:rPr>
          <w:rFonts w:cs="Calibri"/>
          <w:spacing w:val="-6"/>
        </w:rPr>
        <w:t xml:space="preserve"> </w:t>
      </w:r>
      <w:r w:rsidRPr="005B49BC">
        <w:rPr>
          <w:rFonts w:cs="Calibri"/>
        </w:rPr>
        <w:t>impact</w:t>
      </w:r>
      <w:r w:rsidRPr="005B49BC">
        <w:rPr>
          <w:rFonts w:cs="Calibri"/>
          <w:spacing w:val="-6"/>
        </w:rPr>
        <w:t xml:space="preserve"> </w:t>
      </w:r>
      <w:r w:rsidRPr="005B49BC">
        <w:rPr>
          <w:rFonts w:cs="Calibri"/>
        </w:rPr>
        <w:t>on</w:t>
      </w:r>
      <w:r w:rsidRPr="005B49BC">
        <w:rPr>
          <w:rFonts w:cs="Calibri"/>
          <w:spacing w:val="-6"/>
        </w:rPr>
        <w:t xml:space="preserve"> </w:t>
      </w:r>
      <w:r w:rsidRPr="005B49BC">
        <w:rPr>
          <w:rFonts w:cs="Calibri"/>
        </w:rPr>
        <w:t xml:space="preserve">Infrastructure </w:t>
      </w:r>
      <w:r w:rsidRPr="005B49BC">
        <w:rPr>
          <w:rFonts w:cs="Calibri"/>
          <w:spacing w:val="-2"/>
        </w:rPr>
        <w:t>Victoria.</w:t>
      </w:r>
    </w:p>
    <w:p w14:paraId="7F3AF949" w14:textId="77777777" w:rsidR="00FA4226" w:rsidRPr="005B49BC" w:rsidRDefault="00FA4226" w:rsidP="0043303B">
      <w:pPr>
        <w:pStyle w:val="BodyText"/>
        <w:spacing w:before="2"/>
        <w:rPr>
          <w:rFonts w:cs="Calibri"/>
          <w:sz w:val="15"/>
        </w:rPr>
      </w:pPr>
    </w:p>
    <w:p w14:paraId="147A53F8" w14:textId="77777777" w:rsidR="00FA4226" w:rsidRPr="005B49BC" w:rsidRDefault="00000000" w:rsidP="0043303B">
      <w:pPr>
        <w:pStyle w:val="Heading7"/>
        <w:numPr>
          <w:ilvl w:val="1"/>
          <w:numId w:val="4"/>
        </w:numPr>
        <w:tabs>
          <w:tab w:val="left" w:pos="581"/>
        </w:tabs>
        <w:ind w:left="0" w:firstLine="0"/>
        <w:jc w:val="left"/>
        <w:rPr>
          <w:rFonts w:cs="Calibri"/>
          <w:color w:val="000000" w:themeColor="text1"/>
        </w:rPr>
      </w:pPr>
      <w:r w:rsidRPr="005B49BC">
        <w:rPr>
          <w:rFonts w:cs="Calibri"/>
          <w:color w:val="000000" w:themeColor="text1"/>
        </w:rPr>
        <w:t xml:space="preserve">Subsequent </w:t>
      </w:r>
      <w:r w:rsidRPr="005B49BC">
        <w:rPr>
          <w:rFonts w:cs="Calibri"/>
          <w:color w:val="000000" w:themeColor="text1"/>
          <w:spacing w:val="-2"/>
        </w:rPr>
        <w:t>events</w:t>
      </w:r>
    </w:p>
    <w:p w14:paraId="0C7A2C45" w14:textId="5E812D6A" w:rsidR="00FA4226" w:rsidRPr="005B49BC" w:rsidRDefault="00000000" w:rsidP="007A5499">
      <w:pPr>
        <w:pStyle w:val="BodyText"/>
        <w:spacing w:before="112"/>
        <w:rPr>
          <w:rFonts w:cs="Calibri"/>
          <w:sz w:val="16"/>
        </w:rPr>
        <w:sectPr w:rsidR="00FA4226" w:rsidRPr="005B49BC" w:rsidSect="00E941A5">
          <w:pgSz w:w="11910" w:h="16840"/>
          <w:pgMar w:top="1134" w:right="1278" w:bottom="1134" w:left="1134" w:header="720" w:footer="720" w:gutter="0"/>
          <w:cols w:space="720"/>
        </w:sectPr>
      </w:pPr>
      <w:r w:rsidRPr="005B49BC">
        <w:rPr>
          <w:rFonts w:cs="Calibri"/>
        </w:rPr>
        <w:t>There were no subsequent events that had the potential to</w:t>
      </w:r>
      <w:r w:rsidRPr="005B49BC">
        <w:rPr>
          <w:rFonts w:cs="Calibri"/>
          <w:spacing w:val="-6"/>
        </w:rPr>
        <w:t xml:space="preserve"> </w:t>
      </w:r>
      <w:r w:rsidRPr="005B49BC">
        <w:rPr>
          <w:rFonts w:cs="Calibri"/>
        </w:rPr>
        <w:t>significantly</w:t>
      </w:r>
      <w:r w:rsidRPr="005B49BC">
        <w:rPr>
          <w:rFonts w:cs="Calibri"/>
          <w:spacing w:val="-6"/>
        </w:rPr>
        <w:t xml:space="preserve"> </w:t>
      </w:r>
      <w:r w:rsidRPr="005B49BC">
        <w:rPr>
          <w:rFonts w:cs="Calibri"/>
        </w:rPr>
        <w:t>affect</w:t>
      </w:r>
      <w:r w:rsidRPr="005B49BC">
        <w:rPr>
          <w:rFonts w:cs="Calibri"/>
          <w:spacing w:val="-6"/>
        </w:rPr>
        <w:t xml:space="preserve"> </w:t>
      </w:r>
      <w:r w:rsidRPr="005B49BC">
        <w:rPr>
          <w:rFonts w:cs="Calibri"/>
        </w:rPr>
        <w:t>the</w:t>
      </w:r>
      <w:r w:rsidRPr="005B49BC">
        <w:rPr>
          <w:rFonts w:cs="Calibri"/>
          <w:spacing w:val="-6"/>
        </w:rPr>
        <w:t xml:space="preserve"> </w:t>
      </w:r>
      <w:r w:rsidRPr="005B49BC">
        <w:rPr>
          <w:rFonts w:cs="Calibri"/>
        </w:rPr>
        <w:t>ongoing</w:t>
      </w:r>
      <w:r w:rsidRPr="005B49BC">
        <w:rPr>
          <w:rFonts w:cs="Calibri"/>
          <w:spacing w:val="-6"/>
        </w:rPr>
        <w:t xml:space="preserve"> </w:t>
      </w:r>
      <w:r w:rsidRPr="005B49BC">
        <w:rPr>
          <w:rFonts w:cs="Calibri"/>
        </w:rPr>
        <w:t>operations</w:t>
      </w:r>
      <w:r w:rsidRPr="005B49BC">
        <w:rPr>
          <w:rFonts w:cs="Calibri"/>
          <w:spacing w:val="-6"/>
        </w:rPr>
        <w:t xml:space="preserve"> </w:t>
      </w:r>
      <w:r w:rsidRPr="005B49BC">
        <w:rPr>
          <w:rFonts w:cs="Calibri"/>
        </w:rPr>
        <w:t>and</w:t>
      </w:r>
      <w:r w:rsidRPr="005B49BC">
        <w:rPr>
          <w:rFonts w:cs="Calibri"/>
          <w:spacing w:val="-6"/>
        </w:rPr>
        <w:t xml:space="preserve"> </w:t>
      </w:r>
      <w:r w:rsidRPr="005B49BC">
        <w:rPr>
          <w:rFonts w:cs="Calibri"/>
        </w:rPr>
        <w:t>financial activities of Infrastructure Victoria.</w:t>
      </w:r>
      <w:r w:rsidR="007A5499" w:rsidRPr="005B49BC">
        <w:rPr>
          <w:rFonts w:cs="Calibri"/>
          <w:sz w:val="16"/>
        </w:rPr>
        <w:t xml:space="preserve"> </w:t>
      </w:r>
    </w:p>
    <w:p w14:paraId="0A9987D7" w14:textId="7DF8E228" w:rsidR="00FA4226" w:rsidRPr="00CA2CC1" w:rsidRDefault="00000000" w:rsidP="0043303B">
      <w:pPr>
        <w:pStyle w:val="Heading1"/>
        <w:rPr>
          <w:rFonts w:cs="Calibri"/>
          <w:sz w:val="20"/>
        </w:rPr>
      </w:pPr>
      <w:bookmarkStart w:id="130" w:name="Endnotes"/>
      <w:bookmarkStart w:id="131" w:name="_bookmark79"/>
      <w:bookmarkEnd w:id="130"/>
      <w:bookmarkEnd w:id="131"/>
      <w:r w:rsidRPr="00CA2CC1">
        <w:rPr>
          <w:rFonts w:cs="Calibri"/>
          <w:color w:val="231F20"/>
          <w:spacing w:val="-2"/>
          <w:w w:val="110"/>
        </w:rPr>
        <w:t>Endnote</w:t>
      </w:r>
    </w:p>
    <w:p w14:paraId="3EFCF070" w14:textId="77777777" w:rsidR="00FA4226" w:rsidRPr="00CA2CC1" w:rsidRDefault="00FA4226" w:rsidP="0043303B">
      <w:pPr>
        <w:pStyle w:val="BodyText"/>
        <w:rPr>
          <w:rFonts w:cs="Calibri"/>
          <w:sz w:val="20"/>
        </w:rPr>
      </w:pPr>
    </w:p>
    <w:p w14:paraId="08A0CE69" w14:textId="77777777" w:rsidR="00FA4226" w:rsidRPr="00CA2CC1" w:rsidRDefault="00FA4226" w:rsidP="0043303B">
      <w:pPr>
        <w:pStyle w:val="BodyText"/>
        <w:spacing w:before="5"/>
        <w:rPr>
          <w:rFonts w:cs="Calibri"/>
          <w:sz w:val="27"/>
        </w:rPr>
      </w:pPr>
    </w:p>
    <w:p w14:paraId="1C1B3DD5" w14:textId="7D39C9C3" w:rsidR="00FA4226" w:rsidRPr="00CA2CC1" w:rsidRDefault="00FA4226" w:rsidP="0043303B">
      <w:pPr>
        <w:pStyle w:val="BodyText"/>
        <w:rPr>
          <w:rFonts w:cs="Calibri"/>
          <w:sz w:val="20"/>
        </w:rPr>
      </w:pPr>
    </w:p>
    <w:sectPr w:rsidR="00FA4226" w:rsidRPr="00CA2CC1" w:rsidSect="00E941A5">
      <w:pgSz w:w="11910" w:h="16840"/>
      <w:pgMar w:top="1134" w:right="1278"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9D6DD6" w14:textId="77777777" w:rsidR="003C00FF" w:rsidRDefault="003C00FF" w:rsidP="00E63587">
      <w:r>
        <w:separator/>
      </w:r>
    </w:p>
  </w:endnote>
  <w:endnote w:type="continuationSeparator" w:id="0">
    <w:p w14:paraId="013F2741" w14:textId="77777777" w:rsidR="003C00FF" w:rsidRDefault="003C00FF" w:rsidP="00E63587">
      <w:r>
        <w:continuationSeparator/>
      </w:r>
    </w:p>
  </w:endnote>
  <w:endnote w:id="1">
    <w:p w14:paraId="295753F2" w14:textId="77777777" w:rsidR="00373ED9" w:rsidRDefault="00373ED9" w:rsidP="00373ED9">
      <w:pPr>
        <w:pStyle w:val="EndnoteText"/>
      </w:pPr>
      <w:r>
        <w:rPr>
          <w:rStyle w:val="EndnoteReference"/>
        </w:rPr>
        <w:endnoteRef/>
      </w:r>
      <w:r>
        <w:t xml:space="preserve"> </w:t>
      </w:r>
      <w:r w:rsidRPr="00CB31B1">
        <w:rPr>
          <w:rFonts w:cstheme="minorHAnsi"/>
          <w:szCs w:val="15"/>
        </w:rPr>
        <w:t>Department of Treasury and Finance,</w:t>
      </w:r>
      <w:r>
        <w:rPr>
          <w:rFonts w:cstheme="minorHAnsi"/>
          <w:szCs w:val="15"/>
        </w:rPr>
        <w:t xml:space="preserve"> </w:t>
      </w:r>
      <w:hyperlink r:id="rId1" w:history="1">
        <w:r w:rsidRPr="00EF14EE">
          <w:rPr>
            <w:rStyle w:val="Hyperlink"/>
            <w:rFonts w:cstheme="minorHAnsi"/>
            <w:i/>
            <w:iCs/>
            <w:szCs w:val="15"/>
          </w:rPr>
          <w:t>2022 Victorian Economic and Fiscal Update</w:t>
        </w:r>
      </w:hyperlink>
      <w:r>
        <w:rPr>
          <w:rFonts w:cstheme="minorHAnsi"/>
          <w:szCs w:val="15"/>
        </w:rPr>
        <w:t>, 2022, accessed 10 August 2023</w:t>
      </w:r>
      <w:r>
        <w:rPr>
          <w:szCs w:val="15"/>
        </w:rPr>
        <w:t>.</w:t>
      </w:r>
    </w:p>
  </w:endnote>
  <w:endnote w:id="2">
    <w:p w14:paraId="163C231D" w14:textId="77777777" w:rsidR="00373ED9" w:rsidRPr="00340C61" w:rsidRDefault="00373ED9" w:rsidP="00373ED9">
      <w:pPr>
        <w:pStyle w:val="EndnoteText"/>
      </w:pPr>
      <w:r>
        <w:rPr>
          <w:rStyle w:val="EndnoteReference"/>
        </w:rPr>
        <w:endnoteRef/>
      </w:r>
      <w:r>
        <w:t xml:space="preserve"> United Nations Department of Economic and Social Affairs, </w:t>
      </w:r>
      <w:hyperlink r:id="rId2" w:history="1">
        <w:r w:rsidRPr="00BB6930">
          <w:rPr>
            <w:rStyle w:val="Hyperlink"/>
            <w:i/>
            <w:iCs/>
          </w:rPr>
          <w:t>World population to reach 8 billion on 15 November 2022</w:t>
        </w:r>
      </w:hyperlink>
      <w:r>
        <w:t xml:space="preserve"> (website), n.d., accessed 10 August 2023.</w:t>
      </w:r>
    </w:p>
  </w:endnote>
  <w:endnote w:id="3">
    <w:p w14:paraId="1C1BCBDB" w14:textId="77777777" w:rsidR="00373ED9" w:rsidRDefault="00373ED9" w:rsidP="00373ED9">
      <w:pPr>
        <w:pStyle w:val="EndnoteText"/>
      </w:pPr>
      <w:r>
        <w:rPr>
          <w:rStyle w:val="EndnoteReference"/>
        </w:rPr>
        <w:endnoteRef/>
      </w:r>
      <w:r>
        <w:t xml:space="preserve"> European Commission Copernicus Climate Change Service, </w:t>
      </w:r>
      <w:hyperlink r:id="rId3" w:history="1">
        <w:r w:rsidRPr="00CE5E4B">
          <w:rPr>
            <w:rStyle w:val="Hyperlink"/>
            <w:i/>
            <w:iCs/>
          </w:rPr>
          <w:t>Extreme heat, widespread drought typify European climate in 2022</w:t>
        </w:r>
      </w:hyperlink>
      <w:r>
        <w:t xml:space="preserve"> (website), 20 April 2023, accessed 10 August 2023.</w:t>
      </w:r>
    </w:p>
  </w:endnote>
  <w:endnote w:id="4">
    <w:p w14:paraId="71684C80" w14:textId="77777777" w:rsidR="00373ED9" w:rsidRDefault="00373ED9" w:rsidP="00373ED9">
      <w:pPr>
        <w:pStyle w:val="EndnoteText"/>
      </w:pPr>
      <w:r>
        <w:rPr>
          <w:rStyle w:val="EndnoteReference"/>
        </w:rPr>
        <w:endnoteRef/>
      </w:r>
      <w:r>
        <w:t xml:space="preserve"> </w:t>
      </w:r>
      <w:r w:rsidRPr="005A7DBB">
        <w:t xml:space="preserve">Qamer, F.M., Abbas, S., Ahmad, B. et al. </w:t>
      </w:r>
      <w:hyperlink r:id="rId4" w:history="1">
        <w:r>
          <w:rPr>
            <w:rStyle w:val="Hyperlink"/>
            <w:i/>
            <w:iCs/>
          </w:rPr>
          <w:t>A framework for multi-sensor satellite data to evaluate crop production losses: the case study of 2022 Pakistan floods</w:t>
        </w:r>
      </w:hyperlink>
      <w:r>
        <w:t>, Scientific Reports</w:t>
      </w:r>
      <w:r w:rsidRPr="005A7DBB">
        <w:t xml:space="preserve"> 13, </w:t>
      </w:r>
      <w:r>
        <w:t xml:space="preserve">Article number </w:t>
      </w:r>
      <w:r w:rsidRPr="005A7DBB">
        <w:t>4240</w:t>
      </w:r>
      <w:r>
        <w:t xml:space="preserve">, </w:t>
      </w:r>
      <w:r w:rsidRPr="005A7DBB">
        <w:t>2023</w:t>
      </w:r>
      <w:r>
        <w:t xml:space="preserve">, </w:t>
      </w:r>
      <w:hyperlink r:id="rId5" w:history="1">
        <w:r w:rsidRPr="00AF4F2B">
          <w:rPr>
            <w:rStyle w:val="Hyperlink"/>
          </w:rPr>
          <w:t>https://doi.org/10.1038/s41598</w:t>
        </w:r>
        <w:r>
          <w:rPr>
            <w:rStyle w:val="Hyperlink"/>
          </w:rPr>
          <w:t>–</w:t>
        </w:r>
        <w:r w:rsidRPr="00AF4F2B">
          <w:rPr>
            <w:rStyle w:val="Hyperlink"/>
          </w:rPr>
          <w:t>023</w:t>
        </w:r>
        <w:r>
          <w:rPr>
            <w:rStyle w:val="Hyperlink"/>
          </w:rPr>
          <w:t>–</w:t>
        </w:r>
        <w:r w:rsidRPr="00AF4F2B">
          <w:rPr>
            <w:rStyle w:val="Hyperlink"/>
          </w:rPr>
          <w:t>30347-y</w:t>
        </w:r>
      </w:hyperlink>
      <w:r>
        <w:t>, accessed 10 August 2023.</w:t>
      </w:r>
    </w:p>
  </w:endnote>
  <w:endnote w:id="5">
    <w:p w14:paraId="494BB054" w14:textId="77777777" w:rsidR="00373ED9" w:rsidRPr="009B6BAD" w:rsidRDefault="00373ED9" w:rsidP="00373ED9">
      <w:pPr>
        <w:pStyle w:val="EndnoteText"/>
      </w:pPr>
      <w:r w:rsidRPr="002560F2">
        <w:rPr>
          <w:rStyle w:val="EndnoteReference"/>
        </w:rPr>
        <w:endnoteRef/>
      </w:r>
      <w:r>
        <w:t xml:space="preserve"> Victorian State Emergency Services, </w:t>
      </w:r>
      <w:hyperlink r:id="rId6" w:history="1">
        <w:r w:rsidRPr="009B6BAD">
          <w:rPr>
            <w:rStyle w:val="Hyperlink"/>
            <w:i/>
            <w:iCs/>
          </w:rPr>
          <w:t>VICSES Community Matters Summer 2022</w:t>
        </w:r>
      </w:hyperlink>
      <w:r>
        <w:rPr>
          <w:i/>
          <w:iCs/>
        </w:rPr>
        <w:t xml:space="preserve">, </w:t>
      </w:r>
      <w:r>
        <w:t>2022, p.4, accessed 26 July 2023.</w:t>
      </w:r>
    </w:p>
  </w:endnote>
  <w:endnote w:id="6">
    <w:p w14:paraId="77B85AA8" w14:textId="77777777" w:rsidR="00373ED9" w:rsidRDefault="00373ED9" w:rsidP="00373ED9">
      <w:pPr>
        <w:pStyle w:val="EndnoteText"/>
      </w:pPr>
      <w:r>
        <w:rPr>
          <w:rStyle w:val="EndnoteReference"/>
        </w:rPr>
        <w:endnoteRef/>
      </w:r>
      <w:r>
        <w:t xml:space="preserve"> Victorian State Emergency Services, </w:t>
      </w:r>
      <w:hyperlink r:id="rId7" w:history="1">
        <w:r w:rsidRPr="009B6BAD">
          <w:rPr>
            <w:rStyle w:val="Hyperlink"/>
            <w:i/>
            <w:iCs/>
          </w:rPr>
          <w:t>VICSES Community Matters Summer 2022</w:t>
        </w:r>
      </w:hyperlink>
      <w:r>
        <w:rPr>
          <w:i/>
          <w:iCs/>
        </w:rPr>
        <w:t xml:space="preserve">, </w:t>
      </w:r>
      <w:r>
        <w:t>2022, p.4, accessed 26 July 2023.</w:t>
      </w:r>
    </w:p>
  </w:endnote>
  <w:endnote w:id="7">
    <w:p w14:paraId="767ADE8E" w14:textId="77777777" w:rsidR="00373ED9" w:rsidRPr="001E500F" w:rsidRDefault="00373ED9" w:rsidP="00373ED9">
      <w:pPr>
        <w:pStyle w:val="EndnoteText"/>
      </w:pPr>
      <w:r>
        <w:rPr>
          <w:rStyle w:val="EndnoteReference"/>
        </w:rPr>
        <w:endnoteRef/>
      </w:r>
      <w:r>
        <w:t xml:space="preserve"> Reserve Bank of Australia, </w:t>
      </w:r>
      <w:hyperlink r:id="rId8" w:history="1">
        <w:r w:rsidRPr="00C367F9">
          <w:rPr>
            <w:rStyle w:val="Hyperlink"/>
            <w:i/>
            <w:iCs/>
          </w:rPr>
          <w:t>Cash Rate Target</w:t>
        </w:r>
      </w:hyperlink>
      <w:r>
        <w:t xml:space="preserve"> (website), n.d., accessed 10 August 2023.</w:t>
      </w:r>
    </w:p>
  </w:endnote>
  <w:endnote w:id="8">
    <w:p w14:paraId="62B8F3A2" w14:textId="4DB1685F" w:rsidR="00373ED9" w:rsidRDefault="00373ED9" w:rsidP="00373ED9">
      <w:pPr>
        <w:pStyle w:val="EndnoteText"/>
      </w:pPr>
      <w:r>
        <w:rPr>
          <w:rStyle w:val="EndnoteReference"/>
        </w:rPr>
        <w:endnoteRef/>
      </w:r>
      <w:r>
        <w:t xml:space="preserve"> </w:t>
      </w:r>
      <w:r w:rsidRPr="006A6DE7">
        <w:rPr>
          <w:rStyle w:val="normaltextrun"/>
          <w:rFonts w:ascii="Calibri" w:hAnsi="Calibri" w:cs="Calibri"/>
          <w:color w:val="000000"/>
        </w:rPr>
        <w:t>Depa</w:t>
      </w:r>
      <w:r w:rsidRPr="00B719D1">
        <w:rPr>
          <w:rStyle w:val="normaltextrun"/>
          <w:rFonts w:ascii="Calibri" w:hAnsi="Calibri" w:cs="Calibri"/>
          <w:color w:val="000000"/>
          <w:szCs w:val="15"/>
        </w:rPr>
        <w:t xml:space="preserve">rtment of Treasury and Finance, </w:t>
      </w:r>
      <w:hyperlink r:id="rId9" w:anchor="budget-paper-3-service-delivery" w:tgtFrame="_blank" w:history="1">
        <w:r w:rsidRPr="00B719D1">
          <w:rPr>
            <w:rStyle w:val="normaltextrun"/>
            <w:rFonts w:ascii="Calibri" w:hAnsi="Calibri" w:cs="Calibri"/>
            <w:i/>
            <w:iCs/>
            <w:color w:val="0563C1"/>
            <w:szCs w:val="15"/>
            <w:u w:val="single"/>
          </w:rPr>
          <w:t>Victorian Budget  2023–24 – Budget  Paper No. 3</w:t>
        </w:r>
      </w:hyperlink>
      <w:r w:rsidRPr="00B719D1">
        <w:rPr>
          <w:rStyle w:val="normaltextrun"/>
          <w:rFonts w:ascii="Calibri" w:hAnsi="Calibri" w:cs="Calibri"/>
          <w:color w:val="000000"/>
          <w:szCs w:val="15"/>
        </w:rPr>
        <w:t>, 2023, pp.3–33, accessed 10 August 2023</w:t>
      </w:r>
      <w:r w:rsidR="00B719D1" w:rsidRPr="00B719D1">
        <w:rPr>
          <w:rStyle w:val="normaltextrun"/>
          <w:rFonts w:ascii="Calibri" w:hAnsi="Calibri" w:cs="Calibri"/>
          <w:color w:val="000000"/>
          <w:szCs w:val="15"/>
        </w:rPr>
        <w:t xml:space="preserve"> (</w:t>
      </w:r>
      <w:hyperlink r:id="rId10" w:history="1">
        <w:r w:rsidR="00B719D1" w:rsidRPr="00B719D1">
          <w:rPr>
            <w:rStyle w:val="Hyperlink"/>
            <w:rFonts w:ascii="Calibri" w:eastAsiaTheme="minorHAnsi" w:hAnsi="Calibri" w:cs="Calibri"/>
            <w:szCs w:val="15"/>
            <w:lang w:val="en-GB"/>
          </w:rPr>
          <w:t>https://s3.ap-southeast-2.amazonaws.com/budgetfiles202324.budget.vic.gov.au/2023-24+State+Budget+-+Service+Delivery.pdf</w:t>
        </w:r>
      </w:hyperlink>
      <w:r w:rsidR="00B719D1" w:rsidRPr="00B719D1">
        <w:rPr>
          <w:rFonts w:ascii="Calibri" w:eastAsiaTheme="minorHAnsi" w:hAnsi="Calibri" w:cs="Calibri"/>
          <w:color w:val="000000"/>
          <w:szCs w:val="15"/>
          <w:lang w:val="en-GB"/>
        </w:rPr>
        <w:t>).</w:t>
      </w:r>
    </w:p>
  </w:endnote>
  <w:endnote w:id="9">
    <w:p w14:paraId="6C67660A" w14:textId="55C6CC3D" w:rsidR="00373ED9" w:rsidRPr="00F47C27" w:rsidRDefault="00373ED9" w:rsidP="00373ED9">
      <w:pPr>
        <w:pStyle w:val="EndnoteText"/>
        <w:rPr>
          <w:rFonts w:ascii="Calibri" w:hAnsi="Calibri" w:cs="Calibri"/>
          <w:szCs w:val="15"/>
        </w:rPr>
      </w:pPr>
      <w:r>
        <w:rPr>
          <w:rStyle w:val="EndnoteReference"/>
        </w:rPr>
        <w:endnoteRef/>
      </w:r>
      <w:r>
        <w:t xml:space="preserve"> </w:t>
      </w:r>
      <w:r w:rsidRPr="006A6DE7">
        <w:rPr>
          <w:rStyle w:val="normaltextrun"/>
          <w:rFonts w:ascii="Calibri" w:hAnsi="Calibri" w:cs="Calibri"/>
          <w:color w:val="000000"/>
        </w:rPr>
        <w:t xml:space="preserve">Department of Treasury and Finance, </w:t>
      </w:r>
      <w:hyperlink r:id="rId11" w:anchor="budget-paper-3-service-delivery" w:tgtFrame="_blank" w:history="1">
        <w:r w:rsidRPr="006A6DE7">
          <w:rPr>
            <w:rStyle w:val="normaltextrun"/>
            <w:rFonts w:ascii="Calibri" w:hAnsi="Calibri" w:cs="Calibri"/>
            <w:i/>
            <w:iCs/>
            <w:color w:val="0563C1"/>
            <w:u w:val="single"/>
          </w:rPr>
          <w:t xml:space="preserve">Victorian </w:t>
        </w:r>
        <w:r>
          <w:rPr>
            <w:rStyle w:val="normaltextrun"/>
            <w:rFonts w:ascii="Calibri" w:hAnsi="Calibri" w:cs="Calibri"/>
            <w:i/>
            <w:iCs/>
            <w:color w:val="0563C1"/>
            <w:u w:val="single"/>
          </w:rPr>
          <w:t xml:space="preserve">Budget </w:t>
        </w:r>
        <w:r w:rsidRPr="006A6DE7">
          <w:rPr>
            <w:rStyle w:val="normaltextrun"/>
            <w:rFonts w:ascii="Calibri" w:hAnsi="Calibri" w:cs="Calibri"/>
            <w:i/>
            <w:iCs/>
            <w:color w:val="0563C1"/>
            <w:u w:val="single"/>
          </w:rPr>
          <w:t xml:space="preserve"> 2023</w:t>
        </w:r>
        <w:r>
          <w:rPr>
            <w:rStyle w:val="normaltextrun"/>
            <w:rFonts w:ascii="Calibri" w:hAnsi="Calibri" w:cs="Calibri"/>
            <w:i/>
            <w:iCs/>
            <w:color w:val="0563C1"/>
            <w:u w:val="single"/>
          </w:rPr>
          <w:t>–</w:t>
        </w:r>
        <w:r w:rsidRPr="006A6DE7">
          <w:rPr>
            <w:rStyle w:val="normaltextrun"/>
            <w:rFonts w:ascii="Calibri" w:hAnsi="Calibri" w:cs="Calibri"/>
            <w:i/>
            <w:iCs/>
            <w:color w:val="0563C1"/>
            <w:u w:val="single"/>
          </w:rPr>
          <w:t xml:space="preserve">24 – </w:t>
        </w:r>
        <w:r>
          <w:rPr>
            <w:rStyle w:val="normaltextrun"/>
            <w:rFonts w:ascii="Calibri" w:hAnsi="Calibri" w:cs="Calibri"/>
            <w:i/>
            <w:iCs/>
            <w:color w:val="0563C1"/>
            <w:u w:val="single"/>
          </w:rPr>
          <w:t xml:space="preserve">Budget </w:t>
        </w:r>
        <w:r w:rsidRPr="006A6DE7">
          <w:rPr>
            <w:rStyle w:val="normaltextrun"/>
            <w:rFonts w:ascii="Calibri" w:hAnsi="Calibri" w:cs="Calibri"/>
            <w:i/>
            <w:iCs/>
            <w:color w:val="0563C1"/>
            <w:u w:val="single"/>
          </w:rPr>
          <w:t xml:space="preserve"> Paper No. 3</w:t>
        </w:r>
      </w:hyperlink>
      <w:r w:rsidRPr="006A6DE7">
        <w:rPr>
          <w:rStyle w:val="normaltextrun"/>
          <w:rFonts w:ascii="Calibri" w:hAnsi="Calibri" w:cs="Calibri"/>
          <w:color w:val="000000"/>
        </w:rPr>
        <w:t>, 2023, p.</w:t>
      </w:r>
      <w:r>
        <w:rPr>
          <w:rStyle w:val="normaltextrun"/>
          <w:rFonts w:ascii="Calibri" w:hAnsi="Calibri" w:cs="Calibri"/>
          <w:color w:val="000000"/>
        </w:rPr>
        <w:t>36</w:t>
      </w:r>
      <w:r w:rsidRPr="006A6DE7">
        <w:rPr>
          <w:rStyle w:val="normaltextrun"/>
          <w:rFonts w:ascii="Calibri" w:hAnsi="Calibri" w:cs="Calibri"/>
          <w:color w:val="000000"/>
        </w:rPr>
        <w:t xml:space="preserve">, accessed </w:t>
      </w:r>
      <w:r>
        <w:rPr>
          <w:rStyle w:val="normaltextrun"/>
          <w:rFonts w:ascii="Calibri" w:hAnsi="Calibri" w:cs="Calibri"/>
          <w:color w:val="000000"/>
        </w:rPr>
        <w:t>10 August</w:t>
      </w:r>
      <w:r w:rsidRPr="006A6DE7">
        <w:rPr>
          <w:rStyle w:val="normaltextrun"/>
          <w:rFonts w:ascii="Calibri" w:hAnsi="Calibri" w:cs="Calibri"/>
          <w:color w:val="000000"/>
        </w:rPr>
        <w:t xml:space="preserve"> </w:t>
      </w:r>
      <w:r w:rsidRPr="00F47C27">
        <w:rPr>
          <w:rStyle w:val="normaltextrun"/>
          <w:rFonts w:ascii="Calibri" w:hAnsi="Calibri" w:cs="Calibri"/>
          <w:color w:val="000000"/>
          <w:szCs w:val="15"/>
        </w:rPr>
        <w:t xml:space="preserve">2023 </w:t>
      </w:r>
      <w:r w:rsidR="00F47C27" w:rsidRPr="00F47C27">
        <w:rPr>
          <w:rFonts w:ascii="Calibri" w:eastAsiaTheme="minorHAnsi" w:hAnsi="Calibri" w:cs="Calibri"/>
          <w:color w:val="000000"/>
          <w:szCs w:val="15"/>
          <w:lang w:val="en-GB"/>
        </w:rPr>
        <w:t>(</w:t>
      </w:r>
      <w:hyperlink r:id="rId12" w:history="1">
        <w:r w:rsidR="00F47C27" w:rsidRPr="00F47C27">
          <w:rPr>
            <w:rStyle w:val="Hyperlink"/>
            <w:rFonts w:ascii="Calibri" w:eastAsiaTheme="minorHAnsi" w:hAnsi="Calibri" w:cs="Calibri"/>
            <w:szCs w:val="15"/>
            <w:lang w:val="en-GB"/>
          </w:rPr>
          <w:t>https://s3.ap-southeast-2.amazonaws.com/budgetfiles202324.budget.vic.gov.au/2023-24+State+Budget+-+Service+Delivery.pdf</w:t>
        </w:r>
      </w:hyperlink>
      <w:r w:rsidR="00F47C27" w:rsidRPr="00F47C27">
        <w:rPr>
          <w:rFonts w:ascii="Calibri" w:eastAsiaTheme="minorHAnsi" w:hAnsi="Calibri" w:cs="Calibri"/>
          <w:color w:val="000000"/>
          <w:szCs w:val="15"/>
          <w:lang w:val="en-GB"/>
        </w:rPr>
        <w:t>).</w:t>
      </w:r>
    </w:p>
  </w:endnote>
  <w:endnote w:id="10">
    <w:p w14:paraId="55C285D1" w14:textId="77777777" w:rsidR="00373ED9" w:rsidRDefault="00373ED9" w:rsidP="00373ED9">
      <w:pPr>
        <w:pStyle w:val="EndnoteText"/>
      </w:pPr>
      <w:r>
        <w:rPr>
          <w:rStyle w:val="EndnoteReference"/>
        </w:rPr>
        <w:endnoteRef/>
      </w:r>
      <w:r>
        <w:t xml:space="preserve"> Premier of Victoria,</w:t>
      </w:r>
      <w:r w:rsidRPr="00597874">
        <w:rPr>
          <w:i/>
        </w:rPr>
        <w:t xml:space="preserve"> </w:t>
      </w:r>
      <w:hyperlink r:id="rId13" w:history="1">
        <w:r w:rsidRPr="00597874">
          <w:rPr>
            <w:rStyle w:val="Hyperlink"/>
            <w:i/>
          </w:rPr>
          <w:t>Setting an ambitious emissions reduction target</w:t>
        </w:r>
      </w:hyperlink>
      <w:r w:rsidRPr="00597874">
        <w:t xml:space="preserve"> (media release),</w:t>
      </w:r>
      <w:r>
        <w:t xml:space="preserve"> 16 May 2023, accessed 30 June 2023.</w:t>
      </w:r>
    </w:p>
  </w:endnote>
  <w:endnote w:id="11">
    <w:p w14:paraId="22948A41" w14:textId="77777777" w:rsidR="00373ED9" w:rsidRDefault="00373ED9" w:rsidP="00373ED9">
      <w:pPr>
        <w:pStyle w:val="EndnoteText"/>
      </w:pPr>
      <w:r>
        <w:rPr>
          <w:rStyle w:val="EndnoteReference"/>
        </w:rPr>
        <w:endnoteRef/>
      </w:r>
      <w:r>
        <w:t xml:space="preserve"> Department of Energy, Environment and Climate Action, </w:t>
      </w:r>
      <w:hyperlink r:id="rId14" w:history="1">
        <w:r w:rsidRPr="00BE2457">
          <w:rPr>
            <w:rStyle w:val="Hyperlink"/>
            <w:i/>
          </w:rPr>
          <w:t>Climate action targets</w:t>
        </w:r>
      </w:hyperlink>
      <w:r>
        <w:t xml:space="preserve"> (website), n.d., accessed 30 June 2023.</w:t>
      </w:r>
    </w:p>
  </w:endnote>
  <w:endnote w:id="12">
    <w:p w14:paraId="3788A599" w14:textId="77777777" w:rsidR="00373ED9" w:rsidRPr="00B50A35" w:rsidRDefault="00373ED9" w:rsidP="00373ED9">
      <w:pPr>
        <w:pStyle w:val="EndnoteText"/>
        <w:rPr>
          <w:rStyle w:val="Hyperlink"/>
          <w:color w:val="auto"/>
        </w:rPr>
      </w:pPr>
      <w:r>
        <w:rPr>
          <w:rStyle w:val="EndnoteReference"/>
        </w:rPr>
        <w:endnoteRef/>
      </w:r>
      <w:r>
        <w:t xml:space="preserve"> Department of Energy, Environment and Climate Action, </w:t>
      </w:r>
      <w:hyperlink r:id="rId15" w:history="1">
        <w:r w:rsidRPr="00D47419">
          <w:rPr>
            <w:rStyle w:val="Hyperlink"/>
            <w:i/>
            <w:iCs/>
          </w:rPr>
          <w:t>Victorian renewable energy and storage targets</w:t>
        </w:r>
      </w:hyperlink>
      <w:r w:rsidRPr="00B50A35">
        <w:rPr>
          <w:rStyle w:val="Hyperlink"/>
          <w:color w:val="auto"/>
        </w:rPr>
        <w:t xml:space="preserve"> </w:t>
      </w:r>
      <w:r>
        <w:rPr>
          <w:rStyle w:val="Hyperlink"/>
          <w:color w:val="auto"/>
        </w:rPr>
        <w:t>(</w:t>
      </w:r>
      <w:r w:rsidRPr="00B50A35">
        <w:rPr>
          <w:rStyle w:val="Hyperlink"/>
          <w:color w:val="auto"/>
        </w:rPr>
        <w:t>website</w:t>
      </w:r>
      <w:r>
        <w:rPr>
          <w:rStyle w:val="Hyperlink"/>
          <w:color w:val="auto"/>
        </w:rPr>
        <w:t>)</w:t>
      </w:r>
      <w:r w:rsidRPr="00B50A35">
        <w:rPr>
          <w:rStyle w:val="Hyperlink"/>
          <w:color w:val="auto"/>
        </w:rPr>
        <w:t>, n.d, accessed 3 July 2023</w:t>
      </w:r>
      <w:r>
        <w:rPr>
          <w:rStyle w:val="Hyperlink"/>
          <w:color w:val="auto"/>
        </w:rPr>
        <w:t>.</w:t>
      </w:r>
    </w:p>
  </w:endnote>
  <w:endnote w:id="13">
    <w:p w14:paraId="1045AB16" w14:textId="77777777" w:rsidR="00373ED9" w:rsidRPr="00B50A35" w:rsidRDefault="00373ED9" w:rsidP="00373ED9">
      <w:pPr>
        <w:pStyle w:val="EndnoteText"/>
        <w:rPr>
          <w:rStyle w:val="Hyperlink"/>
          <w:color w:val="auto"/>
        </w:rPr>
      </w:pPr>
      <w:r>
        <w:rPr>
          <w:rStyle w:val="EndnoteReference"/>
        </w:rPr>
        <w:endnoteRef/>
      </w:r>
      <w:r>
        <w:t xml:space="preserve"> Department of Energy, Environment and Climate Action, </w:t>
      </w:r>
      <w:hyperlink r:id="rId16" w:history="1">
        <w:r w:rsidRPr="00D47419">
          <w:rPr>
            <w:rStyle w:val="Hyperlink"/>
            <w:i/>
            <w:iCs/>
          </w:rPr>
          <w:t>Victorian renewable energy and storage targets</w:t>
        </w:r>
      </w:hyperlink>
      <w:r w:rsidRPr="00B50A35">
        <w:rPr>
          <w:rStyle w:val="Hyperlink"/>
          <w:color w:val="auto"/>
        </w:rPr>
        <w:t xml:space="preserve"> </w:t>
      </w:r>
      <w:r>
        <w:rPr>
          <w:rStyle w:val="Hyperlink"/>
          <w:color w:val="auto"/>
        </w:rPr>
        <w:t>(</w:t>
      </w:r>
      <w:r w:rsidRPr="00B50A35">
        <w:rPr>
          <w:rStyle w:val="Hyperlink"/>
          <w:color w:val="auto"/>
        </w:rPr>
        <w:t>website</w:t>
      </w:r>
      <w:r>
        <w:rPr>
          <w:rStyle w:val="Hyperlink"/>
          <w:color w:val="auto"/>
        </w:rPr>
        <w:t>)</w:t>
      </w:r>
      <w:r w:rsidRPr="00B50A35">
        <w:rPr>
          <w:rStyle w:val="Hyperlink"/>
          <w:color w:val="auto"/>
        </w:rPr>
        <w:t>, n.d, accessed 3 July 2023</w:t>
      </w:r>
      <w:r>
        <w:rPr>
          <w:rStyle w:val="Hyperlink"/>
          <w:color w:val="auto"/>
        </w:rPr>
        <w:t>.</w:t>
      </w:r>
    </w:p>
  </w:endnote>
  <w:endnote w:id="14">
    <w:p w14:paraId="5BC12FED" w14:textId="77777777" w:rsidR="00373ED9" w:rsidRDefault="00373ED9" w:rsidP="00373ED9">
      <w:pPr>
        <w:pStyle w:val="EndnoteText"/>
      </w:pPr>
      <w:r>
        <w:rPr>
          <w:rStyle w:val="EndnoteReference"/>
        </w:rPr>
        <w:endnoteRef/>
      </w:r>
      <w:r>
        <w:t xml:space="preserve"> Engage Victoria, </w:t>
      </w:r>
      <w:hyperlink r:id="rId17" w:history="1">
        <w:r w:rsidRPr="00D47419">
          <w:rPr>
            <w:rStyle w:val="Hyperlink"/>
            <w:i/>
            <w:iCs/>
          </w:rPr>
          <w:t>Victorian transmission investment framework final design</w:t>
        </w:r>
      </w:hyperlink>
      <w:r>
        <w:t xml:space="preserve"> (website), n.d., accessed 3 July 2023.</w:t>
      </w:r>
    </w:p>
  </w:endnote>
  <w:endnote w:id="15">
    <w:p w14:paraId="1D587523" w14:textId="35A41972" w:rsidR="00373ED9" w:rsidRDefault="00373ED9" w:rsidP="00373ED9">
      <w:pPr>
        <w:pStyle w:val="EndnoteText"/>
      </w:pPr>
      <w:r>
        <w:rPr>
          <w:rStyle w:val="EndnoteReference"/>
        </w:rPr>
        <w:endnoteRef/>
      </w:r>
      <w:r>
        <w:t xml:space="preserve"> </w:t>
      </w:r>
      <w:r w:rsidRPr="006A6DE7">
        <w:rPr>
          <w:rStyle w:val="normaltextrun"/>
          <w:rFonts w:ascii="Calibri" w:hAnsi="Calibri" w:cs="Calibri"/>
          <w:color w:val="000000"/>
        </w:rPr>
        <w:t xml:space="preserve">Department of Treasury and Finance, </w:t>
      </w:r>
      <w:hyperlink r:id="rId18" w:anchor="budget-paper-3-service-delivery" w:tgtFrame="_blank" w:history="1">
        <w:r w:rsidRPr="006A6DE7">
          <w:rPr>
            <w:rStyle w:val="normaltextrun"/>
            <w:rFonts w:ascii="Calibri" w:hAnsi="Calibri" w:cs="Calibri"/>
            <w:i/>
            <w:iCs/>
            <w:color w:val="0563C1"/>
            <w:u w:val="single"/>
          </w:rPr>
          <w:t xml:space="preserve">Victorian </w:t>
        </w:r>
        <w:r>
          <w:rPr>
            <w:rStyle w:val="normaltextrun"/>
            <w:rFonts w:ascii="Calibri" w:hAnsi="Calibri" w:cs="Calibri"/>
            <w:i/>
            <w:iCs/>
            <w:color w:val="0563C1"/>
            <w:u w:val="single"/>
          </w:rPr>
          <w:t xml:space="preserve">Budget </w:t>
        </w:r>
        <w:r w:rsidRPr="006A6DE7">
          <w:rPr>
            <w:rStyle w:val="normaltextrun"/>
            <w:rFonts w:ascii="Calibri" w:hAnsi="Calibri" w:cs="Calibri"/>
            <w:i/>
            <w:iCs/>
            <w:color w:val="0563C1"/>
            <w:u w:val="single"/>
          </w:rPr>
          <w:t xml:space="preserve"> 2023</w:t>
        </w:r>
        <w:r>
          <w:rPr>
            <w:rStyle w:val="normaltextrun"/>
            <w:rFonts w:ascii="Calibri" w:hAnsi="Calibri" w:cs="Calibri"/>
            <w:i/>
            <w:iCs/>
            <w:color w:val="0563C1"/>
            <w:u w:val="single"/>
          </w:rPr>
          <w:t>–</w:t>
        </w:r>
        <w:r w:rsidRPr="006A6DE7">
          <w:rPr>
            <w:rStyle w:val="normaltextrun"/>
            <w:rFonts w:ascii="Calibri" w:hAnsi="Calibri" w:cs="Calibri"/>
            <w:i/>
            <w:iCs/>
            <w:color w:val="0563C1"/>
            <w:u w:val="single"/>
          </w:rPr>
          <w:t xml:space="preserve">24 – </w:t>
        </w:r>
        <w:r>
          <w:rPr>
            <w:rStyle w:val="normaltextrun"/>
            <w:rFonts w:ascii="Calibri" w:hAnsi="Calibri" w:cs="Calibri"/>
            <w:i/>
            <w:iCs/>
            <w:color w:val="0563C1"/>
            <w:u w:val="single"/>
          </w:rPr>
          <w:t xml:space="preserve">Budget </w:t>
        </w:r>
        <w:r w:rsidRPr="006A6DE7">
          <w:rPr>
            <w:rStyle w:val="normaltextrun"/>
            <w:rFonts w:ascii="Calibri" w:hAnsi="Calibri" w:cs="Calibri"/>
            <w:i/>
            <w:iCs/>
            <w:color w:val="0563C1"/>
            <w:u w:val="single"/>
          </w:rPr>
          <w:t xml:space="preserve"> Paper No. 3</w:t>
        </w:r>
      </w:hyperlink>
      <w:r w:rsidRPr="006A6DE7">
        <w:rPr>
          <w:rStyle w:val="normaltextrun"/>
          <w:rFonts w:ascii="Calibri" w:hAnsi="Calibri" w:cs="Calibri"/>
          <w:color w:val="000000"/>
        </w:rPr>
        <w:t xml:space="preserve">, 2023, p. </w:t>
      </w:r>
      <w:r>
        <w:rPr>
          <w:rStyle w:val="normaltextrun"/>
          <w:rFonts w:ascii="Calibri" w:hAnsi="Calibri" w:cs="Calibri"/>
          <w:color w:val="000000"/>
        </w:rPr>
        <w:t>39</w:t>
      </w:r>
      <w:r w:rsidRPr="006A6DE7">
        <w:rPr>
          <w:rStyle w:val="normaltextrun"/>
          <w:rFonts w:ascii="Calibri" w:hAnsi="Calibri" w:cs="Calibri"/>
          <w:color w:val="000000"/>
        </w:rPr>
        <w:t xml:space="preserve">, accessed </w:t>
      </w:r>
      <w:r>
        <w:rPr>
          <w:rStyle w:val="normaltextrun"/>
          <w:rFonts w:ascii="Calibri" w:hAnsi="Calibri" w:cs="Calibri"/>
          <w:color w:val="000000"/>
        </w:rPr>
        <w:t>27</w:t>
      </w:r>
      <w:r w:rsidRPr="006A6DE7">
        <w:rPr>
          <w:rStyle w:val="normaltextrun"/>
          <w:rFonts w:ascii="Calibri" w:hAnsi="Calibri" w:cs="Calibri"/>
          <w:color w:val="000000"/>
        </w:rPr>
        <w:t xml:space="preserve"> July </w:t>
      </w:r>
      <w:r w:rsidRPr="000F418B">
        <w:rPr>
          <w:rStyle w:val="normaltextrun"/>
          <w:rFonts w:ascii="Calibri" w:hAnsi="Calibri" w:cs="Calibri"/>
          <w:color w:val="000000"/>
          <w:szCs w:val="15"/>
        </w:rPr>
        <w:t xml:space="preserve">2023 </w:t>
      </w:r>
      <w:r w:rsidR="000F418B" w:rsidRPr="000F418B">
        <w:rPr>
          <w:rFonts w:ascii="Calibri" w:eastAsiaTheme="minorHAnsi" w:hAnsi="Calibri" w:cs="Calibri"/>
          <w:color w:val="000000"/>
          <w:szCs w:val="15"/>
          <w:lang w:val="en-GB"/>
        </w:rPr>
        <w:t>(</w:t>
      </w:r>
      <w:hyperlink r:id="rId19" w:history="1">
        <w:r w:rsidR="000F418B" w:rsidRPr="000F418B">
          <w:rPr>
            <w:rStyle w:val="Hyperlink"/>
            <w:rFonts w:ascii="Calibri" w:eastAsiaTheme="minorHAnsi" w:hAnsi="Calibri" w:cs="Calibri"/>
            <w:szCs w:val="15"/>
            <w:lang w:val="en-GB"/>
          </w:rPr>
          <w:t>https://s3.ap-southeast-2.amazonaws.com/budgetfiles202324.budget.vic.gov.au/2023-24+State+Budget+-+Service+Delivery.pdf</w:t>
        </w:r>
      </w:hyperlink>
      <w:r w:rsidR="000F418B" w:rsidRPr="000F418B">
        <w:rPr>
          <w:rFonts w:ascii="Calibri" w:eastAsiaTheme="minorHAnsi" w:hAnsi="Calibri" w:cs="Calibri"/>
          <w:color w:val="000000"/>
          <w:szCs w:val="15"/>
          <w:lang w:val="en-GB"/>
        </w:rPr>
        <w:t>).</w:t>
      </w:r>
    </w:p>
  </w:endnote>
  <w:endnote w:id="16">
    <w:p w14:paraId="3E1D9330" w14:textId="17C2B698" w:rsidR="00373ED9" w:rsidRPr="00833490" w:rsidRDefault="00373ED9" w:rsidP="00373ED9">
      <w:pPr>
        <w:pStyle w:val="EndnoteText"/>
        <w:rPr>
          <w:rFonts w:ascii="Calibri" w:hAnsi="Calibri" w:cs="Calibri"/>
          <w:szCs w:val="15"/>
        </w:rPr>
      </w:pPr>
      <w:r>
        <w:rPr>
          <w:rStyle w:val="EndnoteReference"/>
        </w:rPr>
        <w:endnoteRef/>
      </w:r>
      <w:r>
        <w:t xml:space="preserve"> </w:t>
      </w:r>
      <w:r w:rsidRPr="006A6DE7">
        <w:rPr>
          <w:rStyle w:val="normaltextrun"/>
          <w:rFonts w:ascii="Calibri" w:hAnsi="Calibri" w:cs="Calibri"/>
          <w:color w:val="000000"/>
        </w:rPr>
        <w:t xml:space="preserve">Department of Treasury and Finance, </w:t>
      </w:r>
      <w:hyperlink r:id="rId20" w:anchor="budget-paper-3-service-delivery" w:tgtFrame="_blank" w:history="1">
        <w:r w:rsidRPr="006A6DE7">
          <w:rPr>
            <w:rStyle w:val="normaltextrun"/>
            <w:rFonts w:ascii="Calibri" w:hAnsi="Calibri" w:cs="Calibri"/>
            <w:i/>
            <w:iCs/>
            <w:color w:val="0563C1"/>
            <w:u w:val="single"/>
          </w:rPr>
          <w:t xml:space="preserve">Victorian </w:t>
        </w:r>
        <w:r>
          <w:rPr>
            <w:rStyle w:val="normaltextrun"/>
            <w:rFonts w:ascii="Calibri" w:hAnsi="Calibri" w:cs="Calibri"/>
            <w:i/>
            <w:iCs/>
            <w:color w:val="0563C1"/>
            <w:u w:val="single"/>
          </w:rPr>
          <w:t xml:space="preserve">Budget </w:t>
        </w:r>
        <w:r w:rsidRPr="006A6DE7">
          <w:rPr>
            <w:rStyle w:val="normaltextrun"/>
            <w:rFonts w:ascii="Calibri" w:hAnsi="Calibri" w:cs="Calibri"/>
            <w:i/>
            <w:iCs/>
            <w:color w:val="0563C1"/>
            <w:u w:val="single"/>
          </w:rPr>
          <w:t xml:space="preserve"> 2023</w:t>
        </w:r>
        <w:r>
          <w:rPr>
            <w:rStyle w:val="normaltextrun"/>
            <w:rFonts w:ascii="Calibri" w:hAnsi="Calibri" w:cs="Calibri"/>
            <w:i/>
            <w:iCs/>
            <w:color w:val="0563C1"/>
            <w:u w:val="single"/>
          </w:rPr>
          <w:t>–</w:t>
        </w:r>
        <w:r w:rsidRPr="006A6DE7">
          <w:rPr>
            <w:rStyle w:val="normaltextrun"/>
            <w:rFonts w:ascii="Calibri" w:hAnsi="Calibri" w:cs="Calibri"/>
            <w:i/>
            <w:iCs/>
            <w:color w:val="0563C1"/>
            <w:u w:val="single"/>
          </w:rPr>
          <w:t xml:space="preserve">24 – </w:t>
        </w:r>
        <w:r>
          <w:rPr>
            <w:rStyle w:val="normaltextrun"/>
            <w:rFonts w:ascii="Calibri" w:hAnsi="Calibri" w:cs="Calibri"/>
            <w:i/>
            <w:iCs/>
            <w:color w:val="0563C1"/>
            <w:u w:val="single"/>
          </w:rPr>
          <w:t xml:space="preserve">Budget </w:t>
        </w:r>
        <w:r w:rsidRPr="006A6DE7">
          <w:rPr>
            <w:rStyle w:val="normaltextrun"/>
            <w:rFonts w:ascii="Calibri" w:hAnsi="Calibri" w:cs="Calibri"/>
            <w:i/>
            <w:iCs/>
            <w:color w:val="0563C1"/>
            <w:u w:val="single"/>
          </w:rPr>
          <w:t xml:space="preserve"> Paper No. 3</w:t>
        </w:r>
      </w:hyperlink>
      <w:r w:rsidRPr="006A6DE7">
        <w:rPr>
          <w:rStyle w:val="normaltextrun"/>
          <w:rFonts w:ascii="Calibri" w:hAnsi="Calibri" w:cs="Calibri"/>
          <w:color w:val="000000"/>
        </w:rPr>
        <w:t>, 2023, p</w:t>
      </w:r>
      <w:r>
        <w:rPr>
          <w:rStyle w:val="normaltextrun"/>
          <w:rFonts w:ascii="Calibri" w:hAnsi="Calibri" w:cs="Calibri"/>
          <w:color w:val="000000"/>
        </w:rPr>
        <w:t>p</w:t>
      </w:r>
      <w:r w:rsidRPr="006A6DE7">
        <w:rPr>
          <w:rStyle w:val="normaltextrun"/>
          <w:rFonts w:ascii="Calibri" w:hAnsi="Calibri" w:cs="Calibri"/>
          <w:color w:val="000000"/>
        </w:rPr>
        <w:t>.28, 3</w:t>
      </w:r>
      <w:r>
        <w:rPr>
          <w:rStyle w:val="normaltextrun"/>
          <w:rFonts w:ascii="Calibri" w:hAnsi="Calibri" w:cs="Calibri"/>
          <w:color w:val="000000"/>
        </w:rPr>
        <w:t>4</w:t>
      </w:r>
      <w:r w:rsidRPr="006A6DE7">
        <w:rPr>
          <w:rStyle w:val="normaltextrun"/>
          <w:rFonts w:ascii="Calibri" w:hAnsi="Calibri" w:cs="Calibri"/>
          <w:color w:val="000000"/>
        </w:rPr>
        <w:t xml:space="preserve">, accessed 3 July </w:t>
      </w:r>
      <w:r w:rsidRPr="00833490">
        <w:rPr>
          <w:rStyle w:val="normaltextrun"/>
          <w:rFonts w:ascii="Calibri" w:hAnsi="Calibri" w:cs="Calibri"/>
          <w:color w:val="000000"/>
          <w:szCs w:val="15"/>
        </w:rPr>
        <w:t xml:space="preserve">2023 </w:t>
      </w:r>
      <w:r w:rsidR="00833490" w:rsidRPr="00833490">
        <w:rPr>
          <w:rFonts w:ascii="Calibri" w:eastAsiaTheme="minorHAnsi" w:hAnsi="Calibri" w:cs="Calibri"/>
          <w:color w:val="000000"/>
          <w:szCs w:val="15"/>
          <w:lang w:val="en-GB"/>
        </w:rPr>
        <w:t>(</w:t>
      </w:r>
      <w:hyperlink r:id="rId21" w:history="1">
        <w:r w:rsidR="00833490" w:rsidRPr="00833490">
          <w:rPr>
            <w:rStyle w:val="Hyperlink"/>
            <w:rFonts w:ascii="Calibri" w:eastAsiaTheme="minorHAnsi" w:hAnsi="Calibri" w:cs="Calibri"/>
            <w:szCs w:val="15"/>
            <w:lang w:val="en-GB"/>
          </w:rPr>
          <w:t>https://s3.ap-southeast-2.amazonaws.com/budgetfiles202324.budget.vic.gov.au/2023-24+State+Budget+-+Service+Delivery.pdf</w:t>
        </w:r>
      </w:hyperlink>
      <w:r w:rsidR="00833490" w:rsidRPr="00833490">
        <w:rPr>
          <w:rFonts w:ascii="Calibri" w:eastAsiaTheme="minorHAnsi" w:hAnsi="Calibri" w:cs="Calibri"/>
          <w:color w:val="000000"/>
          <w:szCs w:val="15"/>
          <w:lang w:val="en-GB"/>
        </w:rPr>
        <w:t>).</w:t>
      </w:r>
    </w:p>
  </w:endnote>
  <w:endnote w:id="17">
    <w:p w14:paraId="0FA47BA5" w14:textId="77777777" w:rsidR="00373ED9" w:rsidRDefault="00373ED9" w:rsidP="00373ED9">
      <w:pPr>
        <w:pStyle w:val="EndnoteText"/>
      </w:pPr>
      <w:r>
        <w:rPr>
          <w:rStyle w:val="EndnoteReference"/>
        </w:rPr>
        <w:endnoteRef/>
      </w:r>
      <w:r>
        <w:t xml:space="preserve"> Infrastructure Victoria,</w:t>
      </w:r>
      <w:r w:rsidRPr="00F83353">
        <w:rPr>
          <w:i/>
          <w:iCs/>
        </w:rPr>
        <w:t xml:space="preserve"> </w:t>
      </w:r>
      <w:hyperlink r:id="rId22" w:history="1">
        <w:r w:rsidRPr="00F83353">
          <w:rPr>
            <w:rStyle w:val="Hyperlink"/>
            <w:i/>
            <w:iCs/>
          </w:rPr>
          <w:t>Towards 2050: gas infrastructure in a net-zero emissions economy</w:t>
        </w:r>
      </w:hyperlink>
      <w:r>
        <w:t>, 2021, pp. 16–29, accessed 17 August 2023.</w:t>
      </w:r>
    </w:p>
  </w:endnote>
  <w:endnote w:id="18">
    <w:p w14:paraId="34282F4D" w14:textId="77777777" w:rsidR="00373ED9" w:rsidRDefault="00373ED9" w:rsidP="00373ED9">
      <w:pPr>
        <w:pStyle w:val="EndnoteText"/>
      </w:pPr>
      <w:r>
        <w:rPr>
          <w:rStyle w:val="EndnoteReference"/>
        </w:rPr>
        <w:endnoteRef/>
      </w:r>
      <w:r>
        <w:t xml:space="preserve"> Premier of Victoria, </w:t>
      </w:r>
      <w:hyperlink r:id="rId23" w:history="1">
        <w:r w:rsidRPr="006F0343">
          <w:rPr>
            <w:rStyle w:val="Hyperlink"/>
            <w:i/>
            <w:iCs/>
          </w:rPr>
          <w:t>Gas roadmap drives down energy bill and emissions</w:t>
        </w:r>
      </w:hyperlink>
      <w:r>
        <w:t xml:space="preserve"> (media release), 1 July 2022, accessed 13 July 2023.</w:t>
      </w:r>
    </w:p>
  </w:endnote>
  <w:endnote w:id="19">
    <w:p w14:paraId="04AB65F5" w14:textId="6941B851" w:rsidR="00373ED9" w:rsidRPr="007137EA" w:rsidRDefault="00373ED9" w:rsidP="00373ED9">
      <w:pPr>
        <w:pStyle w:val="EndnoteText"/>
      </w:pPr>
      <w:r>
        <w:rPr>
          <w:rStyle w:val="EndnoteReference"/>
        </w:rPr>
        <w:endnoteRef/>
      </w:r>
      <w:r>
        <w:t xml:space="preserve"> </w:t>
      </w:r>
      <w:r w:rsidRPr="006A6DE7">
        <w:rPr>
          <w:rStyle w:val="normaltextrun"/>
          <w:rFonts w:ascii="Calibri" w:hAnsi="Calibri" w:cs="Calibri"/>
          <w:color w:val="000000"/>
        </w:rPr>
        <w:t xml:space="preserve">Department of Treasury and Finance, </w:t>
      </w:r>
      <w:hyperlink r:id="rId24" w:anchor="budget-paper-3-service-delivery" w:tgtFrame="_blank" w:history="1">
        <w:r w:rsidRPr="006A6DE7">
          <w:rPr>
            <w:rStyle w:val="normaltextrun"/>
            <w:rFonts w:ascii="Calibri" w:hAnsi="Calibri" w:cs="Calibri"/>
            <w:i/>
            <w:iCs/>
            <w:color w:val="0563C1"/>
            <w:u w:val="single"/>
          </w:rPr>
          <w:t xml:space="preserve">Victorian </w:t>
        </w:r>
        <w:r>
          <w:rPr>
            <w:rStyle w:val="normaltextrun"/>
            <w:rFonts w:ascii="Calibri" w:hAnsi="Calibri" w:cs="Calibri"/>
            <w:i/>
            <w:iCs/>
            <w:color w:val="0563C1"/>
            <w:u w:val="single"/>
          </w:rPr>
          <w:t xml:space="preserve">Budget </w:t>
        </w:r>
        <w:r w:rsidRPr="006A6DE7">
          <w:rPr>
            <w:rStyle w:val="normaltextrun"/>
            <w:rFonts w:ascii="Calibri" w:hAnsi="Calibri" w:cs="Calibri"/>
            <w:i/>
            <w:iCs/>
            <w:color w:val="0563C1"/>
            <w:u w:val="single"/>
          </w:rPr>
          <w:t xml:space="preserve"> 2023</w:t>
        </w:r>
        <w:r>
          <w:rPr>
            <w:rStyle w:val="normaltextrun"/>
            <w:rFonts w:ascii="Calibri" w:hAnsi="Calibri" w:cs="Calibri"/>
            <w:i/>
            <w:iCs/>
            <w:color w:val="0563C1"/>
            <w:u w:val="single"/>
          </w:rPr>
          <w:t>–</w:t>
        </w:r>
        <w:r w:rsidRPr="006A6DE7">
          <w:rPr>
            <w:rStyle w:val="normaltextrun"/>
            <w:rFonts w:ascii="Calibri" w:hAnsi="Calibri" w:cs="Calibri"/>
            <w:i/>
            <w:iCs/>
            <w:color w:val="0563C1"/>
            <w:u w:val="single"/>
          </w:rPr>
          <w:t xml:space="preserve">24 – </w:t>
        </w:r>
        <w:r>
          <w:rPr>
            <w:rStyle w:val="normaltextrun"/>
            <w:rFonts w:ascii="Calibri" w:hAnsi="Calibri" w:cs="Calibri"/>
            <w:i/>
            <w:iCs/>
            <w:color w:val="0563C1"/>
            <w:u w:val="single"/>
          </w:rPr>
          <w:t xml:space="preserve">Budget </w:t>
        </w:r>
        <w:r w:rsidRPr="006A6DE7">
          <w:rPr>
            <w:rStyle w:val="normaltextrun"/>
            <w:rFonts w:ascii="Calibri" w:hAnsi="Calibri" w:cs="Calibri"/>
            <w:i/>
            <w:iCs/>
            <w:color w:val="0563C1"/>
            <w:u w:val="single"/>
          </w:rPr>
          <w:t xml:space="preserve"> Paper No. 3</w:t>
        </w:r>
      </w:hyperlink>
      <w:r w:rsidRPr="006A6DE7">
        <w:rPr>
          <w:rStyle w:val="normaltextrun"/>
          <w:rFonts w:ascii="Calibri" w:hAnsi="Calibri" w:cs="Calibri"/>
          <w:color w:val="000000"/>
        </w:rPr>
        <w:t xml:space="preserve">, </w:t>
      </w:r>
      <w:r w:rsidRPr="00CD02BF">
        <w:rPr>
          <w:rStyle w:val="normaltextrun"/>
          <w:rFonts w:ascii="Calibri" w:hAnsi="Calibri" w:cs="Calibri"/>
          <w:color w:val="000000"/>
          <w:szCs w:val="15"/>
        </w:rPr>
        <w:t xml:space="preserve">2023, pp.28, 33, accessed 3 July 2023 </w:t>
      </w:r>
      <w:r w:rsidR="00CD02BF" w:rsidRPr="00CD02BF">
        <w:rPr>
          <w:rFonts w:ascii="Calibri" w:eastAsiaTheme="minorHAnsi" w:hAnsi="Calibri" w:cs="Calibri"/>
          <w:color w:val="000000"/>
          <w:szCs w:val="15"/>
          <w:lang w:val="en-GB"/>
        </w:rPr>
        <w:t>(</w:t>
      </w:r>
      <w:hyperlink r:id="rId25" w:history="1">
        <w:r w:rsidR="00CD02BF" w:rsidRPr="00CD02BF">
          <w:rPr>
            <w:rStyle w:val="Hyperlink"/>
            <w:rFonts w:ascii="Calibri" w:eastAsiaTheme="minorHAnsi" w:hAnsi="Calibri" w:cs="Calibri"/>
            <w:szCs w:val="15"/>
            <w:lang w:val="en-GB"/>
          </w:rPr>
          <w:t>https://s3.ap-southeast-2.amazonaws.com/budgetfiles202324.budget.vic.gov.au/2023-24+State+Budget+-+Service+Delivery.pdf</w:t>
        </w:r>
      </w:hyperlink>
      <w:r w:rsidR="00CD02BF" w:rsidRPr="00CD02BF">
        <w:rPr>
          <w:rFonts w:ascii="Calibri" w:eastAsiaTheme="minorHAnsi" w:hAnsi="Calibri" w:cs="Calibri"/>
          <w:color w:val="000000"/>
          <w:szCs w:val="15"/>
          <w:lang w:val="en-GB"/>
        </w:rPr>
        <w:t>).</w:t>
      </w:r>
    </w:p>
  </w:endnote>
  <w:endnote w:id="20">
    <w:p w14:paraId="3E731855" w14:textId="4229556A" w:rsidR="00373ED9" w:rsidRDefault="00373ED9" w:rsidP="00373ED9">
      <w:pPr>
        <w:pStyle w:val="EndnoteText"/>
      </w:pPr>
      <w:r>
        <w:rPr>
          <w:rStyle w:val="EndnoteReference"/>
        </w:rPr>
        <w:endnoteRef/>
      </w:r>
      <w:r>
        <w:t xml:space="preserve"> Infrastructure Victoria, </w:t>
      </w:r>
      <w:hyperlink r:id="rId26" w:history="1">
        <w:r w:rsidRPr="00597874">
          <w:rPr>
            <w:rStyle w:val="Hyperlink"/>
            <w:i/>
          </w:rPr>
          <w:t>Victoria’s infrastructure strategy 2021</w:t>
        </w:r>
        <w:r>
          <w:rPr>
            <w:rStyle w:val="Hyperlink"/>
            <w:i/>
          </w:rPr>
          <w:t>–</w:t>
        </w:r>
        <w:r w:rsidRPr="00597874">
          <w:rPr>
            <w:rStyle w:val="Hyperlink"/>
            <w:i/>
          </w:rPr>
          <w:t>2051</w:t>
        </w:r>
      </w:hyperlink>
      <w:r>
        <w:t>, 2021, p</w:t>
      </w:r>
      <w:r w:rsidRPr="00597874">
        <w:t>.</w:t>
      </w:r>
      <w:r>
        <w:t>59, accessed 29 June 2023.</w:t>
      </w:r>
    </w:p>
  </w:endnote>
  <w:endnote w:id="21">
    <w:p w14:paraId="607954C9" w14:textId="15F9FD8A" w:rsidR="00373ED9" w:rsidRDefault="00373ED9" w:rsidP="00373ED9">
      <w:pPr>
        <w:pStyle w:val="EndnoteText"/>
      </w:pPr>
      <w:r>
        <w:rPr>
          <w:rStyle w:val="EndnoteReference"/>
        </w:rPr>
        <w:endnoteRef/>
      </w:r>
      <w:r>
        <w:t xml:space="preserve"> Infrastructure Victoria, </w:t>
      </w:r>
      <w:hyperlink r:id="rId27" w:history="1">
        <w:r w:rsidR="001D6DE6" w:rsidRPr="00597874">
          <w:rPr>
            <w:rStyle w:val="Hyperlink"/>
            <w:i/>
          </w:rPr>
          <w:t>Victoria’s infrastructure strategy 2021</w:t>
        </w:r>
        <w:r w:rsidR="001D6DE6">
          <w:rPr>
            <w:rStyle w:val="Hyperlink"/>
            <w:i/>
          </w:rPr>
          <w:t>–</w:t>
        </w:r>
        <w:r w:rsidR="001D6DE6" w:rsidRPr="00597874">
          <w:rPr>
            <w:rStyle w:val="Hyperlink"/>
            <w:i/>
          </w:rPr>
          <w:t>2051</w:t>
        </w:r>
      </w:hyperlink>
      <w:r>
        <w:t>, 2021, p</w:t>
      </w:r>
      <w:r w:rsidRPr="00597874">
        <w:t>.</w:t>
      </w:r>
      <w:r>
        <w:t>58, accessed 29 June 2023.</w:t>
      </w:r>
    </w:p>
  </w:endnote>
  <w:endnote w:id="22">
    <w:p w14:paraId="29B6900B" w14:textId="7FA3E9DD" w:rsidR="00373ED9" w:rsidRDefault="00373ED9" w:rsidP="00373ED9">
      <w:pPr>
        <w:pStyle w:val="EndnoteText"/>
      </w:pPr>
      <w:r>
        <w:rPr>
          <w:rStyle w:val="EndnoteReference"/>
        </w:rPr>
        <w:endnoteRef/>
      </w:r>
      <w:r>
        <w:t xml:space="preserve"> </w:t>
      </w:r>
      <w:r w:rsidRPr="00CB31B1">
        <w:rPr>
          <w:rFonts w:cstheme="minorHAnsi"/>
          <w:szCs w:val="15"/>
        </w:rPr>
        <w:t xml:space="preserve">Infrastructure Victoria, </w:t>
      </w:r>
      <w:hyperlink r:id="rId28" w:history="1">
        <w:r w:rsidR="001D6DE6" w:rsidRPr="00597874">
          <w:rPr>
            <w:rStyle w:val="Hyperlink"/>
            <w:i/>
          </w:rPr>
          <w:t>Victoria’s infrastructure strategy 2021</w:t>
        </w:r>
        <w:r w:rsidR="001D6DE6">
          <w:rPr>
            <w:rStyle w:val="Hyperlink"/>
            <w:i/>
          </w:rPr>
          <w:t>–</w:t>
        </w:r>
        <w:r w:rsidR="001D6DE6" w:rsidRPr="00597874">
          <w:rPr>
            <w:rStyle w:val="Hyperlink"/>
            <w:i/>
          </w:rPr>
          <w:t>2051</w:t>
        </w:r>
      </w:hyperlink>
      <w:r w:rsidRPr="00CB31B1">
        <w:rPr>
          <w:rFonts w:cstheme="minorHAnsi"/>
          <w:i/>
          <w:iCs/>
          <w:szCs w:val="15"/>
        </w:rPr>
        <w:t>,</w:t>
      </w:r>
      <w:r w:rsidRPr="00CB31B1">
        <w:rPr>
          <w:rFonts w:cstheme="minorHAnsi"/>
          <w:szCs w:val="15"/>
        </w:rPr>
        <w:t xml:space="preserve"> 2021, p. </w:t>
      </w:r>
      <w:r>
        <w:rPr>
          <w:rFonts w:cstheme="minorHAnsi"/>
          <w:szCs w:val="15"/>
        </w:rPr>
        <w:t>191</w:t>
      </w:r>
      <w:r w:rsidRPr="00CB31B1">
        <w:rPr>
          <w:rFonts w:cstheme="minorHAnsi"/>
          <w:szCs w:val="15"/>
        </w:rPr>
        <w:t xml:space="preserve">, accessed </w:t>
      </w:r>
      <w:r>
        <w:rPr>
          <w:rFonts w:cstheme="minorHAnsi"/>
          <w:szCs w:val="15"/>
        </w:rPr>
        <w:t xml:space="preserve">17 August </w:t>
      </w:r>
      <w:r w:rsidRPr="00CB31B1">
        <w:rPr>
          <w:rFonts w:cstheme="minorHAnsi"/>
          <w:szCs w:val="15"/>
        </w:rPr>
        <w:t>2023.</w:t>
      </w:r>
    </w:p>
  </w:endnote>
  <w:endnote w:id="23">
    <w:p w14:paraId="0AD8E59F" w14:textId="26EF93E2" w:rsidR="00373ED9" w:rsidRDefault="00373ED9" w:rsidP="00FE5539">
      <w:pPr>
        <w:pStyle w:val="EndnoteText"/>
      </w:pPr>
      <w:r>
        <w:rPr>
          <w:rStyle w:val="EndnoteReference"/>
        </w:rPr>
        <w:endnoteRef/>
      </w:r>
      <w:r>
        <w:t xml:space="preserve"> </w:t>
      </w:r>
      <w:r w:rsidRPr="00CB31B1">
        <w:rPr>
          <w:rFonts w:cstheme="minorHAnsi"/>
          <w:szCs w:val="15"/>
        </w:rPr>
        <w:t xml:space="preserve">Infrastructure Victoria, </w:t>
      </w:r>
      <w:hyperlink r:id="rId29" w:history="1">
        <w:r w:rsidR="001D6DE6" w:rsidRPr="00597874">
          <w:rPr>
            <w:rStyle w:val="Hyperlink"/>
            <w:i/>
          </w:rPr>
          <w:t>Victoria’s infrastructure strategy 2021</w:t>
        </w:r>
        <w:r w:rsidR="001D6DE6">
          <w:rPr>
            <w:rStyle w:val="Hyperlink"/>
            <w:i/>
          </w:rPr>
          <w:t>–</w:t>
        </w:r>
        <w:r w:rsidR="001D6DE6" w:rsidRPr="00597874">
          <w:rPr>
            <w:rStyle w:val="Hyperlink"/>
            <w:i/>
          </w:rPr>
          <w:t>2051</w:t>
        </w:r>
      </w:hyperlink>
      <w:r w:rsidRPr="00CB31B1">
        <w:rPr>
          <w:rFonts w:cstheme="minorHAnsi"/>
          <w:i/>
          <w:iCs/>
          <w:szCs w:val="15"/>
        </w:rPr>
        <w:t>,</w:t>
      </w:r>
      <w:r w:rsidRPr="00CB31B1">
        <w:rPr>
          <w:rFonts w:cstheme="minorHAnsi"/>
          <w:szCs w:val="15"/>
        </w:rPr>
        <w:t xml:space="preserve"> 2021, p. </w:t>
      </w:r>
      <w:r>
        <w:rPr>
          <w:rFonts w:cstheme="minorHAnsi"/>
          <w:szCs w:val="15"/>
        </w:rPr>
        <w:t>149</w:t>
      </w:r>
      <w:r w:rsidRPr="00CB31B1">
        <w:rPr>
          <w:rFonts w:cstheme="minorHAnsi"/>
          <w:szCs w:val="15"/>
        </w:rPr>
        <w:t xml:space="preserve">, accessed </w:t>
      </w:r>
      <w:r>
        <w:rPr>
          <w:rFonts w:cstheme="minorHAnsi"/>
          <w:szCs w:val="15"/>
        </w:rPr>
        <w:t xml:space="preserve">17 August </w:t>
      </w:r>
      <w:r w:rsidRPr="00CB31B1">
        <w:rPr>
          <w:rFonts w:cstheme="minorHAnsi"/>
          <w:szCs w:val="15"/>
        </w:rPr>
        <w:t>2023.</w:t>
      </w:r>
    </w:p>
  </w:endnote>
  <w:endnote w:id="24">
    <w:p w14:paraId="3DEDBFCE" w14:textId="77777777" w:rsidR="00373ED9" w:rsidRDefault="00373ED9" w:rsidP="00373ED9">
      <w:pPr>
        <w:pStyle w:val="EndnoteText"/>
      </w:pPr>
      <w:r>
        <w:rPr>
          <w:rStyle w:val="EndnoteReference"/>
        </w:rPr>
        <w:endnoteRef/>
      </w:r>
      <w:r>
        <w:t xml:space="preserve"> </w:t>
      </w:r>
      <w:r w:rsidRPr="004A1190">
        <w:rPr>
          <w:szCs w:val="15"/>
        </w:rPr>
        <w:t xml:space="preserve">Department of Treasury and Finance, </w:t>
      </w:r>
      <w:hyperlink r:id="rId30" w:anchor="budget-paper-4-state-capital-program" w:history="1">
        <w:r w:rsidRPr="004A1190">
          <w:rPr>
            <w:rStyle w:val="Hyperlink"/>
            <w:i/>
            <w:iCs/>
            <w:szCs w:val="15"/>
          </w:rPr>
          <w:t xml:space="preserve">Victorian </w:t>
        </w:r>
        <w:r>
          <w:rPr>
            <w:rStyle w:val="Hyperlink"/>
            <w:i/>
            <w:iCs/>
            <w:szCs w:val="15"/>
          </w:rPr>
          <w:t xml:space="preserve">Budget </w:t>
        </w:r>
        <w:r w:rsidRPr="004A1190">
          <w:rPr>
            <w:rStyle w:val="Hyperlink"/>
            <w:i/>
            <w:iCs/>
            <w:szCs w:val="15"/>
          </w:rPr>
          <w:t xml:space="preserve"> 2023</w:t>
        </w:r>
        <w:r>
          <w:rPr>
            <w:rStyle w:val="Hyperlink"/>
            <w:i/>
            <w:iCs/>
            <w:szCs w:val="15"/>
          </w:rPr>
          <w:t>–</w:t>
        </w:r>
        <w:r w:rsidRPr="004A1190">
          <w:rPr>
            <w:rStyle w:val="Hyperlink"/>
            <w:i/>
            <w:iCs/>
            <w:szCs w:val="15"/>
          </w:rPr>
          <w:t xml:space="preserve">24 – </w:t>
        </w:r>
        <w:r>
          <w:rPr>
            <w:rStyle w:val="Hyperlink"/>
            <w:i/>
            <w:iCs/>
            <w:szCs w:val="15"/>
          </w:rPr>
          <w:t xml:space="preserve">Budget </w:t>
        </w:r>
        <w:r w:rsidRPr="004A1190">
          <w:rPr>
            <w:rStyle w:val="Hyperlink"/>
            <w:i/>
            <w:iCs/>
            <w:szCs w:val="15"/>
          </w:rPr>
          <w:t xml:space="preserve"> Paper No. 4</w:t>
        </w:r>
      </w:hyperlink>
      <w:r w:rsidRPr="004A1190">
        <w:rPr>
          <w:szCs w:val="15"/>
        </w:rPr>
        <w:t xml:space="preserve">, 2023, p. </w:t>
      </w:r>
      <w:r>
        <w:rPr>
          <w:szCs w:val="15"/>
        </w:rPr>
        <w:t>5</w:t>
      </w:r>
      <w:r w:rsidRPr="004A1190">
        <w:rPr>
          <w:szCs w:val="15"/>
        </w:rPr>
        <w:t xml:space="preserve">, accessed </w:t>
      </w:r>
      <w:r>
        <w:rPr>
          <w:szCs w:val="15"/>
        </w:rPr>
        <w:t>27 July 2023</w:t>
      </w:r>
      <w:r w:rsidRPr="004A1190">
        <w:rPr>
          <w:szCs w:val="15"/>
        </w:rPr>
        <w:t xml:space="preserve"> (</w:t>
      </w:r>
      <w:hyperlink r:id="rId31" w:history="1">
        <w:r w:rsidRPr="004A1190">
          <w:rPr>
            <w:rStyle w:val="Hyperlink"/>
            <w:szCs w:val="15"/>
          </w:rPr>
          <w:t>https://s3.ap-southeast-2.amazonaws.com/</w:t>
        </w:r>
        <w:r>
          <w:rPr>
            <w:rStyle w:val="Hyperlink"/>
            <w:szCs w:val="15"/>
          </w:rPr>
          <w:t xml:space="preserve">Budget </w:t>
        </w:r>
        <w:r w:rsidRPr="004A1190">
          <w:rPr>
            <w:rStyle w:val="Hyperlink"/>
            <w:szCs w:val="15"/>
          </w:rPr>
          <w:t>files202324.</w:t>
        </w:r>
        <w:r>
          <w:rPr>
            <w:rStyle w:val="Hyperlink"/>
            <w:szCs w:val="15"/>
          </w:rPr>
          <w:t xml:space="preserve">Budget </w:t>
        </w:r>
        <w:r w:rsidRPr="004A1190">
          <w:rPr>
            <w:rStyle w:val="Hyperlink"/>
            <w:szCs w:val="15"/>
          </w:rPr>
          <w:t>.vic.gov.au/2023</w:t>
        </w:r>
        <w:r>
          <w:rPr>
            <w:rStyle w:val="Hyperlink"/>
            <w:szCs w:val="15"/>
          </w:rPr>
          <w:t>–</w:t>
        </w:r>
        <w:r w:rsidRPr="004A1190">
          <w:rPr>
            <w:rStyle w:val="Hyperlink"/>
            <w:szCs w:val="15"/>
          </w:rPr>
          <w:t>24+State+</w:t>
        </w:r>
        <w:r>
          <w:rPr>
            <w:rStyle w:val="Hyperlink"/>
            <w:szCs w:val="15"/>
          </w:rPr>
          <w:t xml:space="preserve">Budget </w:t>
        </w:r>
        <w:r w:rsidRPr="004A1190">
          <w:rPr>
            <w:rStyle w:val="Hyperlink"/>
            <w:szCs w:val="15"/>
          </w:rPr>
          <w:t>+-+State+Capital+Program.pdf</w:t>
        </w:r>
      </w:hyperlink>
      <w:r w:rsidRPr="004A1190">
        <w:rPr>
          <w:szCs w:val="15"/>
        </w:rPr>
        <w:t>)</w:t>
      </w:r>
      <w:r>
        <w:rPr>
          <w:szCs w:val="15"/>
        </w:rPr>
        <w:t>.</w:t>
      </w:r>
    </w:p>
  </w:endnote>
  <w:endnote w:id="25">
    <w:p w14:paraId="64E420C5" w14:textId="77777777" w:rsidR="00373ED9" w:rsidRPr="00CB31B1" w:rsidRDefault="00373ED9" w:rsidP="00373ED9">
      <w:pPr>
        <w:spacing w:before="84" w:after="84" w:line="190" w:lineRule="atLeast"/>
        <w:ind w:left="340" w:hanging="340"/>
        <w:rPr>
          <w:rFonts w:cstheme="minorHAnsi"/>
          <w:sz w:val="15"/>
          <w:szCs w:val="15"/>
        </w:rPr>
      </w:pPr>
      <w:r w:rsidRPr="00CB31B1">
        <w:rPr>
          <w:rStyle w:val="EndnoteReference"/>
          <w:rFonts w:cstheme="minorHAnsi"/>
          <w:sz w:val="15"/>
          <w:szCs w:val="15"/>
        </w:rPr>
        <w:endnoteRef/>
      </w:r>
      <w:r w:rsidRPr="00CB31B1">
        <w:rPr>
          <w:rFonts w:cstheme="minorHAnsi"/>
          <w:sz w:val="15"/>
          <w:szCs w:val="15"/>
        </w:rPr>
        <w:t xml:space="preserve"> </w:t>
      </w:r>
      <w:r w:rsidRPr="00CB31B1">
        <w:rPr>
          <w:rFonts w:eastAsiaTheme="minorHAnsi" w:cstheme="minorHAnsi"/>
          <w:sz w:val="15"/>
          <w:szCs w:val="15"/>
        </w:rPr>
        <w:t>Department of Treasury and Finance,</w:t>
      </w:r>
      <w:r>
        <w:rPr>
          <w:rFonts w:eastAsiaTheme="minorHAnsi" w:cstheme="minorHAnsi"/>
          <w:sz w:val="15"/>
          <w:szCs w:val="15"/>
        </w:rPr>
        <w:t xml:space="preserve"> </w:t>
      </w:r>
      <w:hyperlink r:id="rId32" w:history="1">
        <w:r w:rsidRPr="00EF14EE">
          <w:rPr>
            <w:rStyle w:val="Hyperlink"/>
            <w:rFonts w:eastAsiaTheme="minorHAnsi" w:cstheme="minorHAnsi"/>
            <w:i/>
            <w:iCs/>
            <w:sz w:val="15"/>
            <w:szCs w:val="15"/>
          </w:rPr>
          <w:t>2022 Victorian Economic and Fiscal Update</w:t>
        </w:r>
      </w:hyperlink>
      <w:r>
        <w:rPr>
          <w:rFonts w:eastAsiaTheme="minorHAnsi" w:cstheme="minorHAnsi"/>
          <w:sz w:val="15"/>
          <w:szCs w:val="15"/>
        </w:rPr>
        <w:t>, 2022, p. 94, accessed 27 July 2023.</w:t>
      </w:r>
    </w:p>
  </w:endnote>
  <w:endnote w:id="26">
    <w:p w14:paraId="1ECA04BA" w14:textId="6AEF5FD6" w:rsidR="00373ED9" w:rsidRDefault="00373ED9" w:rsidP="00373ED9">
      <w:pPr>
        <w:pStyle w:val="EndnoteText"/>
      </w:pPr>
      <w:r>
        <w:rPr>
          <w:rStyle w:val="EndnoteReference"/>
        </w:rPr>
        <w:endnoteRef/>
      </w:r>
      <w:r>
        <w:t xml:space="preserve"> </w:t>
      </w:r>
      <w:r w:rsidRPr="00EC4C3F">
        <w:t xml:space="preserve">Infrastructure Victoria, </w:t>
      </w:r>
      <w:hyperlink r:id="rId33" w:history="1">
        <w:r w:rsidRPr="002811F2">
          <w:rPr>
            <w:rStyle w:val="Hyperlink"/>
            <w:i/>
            <w:iCs/>
            <w:szCs w:val="15"/>
          </w:rPr>
          <w:t>Victoria’s infrastructure strategy 2021</w:t>
        </w:r>
        <w:r>
          <w:rPr>
            <w:rStyle w:val="Hyperlink"/>
            <w:i/>
            <w:iCs/>
            <w:szCs w:val="15"/>
          </w:rPr>
          <w:t>–</w:t>
        </w:r>
        <w:r w:rsidRPr="002811F2">
          <w:rPr>
            <w:rStyle w:val="Hyperlink"/>
            <w:i/>
            <w:iCs/>
            <w:szCs w:val="15"/>
          </w:rPr>
          <w:t>2051</w:t>
        </w:r>
      </w:hyperlink>
      <w:r w:rsidRPr="00EC4C3F">
        <w:rPr>
          <w:i/>
          <w:iCs/>
        </w:rPr>
        <w:t>,</w:t>
      </w:r>
      <w:r w:rsidRPr="00EC4C3F">
        <w:t xml:space="preserve"> 2021, p. 1</w:t>
      </w:r>
      <w:r>
        <w:t>49</w:t>
      </w:r>
      <w:r w:rsidRPr="00EC4C3F">
        <w:t>,</w:t>
      </w:r>
      <w:r>
        <w:t xml:space="preserve"> accessed 7 August 2023.</w:t>
      </w:r>
    </w:p>
  </w:endnote>
  <w:endnote w:id="27">
    <w:p w14:paraId="04EA37A9" w14:textId="77777777" w:rsidR="00F530C0" w:rsidRPr="00CB31B1" w:rsidRDefault="00F530C0" w:rsidP="00F530C0">
      <w:pPr>
        <w:spacing w:before="84" w:after="84" w:line="190" w:lineRule="atLeast"/>
        <w:ind w:left="340" w:hanging="340"/>
        <w:rPr>
          <w:rFonts w:cstheme="minorHAnsi"/>
          <w:sz w:val="15"/>
          <w:szCs w:val="15"/>
        </w:rPr>
      </w:pPr>
      <w:r w:rsidRPr="00CB31B1">
        <w:rPr>
          <w:rStyle w:val="EndnoteReference"/>
          <w:rFonts w:cstheme="minorHAnsi"/>
          <w:sz w:val="15"/>
          <w:szCs w:val="15"/>
        </w:rPr>
        <w:endnoteRef/>
      </w:r>
      <w:r w:rsidRPr="00CB31B1">
        <w:rPr>
          <w:rFonts w:cstheme="minorHAnsi"/>
          <w:sz w:val="15"/>
          <w:szCs w:val="15"/>
        </w:rPr>
        <w:t xml:space="preserve"> </w:t>
      </w:r>
      <w:r w:rsidRPr="004A1190">
        <w:rPr>
          <w:sz w:val="15"/>
          <w:szCs w:val="15"/>
        </w:rPr>
        <w:t xml:space="preserve">Department of Treasury and Finance, </w:t>
      </w:r>
      <w:hyperlink r:id="rId34" w:anchor="budget-paper-3-service-delivery" w:history="1">
        <w:r w:rsidRPr="004A1190">
          <w:rPr>
            <w:rStyle w:val="Hyperlink"/>
            <w:i/>
            <w:iCs/>
            <w:sz w:val="15"/>
            <w:szCs w:val="15"/>
          </w:rPr>
          <w:t>Victorian Budget 2023</w:t>
        </w:r>
        <w:r>
          <w:rPr>
            <w:rStyle w:val="Hyperlink"/>
            <w:i/>
            <w:iCs/>
            <w:sz w:val="15"/>
            <w:szCs w:val="15"/>
          </w:rPr>
          <w:t>–</w:t>
        </w:r>
        <w:r w:rsidRPr="004A1190">
          <w:rPr>
            <w:rStyle w:val="Hyperlink"/>
            <w:i/>
            <w:iCs/>
            <w:sz w:val="15"/>
            <w:szCs w:val="15"/>
          </w:rPr>
          <w:t>24 – Budget Paper No. 3</w:t>
        </w:r>
      </w:hyperlink>
      <w:r w:rsidRPr="004A1190">
        <w:rPr>
          <w:sz w:val="15"/>
          <w:szCs w:val="15"/>
        </w:rPr>
        <w:t>, 2023, p</w:t>
      </w:r>
      <w:r>
        <w:rPr>
          <w:sz w:val="15"/>
          <w:szCs w:val="15"/>
        </w:rPr>
        <w:t>p. 66, 69</w:t>
      </w:r>
      <w:r w:rsidRPr="004A1190">
        <w:rPr>
          <w:sz w:val="15"/>
          <w:szCs w:val="15"/>
        </w:rPr>
        <w:t xml:space="preserve">, accessed </w:t>
      </w:r>
      <w:r>
        <w:rPr>
          <w:sz w:val="15"/>
          <w:szCs w:val="15"/>
        </w:rPr>
        <w:t xml:space="preserve"> 2 August 2023 </w:t>
      </w:r>
      <w:r w:rsidRPr="004A1190">
        <w:rPr>
          <w:sz w:val="15"/>
          <w:szCs w:val="15"/>
        </w:rPr>
        <w:t>(</w:t>
      </w:r>
      <w:hyperlink r:id="rId35" w:history="1">
        <w:r w:rsidRPr="004A1190">
          <w:rPr>
            <w:rStyle w:val="Hyperlink"/>
            <w:sz w:val="15"/>
            <w:szCs w:val="15"/>
          </w:rPr>
          <w:t>https://s3.ap-southeast-2.amazonaws.com/budgetfiles202324.budget.vic.gov.au/2023</w:t>
        </w:r>
        <w:r>
          <w:rPr>
            <w:rStyle w:val="Hyperlink"/>
            <w:sz w:val="15"/>
            <w:szCs w:val="15"/>
          </w:rPr>
          <w:t>–</w:t>
        </w:r>
        <w:r w:rsidRPr="004A1190">
          <w:rPr>
            <w:rStyle w:val="Hyperlink"/>
            <w:sz w:val="15"/>
            <w:szCs w:val="15"/>
          </w:rPr>
          <w:t>24+State+Budget+-+Service+Delivery.pdf</w:t>
        </w:r>
      </w:hyperlink>
      <w:r w:rsidRPr="004A1190">
        <w:rPr>
          <w:sz w:val="15"/>
          <w:szCs w:val="15"/>
        </w:rPr>
        <w:t>)</w:t>
      </w:r>
      <w:r>
        <w:rPr>
          <w:sz w:val="15"/>
          <w:szCs w:val="15"/>
        </w:rPr>
        <w:t>.</w:t>
      </w:r>
    </w:p>
  </w:endnote>
  <w:endnote w:id="28">
    <w:p w14:paraId="2865F2E3" w14:textId="77777777" w:rsidR="00F530C0" w:rsidRPr="00CB31B1" w:rsidRDefault="00F530C0" w:rsidP="00F530C0">
      <w:pPr>
        <w:pStyle w:val="EndnoteText"/>
        <w:rPr>
          <w:rFonts w:cstheme="minorHAnsi"/>
          <w:szCs w:val="15"/>
        </w:rPr>
      </w:pPr>
      <w:r w:rsidRPr="00CB31B1">
        <w:rPr>
          <w:rStyle w:val="EndnoteReference"/>
          <w:rFonts w:cstheme="minorHAnsi"/>
          <w:szCs w:val="15"/>
        </w:rPr>
        <w:endnoteRef/>
      </w:r>
      <w:r w:rsidRPr="00CB31B1">
        <w:rPr>
          <w:rFonts w:cstheme="minorHAnsi"/>
          <w:szCs w:val="15"/>
        </w:rPr>
        <w:t xml:space="preserve"> </w:t>
      </w:r>
      <w:r w:rsidRPr="004A1190">
        <w:rPr>
          <w:szCs w:val="15"/>
        </w:rPr>
        <w:t xml:space="preserve">Department of Treasury and Finance, </w:t>
      </w:r>
      <w:hyperlink r:id="rId36" w:anchor="budget-paper-3-service-delivery" w:history="1">
        <w:r w:rsidRPr="004A1190">
          <w:rPr>
            <w:rStyle w:val="Hyperlink"/>
            <w:i/>
            <w:iCs/>
            <w:szCs w:val="15"/>
          </w:rPr>
          <w:t>Victorian Budget 2023</w:t>
        </w:r>
        <w:r>
          <w:rPr>
            <w:rStyle w:val="Hyperlink"/>
            <w:i/>
            <w:iCs/>
            <w:szCs w:val="15"/>
          </w:rPr>
          <w:t>–</w:t>
        </w:r>
        <w:r w:rsidRPr="004A1190">
          <w:rPr>
            <w:rStyle w:val="Hyperlink"/>
            <w:i/>
            <w:iCs/>
            <w:szCs w:val="15"/>
          </w:rPr>
          <w:t>24 – Budget Paper No. 3</w:t>
        </w:r>
      </w:hyperlink>
      <w:r w:rsidRPr="004A1190">
        <w:rPr>
          <w:szCs w:val="15"/>
        </w:rPr>
        <w:t>, 2023, p</w:t>
      </w:r>
      <w:r>
        <w:rPr>
          <w:szCs w:val="15"/>
        </w:rPr>
        <w:t>p. 66, 67</w:t>
      </w:r>
      <w:r w:rsidRPr="004A1190">
        <w:rPr>
          <w:szCs w:val="15"/>
        </w:rPr>
        <w:t xml:space="preserve">, accessed </w:t>
      </w:r>
      <w:r>
        <w:rPr>
          <w:szCs w:val="15"/>
        </w:rPr>
        <w:t xml:space="preserve"> 2 August 2023 </w:t>
      </w:r>
      <w:r w:rsidRPr="004A1190">
        <w:rPr>
          <w:szCs w:val="15"/>
        </w:rPr>
        <w:t>(</w:t>
      </w:r>
      <w:hyperlink r:id="rId37" w:history="1">
        <w:r w:rsidRPr="004A1190">
          <w:rPr>
            <w:rStyle w:val="Hyperlink"/>
            <w:szCs w:val="15"/>
          </w:rPr>
          <w:t>https://s3.ap-southeast-2.amazonaws.com/budgetfiles202324.budget.vic.gov.au/2023</w:t>
        </w:r>
        <w:r>
          <w:rPr>
            <w:rStyle w:val="Hyperlink"/>
            <w:szCs w:val="15"/>
          </w:rPr>
          <w:t>–</w:t>
        </w:r>
        <w:r w:rsidRPr="004A1190">
          <w:rPr>
            <w:rStyle w:val="Hyperlink"/>
            <w:szCs w:val="15"/>
          </w:rPr>
          <w:t>24+State+Budget+-+Service+Delivery.pdf</w:t>
        </w:r>
      </w:hyperlink>
      <w:r w:rsidRPr="004A1190">
        <w:rPr>
          <w:szCs w:val="15"/>
        </w:rPr>
        <w:t>)</w:t>
      </w:r>
      <w:r>
        <w:rPr>
          <w:szCs w:val="15"/>
        </w:rPr>
        <w:t>.</w:t>
      </w:r>
    </w:p>
  </w:endnote>
  <w:endnote w:id="29">
    <w:p w14:paraId="6A23B38C" w14:textId="77777777" w:rsidR="00F530C0" w:rsidRPr="00CB31B1" w:rsidRDefault="00F530C0" w:rsidP="00F530C0">
      <w:pPr>
        <w:pStyle w:val="EndnoteText"/>
        <w:rPr>
          <w:rFonts w:cstheme="minorHAnsi"/>
          <w:szCs w:val="15"/>
        </w:rPr>
      </w:pPr>
      <w:r w:rsidRPr="00CB31B1">
        <w:rPr>
          <w:rStyle w:val="EndnoteReference"/>
          <w:rFonts w:cstheme="minorHAnsi"/>
          <w:szCs w:val="15"/>
        </w:rPr>
        <w:endnoteRef/>
      </w:r>
      <w:r w:rsidRPr="00CB31B1">
        <w:rPr>
          <w:rFonts w:cstheme="minorHAnsi"/>
          <w:szCs w:val="15"/>
        </w:rPr>
        <w:t xml:space="preserve"> Monash Health, </w:t>
      </w:r>
      <w:hyperlink r:id="rId38" w:history="1">
        <w:r w:rsidRPr="00CB31B1">
          <w:rPr>
            <w:rStyle w:val="Hyperlink"/>
            <w:rFonts w:eastAsiaTheme="minorHAnsi" w:cstheme="minorHAnsi"/>
            <w:i/>
            <w:iCs/>
            <w:szCs w:val="15"/>
            <w:lang w:eastAsia="en-US"/>
          </w:rPr>
          <w:t>Monash Health’s Victorian Heart Hospital officially launches</w:t>
        </w:r>
      </w:hyperlink>
      <w:r w:rsidRPr="00CB31B1">
        <w:rPr>
          <w:rFonts w:eastAsiaTheme="minorHAnsi" w:cstheme="minorHAnsi"/>
          <w:i/>
          <w:iCs/>
          <w:szCs w:val="15"/>
          <w:lang w:eastAsia="en-US"/>
        </w:rPr>
        <w:t xml:space="preserve"> </w:t>
      </w:r>
      <w:r w:rsidRPr="00CB31B1">
        <w:rPr>
          <w:rFonts w:eastAsiaTheme="minorHAnsi" w:cstheme="minorHAnsi"/>
          <w:szCs w:val="15"/>
          <w:lang w:eastAsia="en-US"/>
        </w:rPr>
        <w:t xml:space="preserve">(media release), 19 February 2023, accessed 10 June 2023. </w:t>
      </w:r>
    </w:p>
  </w:endnote>
  <w:endnote w:id="30">
    <w:p w14:paraId="47242145" w14:textId="08942954" w:rsidR="00373ED9" w:rsidRDefault="00373ED9" w:rsidP="00373ED9">
      <w:pPr>
        <w:pStyle w:val="EndnoteText"/>
      </w:pPr>
      <w:r>
        <w:rPr>
          <w:rStyle w:val="EndnoteReference"/>
        </w:rPr>
        <w:endnoteRef/>
      </w:r>
      <w:r>
        <w:t xml:space="preserve"> </w:t>
      </w:r>
      <w:r w:rsidRPr="00CB31B1">
        <w:rPr>
          <w:rFonts w:cstheme="minorHAnsi"/>
          <w:szCs w:val="15"/>
        </w:rPr>
        <w:t xml:space="preserve">Infrastructure Victoria, </w:t>
      </w:r>
      <w:hyperlink r:id="rId39" w:history="1">
        <w:r w:rsidRPr="00CB31B1">
          <w:rPr>
            <w:rStyle w:val="Hyperlink"/>
            <w:rFonts w:eastAsiaTheme="majorEastAsia" w:cstheme="minorHAnsi"/>
            <w:i/>
            <w:iCs/>
            <w:szCs w:val="15"/>
          </w:rPr>
          <w:t>Victoria’s infrastructure strategy 2021</w:t>
        </w:r>
        <w:r>
          <w:rPr>
            <w:rStyle w:val="Hyperlink"/>
            <w:rFonts w:eastAsiaTheme="majorEastAsia" w:cstheme="minorHAnsi"/>
            <w:i/>
            <w:iCs/>
            <w:szCs w:val="15"/>
          </w:rPr>
          <w:t>–</w:t>
        </w:r>
        <w:r w:rsidRPr="00CB31B1">
          <w:rPr>
            <w:rStyle w:val="Hyperlink"/>
            <w:rFonts w:eastAsiaTheme="majorEastAsia" w:cstheme="minorHAnsi"/>
            <w:i/>
            <w:iCs/>
            <w:szCs w:val="15"/>
          </w:rPr>
          <w:t>2051</w:t>
        </w:r>
      </w:hyperlink>
      <w:r w:rsidRPr="00CB31B1">
        <w:rPr>
          <w:rFonts w:cstheme="minorHAnsi"/>
          <w:i/>
          <w:iCs/>
          <w:szCs w:val="15"/>
        </w:rPr>
        <w:t>,</w:t>
      </w:r>
      <w:r w:rsidRPr="00CB31B1">
        <w:rPr>
          <w:rFonts w:cstheme="minorHAnsi"/>
          <w:szCs w:val="15"/>
        </w:rPr>
        <w:t xml:space="preserve"> 2021, p. </w:t>
      </w:r>
      <w:r>
        <w:rPr>
          <w:rFonts w:cstheme="minorHAnsi"/>
          <w:szCs w:val="15"/>
        </w:rPr>
        <w:t>193</w:t>
      </w:r>
      <w:r w:rsidRPr="00CB31B1">
        <w:rPr>
          <w:rFonts w:cstheme="minorHAnsi"/>
          <w:szCs w:val="15"/>
        </w:rPr>
        <w:t xml:space="preserve">, accessed </w:t>
      </w:r>
      <w:r>
        <w:rPr>
          <w:rFonts w:cstheme="minorHAnsi"/>
          <w:szCs w:val="15"/>
        </w:rPr>
        <w:t>17 August</w:t>
      </w:r>
      <w:r w:rsidRPr="00CB31B1">
        <w:rPr>
          <w:rFonts w:cstheme="minorHAnsi"/>
          <w:szCs w:val="15"/>
        </w:rPr>
        <w:t xml:space="preserve"> 2023.</w:t>
      </w:r>
    </w:p>
  </w:endnote>
  <w:endnote w:id="31">
    <w:p w14:paraId="501D3BC4" w14:textId="77777777" w:rsidR="00373ED9" w:rsidRPr="00CB31B1" w:rsidRDefault="00373ED9" w:rsidP="00373ED9">
      <w:pPr>
        <w:pStyle w:val="EndnoteText"/>
        <w:rPr>
          <w:rFonts w:cstheme="minorHAnsi"/>
          <w:szCs w:val="15"/>
        </w:rPr>
      </w:pPr>
      <w:r>
        <w:rPr>
          <w:rStyle w:val="EndnoteReference"/>
        </w:rPr>
        <w:endnoteRef/>
      </w:r>
      <w:r>
        <w:t xml:space="preserve"> </w:t>
      </w:r>
      <w:r w:rsidRPr="00CB31B1">
        <w:rPr>
          <w:rFonts w:eastAsiaTheme="minorHAnsi" w:cstheme="minorHAnsi"/>
          <w:szCs w:val="15"/>
          <w:lang w:eastAsia="en-US"/>
        </w:rPr>
        <w:t xml:space="preserve">Department of Treasury and Finance, </w:t>
      </w:r>
      <w:hyperlink r:id="rId40" w:anchor="budget-paper-4-state-capital-program" w:history="1">
        <w:r w:rsidRPr="00CB31B1">
          <w:rPr>
            <w:rFonts w:eastAsiaTheme="minorHAnsi" w:cstheme="minorHAnsi"/>
            <w:i/>
            <w:iCs/>
            <w:color w:val="0000FF" w:themeColor="hyperlink"/>
            <w:szCs w:val="15"/>
            <w:u w:val="single"/>
            <w:lang w:eastAsia="en-US"/>
          </w:rPr>
          <w:t xml:space="preserve">Victorian </w:t>
        </w:r>
        <w:r>
          <w:rPr>
            <w:rFonts w:eastAsiaTheme="minorHAnsi" w:cstheme="minorHAnsi"/>
            <w:i/>
            <w:iCs/>
            <w:color w:val="0000FF" w:themeColor="hyperlink"/>
            <w:szCs w:val="15"/>
            <w:u w:val="single"/>
            <w:lang w:eastAsia="en-US"/>
          </w:rPr>
          <w:t xml:space="preserve">Budget </w:t>
        </w:r>
        <w:r w:rsidRPr="00CB31B1">
          <w:rPr>
            <w:rFonts w:eastAsiaTheme="minorHAnsi" w:cstheme="minorHAnsi"/>
            <w:i/>
            <w:iCs/>
            <w:color w:val="0000FF" w:themeColor="hyperlink"/>
            <w:szCs w:val="15"/>
            <w:u w:val="single"/>
            <w:lang w:eastAsia="en-US"/>
          </w:rPr>
          <w:t xml:space="preserve"> 2023</w:t>
        </w:r>
        <w:r>
          <w:rPr>
            <w:rFonts w:eastAsiaTheme="minorHAnsi" w:cstheme="minorHAnsi"/>
            <w:i/>
            <w:iCs/>
            <w:color w:val="0000FF" w:themeColor="hyperlink"/>
            <w:szCs w:val="15"/>
            <w:u w:val="single"/>
            <w:lang w:eastAsia="en-US"/>
          </w:rPr>
          <w:t>–</w:t>
        </w:r>
        <w:r w:rsidRPr="00CB31B1">
          <w:rPr>
            <w:rFonts w:eastAsiaTheme="minorHAnsi" w:cstheme="minorHAnsi"/>
            <w:i/>
            <w:iCs/>
            <w:color w:val="0000FF" w:themeColor="hyperlink"/>
            <w:szCs w:val="15"/>
            <w:u w:val="single"/>
            <w:lang w:eastAsia="en-US"/>
          </w:rPr>
          <w:t xml:space="preserve">24 – </w:t>
        </w:r>
        <w:r>
          <w:rPr>
            <w:rFonts w:eastAsiaTheme="minorHAnsi" w:cstheme="minorHAnsi"/>
            <w:i/>
            <w:iCs/>
            <w:color w:val="0000FF" w:themeColor="hyperlink"/>
            <w:szCs w:val="15"/>
            <w:u w:val="single"/>
            <w:lang w:eastAsia="en-US"/>
          </w:rPr>
          <w:t xml:space="preserve">Budget </w:t>
        </w:r>
        <w:r w:rsidRPr="00CB31B1">
          <w:rPr>
            <w:rFonts w:eastAsiaTheme="minorHAnsi" w:cstheme="minorHAnsi"/>
            <w:i/>
            <w:iCs/>
            <w:color w:val="0000FF" w:themeColor="hyperlink"/>
            <w:szCs w:val="15"/>
            <w:u w:val="single"/>
            <w:lang w:eastAsia="en-US"/>
          </w:rPr>
          <w:t xml:space="preserve"> Paper No. 4</w:t>
        </w:r>
      </w:hyperlink>
      <w:r w:rsidRPr="00CB31B1">
        <w:rPr>
          <w:rFonts w:eastAsiaTheme="minorHAnsi" w:cstheme="minorHAnsi"/>
          <w:szCs w:val="15"/>
          <w:lang w:eastAsia="en-US"/>
        </w:rPr>
        <w:t>, 2023, p.</w:t>
      </w:r>
      <w:r>
        <w:rPr>
          <w:rFonts w:eastAsiaTheme="minorHAnsi" w:cstheme="minorHAnsi"/>
          <w:szCs w:val="15"/>
          <w:lang w:eastAsia="en-US"/>
        </w:rPr>
        <w:t xml:space="preserve"> 6</w:t>
      </w:r>
      <w:r w:rsidRPr="00CB31B1">
        <w:rPr>
          <w:rFonts w:eastAsiaTheme="minorHAnsi" w:cstheme="minorHAnsi"/>
          <w:szCs w:val="15"/>
          <w:lang w:eastAsia="en-US"/>
        </w:rPr>
        <w:t>, accessed 1 June 2023. (</w:t>
      </w:r>
      <w:hyperlink r:id="rId41" w:history="1">
        <w:r w:rsidRPr="00CB31B1">
          <w:rPr>
            <w:rFonts w:eastAsiaTheme="minorHAnsi" w:cstheme="minorHAnsi"/>
            <w:color w:val="0000FF" w:themeColor="hyperlink"/>
            <w:szCs w:val="15"/>
            <w:u w:val="single"/>
            <w:lang w:eastAsia="en-US"/>
          </w:rPr>
          <w:t>https://s3.ap-southeast-2.amazonaws.com/</w:t>
        </w:r>
        <w:r>
          <w:rPr>
            <w:rFonts w:eastAsiaTheme="minorHAnsi" w:cstheme="minorHAnsi"/>
            <w:color w:val="0000FF" w:themeColor="hyperlink"/>
            <w:szCs w:val="15"/>
            <w:u w:val="single"/>
            <w:lang w:eastAsia="en-US"/>
          </w:rPr>
          <w:t xml:space="preserve">Budget </w:t>
        </w:r>
        <w:r w:rsidRPr="00CB31B1">
          <w:rPr>
            <w:rFonts w:eastAsiaTheme="minorHAnsi" w:cstheme="minorHAnsi"/>
            <w:color w:val="0000FF" w:themeColor="hyperlink"/>
            <w:szCs w:val="15"/>
            <w:u w:val="single"/>
            <w:lang w:eastAsia="en-US"/>
          </w:rPr>
          <w:t>files202324.</w:t>
        </w:r>
        <w:r>
          <w:rPr>
            <w:rFonts w:eastAsiaTheme="minorHAnsi" w:cstheme="minorHAnsi"/>
            <w:color w:val="0000FF" w:themeColor="hyperlink"/>
            <w:szCs w:val="15"/>
            <w:u w:val="single"/>
            <w:lang w:eastAsia="en-US"/>
          </w:rPr>
          <w:t xml:space="preserve">Budget </w:t>
        </w:r>
        <w:r w:rsidRPr="00CB31B1">
          <w:rPr>
            <w:rFonts w:eastAsiaTheme="minorHAnsi" w:cstheme="minorHAnsi"/>
            <w:color w:val="0000FF" w:themeColor="hyperlink"/>
            <w:szCs w:val="15"/>
            <w:u w:val="single"/>
            <w:lang w:eastAsia="en-US"/>
          </w:rPr>
          <w:t>.vic.gov.au/2023</w:t>
        </w:r>
        <w:r>
          <w:rPr>
            <w:rFonts w:eastAsiaTheme="minorHAnsi" w:cstheme="minorHAnsi"/>
            <w:color w:val="0000FF" w:themeColor="hyperlink"/>
            <w:szCs w:val="15"/>
            <w:u w:val="single"/>
            <w:lang w:eastAsia="en-US"/>
          </w:rPr>
          <w:t>–</w:t>
        </w:r>
        <w:r w:rsidRPr="00CB31B1">
          <w:rPr>
            <w:rFonts w:eastAsiaTheme="minorHAnsi" w:cstheme="minorHAnsi"/>
            <w:color w:val="0000FF" w:themeColor="hyperlink"/>
            <w:szCs w:val="15"/>
            <w:u w:val="single"/>
            <w:lang w:eastAsia="en-US"/>
          </w:rPr>
          <w:t>24+State+</w:t>
        </w:r>
        <w:r>
          <w:rPr>
            <w:rFonts w:eastAsiaTheme="minorHAnsi" w:cstheme="minorHAnsi"/>
            <w:color w:val="0000FF" w:themeColor="hyperlink"/>
            <w:szCs w:val="15"/>
            <w:u w:val="single"/>
            <w:lang w:eastAsia="en-US"/>
          </w:rPr>
          <w:t xml:space="preserve">Budget </w:t>
        </w:r>
        <w:r w:rsidRPr="00CB31B1">
          <w:rPr>
            <w:rFonts w:eastAsiaTheme="minorHAnsi" w:cstheme="minorHAnsi"/>
            <w:color w:val="0000FF" w:themeColor="hyperlink"/>
            <w:szCs w:val="15"/>
            <w:u w:val="single"/>
            <w:lang w:eastAsia="en-US"/>
          </w:rPr>
          <w:t>+-+State+Capital+Program.pdf</w:t>
        </w:r>
      </w:hyperlink>
      <w:r w:rsidRPr="00CB31B1">
        <w:rPr>
          <w:rFonts w:eastAsiaTheme="minorHAnsi" w:cstheme="minorHAnsi"/>
          <w:szCs w:val="15"/>
          <w:lang w:eastAsia="en-US"/>
        </w:rPr>
        <w:t>)</w:t>
      </w:r>
      <w:r>
        <w:rPr>
          <w:rFonts w:eastAsiaTheme="minorHAnsi" w:cstheme="minorHAnsi"/>
          <w:szCs w:val="15"/>
          <w:lang w:eastAsia="en-US"/>
        </w:rPr>
        <w:t>.</w:t>
      </w:r>
    </w:p>
  </w:endnote>
  <w:endnote w:id="32">
    <w:p w14:paraId="00DAC45F" w14:textId="77777777" w:rsidR="00373ED9" w:rsidRDefault="00373ED9" w:rsidP="00373ED9">
      <w:pPr>
        <w:pStyle w:val="EndnoteText"/>
      </w:pPr>
      <w:r>
        <w:rPr>
          <w:rStyle w:val="EndnoteReference"/>
        </w:rPr>
        <w:endnoteRef/>
      </w:r>
      <w:r>
        <w:t xml:space="preserve"> Victorian Government, </w:t>
      </w:r>
      <w:hyperlink r:id="rId42" w:history="1">
        <w:r w:rsidRPr="00EF14EE">
          <w:rPr>
            <w:rStyle w:val="Hyperlink"/>
            <w:i/>
            <w:iCs/>
          </w:rPr>
          <w:t>The Best Start for Victoria</w:t>
        </w:r>
      </w:hyperlink>
      <w:r>
        <w:t xml:space="preserve"> (website), n.d., accessed 24 July 2023.</w:t>
      </w:r>
    </w:p>
  </w:endnote>
  <w:endnote w:id="33">
    <w:p w14:paraId="63AC2E7A" w14:textId="77777777" w:rsidR="00373ED9" w:rsidRDefault="00373ED9" w:rsidP="00373ED9">
      <w:pPr>
        <w:pStyle w:val="EndnoteText"/>
      </w:pPr>
      <w:r>
        <w:rPr>
          <w:rStyle w:val="EndnoteReference"/>
        </w:rPr>
        <w:endnoteRef/>
      </w:r>
      <w:r>
        <w:t xml:space="preserve"> This figure includes asset funding announced for </w:t>
      </w:r>
      <w:r w:rsidRPr="00CE5E4B">
        <w:rPr>
          <w:i/>
          <w:iCs/>
        </w:rPr>
        <w:t>Best Start, Best Life</w:t>
      </w:r>
      <w:r>
        <w:t xml:space="preserve">, </w:t>
      </w:r>
      <w:r w:rsidRPr="00CE5E4B">
        <w:rPr>
          <w:i/>
          <w:iCs/>
        </w:rPr>
        <w:t>Best Start, Best Life: Infrastructure</w:t>
      </w:r>
      <w:r>
        <w:t xml:space="preserve"> and </w:t>
      </w:r>
      <w:r w:rsidRPr="00CE5E4B">
        <w:rPr>
          <w:i/>
          <w:iCs/>
        </w:rPr>
        <w:t>Three-Year-Old Kinder</w:t>
      </w:r>
      <w:r>
        <w:t xml:space="preserve">. </w:t>
      </w:r>
      <w:r w:rsidRPr="00CB31B1">
        <w:rPr>
          <w:rFonts w:cstheme="minorHAnsi"/>
          <w:szCs w:val="15"/>
        </w:rPr>
        <w:t>Department of Treasury and Finance,</w:t>
      </w:r>
      <w:r>
        <w:rPr>
          <w:rFonts w:cstheme="minorHAnsi"/>
          <w:szCs w:val="15"/>
        </w:rPr>
        <w:t xml:space="preserve"> </w:t>
      </w:r>
      <w:hyperlink r:id="rId43" w:history="1">
        <w:r w:rsidRPr="00EF14EE">
          <w:rPr>
            <w:rStyle w:val="Hyperlink"/>
            <w:rFonts w:cstheme="minorHAnsi"/>
            <w:i/>
            <w:iCs/>
            <w:szCs w:val="15"/>
          </w:rPr>
          <w:t>2022 Victorian Economic and Fiscal Update</w:t>
        </w:r>
      </w:hyperlink>
      <w:r>
        <w:rPr>
          <w:rFonts w:cstheme="minorHAnsi"/>
          <w:szCs w:val="15"/>
        </w:rPr>
        <w:t>, 2022, p. 82</w:t>
      </w:r>
      <w:r w:rsidRPr="004A1190">
        <w:rPr>
          <w:szCs w:val="15"/>
        </w:rPr>
        <w:t xml:space="preserve">, accessed </w:t>
      </w:r>
      <w:r>
        <w:rPr>
          <w:szCs w:val="15"/>
        </w:rPr>
        <w:t xml:space="preserve">10 August 2023; </w:t>
      </w:r>
      <w:r w:rsidRPr="00FC4EA2">
        <w:rPr>
          <w:szCs w:val="15"/>
        </w:rPr>
        <w:t xml:space="preserve">Department of Treasury and Finance, </w:t>
      </w:r>
      <w:hyperlink r:id="rId44" w:anchor="budget-paper-3-service-delivery" w:history="1">
        <w:r w:rsidRPr="004A1190">
          <w:rPr>
            <w:rStyle w:val="Hyperlink"/>
            <w:i/>
            <w:iCs/>
            <w:szCs w:val="15"/>
          </w:rPr>
          <w:t>Victorian Budget 2023</w:t>
        </w:r>
        <w:r>
          <w:rPr>
            <w:rStyle w:val="Hyperlink"/>
            <w:i/>
            <w:iCs/>
            <w:szCs w:val="15"/>
          </w:rPr>
          <w:t>–</w:t>
        </w:r>
        <w:r w:rsidRPr="004A1190">
          <w:rPr>
            <w:rStyle w:val="Hyperlink"/>
            <w:i/>
            <w:iCs/>
            <w:szCs w:val="15"/>
          </w:rPr>
          <w:t>24 – Budget Paper No. 3</w:t>
        </w:r>
      </w:hyperlink>
      <w:r w:rsidRPr="00FC4EA2">
        <w:rPr>
          <w:szCs w:val="15"/>
        </w:rPr>
        <w:t xml:space="preserve">, p. </w:t>
      </w:r>
      <w:r>
        <w:rPr>
          <w:szCs w:val="15"/>
        </w:rPr>
        <w:t>22, accessed 10 August 2023 (</w:t>
      </w:r>
      <w:hyperlink r:id="rId45" w:history="1">
        <w:r w:rsidRPr="008F6069">
          <w:rPr>
            <w:color w:val="0000FF" w:themeColor="hyperlink"/>
            <w:u w:val="single"/>
          </w:rPr>
          <w:t>https://s3.ap-southeast-2.amazonaws.com/</w:t>
        </w:r>
        <w:r>
          <w:rPr>
            <w:color w:val="0000FF" w:themeColor="hyperlink"/>
            <w:u w:val="single"/>
          </w:rPr>
          <w:t xml:space="preserve">Budget </w:t>
        </w:r>
        <w:r w:rsidRPr="008F6069">
          <w:rPr>
            <w:color w:val="0000FF" w:themeColor="hyperlink"/>
            <w:u w:val="single"/>
          </w:rPr>
          <w:t>files202324.</w:t>
        </w:r>
        <w:r>
          <w:rPr>
            <w:color w:val="0000FF" w:themeColor="hyperlink"/>
            <w:u w:val="single"/>
          </w:rPr>
          <w:t xml:space="preserve">Budget </w:t>
        </w:r>
        <w:r w:rsidRPr="008F6069">
          <w:rPr>
            <w:color w:val="0000FF" w:themeColor="hyperlink"/>
            <w:u w:val="single"/>
          </w:rPr>
          <w:t>.vic.gov.au/2023</w:t>
        </w:r>
        <w:r>
          <w:rPr>
            <w:color w:val="0000FF" w:themeColor="hyperlink"/>
            <w:u w:val="single"/>
          </w:rPr>
          <w:t>–</w:t>
        </w:r>
        <w:r w:rsidRPr="008F6069">
          <w:rPr>
            <w:color w:val="0000FF" w:themeColor="hyperlink"/>
            <w:u w:val="single"/>
          </w:rPr>
          <w:t>24+State+</w:t>
        </w:r>
        <w:r>
          <w:rPr>
            <w:color w:val="0000FF" w:themeColor="hyperlink"/>
            <w:u w:val="single"/>
          </w:rPr>
          <w:t xml:space="preserve">Budget </w:t>
        </w:r>
        <w:r w:rsidRPr="008F6069">
          <w:rPr>
            <w:color w:val="0000FF" w:themeColor="hyperlink"/>
            <w:u w:val="single"/>
          </w:rPr>
          <w:t>+-+Service+Delivery.pdf</w:t>
        </w:r>
      </w:hyperlink>
      <w:r w:rsidRPr="004A1190">
        <w:rPr>
          <w:szCs w:val="15"/>
        </w:rPr>
        <w:t>)</w:t>
      </w:r>
      <w:r>
        <w:rPr>
          <w:szCs w:val="15"/>
        </w:rPr>
        <w:t>.</w:t>
      </w:r>
    </w:p>
  </w:endnote>
  <w:endnote w:id="34">
    <w:p w14:paraId="5F7FE07A" w14:textId="77777777" w:rsidR="00373ED9" w:rsidRDefault="00373ED9" w:rsidP="00373ED9">
      <w:pPr>
        <w:pStyle w:val="EndnoteText"/>
      </w:pPr>
      <w:r>
        <w:rPr>
          <w:rStyle w:val="EndnoteReference"/>
        </w:rPr>
        <w:endnoteRef/>
      </w:r>
      <w:r>
        <w:t xml:space="preserve"> </w:t>
      </w:r>
      <w:r w:rsidRPr="00170544">
        <w:rPr>
          <w:szCs w:val="15"/>
        </w:rPr>
        <w:t>Department of Education</w:t>
      </w:r>
      <w:r>
        <w:rPr>
          <w:szCs w:val="15"/>
        </w:rPr>
        <w:t xml:space="preserve">, </w:t>
      </w:r>
      <w:hyperlink r:id="rId46" w:history="1">
        <w:r w:rsidRPr="0077426B">
          <w:rPr>
            <w:rStyle w:val="Hyperlink"/>
            <w:i/>
            <w:iCs/>
            <w:szCs w:val="15"/>
          </w:rPr>
          <w:t>Big budget investment in school and kindergarten buildings</w:t>
        </w:r>
      </w:hyperlink>
      <w:r w:rsidRPr="00170544">
        <w:rPr>
          <w:szCs w:val="15"/>
        </w:rPr>
        <w:t xml:space="preserve"> </w:t>
      </w:r>
      <w:r>
        <w:rPr>
          <w:szCs w:val="15"/>
        </w:rPr>
        <w:t>(</w:t>
      </w:r>
      <w:r w:rsidRPr="00170544">
        <w:rPr>
          <w:szCs w:val="15"/>
        </w:rPr>
        <w:t>website</w:t>
      </w:r>
      <w:r>
        <w:rPr>
          <w:szCs w:val="15"/>
        </w:rPr>
        <w:t>),</w:t>
      </w:r>
      <w:r w:rsidRPr="00170544">
        <w:rPr>
          <w:szCs w:val="15"/>
        </w:rPr>
        <w:t xml:space="preserve"> </w:t>
      </w:r>
      <w:r>
        <w:rPr>
          <w:szCs w:val="15"/>
        </w:rPr>
        <w:t>n.d.,</w:t>
      </w:r>
      <w:r w:rsidRPr="00170544">
        <w:rPr>
          <w:szCs w:val="15"/>
        </w:rPr>
        <w:t xml:space="preserve"> </w:t>
      </w:r>
      <w:r>
        <w:rPr>
          <w:szCs w:val="15"/>
        </w:rPr>
        <w:t>accessed</w:t>
      </w:r>
      <w:r w:rsidRPr="00170544">
        <w:rPr>
          <w:szCs w:val="15"/>
        </w:rPr>
        <w:t xml:space="preserve"> 6 July 2023</w:t>
      </w:r>
      <w:r>
        <w:rPr>
          <w:szCs w:val="15"/>
        </w:rPr>
        <w:t>.</w:t>
      </w:r>
    </w:p>
  </w:endnote>
  <w:endnote w:id="35">
    <w:p w14:paraId="47D38BAD" w14:textId="77777777" w:rsidR="00373ED9" w:rsidRDefault="00373ED9" w:rsidP="00373ED9">
      <w:pPr>
        <w:pStyle w:val="EndnoteText"/>
      </w:pPr>
      <w:r w:rsidRPr="00FC4EA2">
        <w:rPr>
          <w:rStyle w:val="EndnoteReference"/>
          <w:szCs w:val="15"/>
        </w:rPr>
        <w:endnoteRef/>
      </w:r>
      <w:r w:rsidRPr="00FC4EA2">
        <w:rPr>
          <w:szCs w:val="15"/>
        </w:rPr>
        <w:t xml:space="preserve"> Department of Treasury and Finance, </w:t>
      </w:r>
      <w:hyperlink r:id="rId47" w:anchor="budget-paper-3-service-delivery" w:tgtFrame="_blank" w:history="1">
        <w:r w:rsidRPr="006A6DE7">
          <w:rPr>
            <w:rStyle w:val="normaltextrun"/>
            <w:rFonts w:ascii="Calibri" w:hAnsi="Calibri" w:cs="Calibri"/>
            <w:i/>
            <w:iCs/>
            <w:color w:val="0563C1"/>
            <w:u w:val="single"/>
          </w:rPr>
          <w:t xml:space="preserve">Victorian </w:t>
        </w:r>
        <w:r>
          <w:rPr>
            <w:rStyle w:val="normaltextrun"/>
            <w:rFonts w:ascii="Calibri" w:hAnsi="Calibri" w:cs="Calibri"/>
            <w:i/>
            <w:iCs/>
            <w:color w:val="0563C1"/>
            <w:u w:val="single"/>
          </w:rPr>
          <w:t xml:space="preserve">Budget </w:t>
        </w:r>
        <w:r w:rsidRPr="006A6DE7">
          <w:rPr>
            <w:rStyle w:val="normaltextrun"/>
            <w:rFonts w:ascii="Calibri" w:hAnsi="Calibri" w:cs="Calibri"/>
            <w:i/>
            <w:iCs/>
            <w:color w:val="0563C1"/>
            <w:u w:val="single"/>
          </w:rPr>
          <w:t xml:space="preserve"> 2023</w:t>
        </w:r>
        <w:r>
          <w:rPr>
            <w:rStyle w:val="normaltextrun"/>
            <w:rFonts w:ascii="Calibri" w:hAnsi="Calibri" w:cs="Calibri"/>
            <w:i/>
            <w:iCs/>
            <w:color w:val="0563C1"/>
            <w:u w:val="single"/>
          </w:rPr>
          <w:t>–</w:t>
        </w:r>
        <w:r w:rsidRPr="006A6DE7">
          <w:rPr>
            <w:rStyle w:val="normaltextrun"/>
            <w:rFonts w:ascii="Calibri" w:hAnsi="Calibri" w:cs="Calibri"/>
            <w:i/>
            <w:iCs/>
            <w:color w:val="0563C1"/>
            <w:u w:val="single"/>
          </w:rPr>
          <w:t xml:space="preserve">24 – </w:t>
        </w:r>
        <w:r>
          <w:rPr>
            <w:rStyle w:val="normaltextrun"/>
            <w:rFonts w:ascii="Calibri" w:hAnsi="Calibri" w:cs="Calibri"/>
            <w:i/>
            <w:iCs/>
            <w:color w:val="0563C1"/>
            <w:u w:val="single"/>
          </w:rPr>
          <w:t xml:space="preserve">Budget </w:t>
        </w:r>
        <w:r w:rsidRPr="006A6DE7">
          <w:rPr>
            <w:rStyle w:val="normaltextrun"/>
            <w:rFonts w:ascii="Calibri" w:hAnsi="Calibri" w:cs="Calibri"/>
            <w:i/>
            <w:iCs/>
            <w:color w:val="0563C1"/>
            <w:u w:val="single"/>
          </w:rPr>
          <w:t xml:space="preserve"> Paper No. 3</w:t>
        </w:r>
      </w:hyperlink>
      <w:r w:rsidRPr="00FC4EA2">
        <w:rPr>
          <w:szCs w:val="15"/>
        </w:rPr>
        <w:t xml:space="preserve">, </w:t>
      </w:r>
      <w:r>
        <w:rPr>
          <w:szCs w:val="15"/>
        </w:rPr>
        <w:t xml:space="preserve">2023, </w:t>
      </w:r>
      <w:r w:rsidRPr="00FC4EA2">
        <w:rPr>
          <w:szCs w:val="15"/>
        </w:rPr>
        <w:t>p. 2</w:t>
      </w:r>
      <w:r>
        <w:rPr>
          <w:szCs w:val="15"/>
        </w:rPr>
        <w:t>2</w:t>
      </w:r>
      <w:r w:rsidRPr="00FC4EA2">
        <w:rPr>
          <w:szCs w:val="15"/>
        </w:rPr>
        <w:t xml:space="preserve"> </w:t>
      </w:r>
      <w:r>
        <w:rPr>
          <w:szCs w:val="15"/>
        </w:rPr>
        <w:t>(</w:t>
      </w:r>
      <w:hyperlink r:id="rId48" w:history="1">
        <w:r w:rsidRPr="00DB2676">
          <w:rPr>
            <w:rStyle w:val="Hyperlink"/>
          </w:rPr>
          <w:t>https://s3.ap-southeast-2.amazonaws.com/</w:t>
        </w:r>
        <w:r>
          <w:rPr>
            <w:rStyle w:val="Hyperlink"/>
          </w:rPr>
          <w:t xml:space="preserve">Budget </w:t>
        </w:r>
        <w:r w:rsidRPr="00DB2676">
          <w:rPr>
            <w:rStyle w:val="Hyperlink"/>
          </w:rPr>
          <w:t>files202324.</w:t>
        </w:r>
        <w:r>
          <w:rPr>
            <w:rStyle w:val="Hyperlink"/>
          </w:rPr>
          <w:t xml:space="preserve">Budget </w:t>
        </w:r>
        <w:r w:rsidRPr="00DB2676">
          <w:rPr>
            <w:rStyle w:val="Hyperlink"/>
          </w:rPr>
          <w:t>.vic.gov.au/2023</w:t>
        </w:r>
        <w:r>
          <w:rPr>
            <w:rStyle w:val="Hyperlink"/>
          </w:rPr>
          <w:t>–</w:t>
        </w:r>
        <w:r w:rsidRPr="00DB2676">
          <w:rPr>
            <w:rStyle w:val="Hyperlink"/>
          </w:rPr>
          <w:t>24+State+</w:t>
        </w:r>
        <w:r>
          <w:rPr>
            <w:rStyle w:val="Hyperlink"/>
          </w:rPr>
          <w:t xml:space="preserve">Budget </w:t>
        </w:r>
        <w:r w:rsidRPr="00DB2676">
          <w:rPr>
            <w:rStyle w:val="Hyperlink"/>
          </w:rPr>
          <w:t>+-+Service+Delivery.pdf</w:t>
        </w:r>
      </w:hyperlink>
      <w:r w:rsidRPr="004A1190">
        <w:rPr>
          <w:szCs w:val="15"/>
        </w:rPr>
        <w:t>)</w:t>
      </w:r>
      <w:r>
        <w:rPr>
          <w:szCs w:val="15"/>
        </w:rPr>
        <w:t>.</w:t>
      </w:r>
    </w:p>
  </w:endnote>
  <w:endnote w:id="36">
    <w:p w14:paraId="19A24025" w14:textId="77777777" w:rsidR="00373ED9" w:rsidRPr="00F05DC5" w:rsidRDefault="00373ED9" w:rsidP="00373ED9">
      <w:pPr>
        <w:pStyle w:val="EndnoteText"/>
        <w:rPr>
          <w:szCs w:val="15"/>
        </w:rPr>
      </w:pPr>
      <w:r w:rsidRPr="00F05DC5">
        <w:rPr>
          <w:rStyle w:val="EndnoteReference"/>
          <w:szCs w:val="15"/>
        </w:rPr>
        <w:endnoteRef/>
      </w:r>
      <w:r w:rsidRPr="00F05DC5">
        <w:rPr>
          <w:szCs w:val="15"/>
        </w:rPr>
        <w:t xml:space="preserve"> </w:t>
      </w:r>
      <w:r>
        <w:rPr>
          <w:szCs w:val="15"/>
        </w:rPr>
        <w:t xml:space="preserve">Minister for Training and Skills, </w:t>
      </w:r>
      <w:hyperlink r:id="rId49" w:history="1">
        <w:r w:rsidRPr="004B00D6">
          <w:rPr>
            <w:rStyle w:val="Hyperlink"/>
            <w:i/>
            <w:iCs/>
            <w:szCs w:val="15"/>
          </w:rPr>
          <w:t xml:space="preserve">Skills </w:t>
        </w:r>
        <w:r w:rsidRPr="004B00D6">
          <w:rPr>
            <w:rStyle w:val="Hyperlink"/>
            <w:i/>
            <w:szCs w:val="15"/>
          </w:rPr>
          <w:t>plan</w:t>
        </w:r>
        <w:r w:rsidRPr="004B00D6">
          <w:rPr>
            <w:rStyle w:val="Hyperlink"/>
            <w:i/>
            <w:iCs/>
            <w:szCs w:val="15"/>
          </w:rPr>
          <w:t xml:space="preserve"> </w:t>
        </w:r>
        <w:r w:rsidRPr="004B00D6">
          <w:rPr>
            <w:rStyle w:val="Hyperlink"/>
            <w:i/>
            <w:szCs w:val="15"/>
          </w:rPr>
          <w:t>sets</w:t>
        </w:r>
        <w:r w:rsidRPr="004B00D6">
          <w:rPr>
            <w:rStyle w:val="Hyperlink"/>
            <w:i/>
            <w:iCs/>
            <w:szCs w:val="15"/>
          </w:rPr>
          <w:t xml:space="preserve"> </w:t>
        </w:r>
        <w:r w:rsidRPr="004B00D6">
          <w:rPr>
            <w:rStyle w:val="Hyperlink"/>
            <w:i/>
            <w:szCs w:val="15"/>
          </w:rPr>
          <w:t>vital</w:t>
        </w:r>
        <w:r w:rsidRPr="004B00D6">
          <w:rPr>
            <w:rStyle w:val="Hyperlink"/>
            <w:i/>
            <w:iCs/>
            <w:szCs w:val="15"/>
          </w:rPr>
          <w:t xml:space="preserve"> </w:t>
        </w:r>
        <w:r w:rsidRPr="004B00D6">
          <w:rPr>
            <w:rStyle w:val="Hyperlink"/>
            <w:i/>
            <w:szCs w:val="15"/>
          </w:rPr>
          <w:t>training</w:t>
        </w:r>
        <w:r w:rsidRPr="004B00D6">
          <w:rPr>
            <w:rStyle w:val="Hyperlink"/>
            <w:i/>
            <w:iCs/>
            <w:szCs w:val="15"/>
          </w:rPr>
          <w:t xml:space="preserve"> </w:t>
        </w:r>
        <w:r w:rsidRPr="004B00D6">
          <w:rPr>
            <w:rStyle w:val="Hyperlink"/>
            <w:i/>
            <w:szCs w:val="15"/>
          </w:rPr>
          <w:t>and</w:t>
        </w:r>
        <w:r w:rsidRPr="004B00D6">
          <w:rPr>
            <w:rStyle w:val="Hyperlink"/>
            <w:i/>
            <w:iCs/>
            <w:szCs w:val="15"/>
          </w:rPr>
          <w:t xml:space="preserve"> </w:t>
        </w:r>
        <w:r w:rsidRPr="004B00D6">
          <w:rPr>
            <w:rStyle w:val="Hyperlink"/>
            <w:i/>
            <w:szCs w:val="15"/>
          </w:rPr>
          <w:t>jobs</w:t>
        </w:r>
        <w:r w:rsidRPr="004B00D6">
          <w:rPr>
            <w:rStyle w:val="Hyperlink"/>
            <w:i/>
            <w:iCs/>
            <w:szCs w:val="15"/>
          </w:rPr>
          <w:t xml:space="preserve"> </w:t>
        </w:r>
        <w:r w:rsidRPr="004B00D6">
          <w:rPr>
            <w:rStyle w:val="Hyperlink"/>
            <w:i/>
            <w:szCs w:val="15"/>
          </w:rPr>
          <w:t>roadmap</w:t>
        </w:r>
      </w:hyperlink>
      <w:r>
        <w:rPr>
          <w:szCs w:val="15"/>
        </w:rPr>
        <w:t xml:space="preserve"> (media release), 23 August 2022, accessed 3 August 2023.</w:t>
      </w:r>
    </w:p>
  </w:endnote>
  <w:endnote w:id="37">
    <w:p w14:paraId="00838C2F" w14:textId="77777777" w:rsidR="00373ED9" w:rsidRPr="00F05DC5" w:rsidRDefault="00373ED9" w:rsidP="00373ED9">
      <w:pPr>
        <w:pStyle w:val="EndnoteText"/>
        <w:rPr>
          <w:szCs w:val="15"/>
        </w:rPr>
      </w:pPr>
      <w:r w:rsidRPr="00F05DC5">
        <w:rPr>
          <w:rStyle w:val="EndnoteReference"/>
          <w:szCs w:val="15"/>
        </w:rPr>
        <w:endnoteRef/>
      </w:r>
      <w:r w:rsidRPr="00F05DC5">
        <w:rPr>
          <w:szCs w:val="15"/>
        </w:rPr>
        <w:t xml:space="preserve"> The Department of Treasury and Finance</w:t>
      </w:r>
      <w:r>
        <w:rPr>
          <w:szCs w:val="15"/>
        </w:rPr>
        <w:t>,</w:t>
      </w:r>
      <w:r w:rsidRPr="00F05DC5">
        <w:rPr>
          <w:szCs w:val="15"/>
        </w:rPr>
        <w:t xml:space="preserve"> </w:t>
      </w:r>
      <w:hyperlink r:id="rId50" w:anchor="budget-paper-3-service-delivery" w:tgtFrame="_blank" w:history="1">
        <w:r w:rsidRPr="006A6DE7">
          <w:rPr>
            <w:rStyle w:val="normaltextrun"/>
            <w:rFonts w:ascii="Calibri" w:hAnsi="Calibri" w:cs="Calibri"/>
            <w:i/>
            <w:iCs/>
            <w:color w:val="0563C1"/>
            <w:u w:val="single"/>
          </w:rPr>
          <w:t xml:space="preserve">Victorian </w:t>
        </w:r>
        <w:r>
          <w:rPr>
            <w:rStyle w:val="normaltextrun"/>
            <w:rFonts w:ascii="Calibri" w:hAnsi="Calibri" w:cs="Calibri"/>
            <w:i/>
            <w:iCs/>
            <w:color w:val="0563C1"/>
            <w:u w:val="single"/>
          </w:rPr>
          <w:t xml:space="preserve">Budget </w:t>
        </w:r>
        <w:r w:rsidRPr="006A6DE7">
          <w:rPr>
            <w:rStyle w:val="normaltextrun"/>
            <w:rFonts w:ascii="Calibri" w:hAnsi="Calibri" w:cs="Calibri"/>
            <w:i/>
            <w:iCs/>
            <w:color w:val="0563C1"/>
            <w:u w:val="single"/>
          </w:rPr>
          <w:t xml:space="preserve"> 2023</w:t>
        </w:r>
        <w:r>
          <w:rPr>
            <w:rStyle w:val="normaltextrun"/>
            <w:rFonts w:ascii="Calibri" w:hAnsi="Calibri" w:cs="Calibri"/>
            <w:i/>
            <w:iCs/>
            <w:color w:val="0563C1"/>
            <w:u w:val="single"/>
          </w:rPr>
          <w:t>–</w:t>
        </w:r>
        <w:r w:rsidRPr="006A6DE7">
          <w:rPr>
            <w:rStyle w:val="normaltextrun"/>
            <w:rFonts w:ascii="Calibri" w:hAnsi="Calibri" w:cs="Calibri"/>
            <w:i/>
            <w:iCs/>
            <w:color w:val="0563C1"/>
            <w:u w:val="single"/>
          </w:rPr>
          <w:t xml:space="preserve">24 – </w:t>
        </w:r>
        <w:r>
          <w:rPr>
            <w:rStyle w:val="normaltextrun"/>
            <w:rFonts w:ascii="Calibri" w:hAnsi="Calibri" w:cs="Calibri"/>
            <w:i/>
            <w:iCs/>
            <w:color w:val="0563C1"/>
            <w:u w:val="single"/>
          </w:rPr>
          <w:t xml:space="preserve">Budget </w:t>
        </w:r>
        <w:r w:rsidRPr="006A6DE7">
          <w:rPr>
            <w:rStyle w:val="normaltextrun"/>
            <w:rFonts w:ascii="Calibri" w:hAnsi="Calibri" w:cs="Calibri"/>
            <w:i/>
            <w:iCs/>
            <w:color w:val="0563C1"/>
            <w:u w:val="single"/>
          </w:rPr>
          <w:t xml:space="preserve"> Paper No. 3</w:t>
        </w:r>
      </w:hyperlink>
      <w:r w:rsidRPr="00F05DC5">
        <w:rPr>
          <w:i/>
          <w:iCs/>
          <w:szCs w:val="15"/>
        </w:rPr>
        <w:t xml:space="preserve">, </w:t>
      </w:r>
      <w:r w:rsidRPr="00F05DC5">
        <w:rPr>
          <w:szCs w:val="15"/>
        </w:rPr>
        <w:t>2023</w:t>
      </w:r>
      <w:r>
        <w:rPr>
          <w:szCs w:val="15"/>
        </w:rPr>
        <w:t xml:space="preserve">, </w:t>
      </w:r>
      <w:r w:rsidRPr="00F05DC5">
        <w:rPr>
          <w:szCs w:val="15"/>
        </w:rPr>
        <w:t>p</w:t>
      </w:r>
      <w:r>
        <w:rPr>
          <w:szCs w:val="15"/>
        </w:rPr>
        <w:t>.</w:t>
      </w:r>
      <w:r w:rsidRPr="00F05DC5">
        <w:rPr>
          <w:szCs w:val="15"/>
        </w:rPr>
        <w:t xml:space="preserve"> 81</w:t>
      </w:r>
      <w:r>
        <w:rPr>
          <w:szCs w:val="15"/>
        </w:rPr>
        <w:t>,</w:t>
      </w:r>
      <w:r w:rsidRPr="00F05DC5">
        <w:rPr>
          <w:szCs w:val="15"/>
        </w:rPr>
        <w:t xml:space="preserve"> </w:t>
      </w:r>
      <w:r>
        <w:rPr>
          <w:szCs w:val="15"/>
        </w:rPr>
        <w:t>(</w:t>
      </w:r>
      <w:hyperlink r:id="rId51" w:history="1">
        <w:r w:rsidRPr="00DB2676">
          <w:rPr>
            <w:rStyle w:val="Hyperlink"/>
          </w:rPr>
          <w:t>https://s3.ap-southeast-2.amazonaws.com/</w:t>
        </w:r>
        <w:r>
          <w:rPr>
            <w:rStyle w:val="Hyperlink"/>
          </w:rPr>
          <w:t xml:space="preserve">Budget </w:t>
        </w:r>
        <w:r w:rsidRPr="00DB2676">
          <w:rPr>
            <w:rStyle w:val="Hyperlink"/>
          </w:rPr>
          <w:t>files202324.</w:t>
        </w:r>
        <w:r>
          <w:rPr>
            <w:rStyle w:val="Hyperlink"/>
          </w:rPr>
          <w:t xml:space="preserve">Budget </w:t>
        </w:r>
        <w:r w:rsidRPr="00DB2676">
          <w:rPr>
            <w:rStyle w:val="Hyperlink"/>
          </w:rPr>
          <w:t>.vic.gov.au/2023</w:t>
        </w:r>
        <w:r>
          <w:rPr>
            <w:rStyle w:val="Hyperlink"/>
          </w:rPr>
          <w:t>–</w:t>
        </w:r>
        <w:r w:rsidRPr="00DB2676">
          <w:rPr>
            <w:rStyle w:val="Hyperlink"/>
          </w:rPr>
          <w:t>24+State+</w:t>
        </w:r>
        <w:r>
          <w:rPr>
            <w:rStyle w:val="Hyperlink"/>
          </w:rPr>
          <w:t xml:space="preserve">Budget </w:t>
        </w:r>
        <w:r w:rsidRPr="00DB2676">
          <w:rPr>
            <w:rStyle w:val="Hyperlink"/>
          </w:rPr>
          <w:t>+-+Service+Delivery.pdf</w:t>
        </w:r>
      </w:hyperlink>
      <w:r w:rsidRPr="004A1190">
        <w:rPr>
          <w:szCs w:val="15"/>
        </w:rPr>
        <w:t>)</w:t>
      </w:r>
      <w:r>
        <w:rPr>
          <w:szCs w:val="15"/>
        </w:rPr>
        <w:t>.</w:t>
      </w:r>
    </w:p>
  </w:endnote>
  <w:endnote w:id="38">
    <w:p w14:paraId="51A59827" w14:textId="77777777" w:rsidR="00373ED9" w:rsidRPr="00F05DC5" w:rsidRDefault="00373ED9" w:rsidP="00373ED9">
      <w:pPr>
        <w:pStyle w:val="EndnoteText"/>
        <w:rPr>
          <w:szCs w:val="15"/>
        </w:rPr>
      </w:pPr>
      <w:r w:rsidRPr="00F05DC5">
        <w:rPr>
          <w:rStyle w:val="EndnoteReference"/>
          <w:szCs w:val="15"/>
        </w:rPr>
        <w:endnoteRef/>
      </w:r>
      <w:r w:rsidRPr="00F05DC5">
        <w:rPr>
          <w:szCs w:val="15"/>
        </w:rPr>
        <w:t xml:space="preserve"> </w:t>
      </w:r>
      <w:r>
        <w:rPr>
          <w:szCs w:val="15"/>
        </w:rPr>
        <w:t xml:space="preserve">Chisholm Institute, </w:t>
      </w:r>
      <w:hyperlink r:id="rId52" w:history="1">
        <w:r w:rsidRPr="0035538C">
          <w:rPr>
            <w:rStyle w:val="Hyperlink"/>
            <w:i/>
            <w:iCs/>
            <w:szCs w:val="15"/>
          </w:rPr>
          <w:t>Frankston redevelopment project (stage 2)</w:t>
        </w:r>
      </w:hyperlink>
      <w:r>
        <w:rPr>
          <w:szCs w:val="15"/>
        </w:rPr>
        <w:t xml:space="preserve"> (website), n.d., accessed 3 August 2023; Minister for Training and Skills, </w:t>
      </w:r>
      <w:hyperlink r:id="rId53" w:history="1">
        <w:r w:rsidRPr="00F64FF5">
          <w:rPr>
            <w:rStyle w:val="Hyperlink"/>
            <w:i/>
            <w:iCs/>
            <w:szCs w:val="15"/>
          </w:rPr>
          <w:t>World-class facilities to transform Collingwood TAFE</w:t>
        </w:r>
      </w:hyperlink>
      <w:r>
        <w:rPr>
          <w:szCs w:val="15"/>
        </w:rPr>
        <w:t xml:space="preserve"> (media release), 20 October 2022, accessed 3 August 2023; Minister for Training and Skills and Minister for Higher Education, </w:t>
      </w:r>
      <w:hyperlink r:id="rId54" w:history="1">
        <w:r w:rsidRPr="00172C1F">
          <w:rPr>
            <w:rStyle w:val="Hyperlink"/>
            <w:i/>
            <w:iCs/>
            <w:szCs w:val="15"/>
          </w:rPr>
          <w:t>Works to start on world-class Broadmeadows training centre</w:t>
        </w:r>
      </w:hyperlink>
      <w:r>
        <w:rPr>
          <w:szCs w:val="15"/>
        </w:rPr>
        <w:t xml:space="preserve"> (media release), 16 March 2023, accessed 3 August 2023; Minister for Training and Skills, </w:t>
      </w:r>
      <w:hyperlink r:id="rId55" w:history="1">
        <w:r w:rsidRPr="009B1C68">
          <w:rPr>
            <w:rStyle w:val="Hyperlink"/>
            <w:i/>
            <w:iCs/>
            <w:szCs w:val="15"/>
          </w:rPr>
          <w:t xml:space="preserve">Warrnambool </w:t>
        </w:r>
        <w:r w:rsidRPr="009B1C68">
          <w:rPr>
            <w:rStyle w:val="Hyperlink"/>
            <w:i/>
            <w:szCs w:val="15"/>
          </w:rPr>
          <w:t>library</w:t>
        </w:r>
        <w:r w:rsidRPr="009B1C68">
          <w:rPr>
            <w:rStyle w:val="Hyperlink"/>
            <w:i/>
            <w:iCs/>
            <w:szCs w:val="15"/>
          </w:rPr>
          <w:t xml:space="preserve"> </w:t>
        </w:r>
        <w:r w:rsidRPr="009B1C68">
          <w:rPr>
            <w:rStyle w:val="Hyperlink"/>
            <w:i/>
            <w:szCs w:val="15"/>
          </w:rPr>
          <w:t>and</w:t>
        </w:r>
        <w:r w:rsidRPr="009B1C68">
          <w:rPr>
            <w:rStyle w:val="Hyperlink"/>
            <w:i/>
            <w:iCs/>
            <w:szCs w:val="15"/>
          </w:rPr>
          <w:t xml:space="preserve"> </w:t>
        </w:r>
        <w:r w:rsidRPr="009B1C68">
          <w:rPr>
            <w:rStyle w:val="Hyperlink"/>
            <w:i/>
            <w:szCs w:val="15"/>
          </w:rPr>
          <w:t>learning</w:t>
        </w:r>
        <w:r w:rsidRPr="009B1C68">
          <w:rPr>
            <w:rStyle w:val="Hyperlink"/>
            <w:i/>
            <w:iCs/>
            <w:szCs w:val="15"/>
          </w:rPr>
          <w:t xml:space="preserve"> </w:t>
        </w:r>
        <w:r w:rsidRPr="009B1C68">
          <w:rPr>
            <w:rStyle w:val="Hyperlink"/>
            <w:i/>
            <w:szCs w:val="15"/>
          </w:rPr>
          <w:t>centre</w:t>
        </w:r>
        <w:r w:rsidRPr="009B1C68">
          <w:rPr>
            <w:rStyle w:val="Hyperlink"/>
            <w:i/>
            <w:iCs/>
            <w:szCs w:val="15"/>
          </w:rPr>
          <w:t xml:space="preserve"> </w:t>
        </w:r>
        <w:r w:rsidRPr="009B1C68">
          <w:rPr>
            <w:rStyle w:val="Hyperlink"/>
            <w:i/>
            <w:szCs w:val="15"/>
          </w:rPr>
          <w:t>opens</w:t>
        </w:r>
        <w:r w:rsidRPr="009B1C68">
          <w:rPr>
            <w:rStyle w:val="Hyperlink"/>
            <w:i/>
            <w:iCs/>
            <w:szCs w:val="15"/>
          </w:rPr>
          <w:t xml:space="preserve"> </w:t>
        </w:r>
        <w:r w:rsidRPr="009B1C68">
          <w:rPr>
            <w:rStyle w:val="Hyperlink"/>
            <w:i/>
            <w:szCs w:val="15"/>
          </w:rPr>
          <w:t>its</w:t>
        </w:r>
        <w:r w:rsidRPr="009B1C68">
          <w:rPr>
            <w:rStyle w:val="Hyperlink"/>
            <w:i/>
            <w:iCs/>
            <w:szCs w:val="15"/>
          </w:rPr>
          <w:t xml:space="preserve"> </w:t>
        </w:r>
        <w:r w:rsidRPr="009B1C68">
          <w:rPr>
            <w:rStyle w:val="Hyperlink"/>
            <w:i/>
            <w:szCs w:val="15"/>
          </w:rPr>
          <w:t>doors</w:t>
        </w:r>
      </w:hyperlink>
      <w:r>
        <w:rPr>
          <w:szCs w:val="15"/>
        </w:rPr>
        <w:t xml:space="preserve"> (media release), 21 October 2022, accessed 3 August 2023; Parliamentary Secretary for Training and Skills, </w:t>
      </w:r>
      <w:hyperlink r:id="rId56" w:history="1">
        <w:r w:rsidRPr="00184FFD">
          <w:rPr>
            <w:rStyle w:val="Hyperlink"/>
            <w:i/>
            <w:iCs/>
            <w:szCs w:val="15"/>
          </w:rPr>
          <w:t>William Angliss Institute’s bun day delivers on tasty treats</w:t>
        </w:r>
      </w:hyperlink>
      <w:r>
        <w:rPr>
          <w:szCs w:val="15"/>
        </w:rPr>
        <w:t xml:space="preserve"> (media release), 5 April 2023, accessed 3 August 2023.</w:t>
      </w:r>
      <w:r w:rsidRPr="00F05DC5">
        <w:rPr>
          <w:szCs w:val="15"/>
        </w:rPr>
        <w:t xml:space="preserve"> </w:t>
      </w:r>
    </w:p>
  </w:endnote>
  <w:endnote w:id="39">
    <w:p w14:paraId="58CAE908" w14:textId="77777777" w:rsidR="00373ED9" w:rsidRPr="001B0F62" w:rsidRDefault="00373ED9" w:rsidP="00373ED9">
      <w:pPr>
        <w:pStyle w:val="EndnoteText"/>
      </w:pPr>
      <w:r w:rsidRPr="001B0F62">
        <w:rPr>
          <w:rStyle w:val="EndnoteReference"/>
        </w:rPr>
        <w:endnoteRef/>
      </w:r>
      <w:r w:rsidRPr="001B0F62">
        <w:t xml:space="preserve"> Infrastructure Victoria, </w:t>
      </w:r>
      <w:hyperlink r:id="rId57" w:history="1">
        <w:r w:rsidRPr="001B0F62">
          <w:rPr>
            <w:rStyle w:val="Hyperlink"/>
            <w:i/>
            <w:iCs/>
          </w:rPr>
          <w:t>Victoria’s infrastructure strategy 2021</w:t>
        </w:r>
        <w:r>
          <w:rPr>
            <w:rStyle w:val="Hyperlink"/>
            <w:i/>
            <w:iCs/>
          </w:rPr>
          <w:t>–</w:t>
        </w:r>
        <w:r w:rsidRPr="001B0F62">
          <w:rPr>
            <w:rStyle w:val="Hyperlink"/>
            <w:i/>
            <w:iCs/>
          </w:rPr>
          <w:t>2051</w:t>
        </w:r>
      </w:hyperlink>
      <w:r w:rsidRPr="001B0F62">
        <w:t>, 2021, p.218, accessed 10 July 2023</w:t>
      </w:r>
      <w:r>
        <w:t>.</w:t>
      </w:r>
    </w:p>
  </w:endnote>
  <w:endnote w:id="40">
    <w:p w14:paraId="77490F9C" w14:textId="00A4A429" w:rsidR="00E62D66" w:rsidRPr="00E62D66" w:rsidRDefault="00E62D66">
      <w:pPr>
        <w:pStyle w:val="EndnoteText"/>
        <w:rPr>
          <w:szCs w:val="15"/>
        </w:rPr>
      </w:pPr>
      <w:r w:rsidRPr="00E62D66">
        <w:rPr>
          <w:rStyle w:val="EndnoteReference"/>
          <w:szCs w:val="15"/>
        </w:rPr>
        <w:endnoteRef/>
      </w:r>
      <w:r w:rsidRPr="00E62D66">
        <w:rPr>
          <w:szCs w:val="15"/>
        </w:rPr>
        <w:t xml:space="preserve"> </w:t>
      </w:r>
      <w:r w:rsidRPr="00E62D66">
        <w:rPr>
          <w:rFonts w:ascii="AdobeClean-Regular" w:eastAsiaTheme="minorHAnsi" w:hAnsi="AdobeClean-Regular" w:cs="AdobeClean-Regular"/>
          <w:color w:val="000000"/>
          <w:szCs w:val="15"/>
          <w:lang w:val="en-GB"/>
        </w:rPr>
        <w:t xml:space="preserve">Department of Treasury and Finance, </w:t>
      </w:r>
      <w:hyperlink r:id="rId58" w:anchor="budget-paper-3-service-delivery" w:history="1">
        <w:r w:rsidRPr="00E62D66">
          <w:rPr>
            <w:rStyle w:val="Hyperlink"/>
            <w:rFonts w:ascii="AdobeClean-Regular" w:eastAsiaTheme="minorHAnsi" w:hAnsi="AdobeClean-Regular" w:cs="AdobeClean-Regular"/>
            <w:szCs w:val="15"/>
            <w:lang w:val="en-GB"/>
          </w:rPr>
          <w:t>Victorian Budget  2023-24 – Budget  Paper No. 3</w:t>
        </w:r>
      </w:hyperlink>
      <w:r w:rsidRPr="00E62D66">
        <w:rPr>
          <w:rFonts w:ascii="AdobeClean-Regular" w:eastAsiaTheme="minorHAnsi" w:hAnsi="AdobeClean-Regular" w:cs="AdobeClean-Regular"/>
          <w:color w:val="000000"/>
          <w:szCs w:val="15"/>
          <w:lang w:val="en-GB"/>
        </w:rPr>
        <w:t>, 2023, pp. 96, 99, 102, 103, accessed 16 August 2023  (</w:t>
      </w:r>
      <w:hyperlink r:id="rId59" w:history="1">
        <w:r w:rsidRPr="00E62D66">
          <w:rPr>
            <w:rStyle w:val="Hyperlink"/>
            <w:rFonts w:ascii="AdobeClean-Regular" w:eastAsiaTheme="minorHAnsi" w:hAnsi="AdobeClean-Regular" w:cs="AdobeClean-Regular"/>
            <w:szCs w:val="15"/>
            <w:lang w:val="en-GB"/>
          </w:rPr>
          <w:t>https://s3.ap-southeast-2.amazonaws.com/budgetfiles202324.budget.vic.gov.au/2023-24+State+Budget+-+Service+Delivery.pdf</w:t>
        </w:r>
      </w:hyperlink>
      <w:r w:rsidRPr="00E62D66">
        <w:rPr>
          <w:rFonts w:ascii="AdobeClean-Regular" w:eastAsiaTheme="minorHAnsi" w:hAnsi="AdobeClean-Regular" w:cs="AdobeClean-Regular"/>
          <w:color w:val="000000"/>
          <w:szCs w:val="15"/>
          <w:lang w:val="en-GB"/>
        </w:rPr>
        <w:t>).</w:t>
      </w:r>
    </w:p>
  </w:endnote>
  <w:endnote w:id="41">
    <w:p w14:paraId="7B5ACD8A" w14:textId="77777777" w:rsidR="00373ED9" w:rsidRPr="00292A64" w:rsidRDefault="00373ED9" w:rsidP="00373ED9">
      <w:pPr>
        <w:pStyle w:val="EndnoteText"/>
      </w:pPr>
      <w:r w:rsidRPr="00292A64">
        <w:rPr>
          <w:rStyle w:val="EndnoteReference"/>
        </w:rPr>
        <w:endnoteRef/>
      </w:r>
      <w:r w:rsidRPr="00292A64">
        <w:t xml:space="preserve"> Level Crossing Removal Project, </w:t>
      </w:r>
      <w:hyperlink r:id="rId60" w:history="1">
        <w:r w:rsidRPr="001B0F62">
          <w:rPr>
            <w:rStyle w:val="Hyperlink"/>
            <w:i/>
            <w:iCs/>
          </w:rPr>
          <w:t>Level crossing removal project</w:t>
        </w:r>
      </w:hyperlink>
      <w:r w:rsidRPr="00292A64">
        <w:t>, Victoria’s Big Build website, n.d., accessed 7 July 2023</w:t>
      </w:r>
      <w:r>
        <w:t>.</w:t>
      </w:r>
    </w:p>
  </w:endnote>
  <w:endnote w:id="42">
    <w:p w14:paraId="658C2E14" w14:textId="16E88F24" w:rsidR="00373ED9" w:rsidRDefault="00373ED9" w:rsidP="00373ED9">
      <w:pPr>
        <w:pStyle w:val="EndnoteText"/>
      </w:pPr>
      <w:r>
        <w:rPr>
          <w:rStyle w:val="EndnoteReference"/>
        </w:rPr>
        <w:endnoteRef/>
      </w:r>
      <w:r>
        <w:t xml:space="preserve"> </w:t>
      </w:r>
      <w:r>
        <w:rPr>
          <w:rStyle w:val="normaltextrun"/>
          <w:rFonts w:ascii="Calibri" w:hAnsi="Calibri" w:cs="Calibri"/>
          <w:color w:val="000000"/>
          <w:shd w:val="clear" w:color="auto" w:fill="FFFFFF"/>
        </w:rPr>
        <w:t xml:space="preserve">Department of Treasury and Finance, </w:t>
      </w:r>
      <w:hyperlink r:id="rId61" w:anchor="budget-paper-4-state-capital-program" w:tgtFrame="_blank" w:history="1">
        <w:r>
          <w:rPr>
            <w:rStyle w:val="normaltextrun"/>
            <w:rFonts w:ascii="Calibri" w:hAnsi="Calibri" w:cs="Calibri"/>
            <w:i/>
            <w:iCs/>
            <w:color w:val="0563C1"/>
            <w:u w:val="single"/>
            <w:shd w:val="clear" w:color="auto" w:fill="FFFFFF"/>
          </w:rPr>
          <w:t>Victorian Budget  2023–24 – Budget  Paper No. 4</w:t>
        </w:r>
      </w:hyperlink>
      <w:r w:rsidRPr="00292A64">
        <w:rPr>
          <w:rStyle w:val="normaltextrun"/>
          <w:rFonts w:ascii="Calibri" w:hAnsi="Calibri" w:cs="Calibri"/>
          <w:color w:val="000000"/>
          <w:shd w:val="clear" w:color="auto" w:fill="FFFFFF"/>
        </w:rPr>
        <w:t>, 2023, p.83, accesse</w:t>
      </w:r>
      <w:r>
        <w:rPr>
          <w:rStyle w:val="normaltextrun"/>
          <w:rFonts w:ascii="Calibri" w:hAnsi="Calibri" w:cs="Calibri"/>
          <w:color w:val="000000"/>
          <w:shd w:val="clear" w:color="auto" w:fill="FFFFFF"/>
        </w:rPr>
        <w:t>d 24 Ju</w:t>
      </w:r>
      <w:r w:rsidRPr="00336DB5">
        <w:rPr>
          <w:rStyle w:val="normaltextrun"/>
          <w:rFonts w:ascii="Calibri" w:hAnsi="Calibri" w:cs="Calibri"/>
          <w:color w:val="000000"/>
          <w:szCs w:val="15"/>
          <w:shd w:val="clear" w:color="auto" w:fill="FFFFFF"/>
        </w:rPr>
        <w:t xml:space="preserve">ly 2023 </w:t>
      </w:r>
      <w:r w:rsidR="00336DB5" w:rsidRPr="00336DB5">
        <w:rPr>
          <w:rFonts w:ascii="Calibri" w:eastAsiaTheme="minorHAnsi" w:hAnsi="Calibri" w:cs="Calibri"/>
          <w:color w:val="000000"/>
          <w:szCs w:val="15"/>
          <w:lang w:val="en-GB"/>
        </w:rPr>
        <w:t>(</w:t>
      </w:r>
      <w:hyperlink r:id="rId62" w:history="1">
        <w:r w:rsidR="00336DB5" w:rsidRPr="00336DB5">
          <w:rPr>
            <w:rStyle w:val="Hyperlink"/>
            <w:rFonts w:ascii="Calibri" w:eastAsiaTheme="minorHAnsi" w:hAnsi="Calibri" w:cs="Calibri"/>
            <w:szCs w:val="15"/>
            <w:lang w:val="en-GB"/>
          </w:rPr>
          <w:t>https://s3.ap-southeast-2.amazonaws.com/budgetfiles202324.budget.vic.gov.au/2023-24+State+Budget+-+State+Capital+Program.pdf</w:t>
        </w:r>
      </w:hyperlink>
      <w:r w:rsidR="00336DB5" w:rsidRPr="00336DB5">
        <w:rPr>
          <w:rFonts w:ascii="Calibri" w:eastAsiaTheme="minorHAnsi" w:hAnsi="Calibri" w:cs="Calibri"/>
          <w:color w:val="000000"/>
          <w:szCs w:val="15"/>
          <w:lang w:val="en-GB"/>
        </w:rPr>
        <w:t>).</w:t>
      </w:r>
    </w:p>
  </w:endnote>
  <w:endnote w:id="43">
    <w:p w14:paraId="4DD09459" w14:textId="77777777" w:rsidR="00373ED9" w:rsidRPr="00292A64" w:rsidRDefault="00373ED9" w:rsidP="00373ED9">
      <w:pPr>
        <w:pStyle w:val="EndnoteText"/>
      </w:pPr>
      <w:r w:rsidRPr="00292A64">
        <w:rPr>
          <w:rStyle w:val="EndnoteReference"/>
        </w:rPr>
        <w:endnoteRef/>
      </w:r>
      <w:r>
        <w:t xml:space="preserve"> Premier of Victoria, </w:t>
      </w:r>
      <w:hyperlink r:id="rId63" w:history="1">
        <w:r w:rsidRPr="003862C2">
          <w:rPr>
            <w:rStyle w:val="Hyperlink"/>
            <w:i/>
            <w:iCs/>
          </w:rPr>
          <w:t>Union Station opening marks major level crossing milestone</w:t>
        </w:r>
      </w:hyperlink>
      <w:r>
        <w:t xml:space="preserve"> (media release) 22 May 2023, accessed 7 July 2023.</w:t>
      </w:r>
    </w:p>
  </w:endnote>
  <w:endnote w:id="44">
    <w:p w14:paraId="55D8076D" w14:textId="77777777" w:rsidR="00373ED9" w:rsidRDefault="00373ED9" w:rsidP="00373ED9">
      <w:pPr>
        <w:pStyle w:val="EndnoteText"/>
      </w:pPr>
      <w:r w:rsidRPr="00292A64">
        <w:rPr>
          <w:rStyle w:val="EndnoteReference"/>
        </w:rPr>
        <w:endnoteRef/>
      </w:r>
      <w:r>
        <w:t xml:space="preserve"> Premier of Victoria, </w:t>
      </w:r>
      <w:hyperlink r:id="rId64" w:history="1">
        <w:r w:rsidRPr="003862C2">
          <w:rPr>
            <w:rStyle w:val="Hyperlink"/>
            <w:i/>
            <w:iCs/>
          </w:rPr>
          <w:t>Cheaper regional fares now in effect</w:t>
        </w:r>
      </w:hyperlink>
      <w:r>
        <w:t xml:space="preserve"> (media release), 31 March 2023, accessed 29 June 2023.</w:t>
      </w:r>
    </w:p>
  </w:endnote>
  <w:endnote w:id="45">
    <w:p w14:paraId="5BA1CC6B" w14:textId="77777777" w:rsidR="00373ED9" w:rsidRDefault="00373ED9" w:rsidP="00373ED9">
      <w:pPr>
        <w:pStyle w:val="EndnoteText"/>
      </w:pPr>
      <w:r>
        <w:rPr>
          <w:rStyle w:val="EndnoteReference"/>
        </w:rPr>
        <w:endnoteRef/>
      </w:r>
      <w:r>
        <w:t xml:space="preserve"> Premier of Victoria, </w:t>
      </w:r>
      <w:hyperlink r:id="rId65" w:history="1">
        <w:r w:rsidRPr="003862C2">
          <w:rPr>
            <w:rStyle w:val="Hyperlink"/>
            <w:i/>
            <w:iCs/>
          </w:rPr>
          <w:t>More VLocity trains to keep Victorians moving</w:t>
        </w:r>
      </w:hyperlink>
      <w:r>
        <w:t xml:space="preserve"> (media release), 24 May 2023, accessed 29 June 2023.</w:t>
      </w:r>
    </w:p>
  </w:endnote>
  <w:endnote w:id="46">
    <w:p w14:paraId="692C0D52" w14:textId="77777777" w:rsidR="00373ED9" w:rsidRDefault="00373ED9" w:rsidP="00373ED9">
      <w:pPr>
        <w:pStyle w:val="EndnoteText"/>
      </w:pPr>
      <w:r>
        <w:rPr>
          <w:rStyle w:val="EndnoteReference"/>
        </w:rPr>
        <w:endnoteRef/>
      </w:r>
      <w:r>
        <w:t xml:space="preserve"> </w:t>
      </w:r>
      <w:r>
        <w:rPr>
          <w:rStyle w:val="normaltextrun"/>
          <w:rFonts w:ascii="Calibri" w:hAnsi="Calibri" w:cs="Calibri"/>
          <w:color w:val="000000"/>
          <w:shd w:val="clear" w:color="auto" w:fill="FFFFFF"/>
        </w:rPr>
        <w:t xml:space="preserve">Department of Treasury and Finance, </w:t>
      </w:r>
      <w:hyperlink r:id="rId66" w:anchor="budget-paper-3-service-delivery" w:tgtFrame="_blank" w:history="1">
        <w:r>
          <w:rPr>
            <w:rStyle w:val="normaltextrun"/>
            <w:rFonts w:ascii="Calibri" w:hAnsi="Calibri" w:cs="Calibri"/>
            <w:i/>
            <w:iCs/>
            <w:color w:val="0563C1"/>
            <w:u w:val="single"/>
            <w:shd w:val="clear" w:color="auto" w:fill="FFFFFF"/>
          </w:rPr>
          <w:t>Victorian Budget  2023–24 – Budget  Paper No. 3</w:t>
        </w:r>
      </w:hyperlink>
      <w:r>
        <w:rPr>
          <w:rStyle w:val="normaltextrun"/>
          <w:rFonts w:ascii="Calibri" w:hAnsi="Calibri" w:cs="Calibri"/>
          <w:color w:val="000000"/>
          <w:shd w:val="clear" w:color="auto" w:fill="FFFFFF"/>
        </w:rPr>
        <w:t xml:space="preserve">, 2023, pp.96, 100, accessed 18 July 2023 </w:t>
      </w:r>
      <w:r>
        <w:rPr>
          <w:szCs w:val="15"/>
        </w:rPr>
        <w:t>(</w:t>
      </w:r>
      <w:hyperlink r:id="rId67" w:history="1">
        <w:r w:rsidRPr="00DB2676">
          <w:rPr>
            <w:rStyle w:val="Hyperlink"/>
          </w:rPr>
          <w:t>https://s3.ap-southeast-2.amazonaws.com/</w:t>
        </w:r>
        <w:r>
          <w:rPr>
            <w:rStyle w:val="Hyperlink"/>
          </w:rPr>
          <w:t xml:space="preserve">Budget </w:t>
        </w:r>
        <w:r w:rsidRPr="00DB2676">
          <w:rPr>
            <w:rStyle w:val="Hyperlink"/>
          </w:rPr>
          <w:t>files202324.</w:t>
        </w:r>
        <w:r>
          <w:rPr>
            <w:rStyle w:val="Hyperlink"/>
          </w:rPr>
          <w:t xml:space="preserve">Budget </w:t>
        </w:r>
        <w:r w:rsidRPr="00DB2676">
          <w:rPr>
            <w:rStyle w:val="Hyperlink"/>
          </w:rPr>
          <w:t>.vic.gov.au/2023</w:t>
        </w:r>
        <w:r>
          <w:rPr>
            <w:rStyle w:val="Hyperlink"/>
          </w:rPr>
          <w:t>–</w:t>
        </w:r>
        <w:r w:rsidRPr="00DB2676">
          <w:rPr>
            <w:rStyle w:val="Hyperlink"/>
          </w:rPr>
          <w:t>24+State+</w:t>
        </w:r>
        <w:r>
          <w:rPr>
            <w:rStyle w:val="Hyperlink"/>
          </w:rPr>
          <w:t xml:space="preserve">Budget </w:t>
        </w:r>
        <w:r w:rsidRPr="00DB2676">
          <w:rPr>
            <w:rStyle w:val="Hyperlink"/>
          </w:rPr>
          <w:t>+-+Service+Delivery.pdf</w:t>
        </w:r>
      </w:hyperlink>
      <w:r w:rsidRPr="004A1190">
        <w:rPr>
          <w:szCs w:val="15"/>
        </w:rPr>
        <w:t>)</w:t>
      </w:r>
      <w:r>
        <w:rPr>
          <w:rStyle w:val="normaltextrun"/>
          <w:rFonts w:ascii="Calibri" w:hAnsi="Calibri" w:cs="Calibri"/>
          <w:color w:val="000000"/>
          <w:shd w:val="clear" w:color="auto" w:fill="FFFFFF"/>
        </w:rPr>
        <w:t>.</w:t>
      </w:r>
    </w:p>
  </w:endnote>
  <w:endnote w:id="47">
    <w:p w14:paraId="5A07E492" w14:textId="77777777" w:rsidR="00373ED9" w:rsidRDefault="00373ED9" w:rsidP="00373ED9">
      <w:pPr>
        <w:pStyle w:val="EndnoteText"/>
      </w:pPr>
      <w:r>
        <w:rPr>
          <w:rStyle w:val="EndnoteReference"/>
        </w:rPr>
        <w:endnoteRef/>
      </w:r>
      <w:r>
        <w:t xml:space="preserve"> Premier of Victoria, </w:t>
      </w:r>
      <w:hyperlink r:id="rId68" w:history="1">
        <w:r w:rsidRPr="00480BD0">
          <w:rPr>
            <w:rStyle w:val="Hyperlink"/>
            <w:i/>
            <w:iCs/>
          </w:rPr>
          <w:t>New public transport ticketing contract</w:t>
        </w:r>
      </w:hyperlink>
      <w:r>
        <w:t xml:space="preserve"> (media release), 15 May 2023, accessed 10 July 2023.</w:t>
      </w:r>
    </w:p>
  </w:endnote>
  <w:endnote w:id="48">
    <w:p w14:paraId="7BD89073" w14:textId="1B4A5A7D" w:rsidR="00373ED9" w:rsidRPr="001B0F62" w:rsidRDefault="00373ED9" w:rsidP="00373ED9">
      <w:pPr>
        <w:pStyle w:val="EndnoteText"/>
      </w:pPr>
      <w:r w:rsidRPr="001B0F62">
        <w:rPr>
          <w:rStyle w:val="EndnoteReference"/>
        </w:rPr>
        <w:endnoteRef/>
      </w:r>
      <w:r w:rsidRPr="001B0F62">
        <w:t xml:space="preserve"> Infrastructure Victoria, </w:t>
      </w:r>
      <w:hyperlink r:id="rId69" w:history="1">
        <w:r w:rsidRPr="001B0F62">
          <w:rPr>
            <w:rStyle w:val="Hyperlink"/>
            <w:i/>
            <w:iCs/>
          </w:rPr>
          <w:t>Victoria’s infrastructure strategy 2021</w:t>
        </w:r>
        <w:r>
          <w:rPr>
            <w:rStyle w:val="Hyperlink"/>
            <w:i/>
            <w:iCs/>
          </w:rPr>
          <w:t>–</w:t>
        </w:r>
        <w:r w:rsidRPr="001B0F62">
          <w:rPr>
            <w:rStyle w:val="Hyperlink"/>
            <w:i/>
            <w:iCs/>
          </w:rPr>
          <w:t>2051</w:t>
        </w:r>
      </w:hyperlink>
      <w:r w:rsidRPr="001B0F62">
        <w:t>, 2021, p.134, accessed 29 June 2023</w:t>
      </w:r>
      <w:r>
        <w:t>.</w:t>
      </w:r>
    </w:p>
  </w:endnote>
  <w:endnote w:id="49">
    <w:p w14:paraId="3E2A7CB2" w14:textId="77777777" w:rsidR="00373ED9" w:rsidRDefault="00373ED9" w:rsidP="00373ED9">
      <w:pPr>
        <w:pStyle w:val="EndnoteText"/>
      </w:pPr>
      <w:r>
        <w:rPr>
          <w:rStyle w:val="EndnoteReference"/>
        </w:rPr>
        <w:endnoteRef/>
      </w:r>
      <w:r>
        <w:t xml:space="preserve"> Minister for Water, </w:t>
      </w:r>
      <w:hyperlink r:id="rId70" w:history="1">
        <w:r w:rsidRPr="00EF14EE">
          <w:rPr>
            <w:rStyle w:val="Hyperlink"/>
            <w:i/>
            <w:iCs/>
          </w:rPr>
          <w:t>Delivering Water Security For Our Future</w:t>
        </w:r>
      </w:hyperlink>
      <w:r>
        <w:t xml:space="preserve"> (media release), 4 September 2022, accessed 27 July 2023.</w:t>
      </w:r>
    </w:p>
  </w:endnote>
  <w:endnote w:id="50">
    <w:p w14:paraId="7EFE884F" w14:textId="77777777" w:rsidR="00373ED9" w:rsidRDefault="00373ED9" w:rsidP="00373ED9">
      <w:pPr>
        <w:pStyle w:val="EndnoteText"/>
      </w:pPr>
      <w:r>
        <w:rPr>
          <w:rStyle w:val="EndnoteReference"/>
        </w:rPr>
        <w:endnoteRef/>
      </w:r>
      <w:r>
        <w:t xml:space="preserve"> Department of Environment, Land, Water and Planning, </w:t>
      </w:r>
      <w:hyperlink r:id="rId71" w:history="1">
        <w:r w:rsidRPr="00EF14EE">
          <w:rPr>
            <w:rStyle w:val="Hyperlink"/>
            <w:i/>
            <w:iCs/>
          </w:rPr>
          <w:t>Central and Gippsland Region Sustainable Water Strategy</w:t>
        </w:r>
      </w:hyperlink>
      <w:r>
        <w:t>, 2022, p. 8, accessed 27 July 2023.</w:t>
      </w:r>
    </w:p>
  </w:endnote>
  <w:endnote w:id="51">
    <w:p w14:paraId="05C04221" w14:textId="77777777" w:rsidR="00373ED9" w:rsidRDefault="00373ED9" w:rsidP="00373ED9">
      <w:pPr>
        <w:pStyle w:val="EndnoteText"/>
      </w:pPr>
      <w:r>
        <w:rPr>
          <w:rStyle w:val="EndnoteReference"/>
        </w:rPr>
        <w:endnoteRef/>
      </w:r>
      <w:r>
        <w:t xml:space="preserve"> Department of Environment, Land, Water and Planning, </w:t>
      </w:r>
      <w:hyperlink r:id="rId72" w:history="1">
        <w:r w:rsidRPr="00EF14EE">
          <w:rPr>
            <w:rStyle w:val="Hyperlink"/>
            <w:i/>
            <w:iCs/>
          </w:rPr>
          <w:t>Central and Gippsland Region Sustainable Water Strategy</w:t>
        </w:r>
      </w:hyperlink>
      <w:r>
        <w:t xml:space="preserve">, 2022, p. </w:t>
      </w:r>
      <w:r w:rsidRPr="0027710A">
        <w:t>312, 313, 332, 334</w:t>
      </w:r>
      <w:r>
        <w:t>, accessed 14 August 2023.</w:t>
      </w:r>
      <w:r w:rsidRPr="0027710A">
        <w:t xml:space="preserve"> </w:t>
      </w:r>
    </w:p>
  </w:endnote>
  <w:endnote w:id="52">
    <w:p w14:paraId="3BB59008" w14:textId="77777777" w:rsidR="00373ED9" w:rsidRPr="00613DB2" w:rsidRDefault="00373ED9" w:rsidP="00373ED9">
      <w:pPr>
        <w:pStyle w:val="EndnoteText"/>
        <w:rPr>
          <w:szCs w:val="15"/>
        </w:rPr>
      </w:pPr>
      <w:r>
        <w:rPr>
          <w:rStyle w:val="EndnoteReference"/>
        </w:rPr>
        <w:endnoteRef/>
      </w:r>
      <w:r>
        <w:t xml:space="preserve"> </w:t>
      </w:r>
      <w:r w:rsidRPr="00613DB2">
        <w:rPr>
          <w:szCs w:val="15"/>
        </w:rPr>
        <w:t>Department of Jobs, Skills, Industry and Regions,</w:t>
      </w:r>
      <w:r w:rsidRPr="00613DB2">
        <w:rPr>
          <w:i/>
          <w:iCs/>
          <w:szCs w:val="15"/>
        </w:rPr>
        <w:t xml:space="preserve"> </w:t>
      </w:r>
      <w:hyperlink r:id="rId73" w:history="1">
        <w:r>
          <w:rPr>
            <w:rStyle w:val="Hyperlink"/>
            <w:i/>
            <w:iCs/>
            <w:szCs w:val="15"/>
          </w:rPr>
          <w:t>Experience Victoria 2033: our strategic plan for a thriving visitor economy</w:t>
        </w:r>
      </w:hyperlink>
      <w:r>
        <w:rPr>
          <w:szCs w:val="15"/>
        </w:rPr>
        <w:t xml:space="preserve">, n.d., </w:t>
      </w:r>
      <w:r w:rsidRPr="00613DB2">
        <w:rPr>
          <w:szCs w:val="15"/>
        </w:rPr>
        <w:t>accessed 11 July 2023</w:t>
      </w:r>
      <w:r>
        <w:rPr>
          <w:szCs w:val="15"/>
        </w:rPr>
        <w:t>.</w:t>
      </w:r>
    </w:p>
  </w:endnote>
  <w:endnote w:id="53">
    <w:p w14:paraId="3F63448B" w14:textId="77777777" w:rsidR="00373ED9" w:rsidRDefault="00373ED9" w:rsidP="00373ED9">
      <w:pPr>
        <w:pStyle w:val="EndnoteText"/>
      </w:pPr>
      <w:r>
        <w:rPr>
          <w:rStyle w:val="EndnoteReference"/>
        </w:rPr>
        <w:endnoteRef/>
      </w:r>
      <w:r>
        <w:t xml:space="preserve"> </w:t>
      </w:r>
      <w:r w:rsidRPr="00613DB2">
        <w:rPr>
          <w:szCs w:val="15"/>
        </w:rPr>
        <w:t>Department of Jobs, Skills, Industry and Regions,</w:t>
      </w:r>
      <w:r w:rsidRPr="00613DB2">
        <w:rPr>
          <w:i/>
          <w:iCs/>
          <w:szCs w:val="15"/>
        </w:rPr>
        <w:t xml:space="preserve"> </w:t>
      </w:r>
      <w:hyperlink r:id="rId74" w:history="1">
        <w:r>
          <w:rPr>
            <w:rStyle w:val="Hyperlink"/>
            <w:i/>
            <w:iCs/>
            <w:szCs w:val="15"/>
          </w:rPr>
          <w:t>Experience Victoria 2033: our strategic plan for a thriving visitor economy</w:t>
        </w:r>
      </w:hyperlink>
      <w:r>
        <w:rPr>
          <w:szCs w:val="15"/>
        </w:rPr>
        <w:t xml:space="preserve">, n.d., p. 9, </w:t>
      </w:r>
      <w:r w:rsidRPr="00613DB2">
        <w:rPr>
          <w:szCs w:val="15"/>
        </w:rPr>
        <w:t xml:space="preserve">accessed </w:t>
      </w:r>
      <w:r>
        <w:rPr>
          <w:szCs w:val="15"/>
        </w:rPr>
        <w:t>14 August</w:t>
      </w:r>
      <w:r w:rsidRPr="00613DB2">
        <w:rPr>
          <w:szCs w:val="15"/>
        </w:rPr>
        <w:t xml:space="preserve"> 2023</w:t>
      </w:r>
      <w:r>
        <w:rPr>
          <w:szCs w:val="15"/>
        </w:rPr>
        <w:t>.</w:t>
      </w:r>
    </w:p>
  </w:endnote>
  <w:endnote w:id="54">
    <w:p w14:paraId="5E4966D4" w14:textId="77777777" w:rsidR="00373ED9" w:rsidRDefault="00373ED9" w:rsidP="00373ED9">
      <w:pPr>
        <w:pStyle w:val="EndnoteText"/>
      </w:pPr>
      <w:r>
        <w:rPr>
          <w:rStyle w:val="EndnoteReference"/>
        </w:rPr>
        <w:endnoteRef/>
      </w:r>
      <w:r>
        <w:t xml:space="preserve"> Department of Premier and Cabinet, </w:t>
      </w:r>
      <w:hyperlink r:id="rId75" w:history="1">
        <w:r w:rsidRPr="00CE5E4B">
          <w:rPr>
            <w:rStyle w:val="Hyperlink"/>
            <w:i/>
            <w:iCs/>
          </w:rPr>
          <w:t>The Victorian Closing the Gap Implementation Plan 2021</w:t>
        </w:r>
        <w:r>
          <w:rPr>
            <w:rStyle w:val="Hyperlink"/>
            <w:i/>
            <w:iCs/>
          </w:rPr>
          <w:t>–</w:t>
        </w:r>
        <w:r w:rsidRPr="00CE5E4B">
          <w:rPr>
            <w:rStyle w:val="Hyperlink"/>
            <w:i/>
            <w:iCs/>
          </w:rPr>
          <w:t>2023</w:t>
        </w:r>
      </w:hyperlink>
      <w:r>
        <w:t>, 2021, accessed 10 August 2023.</w:t>
      </w:r>
    </w:p>
  </w:endnote>
  <w:endnote w:id="55">
    <w:p w14:paraId="40FAC728" w14:textId="77777777" w:rsidR="00373ED9" w:rsidRDefault="00373ED9" w:rsidP="00373ED9">
      <w:pPr>
        <w:pStyle w:val="EndnoteText"/>
      </w:pPr>
      <w:r>
        <w:rPr>
          <w:rStyle w:val="EndnoteReference"/>
        </w:rPr>
        <w:endnoteRef/>
      </w:r>
      <w:r>
        <w:t xml:space="preserve"> Minister for Water, </w:t>
      </w:r>
      <w:hyperlink r:id="rId76" w:history="1">
        <w:r w:rsidRPr="00AA70BF">
          <w:rPr>
            <w:rStyle w:val="Hyperlink"/>
            <w:i/>
            <w:iCs/>
          </w:rPr>
          <w:t>Water is Life – Part of Victoria’s Water Future</w:t>
        </w:r>
      </w:hyperlink>
      <w:r>
        <w:t xml:space="preserve"> (media release), 29 September 2022, accessed 26 July 2023.</w:t>
      </w:r>
    </w:p>
  </w:endnote>
  <w:endnote w:id="56">
    <w:p w14:paraId="6FB711D6" w14:textId="77777777" w:rsidR="00373ED9" w:rsidRPr="00CB31B1" w:rsidRDefault="00373ED9" w:rsidP="00373ED9">
      <w:pPr>
        <w:pStyle w:val="EndnoteText"/>
        <w:rPr>
          <w:rFonts w:cstheme="minorHAnsi"/>
          <w:szCs w:val="15"/>
        </w:rPr>
      </w:pPr>
      <w:r w:rsidRPr="00CB31B1">
        <w:rPr>
          <w:rStyle w:val="EndnoteReference"/>
          <w:rFonts w:cstheme="minorHAnsi"/>
          <w:szCs w:val="15"/>
        </w:rPr>
        <w:endnoteRef/>
      </w:r>
      <w:r w:rsidRPr="00CB31B1">
        <w:rPr>
          <w:rFonts w:cstheme="minorHAnsi"/>
          <w:szCs w:val="15"/>
        </w:rPr>
        <w:t xml:space="preserve"> Premier of Victoria, </w:t>
      </w:r>
      <w:hyperlink r:id="rId77" w:history="1">
        <w:r w:rsidRPr="00CE5E4B">
          <w:rPr>
            <w:rStyle w:val="Hyperlink"/>
          </w:rPr>
          <w:t>Boost for Aboriginal Housing Services</w:t>
        </w:r>
      </w:hyperlink>
      <w:r w:rsidRPr="00CB31B1">
        <w:rPr>
          <w:rFonts w:cstheme="minorHAnsi"/>
          <w:szCs w:val="15"/>
        </w:rPr>
        <w:t xml:space="preserve"> (media release), 19 May 2023, accessed 10 July 2023. </w:t>
      </w:r>
    </w:p>
  </w:endnote>
  <w:endnote w:id="57">
    <w:p w14:paraId="5D342372" w14:textId="77777777" w:rsidR="00373ED9" w:rsidRPr="006967A4" w:rsidRDefault="00373ED9" w:rsidP="00373ED9">
      <w:pPr>
        <w:pStyle w:val="EndnoteText"/>
        <w:rPr>
          <w:szCs w:val="15"/>
        </w:rPr>
      </w:pPr>
      <w:r w:rsidRPr="006967A4">
        <w:rPr>
          <w:rStyle w:val="EndnoteReference"/>
          <w:szCs w:val="15"/>
        </w:rPr>
        <w:endnoteRef/>
      </w:r>
      <w:r w:rsidRPr="006967A4">
        <w:rPr>
          <w:szCs w:val="15"/>
        </w:rPr>
        <w:t xml:space="preserve"> </w:t>
      </w:r>
      <w:bookmarkStart w:id="51" w:name="_Hlk141199755"/>
      <w:r w:rsidRPr="006967A4">
        <w:rPr>
          <w:szCs w:val="15"/>
        </w:rPr>
        <w:t xml:space="preserve">Department of Treasury and Finance, </w:t>
      </w:r>
      <w:hyperlink r:id="rId78" w:anchor="budget-paper-3-service-delivery" w:history="1">
        <w:r w:rsidRPr="00F4545A">
          <w:rPr>
            <w:rStyle w:val="Hyperlink"/>
            <w:i/>
            <w:iCs/>
            <w:szCs w:val="15"/>
          </w:rPr>
          <w:t>Victorian Budget  2023</w:t>
        </w:r>
        <w:r>
          <w:rPr>
            <w:rStyle w:val="Hyperlink"/>
            <w:i/>
            <w:iCs/>
            <w:szCs w:val="15"/>
          </w:rPr>
          <w:t>–</w:t>
        </w:r>
        <w:r w:rsidRPr="00F4545A">
          <w:rPr>
            <w:rStyle w:val="Hyperlink"/>
            <w:i/>
            <w:iCs/>
            <w:szCs w:val="15"/>
          </w:rPr>
          <w:t xml:space="preserve">24 – Budget  Paper No. </w:t>
        </w:r>
        <w:bookmarkEnd w:id="51"/>
        <w:r w:rsidRPr="00F4545A">
          <w:rPr>
            <w:rStyle w:val="Hyperlink"/>
            <w:i/>
            <w:iCs/>
            <w:szCs w:val="15"/>
          </w:rPr>
          <w:t>3</w:t>
        </w:r>
      </w:hyperlink>
      <w:r w:rsidRPr="006967A4">
        <w:rPr>
          <w:szCs w:val="15"/>
        </w:rPr>
        <w:t>, 202</w:t>
      </w:r>
      <w:r>
        <w:rPr>
          <w:szCs w:val="15"/>
        </w:rPr>
        <w:t>3</w:t>
      </w:r>
      <w:r w:rsidRPr="006967A4">
        <w:rPr>
          <w:szCs w:val="15"/>
        </w:rPr>
        <w:t>, p</w:t>
      </w:r>
      <w:r>
        <w:rPr>
          <w:szCs w:val="15"/>
        </w:rPr>
        <w:t xml:space="preserve">. </w:t>
      </w:r>
      <w:r w:rsidRPr="006967A4">
        <w:rPr>
          <w:szCs w:val="15"/>
        </w:rPr>
        <w:t>3,</w:t>
      </w:r>
      <w:r>
        <w:rPr>
          <w:szCs w:val="15"/>
        </w:rPr>
        <w:t>(</w:t>
      </w:r>
      <w:hyperlink r:id="rId79" w:history="1">
        <w:r w:rsidRPr="00966BB4">
          <w:rPr>
            <w:rStyle w:val="Hyperlink"/>
            <w:rFonts w:eastAsiaTheme="majorEastAsia"/>
            <w:szCs w:val="15"/>
          </w:rPr>
          <w:t>https://s3.ap-southeast-2.amazonaws.com/Budget files202223.Budget .vic.gov.au/2022</w:t>
        </w:r>
        <w:r>
          <w:rPr>
            <w:rStyle w:val="Hyperlink"/>
            <w:rFonts w:eastAsiaTheme="majorEastAsia"/>
            <w:szCs w:val="15"/>
          </w:rPr>
          <w:t>–</w:t>
        </w:r>
        <w:r w:rsidRPr="00966BB4">
          <w:rPr>
            <w:rStyle w:val="Hyperlink"/>
            <w:rFonts w:eastAsiaTheme="majorEastAsia"/>
            <w:szCs w:val="15"/>
          </w:rPr>
          <w:t>23+State+Budget +-+Service+Delivery.pdf</w:t>
        </w:r>
      </w:hyperlink>
      <w:r>
        <w:rPr>
          <w:szCs w:val="15"/>
        </w:rPr>
        <w:t>).</w:t>
      </w:r>
    </w:p>
  </w:endnote>
  <w:endnote w:id="58">
    <w:p w14:paraId="3440AB0D" w14:textId="77777777" w:rsidR="00373ED9" w:rsidRPr="00EC4C3F" w:rsidRDefault="00373ED9" w:rsidP="00373ED9">
      <w:pPr>
        <w:pStyle w:val="EndnoteText"/>
      </w:pPr>
      <w:r w:rsidRPr="00EC4C3F">
        <w:rPr>
          <w:rStyle w:val="EndnoteReference"/>
        </w:rPr>
        <w:endnoteRef/>
      </w:r>
      <w:r w:rsidRPr="00EC4C3F">
        <w:t xml:space="preserve"> Infrastructure Victoria, </w:t>
      </w:r>
      <w:hyperlink r:id="rId80" w:history="1">
        <w:r w:rsidRPr="002811F2">
          <w:rPr>
            <w:rStyle w:val="Hyperlink"/>
            <w:i/>
            <w:iCs/>
            <w:szCs w:val="15"/>
          </w:rPr>
          <w:t>Victoria’s infrastructure strategy 2021</w:t>
        </w:r>
        <w:r>
          <w:rPr>
            <w:rStyle w:val="Hyperlink"/>
            <w:i/>
            <w:iCs/>
            <w:szCs w:val="15"/>
          </w:rPr>
          <w:t>–</w:t>
        </w:r>
        <w:r w:rsidRPr="002811F2">
          <w:rPr>
            <w:rStyle w:val="Hyperlink"/>
            <w:i/>
            <w:iCs/>
            <w:szCs w:val="15"/>
          </w:rPr>
          <w:t>2051</w:t>
        </w:r>
      </w:hyperlink>
      <w:r w:rsidRPr="00EC4C3F">
        <w:rPr>
          <w:i/>
          <w:iCs/>
        </w:rPr>
        <w:t>,</w:t>
      </w:r>
      <w:r w:rsidRPr="00EC4C3F">
        <w:t xml:space="preserve"> 2021, p. 188,</w:t>
      </w:r>
      <w:r>
        <w:t xml:space="preserve"> accessed 7 August 2023.</w:t>
      </w:r>
    </w:p>
  </w:endnote>
  <w:endnote w:id="59">
    <w:p w14:paraId="2FEED502" w14:textId="77777777" w:rsidR="00373ED9" w:rsidRPr="001B0F62" w:rsidRDefault="00373ED9" w:rsidP="00373ED9">
      <w:pPr>
        <w:pStyle w:val="EndnoteText"/>
      </w:pPr>
      <w:r w:rsidRPr="001B0F62">
        <w:rPr>
          <w:rStyle w:val="EndnoteReference"/>
        </w:rPr>
        <w:endnoteRef/>
      </w:r>
      <w:r w:rsidRPr="001B0F62">
        <w:t xml:space="preserve"> Infrastructure Victoria, </w:t>
      </w:r>
      <w:hyperlink r:id="rId81" w:history="1">
        <w:r w:rsidRPr="001B0F62">
          <w:rPr>
            <w:rStyle w:val="Hyperlink"/>
            <w:i/>
            <w:iCs/>
          </w:rPr>
          <w:t>Victoria’s infrastructure strategy 2021</w:t>
        </w:r>
        <w:r>
          <w:rPr>
            <w:rStyle w:val="Hyperlink"/>
            <w:i/>
            <w:iCs/>
          </w:rPr>
          <w:t>–</w:t>
        </w:r>
        <w:r w:rsidRPr="001B0F62">
          <w:rPr>
            <w:rStyle w:val="Hyperlink"/>
            <w:i/>
            <w:iCs/>
          </w:rPr>
          <w:t>2051</w:t>
        </w:r>
      </w:hyperlink>
      <w:r w:rsidRPr="001B0F62">
        <w:t>, 2021, p.1</w:t>
      </w:r>
      <w:r>
        <w:t>47</w:t>
      </w:r>
      <w:r w:rsidRPr="001B0F62">
        <w:t xml:space="preserve">, accessed </w:t>
      </w:r>
      <w:r>
        <w:t xml:space="preserve">10 August </w:t>
      </w:r>
      <w:r w:rsidRPr="001B0F62">
        <w:t>2023</w:t>
      </w:r>
      <w:r>
        <w:t>.</w:t>
      </w:r>
    </w:p>
  </w:endnote>
  <w:endnote w:id="60">
    <w:p w14:paraId="786E8BE9" w14:textId="77777777" w:rsidR="00373ED9" w:rsidRPr="001B0F62" w:rsidRDefault="00373ED9" w:rsidP="00373ED9">
      <w:pPr>
        <w:pStyle w:val="EndnoteText"/>
      </w:pPr>
      <w:r w:rsidRPr="001B0F62">
        <w:rPr>
          <w:rStyle w:val="EndnoteReference"/>
        </w:rPr>
        <w:endnoteRef/>
      </w:r>
      <w:r w:rsidRPr="001B0F62">
        <w:t xml:space="preserve"> Infrastructure Victoria, </w:t>
      </w:r>
      <w:hyperlink r:id="rId82" w:history="1">
        <w:r w:rsidRPr="001B0F62">
          <w:rPr>
            <w:rStyle w:val="Hyperlink"/>
            <w:i/>
            <w:iCs/>
          </w:rPr>
          <w:t>Victoria’s infrastructure strategy 2021</w:t>
        </w:r>
        <w:r>
          <w:rPr>
            <w:rStyle w:val="Hyperlink"/>
            <w:i/>
            <w:iCs/>
          </w:rPr>
          <w:t>–</w:t>
        </w:r>
        <w:r w:rsidRPr="001B0F62">
          <w:rPr>
            <w:rStyle w:val="Hyperlink"/>
            <w:i/>
            <w:iCs/>
          </w:rPr>
          <w:t>2051</w:t>
        </w:r>
      </w:hyperlink>
      <w:r w:rsidRPr="001B0F62">
        <w:t>, 2021, p.1</w:t>
      </w:r>
      <w:r>
        <w:t>17</w:t>
      </w:r>
      <w:r w:rsidRPr="001B0F62">
        <w:t xml:space="preserve">, accessed </w:t>
      </w:r>
      <w:r>
        <w:t xml:space="preserve">10 August </w:t>
      </w:r>
      <w:r w:rsidRPr="001B0F62">
        <w:t>2023</w:t>
      </w:r>
      <w:r>
        <w:t>.</w:t>
      </w:r>
    </w:p>
  </w:endnote>
  <w:endnote w:id="61">
    <w:p w14:paraId="43FA4FD9" w14:textId="77777777" w:rsidR="00373ED9" w:rsidRPr="001B0F62" w:rsidRDefault="00373ED9" w:rsidP="00373ED9">
      <w:pPr>
        <w:pStyle w:val="EndnoteText"/>
      </w:pPr>
      <w:r w:rsidRPr="001B0F62">
        <w:rPr>
          <w:rStyle w:val="EndnoteReference"/>
        </w:rPr>
        <w:endnoteRef/>
      </w:r>
      <w:r w:rsidRPr="001B0F62">
        <w:t xml:space="preserve"> Infrastructure Victoria, </w:t>
      </w:r>
      <w:hyperlink r:id="rId83" w:history="1">
        <w:r w:rsidRPr="001B0F62">
          <w:rPr>
            <w:rStyle w:val="Hyperlink"/>
            <w:i/>
            <w:iCs/>
          </w:rPr>
          <w:t>Victoria’s infrastructure strategy 2021</w:t>
        </w:r>
        <w:r>
          <w:rPr>
            <w:rStyle w:val="Hyperlink"/>
            <w:i/>
            <w:iCs/>
          </w:rPr>
          <w:t>–</w:t>
        </w:r>
        <w:r w:rsidRPr="001B0F62">
          <w:rPr>
            <w:rStyle w:val="Hyperlink"/>
            <w:i/>
            <w:iCs/>
          </w:rPr>
          <w:t>2051</w:t>
        </w:r>
      </w:hyperlink>
      <w:r w:rsidRPr="001B0F62">
        <w:t>, 2021, p.1</w:t>
      </w:r>
      <w:r>
        <w:t>16</w:t>
      </w:r>
      <w:r w:rsidRPr="001B0F62">
        <w:t xml:space="preserve">, accessed </w:t>
      </w:r>
      <w:r>
        <w:t xml:space="preserve">10 August </w:t>
      </w:r>
      <w:r w:rsidRPr="001B0F62">
        <w:t>2023</w:t>
      </w:r>
      <w:r>
        <w:t>.</w:t>
      </w:r>
    </w:p>
  </w:endnote>
  <w:endnote w:id="62">
    <w:p w14:paraId="74D60861" w14:textId="77777777" w:rsidR="00373ED9" w:rsidRPr="007D6545" w:rsidRDefault="00373ED9" w:rsidP="00373ED9">
      <w:pPr>
        <w:pStyle w:val="EndnoteText"/>
        <w:rPr>
          <w:i/>
          <w:iCs/>
        </w:rPr>
      </w:pPr>
      <w:r>
        <w:rPr>
          <w:rStyle w:val="EndnoteReference"/>
        </w:rPr>
        <w:endnoteRef/>
      </w:r>
      <w:r>
        <w:t xml:space="preserve"> Infrastructure Victoria, </w:t>
      </w:r>
      <w:hyperlink r:id="rId84" w:history="1">
        <w:r w:rsidRPr="007D6545">
          <w:rPr>
            <w:rStyle w:val="Hyperlink"/>
            <w:i/>
            <w:iCs/>
          </w:rPr>
          <w:t>Our home choices: how more housing options can make better use of Victoria’s existing infrastructure</w:t>
        </w:r>
      </w:hyperlink>
      <w:r>
        <w:t>, 2023, p. 5, accessed 17 August 2023.</w:t>
      </w:r>
    </w:p>
  </w:endnote>
  <w:endnote w:id="63">
    <w:p w14:paraId="520C5531" w14:textId="77777777" w:rsidR="00373ED9" w:rsidRPr="007D6545" w:rsidRDefault="00373ED9" w:rsidP="00373ED9">
      <w:pPr>
        <w:pStyle w:val="EndnoteText"/>
        <w:rPr>
          <w:i/>
          <w:iCs/>
        </w:rPr>
      </w:pPr>
      <w:r>
        <w:rPr>
          <w:rStyle w:val="EndnoteReference"/>
        </w:rPr>
        <w:endnoteRef/>
      </w:r>
      <w:r>
        <w:t xml:space="preserve"> Infrastructure Victoria, </w:t>
      </w:r>
      <w:hyperlink r:id="rId85" w:history="1">
        <w:r w:rsidRPr="007D6545">
          <w:rPr>
            <w:rStyle w:val="Hyperlink"/>
            <w:i/>
            <w:iCs/>
          </w:rPr>
          <w:t>Our home choices: how more housing options can make better use of Victoria’s existing infrastructure</w:t>
        </w:r>
      </w:hyperlink>
      <w:r>
        <w:t>, 2023, p. 5, accessed 17 August 2023.</w:t>
      </w:r>
    </w:p>
  </w:endnote>
  <w:endnote w:id="64">
    <w:p w14:paraId="3E2D1E7B" w14:textId="77777777" w:rsidR="00373ED9" w:rsidRPr="00EC4C3F" w:rsidRDefault="00373ED9" w:rsidP="00373ED9">
      <w:pPr>
        <w:pStyle w:val="EndnoteText"/>
      </w:pPr>
      <w:r w:rsidRPr="00EC4C3F">
        <w:rPr>
          <w:rStyle w:val="EndnoteReference"/>
          <w:rFonts w:eastAsiaTheme="majorEastAsia"/>
        </w:rPr>
        <w:endnoteRef/>
      </w:r>
      <w:r w:rsidRPr="00EC4C3F">
        <w:t xml:space="preserve"> Department of Transport, </w:t>
      </w:r>
      <w:hyperlink r:id="rId86" w:history="1">
        <w:r w:rsidRPr="00763F3C">
          <w:rPr>
            <w:rStyle w:val="Hyperlink"/>
            <w:i/>
            <w:iCs/>
          </w:rPr>
          <w:t>Department of Transport Strategic Plan 2022</w:t>
        </w:r>
        <w:r>
          <w:rPr>
            <w:rStyle w:val="Hyperlink"/>
            <w:i/>
            <w:iCs/>
          </w:rPr>
          <w:t>–</w:t>
        </w:r>
        <w:r w:rsidRPr="00763F3C">
          <w:rPr>
            <w:rStyle w:val="Hyperlink"/>
            <w:i/>
            <w:iCs/>
          </w:rPr>
          <w:t>2026</w:t>
        </w:r>
      </w:hyperlink>
      <w:r w:rsidRPr="00EC4C3F">
        <w:t>, 202</w:t>
      </w:r>
      <w:r>
        <w:t>2</w:t>
      </w:r>
      <w:r w:rsidRPr="00EC4C3F">
        <w:t xml:space="preserve">, </w:t>
      </w:r>
      <w:r w:rsidRPr="005A60C3">
        <w:t>p. 18</w:t>
      </w:r>
      <w:r w:rsidRPr="00EC4C3F">
        <w:t>,</w:t>
      </w:r>
      <w:r>
        <w:t xml:space="preserve"> accessed 20 July 2023.</w:t>
      </w:r>
    </w:p>
  </w:endnote>
  <w:endnote w:id="65">
    <w:p w14:paraId="63F71AD1" w14:textId="77777777" w:rsidR="00373ED9" w:rsidRDefault="00373ED9" w:rsidP="00373ED9">
      <w:pPr>
        <w:pStyle w:val="EndnoteText"/>
      </w:pPr>
      <w:r>
        <w:rPr>
          <w:rStyle w:val="EndnoteReference"/>
        </w:rPr>
        <w:endnoteRef/>
      </w:r>
      <w:r>
        <w:t xml:space="preserve"> Australian Minister for Infrastructure, Transport, Regional Development and Local Government, </w:t>
      </w:r>
      <w:hyperlink r:id="rId87" w:history="1">
        <w:r w:rsidRPr="00E27A36">
          <w:rPr>
            <w:rStyle w:val="Hyperlink"/>
            <w:i/>
            <w:iCs/>
          </w:rPr>
          <w:t>Securing Australia’s $120 billion nation-building infrastructure pipeline</w:t>
        </w:r>
      </w:hyperlink>
      <w:r>
        <w:t xml:space="preserve"> (media release), 1 May 2023, accessed 20 July 2023.</w:t>
      </w:r>
    </w:p>
  </w:endnote>
  <w:endnote w:id="66">
    <w:p w14:paraId="19CC9E5E" w14:textId="77777777" w:rsidR="00373ED9" w:rsidRDefault="00373ED9" w:rsidP="00373ED9">
      <w:pPr>
        <w:pStyle w:val="EndnoteText"/>
      </w:pPr>
      <w:r>
        <w:rPr>
          <w:rStyle w:val="EndnoteReference"/>
        </w:rPr>
        <w:endnoteRef/>
      </w:r>
      <w:r>
        <w:t xml:space="preserve"> Australian Government Department of Infrastructure, Transport, Regional Development, Communications and the Arts, </w:t>
      </w:r>
      <w:hyperlink r:id="rId88" w:history="1">
        <w:r w:rsidRPr="00E27A36">
          <w:rPr>
            <w:rStyle w:val="Hyperlink"/>
            <w:i/>
            <w:iCs/>
          </w:rPr>
          <w:t>Infrastructure Investment Program Strategic Review</w:t>
        </w:r>
      </w:hyperlink>
      <w:r>
        <w:t xml:space="preserve"> (website), accessed 20 July 2023.</w:t>
      </w:r>
    </w:p>
  </w:endnote>
  <w:endnote w:id="67">
    <w:p w14:paraId="59E438D7" w14:textId="77777777" w:rsidR="00373ED9" w:rsidRPr="001B0F62" w:rsidRDefault="00373ED9" w:rsidP="00373ED9">
      <w:pPr>
        <w:pStyle w:val="EndnoteText"/>
      </w:pPr>
      <w:r w:rsidRPr="001B0F62">
        <w:rPr>
          <w:rStyle w:val="EndnoteReference"/>
        </w:rPr>
        <w:endnoteRef/>
      </w:r>
      <w:r w:rsidRPr="001B0F62">
        <w:t xml:space="preserve"> </w:t>
      </w:r>
      <w:r>
        <w:t xml:space="preserve">Australian Government </w:t>
      </w:r>
      <w:r w:rsidRPr="001B0F62">
        <w:t xml:space="preserve">Department of Infrastructure, Transport, Regional Development and the Arts, </w:t>
      </w:r>
      <w:hyperlink r:id="rId89" w:history="1">
        <w:r w:rsidRPr="001B0F62">
          <w:rPr>
            <w:rStyle w:val="Hyperlink"/>
            <w:i/>
            <w:iCs/>
          </w:rPr>
          <w:t>Australian infrastructure and transport statistics - yearbook 2022</w:t>
        </w:r>
      </w:hyperlink>
      <w:r w:rsidRPr="001B0F62">
        <w:t>, 2022, p.158, accessed 10 July 2023</w:t>
      </w:r>
      <w:r>
        <w:t>.</w:t>
      </w:r>
    </w:p>
  </w:endnote>
  <w:endnote w:id="68">
    <w:p w14:paraId="23656EE4" w14:textId="77777777" w:rsidR="00373ED9" w:rsidRPr="001B0F62" w:rsidRDefault="00373ED9" w:rsidP="00373ED9">
      <w:pPr>
        <w:pStyle w:val="EndnoteText"/>
      </w:pPr>
      <w:r w:rsidRPr="001B0F62">
        <w:rPr>
          <w:rStyle w:val="EndnoteReference"/>
        </w:rPr>
        <w:endnoteRef/>
      </w:r>
      <w:r w:rsidRPr="001B0F62">
        <w:t xml:space="preserve"> </w:t>
      </w:r>
      <w:r>
        <w:t xml:space="preserve">Australian Government </w:t>
      </w:r>
      <w:r w:rsidRPr="001B0F62">
        <w:t xml:space="preserve">Department of Infrastructure, Transport, Regional Development and the Arts, </w:t>
      </w:r>
      <w:hyperlink r:id="rId90" w:history="1">
        <w:r w:rsidRPr="001B0F62">
          <w:rPr>
            <w:rStyle w:val="Hyperlink"/>
            <w:i/>
            <w:iCs/>
          </w:rPr>
          <w:t>Australian infrastructure and transport statistics - yearbook 2022</w:t>
        </w:r>
      </w:hyperlink>
      <w:r w:rsidRPr="001B0F62">
        <w:t>, 2022, p.158, accessed 10 July 2023</w:t>
      </w:r>
      <w:r>
        <w:t>.</w:t>
      </w:r>
    </w:p>
  </w:endnote>
  <w:endnote w:id="69">
    <w:p w14:paraId="055BF20E" w14:textId="77777777" w:rsidR="00373ED9" w:rsidRPr="001B0F62" w:rsidRDefault="00373ED9" w:rsidP="00373ED9">
      <w:pPr>
        <w:pStyle w:val="EndnoteText"/>
      </w:pPr>
      <w:r w:rsidRPr="001B0F62">
        <w:rPr>
          <w:rStyle w:val="EndnoteReference"/>
        </w:rPr>
        <w:endnoteRef/>
      </w:r>
      <w:r w:rsidRPr="001B0F62">
        <w:t xml:space="preserve"> Infrastructure Victoria, </w:t>
      </w:r>
      <w:hyperlink r:id="rId91" w:history="1">
        <w:r w:rsidRPr="001B0F62">
          <w:rPr>
            <w:rStyle w:val="Hyperlink"/>
            <w:i/>
            <w:iCs/>
          </w:rPr>
          <w:t>Victoria’s infrastructure strategy 2021</w:t>
        </w:r>
        <w:r>
          <w:rPr>
            <w:rStyle w:val="Hyperlink"/>
            <w:i/>
            <w:iCs/>
          </w:rPr>
          <w:t>–</w:t>
        </w:r>
        <w:r w:rsidRPr="001B0F62">
          <w:rPr>
            <w:rStyle w:val="Hyperlink"/>
            <w:i/>
            <w:iCs/>
          </w:rPr>
          <w:t>2051</w:t>
        </w:r>
      </w:hyperlink>
      <w:r w:rsidRPr="001B0F62">
        <w:t>, 2021, p.218, accessed 10 July 2023</w:t>
      </w:r>
      <w:r>
        <w:t>.</w:t>
      </w:r>
    </w:p>
  </w:endnote>
  <w:endnote w:id="70">
    <w:p w14:paraId="3361B2AB" w14:textId="77777777" w:rsidR="00373ED9" w:rsidRDefault="00373ED9" w:rsidP="00373ED9">
      <w:pPr>
        <w:pStyle w:val="EndnoteText"/>
      </w:pPr>
      <w:r>
        <w:rPr>
          <w:rStyle w:val="EndnoteReference"/>
        </w:rPr>
        <w:endnoteRef/>
      </w:r>
      <w:r>
        <w:t xml:space="preserve"> </w:t>
      </w:r>
      <w:r w:rsidRPr="001B0F62">
        <w:rPr>
          <w:rStyle w:val="normaltextrun"/>
          <w:rFonts w:ascii="Calibri" w:hAnsi="Calibri" w:cs="Calibri"/>
          <w:color w:val="000000"/>
          <w:shd w:val="clear" w:color="auto" w:fill="FFFFFF"/>
        </w:rPr>
        <w:t xml:space="preserve">Department of Treasury and Finance, </w:t>
      </w:r>
      <w:hyperlink r:id="rId92" w:anchor="budget-paper-3-service-delivery" w:tgtFrame="_blank" w:history="1">
        <w:r w:rsidRPr="001B0F62">
          <w:rPr>
            <w:rStyle w:val="normaltextrun"/>
            <w:rFonts w:ascii="Calibri" w:hAnsi="Calibri" w:cs="Calibri"/>
            <w:i/>
            <w:iCs/>
            <w:color w:val="0563C1"/>
            <w:u w:val="single"/>
            <w:shd w:val="clear" w:color="auto" w:fill="FFFFFF"/>
          </w:rPr>
          <w:t xml:space="preserve">Victorian </w:t>
        </w:r>
        <w:r>
          <w:rPr>
            <w:rStyle w:val="normaltextrun"/>
            <w:rFonts w:ascii="Calibri" w:hAnsi="Calibri" w:cs="Calibri"/>
            <w:i/>
            <w:iCs/>
            <w:color w:val="0563C1"/>
            <w:u w:val="single"/>
            <w:shd w:val="clear" w:color="auto" w:fill="FFFFFF"/>
          </w:rPr>
          <w:t xml:space="preserve">Budget </w:t>
        </w:r>
        <w:r w:rsidRPr="001B0F62">
          <w:rPr>
            <w:rStyle w:val="normaltextrun"/>
            <w:rFonts w:ascii="Calibri" w:hAnsi="Calibri" w:cs="Calibri"/>
            <w:i/>
            <w:iCs/>
            <w:color w:val="0563C1"/>
            <w:u w:val="single"/>
            <w:shd w:val="clear" w:color="auto" w:fill="FFFFFF"/>
          </w:rPr>
          <w:t xml:space="preserve"> 2023</w:t>
        </w:r>
        <w:r>
          <w:rPr>
            <w:rStyle w:val="normaltextrun"/>
            <w:rFonts w:ascii="Calibri" w:hAnsi="Calibri" w:cs="Calibri"/>
            <w:i/>
            <w:iCs/>
            <w:color w:val="0563C1"/>
            <w:u w:val="single"/>
            <w:shd w:val="clear" w:color="auto" w:fill="FFFFFF"/>
          </w:rPr>
          <w:t>–</w:t>
        </w:r>
        <w:r w:rsidRPr="001B0F62">
          <w:rPr>
            <w:rStyle w:val="normaltextrun"/>
            <w:rFonts w:ascii="Calibri" w:hAnsi="Calibri" w:cs="Calibri"/>
            <w:i/>
            <w:iCs/>
            <w:color w:val="0563C1"/>
            <w:u w:val="single"/>
            <w:shd w:val="clear" w:color="auto" w:fill="FFFFFF"/>
          </w:rPr>
          <w:t xml:space="preserve">24 – </w:t>
        </w:r>
        <w:r>
          <w:rPr>
            <w:rStyle w:val="normaltextrun"/>
            <w:rFonts w:ascii="Calibri" w:hAnsi="Calibri" w:cs="Calibri"/>
            <w:i/>
            <w:iCs/>
            <w:color w:val="0563C1"/>
            <w:u w:val="single"/>
            <w:shd w:val="clear" w:color="auto" w:fill="FFFFFF"/>
          </w:rPr>
          <w:t xml:space="preserve">Budget </w:t>
        </w:r>
        <w:r w:rsidRPr="001B0F62">
          <w:rPr>
            <w:rStyle w:val="normaltextrun"/>
            <w:rFonts w:ascii="Calibri" w:hAnsi="Calibri" w:cs="Calibri"/>
            <w:i/>
            <w:iCs/>
            <w:color w:val="0563C1"/>
            <w:u w:val="single"/>
            <w:shd w:val="clear" w:color="auto" w:fill="FFFFFF"/>
          </w:rPr>
          <w:t xml:space="preserve"> Paper No. 3</w:t>
        </w:r>
      </w:hyperlink>
      <w:r w:rsidRPr="001B0F62">
        <w:rPr>
          <w:rStyle w:val="normaltextrun"/>
          <w:rFonts w:ascii="Calibri" w:hAnsi="Calibri" w:cs="Calibri"/>
          <w:color w:val="000000"/>
          <w:shd w:val="clear" w:color="auto" w:fill="FFFFFF"/>
        </w:rPr>
        <w:t xml:space="preserve">, 2023, </w:t>
      </w:r>
      <w:r w:rsidRPr="00BE0587">
        <w:t>pp. 96, 99, 102, 103</w:t>
      </w:r>
      <w:r w:rsidRPr="001B0F62">
        <w:rPr>
          <w:rStyle w:val="normaltextrun"/>
          <w:rFonts w:ascii="Calibri" w:hAnsi="Calibri" w:cs="Calibri"/>
          <w:color w:val="000000"/>
          <w:shd w:val="clear" w:color="auto" w:fill="FFFFFF"/>
        </w:rPr>
        <w:t xml:space="preserve">, </w:t>
      </w:r>
      <w:r w:rsidRPr="00F60296">
        <w:rPr>
          <w:rStyle w:val="normaltextrun"/>
          <w:rFonts w:ascii="Calibri" w:hAnsi="Calibri" w:cs="Calibri"/>
          <w:color w:val="000000"/>
        </w:rPr>
        <w:t xml:space="preserve">accessed </w:t>
      </w:r>
      <w:r>
        <w:rPr>
          <w:rStyle w:val="normaltextrun"/>
          <w:rFonts w:ascii="Calibri" w:hAnsi="Calibri" w:cs="Calibri"/>
          <w:color w:val="000000"/>
        </w:rPr>
        <w:t>16 August</w:t>
      </w:r>
      <w:r w:rsidRPr="00F60296">
        <w:rPr>
          <w:rStyle w:val="normaltextrun"/>
          <w:rFonts w:ascii="Calibri" w:hAnsi="Calibri" w:cs="Calibri"/>
          <w:color w:val="000000"/>
        </w:rPr>
        <w:t xml:space="preserve"> 2023</w:t>
      </w:r>
      <w:r>
        <w:rPr>
          <w:rStyle w:val="normaltextrun"/>
          <w:rFonts w:ascii="Calibri" w:hAnsi="Calibri" w:cs="Calibri"/>
          <w:color w:val="000000"/>
        </w:rPr>
        <w:t xml:space="preserve">  </w:t>
      </w:r>
      <w:r w:rsidRPr="004A1190">
        <w:rPr>
          <w:szCs w:val="15"/>
        </w:rPr>
        <w:t>(</w:t>
      </w:r>
      <w:hyperlink r:id="rId93" w:history="1">
        <w:r w:rsidRPr="004A1190">
          <w:rPr>
            <w:rStyle w:val="Hyperlink"/>
            <w:szCs w:val="15"/>
          </w:rPr>
          <w:t>https://s3.ap-southeast-2.amazonaws.com/budgetfiles202324.budget.vic.gov.au/2023</w:t>
        </w:r>
        <w:r>
          <w:rPr>
            <w:rStyle w:val="Hyperlink"/>
            <w:szCs w:val="15"/>
          </w:rPr>
          <w:t>–</w:t>
        </w:r>
        <w:r w:rsidRPr="004A1190">
          <w:rPr>
            <w:rStyle w:val="Hyperlink"/>
            <w:szCs w:val="15"/>
          </w:rPr>
          <w:t>24+State+Budget+-+Service+Delivery.pdf</w:t>
        </w:r>
      </w:hyperlink>
      <w:r w:rsidRPr="004A1190">
        <w:rPr>
          <w:szCs w:val="15"/>
        </w:rPr>
        <w:t>)</w:t>
      </w:r>
      <w:r>
        <w:rPr>
          <w:szCs w:val="15"/>
        </w:rPr>
        <w:t>.</w:t>
      </w:r>
    </w:p>
  </w:endnote>
  <w:endnote w:id="71">
    <w:p w14:paraId="46100AB6" w14:textId="77777777" w:rsidR="00373ED9" w:rsidRPr="001B0F62" w:rsidRDefault="00373ED9" w:rsidP="00373ED9">
      <w:pPr>
        <w:pStyle w:val="EndnoteText"/>
      </w:pPr>
      <w:r w:rsidRPr="001B0F62">
        <w:rPr>
          <w:rStyle w:val="EndnoteReference"/>
        </w:rPr>
        <w:endnoteRef/>
      </w:r>
      <w:r w:rsidRPr="001B0F62">
        <w:t xml:space="preserve"> Major Road Projects Victoria, </w:t>
      </w:r>
      <w:hyperlink r:id="rId94" w:history="1">
        <w:r w:rsidRPr="001B0F62">
          <w:rPr>
            <w:rStyle w:val="Hyperlink"/>
            <w:i/>
            <w:iCs/>
          </w:rPr>
          <w:t>Monash Freeway upgrade</w:t>
        </w:r>
      </w:hyperlink>
      <w:r w:rsidRPr="001B0F62">
        <w:t>, Victoria’s Big Build website, n.d., accessed 10 July 2023</w:t>
      </w:r>
      <w:r>
        <w:t>.</w:t>
      </w:r>
    </w:p>
  </w:endnote>
  <w:endnote w:id="72">
    <w:p w14:paraId="7077B19F" w14:textId="77777777" w:rsidR="00373ED9" w:rsidRPr="001B0F62" w:rsidRDefault="00373ED9" w:rsidP="00373ED9">
      <w:pPr>
        <w:pStyle w:val="EndnoteText"/>
      </w:pPr>
      <w:r w:rsidRPr="001B0F62">
        <w:rPr>
          <w:rStyle w:val="EndnoteReference"/>
        </w:rPr>
        <w:endnoteRef/>
      </w:r>
      <w:r w:rsidRPr="001B0F62">
        <w:t xml:space="preserve"> Major Road Projects Victoria, </w:t>
      </w:r>
      <w:hyperlink r:id="rId95" w:history="1">
        <w:r w:rsidRPr="001B0F62">
          <w:rPr>
            <w:rStyle w:val="Hyperlink"/>
            <w:i/>
            <w:iCs/>
          </w:rPr>
          <w:t>Western Port Highway upgrade</w:t>
        </w:r>
      </w:hyperlink>
      <w:r w:rsidRPr="001B0F62">
        <w:t>, Victoria’s Big Build website, n.d., accessed 10 July 2023</w:t>
      </w:r>
      <w:r>
        <w:t>.</w:t>
      </w:r>
    </w:p>
  </w:endnote>
  <w:endnote w:id="73">
    <w:p w14:paraId="3AE601DF" w14:textId="77777777" w:rsidR="00373ED9" w:rsidRPr="001B0F62" w:rsidRDefault="00373ED9" w:rsidP="00373ED9">
      <w:pPr>
        <w:pStyle w:val="EndnoteText"/>
      </w:pPr>
      <w:r w:rsidRPr="001B0F62">
        <w:rPr>
          <w:rStyle w:val="EndnoteReference"/>
        </w:rPr>
        <w:endnoteRef/>
      </w:r>
      <w:r w:rsidRPr="001B0F62">
        <w:t xml:space="preserve"> Major Road Projects Victoria, </w:t>
      </w:r>
      <w:hyperlink r:id="rId96" w:history="1">
        <w:r w:rsidRPr="001B0F62">
          <w:rPr>
            <w:rStyle w:val="Hyperlink"/>
            <w:i/>
            <w:iCs/>
          </w:rPr>
          <w:t>South Gippsland Highway</w:t>
        </w:r>
      </w:hyperlink>
      <w:r w:rsidRPr="001B0F62">
        <w:t>, Victoria’s Big Build website, n.d., accessed 10 July 2023</w:t>
      </w:r>
      <w:r>
        <w:t>.</w:t>
      </w:r>
    </w:p>
  </w:endnote>
  <w:endnote w:id="74">
    <w:p w14:paraId="24E28B13" w14:textId="77777777" w:rsidR="00373ED9" w:rsidRPr="001B0F62" w:rsidRDefault="00373ED9" w:rsidP="00373ED9">
      <w:pPr>
        <w:pStyle w:val="EndnoteText"/>
      </w:pPr>
      <w:r w:rsidRPr="001B0F62">
        <w:rPr>
          <w:rStyle w:val="EndnoteReference"/>
        </w:rPr>
        <w:endnoteRef/>
      </w:r>
      <w:r w:rsidRPr="001B0F62">
        <w:t xml:space="preserve"> </w:t>
      </w:r>
      <w:r>
        <w:t>The Commonwealth Government provided an additional $170 million of funding.</w:t>
      </w:r>
      <w:r>
        <w:br/>
      </w:r>
      <w:r w:rsidRPr="001B0F62">
        <w:rPr>
          <w:rStyle w:val="normaltextrun"/>
          <w:rFonts w:ascii="Calibri" w:hAnsi="Calibri" w:cs="Calibri"/>
          <w:color w:val="000000"/>
          <w:shd w:val="clear" w:color="auto" w:fill="FFFFFF"/>
        </w:rPr>
        <w:t xml:space="preserve">Department of Treasury and Finance, </w:t>
      </w:r>
      <w:hyperlink r:id="rId97" w:anchor="budget-paper-3-service-delivery" w:tgtFrame="_blank" w:history="1">
        <w:r w:rsidRPr="001B0F62">
          <w:rPr>
            <w:rStyle w:val="normaltextrun"/>
            <w:rFonts w:ascii="Calibri" w:hAnsi="Calibri" w:cs="Calibri"/>
            <w:i/>
            <w:iCs/>
            <w:color w:val="0563C1"/>
            <w:u w:val="single"/>
            <w:shd w:val="clear" w:color="auto" w:fill="FFFFFF"/>
          </w:rPr>
          <w:t xml:space="preserve">Victorian </w:t>
        </w:r>
        <w:r>
          <w:rPr>
            <w:rStyle w:val="normaltextrun"/>
            <w:rFonts w:ascii="Calibri" w:hAnsi="Calibri" w:cs="Calibri"/>
            <w:i/>
            <w:iCs/>
            <w:color w:val="0563C1"/>
            <w:u w:val="single"/>
            <w:shd w:val="clear" w:color="auto" w:fill="FFFFFF"/>
          </w:rPr>
          <w:t xml:space="preserve">Budget </w:t>
        </w:r>
        <w:r w:rsidRPr="001B0F62">
          <w:rPr>
            <w:rStyle w:val="normaltextrun"/>
            <w:rFonts w:ascii="Calibri" w:hAnsi="Calibri" w:cs="Calibri"/>
            <w:i/>
            <w:iCs/>
            <w:color w:val="0563C1"/>
            <w:u w:val="single"/>
            <w:shd w:val="clear" w:color="auto" w:fill="FFFFFF"/>
          </w:rPr>
          <w:t xml:space="preserve"> 2023</w:t>
        </w:r>
        <w:r>
          <w:rPr>
            <w:rStyle w:val="normaltextrun"/>
            <w:rFonts w:ascii="Calibri" w:hAnsi="Calibri" w:cs="Calibri"/>
            <w:i/>
            <w:iCs/>
            <w:color w:val="0563C1"/>
            <w:u w:val="single"/>
            <w:shd w:val="clear" w:color="auto" w:fill="FFFFFF"/>
          </w:rPr>
          <w:t>–</w:t>
        </w:r>
        <w:r w:rsidRPr="001B0F62">
          <w:rPr>
            <w:rStyle w:val="normaltextrun"/>
            <w:rFonts w:ascii="Calibri" w:hAnsi="Calibri" w:cs="Calibri"/>
            <w:i/>
            <w:iCs/>
            <w:color w:val="0563C1"/>
            <w:u w:val="single"/>
            <w:shd w:val="clear" w:color="auto" w:fill="FFFFFF"/>
          </w:rPr>
          <w:t xml:space="preserve">24 – </w:t>
        </w:r>
        <w:r>
          <w:rPr>
            <w:rStyle w:val="normaltextrun"/>
            <w:rFonts w:ascii="Calibri" w:hAnsi="Calibri" w:cs="Calibri"/>
            <w:i/>
            <w:iCs/>
            <w:color w:val="0563C1"/>
            <w:u w:val="single"/>
            <w:shd w:val="clear" w:color="auto" w:fill="FFFFFF"/>
          </w:rPr>
          <w:t xml:space="preserve">Budget </w:t>
        </w:r>
        <w:r w:rsidRPr="001B0F62">
          <w:rPr>
            <w:rStyle w:val="normaltextrun"/>
            <w:rFonts w:ascii="Calibri" w:hAnsi="Calibri" w:cs="Calibri"/>
            <w:i/>
            <w:iCs/>
            <w:color w:val="0563C1"/>
            <w:u w:val="single"/>
            <w:shd w:val="clear" w:color="auto" w:fill="FFFFFF"/>
          </w:rPr>
          <w:t xml:space="preserve"> Paper No. 3</w:t>
        </w:r>
      </w:hyperlink>
      <w:r w:rsidRPr="001B0F62">
        <w:rPr>
          <w:rStyle w:val="normaltextrun"/>
          <w:rFonts w:ascii="Calibri" w:hAnsi="Calibri" w:cs="Calibri"/>
          <w:color w:val="000000"/>
          <w:shd w:val="clear" w:color="auto" w:fill="FFFFFF"/>
        </w:rPr>
        <w:t xml:space="preserve">, 2023, </w:t>
      </w:r>
      <w:r>
        <w:rPr>
          <w:rStyle w:val="normaltextrun"/>
          <w:rFonts w:ascii="Calibri" w:hAnsi="Calibri" w:cs="Calibri"/>
          <w:color w:val="000000"/>
          <w:shd w:val="clear" w:color="auto" w:fill="FFFFFF"/>
        </w:rPr>
        <w:t>p</w:t>
      </w:r>
      <w:r w:rsidRPr="001B0F62">
        <w:rPr>
          <w:rStyle w:val="normaltextrun"/>
          <w:rFonts w:ascii="Calibri" w:hAnsi="Calibri" w:cs="Calibri"/>
          <w:color w:val="000000"/>
          <w:shd w:val="clear" w:color="auto" w:fill="FFFFFF"/>
        </w:rPr>
        <w:t xml:space="preserve">p.96, 102, 106, </w:t>
      </w:r>
      <w:r w:rsidRPr="00F60296">
        <w:rPr>
          <w:rStyle w:val="normaltextrun"/>
          <w:rFonts w:ascii="Calibri" w:hAnsi="Calibri" w:cs="Calibri"/>
          <w:color w:val="000000"/>
        </w:rPr>
        <w:t>accessed 24 July 2023</w:t>
      </w:r>
      <w:r>
        <w:rPr>
          <w:rStyle w:val="normaltextrun"/>
          <w:rFonts w:ascii="Calibri" w:hAnsi="Calibri" w:cs="Calibri"/>
          <w:color w:val="000000"/>
        </w:rPr>
        <w:t xml:space="preserve">  </w:t>
      </w:r>
      <w:r w:rsidRPr="004A1190">
        <w:rPr>
          <w:szCs w:val="15"/>
        </w:rPr>
        <w:t>(</w:t>
      </w:r>
      <w:hyperlink r:id="rId98" w:history="1">
        <w:r w:rsidRPr="004A1190">
          <w:rPr>
            <w:rStyle w:val="Hyperlink"/>
            <w:szCs w:val="15"/>
          </w:rPr>
          <w:t>https://s3.ap-southeast-2.amazonaws.com/budgetfiles202324.budget.vic.gov.au/2023</w:t>
        </w:r>
        <w:r>
          <w:rPr>
            <w:rStyle w:val="Hyperlink"/>
            <w:szCs w:val="15"/>
          </w:rPr>
          <w:t>–</w:t>
        </w:r>
        <w:r w:rsidRPr="004A1190">
          <w:rPr>
            <w:rStyle w:val="Hyperlink"/>
            <w:szCs w:val="15"/>
          </w:rPr>
          <w:t>24+State+Budget+-+Service+Delivery.pdf</w:t>
        </w:r>
      </w:hyperlink>
      <w:r w:rsidRPr="004A1190">
        <w:rPr>
          <w:szCs w:val="15"/>
        </w:rPr>
        <w:t>)</w:t>
      </w:r>
      <w:r>
        <w:rPr>
          <w:szCs w:val="15"/>
        </w:rPr>
        <w:t>.</w:t>
      </w:r>
    </w:p>
  </w:endnote>
  <w:endnote w:id="75">
    <w:p w14:paraId="21FE212F" w14:textId="77777777" w:rsidR="00373ED9" w:rsidRPr="001B0F62" w:rsidRDefault="00373ED9" w:rsidP="00373ED9">
      <w:pPr>
        <w:pStyle w:val="EndnoteText"/>
      </w:pPr>
      <w:r w:rsidRPr="001B0F62">
        <w:rPr>
          <w:rStyle w:val="EndnoteReference"/>
        </w:rPr>
        <w:endnoteRef/>
      </w:r>
      <w:r w:rsidRPr="001B0F62">
        <w:t xml:space="preserve"> </w:t>
      </w:r>
      <w:r w:rsidRPr="001B0F62">
        <w:rPr>
          <w:rStyle w:val="normaltextrun"/>
          <w:rFonts w:ascii="Calibri" w:hAnsi="Calibri" w:cs="Calibri"/>
          <w:color w:val="000000"/>
          <w:shd w:val="clear" w:color="auto" w:fill="FFFFFF"/>
        </w:rPr>
        <w:t xml:space="preserve">Department of Treasury and Finance, </w:t>
      </w:r>
      <w:hyperlink r:id="rId99" w:anchor="budget-paper-3-service-delivery" w:tgtFrame="_blank" w:history="1">
        <w:r w:rsidRPr="001B0F62">
          <w:rPr>
            <w:rStyle w:val="normaltextrun"/>
            <w:rFonts w:ascii="Calibri" w:hAnsi="Calibri" w:cs="Calibri"/>
            <w:i/>
            <w:iCs/>
            <w:color w:val="0563C1"/>
            <w:u w:val="single"/>
            <w:shd w:val="clear" w:color="auto" w:fill="FFFFFF"/>
          </w:rPr>
          <w:t xml:space="preserve">Victorian </w:t>
        </w:r>
        <w:r>
          <w:rPr>
            <w:rStyle w:val="normaltextrun"/>
            <w:rFonts w:ascii="Calibri" w:hAnsi="Calibri" w:cs="Calibri"/>
            <w:i/>
            <w:iCs/>
            <w:color w:val="0563C1"/>
            <w:u w:val="single"/>
            <w:shd w:val="clear" w:color="auto" w:fill="FFFFFF"/>
          </w:rPr>
          <w:t xml:space="preserve">Budget </w:t>
        </w:r>
        <w:r w:rsidRPr="001B0F62">
          <w:rPr>
            <w:rStyle w:val="normaltextrun"/>
            <w:rFonts w:ascii="Calibri" w:hAnsi="Calibri" w:cs="Calibri"/>
            <w:i/>
            <w:iCs/>
            <w:color w:val="0563C1"/>
            <w:u w:val="single"/>
            <w:shd w:val="clear" w:color="auto" w:fill="FFFFFF"/>
          </w:rPr>
          <w:t xml:space="preserve"> 2023</w:t>
        </w:r>
        <w:r>
          <w:rPr>
            <w:rStyle w:val="normaltextrun"/>
            <w:rFonts w:ascii="Calibri" w:hAnsi="Calibri" w:cs="Calibri"/>
            <w:i/>
            <w:iCs/>
            <w:color w:val="0563C1"/>
            <w:u w:val="single"/>
            <w:shd w:val="clear" w:color="auto" w:fill="FFFFFF"/>
          </w:rPr>
          <w:t>–</w:t>
        </w:r>
        <w:r w:rsidRPr="001B0F62">
          <w:rPr>
            <w:rStyle w:val="normaltextrun"/>
            <w:rFonts w:ascii="Calibri" w:hAnsi="Calibri" w:cs="Calibri"/>
            <w:i/>
            <w:iCs/>
            <w:color w:val="0563C1"/>
            <w:u w:val="single"/>
            <w:shd w:val="clear" w:color="auto" w:fill="FFFFFF"/>
          </w:rPr>
          <w:t xml:space="preserve">24 – </w:t>
        </w:r>
        <w:r>
          <w:rPr>
            <w:rStyle w:val="normaltextrun"/>
            <w:rFonts w:ascii="Calibri" w:hAnsi="Calibri" w:cs="Calibri"/>
            <w:i/>
            <w:iCs/>
            <w:color w:val="0563C1"/>
            <w:u w:val="single"/>
            <w:shd w:val="clear" w:color="auto" w:fill="FFFFFF"/>
          </w:rPr>
          <w:t xml:space="preserve">Budget </w:t>
        </w:r>
        <w:r w:rsidRPr="001B0F62">
          <w:rPr>
            <w:rStyle w:val="normaltextrun"/>
            <w:rFonts w:ascii="Calibri" w:hAnsi="Calibri" w:cs="Calibri"/>
            <w:i/>
            <w:iCs/>
            <w:color w:val="0563C1"/>
            <w:u w:val="single"/>
            <w:shd w:val="clear" w:color="auto" w:fill="FFFFFF"/>
          </w:rPr>
          <w:t xml:space="preserve"> Paper No. 3</w:t>
        </w:r>
      </w:hyperlink>
      <w:r w:rsidRPr="001B0F62">
        <w:rPr>
          <w:rStyle w:val="normaltextrun"/>
          <w:rFonts w:ascii="Calibri" w:hAnsi="Calibri" w:cs="Calibri"/>
          <w:color w:val="000000"/>
          <w:shd w:val="clear" w:color="auto" w:fill="FFFFFF"/>
        </w:rPr>
        <w:t xml:space="preserve">, 2023, p.106, </w:t>
      </w:r>
      <w:r w:rsidRPr="00F60296">
        <w:rPr>
          <w:rStyle w:val="normaltextrun"/>
          <w:rFonts w:ascii="Calibri" w:hAnsi="Calibri" w:cs="Calibri"/>
          <w:color w:val="000000"/>
        </w:rPr>
        <w:t>accessed 24 July 2023</w:t>
      </w:r>
      <w:r>
        <w:rPr>
          <w:rStyle w:val="normaltextrun"/>
          <w:rFonts w:ascii="Calibri" w:hAnsi="Calibri" w:cs="Calibri"/>
          <w:color w:val="000000"/>
        </w:rPr>
        <w:t xml:space="preserve">  </w:t>
      </w:r>
      <w:r w:rsidRPr="004A1190">
        <w:rPr>
          <w:szCs w:val="15"/>
        </w:rPr>
        <w:t>(</w:t>
      </w:r>
      <w:hyperlink r:id="rId100" w:history="1">
        <w:r w:rsidRPr="004A1190">
          <w:rPr>
            <w:rStyle w:val="Hyperlink"/>
            <w:szCs w:val="15"/>
          </w:rPr>
          <w:t>https://s3.ap-southeast-2.amazonaws.com/budgetfiles202324.budget.vic.gov.au/2023</w:t>
        </w:r>
        <w:r>
          <w:rPr>
            <w:rStyle w:val="Hyperlink"/>
            <w:szCs w:val="15"/>
          </w:rPr>
          <w:t>–</w:t>
        </w:r>
        <w:r w:rsidRPr="004A1190">
          <w:rPr>
            <w:rStyle w:val="Hyperlink"/>
            <w:szCs w:val="15"/>
          </w:rPr>
          <w:t>24+State+Budget+-+Service+Delivery.pdf</w:t>
        </w:r>
      </w:hyperlink>
      <w:r w:rsidRPr="004A1190">
        <w:rPr>
          <w:szCs w:val="15"/>
        </w:rPr>
        <w:t>)</w:t>
      </w:r>
      <w:r>
        <w:rPr>
          <w:szCs w:val="15"/>
        </w:rPr>
        <w:t>.</w:t>
      </w:r>
    </w:p>
  </w:endnote>
  <w:endnote w:id="76">
    <w:p w14:paraId="2D4BD447" w14:textId="77777777" w:rsidR="00373ED9" w:rsidRPr="001B0F62" w:rsidRDefault="00373ED9" w:rsidP="00373ED9">
      <w:pPr>
        <w:pStyle w:val="EndnoteText"/>
      </w:pPr>
      <w:r w:rsidRPr="001B0F62">
        <w:rPr>
          <w:rStyle w:val="EndnoteReference"/>
        </w:rPr>
        <w:endnoteRef/>
      </w:r>
      <w:r w:rsidRPr="001B0F62">
        <w:t xml:space="preserve"> </w:t>
      </w:r>
      <w:r w:rsidRPr="001B0F62">
        <w:rPr>
          <w:rStyle w:val="normaltextrun"/>
          <w:rFonts w:ascii="Calibri" w:hAnsi="Calibri" w:cs="Calibri"/>
          <w:color w:val="000000"/>
          <w:shd w:val="clear" w:color="auto" w:fill="FFFFFF"/>
        </w:rPr>
        <w:t xml:space="preserve">Department of Treasury and Finance, </w:t>
      </w:r>
      <w:hyperlink r:id="rId101" w:anchor="budget-paper-3-service-delivery" w:tgtFrame="_blank" w:history="1">
        <w:r w:rsidRPr="001B0F62">
          <w:rPr>
            <w:rStyle w:val="normaltextrun"/>
            <w:rFonts w:ascii="Calibri" w:hAnsi="Calibri" w:cs="Calibri"/>
            <w:i/>
            <w:iCs/>
            <w:color w:val="0563C1"/>
            <w:u w:val="single"/>
            <w:shd w:val="clear" w:color="auto" w:fill="FFFFFF"/>
          </w:rPr>
          <w:t xml:space="preserve">Victorian </w:t>
        </w:r>
        <w:r>
          <w:rPr>
            <w:rStyle w:val="normaltextrun"/>
            <w:rFonts w:ascii="Calibri" w:hAnsi="Calibri" w:cs="Calibri"/>
            <w:i/>
            <w:iCs/>
            <w:color w:val="0563C1"/>
            <w:u w:val="single"/>
            <w:shd w:val="clear" w:color="auto" w:fill="FFFFFF"/>
          </w:rPr>
          <w:t xml:space="preserve">Budget </w:t>
        </w:r>
        <w:r w:rsidRPr="001B0F62">
          <w:rPr>
            <w:rStyle w:val="normaltextrun"/>
            <w:rFonts w:ascii="Calibri" w:hAnsi="Calibri" w:cs="Calibri"/>
            <w:i/>
            <w:iCs/>
            <w:color w:val="0563C1"/>
            <w:u w:val="single"/>
            <w:shd w:val="clear" w:color="auto" w:fill="FFFFFF"/>
          </w:rPr>
          <w:t xml:space="preserve"> 2023</w:t>
        </w:r>
        <w:r>
          <w:rPr>
            <w:rStyle w:val="normaltextrun"/>
            <w:rFonts w:ascii="Calibri" w:hAnsi="Calibri" w:cs="Calibri"/>
            <w:i/>
            <w:iCs/>
            <w:color w:val="0563C1"/>
            <w:u w:val="single"/>
            <w:shd w:val="clear" w:color="auto" w:fill="FFFFFF"/>
          </w:rPr>
          <w:t>–</w:t>
        </w:r>
        <w:r w:rsidRPr="001B0F62">
          <w:rPr>
            <w:rStyle w:val="normaltextrun"/>
            <w:rFonts w:ascii="Calibri" w:hAnsi="Calibri" w:cs="Calibri"/>
            <w:i/>
            <w:iCs/>
            <w:color w:val="0563C1"/>
            <w:u w:val="single"/>
            <w:shd w:val="clear" w:color="auto" w:fill="FFFFFF"/>
          </w:rPr>
          <w:t xml:space="preserve">24 – </w:t>
        </w:r>
        <w:r>
          <w:rPr>
            <w:rStyle w:val="normaltextrun"/>
            <w:rFonts w:ascii="Calibri" w:hAnsi="Calibri" w:cs="Calibri"/>
            <w:i/>
            <w:iCs/>
            <w:color w:val="0563C1"/>
            <w:u w:val="single"/>
            <w:shd w:val="clear" w:color="auto" w:fill="FFFFFF"/>
          </w:rPr>
          <w:t xml:space="preserve">Budget </w:t>
        </w:r>
        <w:r w:rsidRPr="001B0F62">
          <w:rPr>
            <w:rStyle w:val="normaltextrun"/>
            <w:rFonts w:ascii="Calibri" w:hAnsi="Calibri" w:cs="Calibri"/>
            <w:i/>
            <w:iCs/>
            <w:color w:val="0563C1"/>
            <w:u w:val="single"/>
            <w:shd w:val="clear" w:color="auto" w:fill="FFFFFF"/>
          </w:rPr>
          <w:t xml:space="preserve"> Paper No. 3</w:t>
        </w:r>
      </w:hyperlink>
      <w:r w:rsidRPr="001B0F62">
        <w:rPr>
          <w:rStyle w:val="normaltextrun"/>
          <w:rFonts w:ascii="Calibri" w:hAnsi="Calibri" w:cs="Calibri"/>
          <w:color w:val="000000"/>
          <w:shd w:val="clear" w:color="auto" w:fill="FFFFFF"/>
        </w:rPr>
        <w:t>, 2023, p.96, 102, 104, accessed</w:t>
      </w:r>
      <w:r w:rsidRPr="00F60296">
        <w:rPr>
          <w:rStyle w:val="normaltextrun"/>
          <w:rFonts w:ascii="Calibri" w:hAnsi="Calibri" w:cs="Calibri"/>
          <w:color w:val="000000"/>
        </w:rPr>
        <w:t xml:space="preserve"> 24 July 2023</w:t>
      </w:r>
      <w:r>
        <w:rPr>
          <w:rStyle w:val="normaltextrun"/>
          <w:rFonts w:ascii="Calibri" w:hAnsi="Calibri" w:cs="Calibri"/>
          <w:color w:val="000000"/>
        </w:rPr>
        <w:t xml:space="preserve">  </w:t>
      </w:r>
      <w:r w:rsidRPr="004A1190">
        <w:rPr>
          <w:szCs w:val="15"/>
        </w:rPr>
        <w:t>(</w:t>
      </w:r>
      <w:hyperlink r:id="rId102" w:history="1">
        <w:r w:rsidRPr="004A1190">
          <w:rPr>
            <w:rStyle w:val="Hyperlink"/>
            <w:szCs w:val="15"/>
          </w:rPr>
          <w:t>https://s3.ap-southeast-2.amazonaws.com/budgetfiles202324.budget.vic.gov.au/2023</w:t>
        </w:r>
        <w:r>
          <w:rPr>
            <w:rStyle w:val="Hyperlink"/>
            <w:szCs w:val="15"/>
          </w:rPr>
          <w:t>–</w:t>
        </w:r>
        <w:r w:rsidRPr="004A1190">
          <w:rPr>
            <w:rStyle w:val="Hyperlink"/>
            <w:szCs w:val="15"/>
          </w:rPr>
          <w:t>24+State+Budget+-+Service+Delivery.pdf</w:t>
        </w:r>
      </w:hyperlink>
      <w:r w:rsidRPr="004A1190">
        <w:rPr>
          <w:szCs w:val="15"/>
        </w:rPr>
        <w:t>)</w:t>
      </w:r>
      <w:r>
        <w:rPr>
          <w:szCs w:val="15"/>
        </w:rPr>
        <w:t>.</w:t>
      </w:r>
    </w:p>
  </w:endnote>
  <w:endnote w:id="77">
    <w:p w14:paraId="511B7737" w14:textId="0E7E22B0" w:rsidR="00373ED9" w:rsidRPr="001B0F62" w:rsidRDefault="00373ED9" w:rsidP="00373ED9">
      <w:pPr>
        <w:pStyle w:val="EndnoteText"/>
      </w:pPr>
      <w:r w:rsidRPr="001B0F62">
        <w:rPr>
          <w:rStyle w:val="EndnoteReference"/>
        </w:rPr>
        <w:endnoteRef/>
      </w:r>
      <w:r w:rsidRPr="001B0F62">
        <w:t xml:space="preserve"> Major Road Projects Victoria, </w:t>
      </w:r>
      <w:hyperlink r:id="rId103" w:history="1">
        <w:r w:rsidRPr="001B0F62">
          <w:rPr>
            <w:rStyle w:val="Hyperlink"/>
            <w:i/>
            <w:iCs/>
          </w:rPr>
          <w:t>Po</w:t>
        </w:r>
        <w:r w:rsidR="009905DC">
          <w:rPr>
            <w:rStyle w:val="Hyperlink"/>
            <w:i/>
            <w:iCs/>
          </w:rPr>
          <w:t>i</w:t>
        </w:r>
        <w:r w:rsidRPr="001B0F62">
          <w:rPr>
            <w:rStyle w:val="Hyperlink"/>
            <w:i/>
            <w:iCs/>
          </w:rPr>
          <w:t>nt Cook Rd and Central Ave intersection upgrade</w:t>
        </w:r>
      </w:hyperlink>
      <w:r w:rsidRPr="001B0F62">
        <w:t>, Victoria’s Big Build website, n.d., accessed 10 July 2023</w:t>
      </w:r>
      <w:r>
        <w:t>.</w:t>
      </w:r>
    </w:p>
  </w:endnote>
  <w:endnote w:id="78">
    <w:p w14:paraId="25B96780" w14:textId="77777777" w:rsidR="00373ED9" w:rsidRPr="001B0F62" w:rsidRDefault="00373ED9" w:rsidP="00373ED9">
      <w:pPr>
        <w:pStyle w:val="EndnoteText"/>
      </w:pPr>
      <w:r w:rsidRPr="001B0F62">
        <w:rPr>
          <w:rStyle w:val="EndnoteReference"/>
        </w:rPr>
        <w:endnoteRef/>
      </w:r>
      <w:r w:rsidRPr="001B0F62">
        <w:t xml:space="preserve"> Major Road Projects Victoria, </w:t>
      </w:r>
      <w:hyperlink r:id="rId104" w:history="1">
        <w:r w:rsidRPr="001B0F62">
          <w:rPr>
            <w:rStyle w:val="Hyperlink"/>
            <w:i/>
            <w:iCs/>
          </w:rPr>
          <w:t>Thompsons Road and Berwick – Cranbourne Road intersection upgrad</w:t>
        </w:r>
        <w:r w:rsidRPr="001B0F62">
          <w:rPr>
            <w:rStyle w:val="Hyperlink"/>
          </w:rPr>
          <w:t>e</w:t>
        </w:r>
      </w:hyperlink>
      <w:r w:rsidRPr="001B0F62">
        <w:t>, Victoria’s Big Build website, n.d., accessed 10 July 2023</w:t>
      </w:r>
      <w:r>
        <w:t>.</w:t>
      </w:r>
    </w:p>
  </w:endnote>
  <w:endnote w:id="79">
    <w:p w14:paraId="54C47044" w14:textId="77777777" w:rsidR="00373ED9" w:rsidRPr="001B0F62" w:rsidRDefault="00373ED9" w:rsidP="00373ED9">
      <w:pPr>
        <w:pStyle w:val="EndnoteText"/>
      </w:pPr>
      <w:r w:rsidRPr="001B0F62">
        <w:rPr>
          <w:rStyle w:val="EndnoteReference"/>
        </w:rPr>
        <w:endnoteRef/>
      </w:r>
      <w:r w:rsidRPr="001B0F62">
        <w:t xml:space="preserve"> Major Road Projects Victoria, </w:t>
      </w:r>
      <w:hyperlink r:id="rId105" w:history="1">
        <w:r w:rsidRPr="001B0F62">
          <w:rPr>
            <w:rStyle w:val="Hyperlink"/>
            <w:i/>
            <w:iCs/>
          </w:rPr>
          <w:t>Thompsons Road and Berwick – Cranbourne Road intersection upgrade</w:t>
        </w:r>
      </w:hyperlink>
      <w:r w:rsidRPr="001B0F62">
        <w:rPr>
          <w:i/>
          <w:iCs/>
        </w:rPr>
        <w:t>,</w:t>
      </w:r>
      <w:r w:rsidRPr="001B0F62">
        <w:t xml:space="preserve"> Victoria’s Big Build website, n.d., accessed 10 July 2023</w:t>
      </w:r>
      <w:r>
        <w:t>.</w:t>
      </w:r>
    </w:p>
  </w:endnote>
  <w:endnote w:id="80">
    <w:p w14:paraId="0F13C795" w14:textId="77777777" w:rsidR="00373ED9" w:rsidRPr="001B0F62" w:rsidRDefault="00373ED9" w:rsidP="00373ED9">
      <w:pPr>
        <w:pStyle w:val="EndnoteText"/>
      </w:pPr>
      <w:r w:rsidRPr="001B0F62">
        <w:rPr>
          <w:rStyle w:val="EndnoteReference"/>
        </w:rPr>
        <w:endnoteRef/>
      </w:r>
      <w:r w:rsidRPr="001B0F62">
        <w:t xml:space="preserve"> Infrastructure Victoria, </w:t>
      </w:r>
      <w:hyperlink r:id="rId106" w:history="1">
        <w:r w:rsidRPr="001B0F62">
          <w:rPr>
            <w:rStyle w:val="Hyperlink"/>
            <w:i/>
            <w:iCs/>
          </w:rPr>
          <w:t>Victoria’s infrastructure strategy 2021</w:t>
        </w:r>
        <w:r>
          <w:rPr>
            <w:rStyle w:val="Hyperlink"/>
            <w:i/>
            <w:iCs/>
          </w:rPr>
          <w:t>–</w:t>
        </w:r>
        <w:r w:rsidRPr="001B0F62">
          <w:rPr>
            <w:rStyle w:val="Hyperlink"/>
            <w:i/>
            <w:iCs/>
          </w:rPr>
          <w:t>2051</w:t>
        </w:r>
      </w:hyperlink>
      <w:r w:rsidRPr="001B0F62">
        <w:t>, 2021, p.123, accessed 10 July 2023</w:t>
      </w:r>
      <w:r>
        <w:t>.</w:t>
      </w:r>
    </w:p>
  </w:endnote>
  <w:endnote w:id="81">
    <w:p w14:paraId="04DC61AB" w14:textId="77777777" w:rsidR="00373ED9" w:rsidRPr="001B0F62" w:rsidRDefault="00373ED9" w:rsidP="00373ED9">
      <w:pPr>
        <w:pStyle w:val="EndnoteText"/>
      </w:pPr>
      <w:r w:rsidRPr="001B0F62">
        <w:rPr>
          <w:rStyle w:val="EndnoteReference"/>
        </w:rPr>
        <w:endnoteRef/>
      </w:r>
      <w:r w:rsidRPr="001B0F62">
        <w:t xml:space="preserve"> </w:t>
      </w:r>
      <w:r w:rsidRPr="001B0F62">
        <w:rPr>
          <w:rStyle w:val="normaltextrun"/>
          <w:rFonts w:ascii="Calibri" w:hAnsi="Calibri" w:cs="Calibri"/>
          <w:color w:val="000000"/>
          <w:shd w:val="clear" w:color="auto" w:fill="FFFFFF"/>
        </w:rPr>
        <w:t xml:space="preserve">Department of Treasury and Finance, </w:t>
      </w:r>
      <w:hyperlink r:id="rId107" w:history="1">
        <w:r w:rsidRPr="001B0F62">
          <w:rPr>
            <w:rStyle w:val="Hyperlink"/>
            <w:i/>
            <w:iCs/>
          </w:rPr>
          <w:t>2022 Economic and Fiscal Update</w:t>
        </w:r>
      </w:hyperlink>
      <w:r w:rsidRPr="001B0F62">
        <w:rPr>
          <w:rStyle w:val="normaltextrun"/>
          <w:rFonts w:ascii="Calibri" w:hAnsi="Calibri" w:cs="Calibri"/>
          <w:color w:val="000000"/>
          <w:shd w:val="clear" w:color="auto" w:fill="FFFFFF"/>
        </w:rPr>
        <w:t xml:space="preserve">, 2022, p.107, 108, </w:t>
      </w:r>
      <w:r w:rsidRPr="00F60296">
        <w:rPr>
          <w:rStyle w:val="normaltextrun"/>
          <w:rFonts w:ascii="Calibri" w:hAnsi="Calibri" w:cs="Calibri"/>
          <w:color w:val="000000"/>
        </w:rPr>
        <w:t>accessed 24 July 2023</w:t>
      </w:r>
      <w:r>
        <w:rPr>
          <w:rStyle w:val="normaltextrun"/>
          <w:rFonts w:ascii="Calibri" w:hAnsi="Calibri" w:cs="Calibri"/>
          <w:color w:val="000000"/>
        </w:rPr>
        <w:t>.</w:t>
      </w:r>
    </w:p>
  </w:endnote>
  <w:endnote w:id="82">
    <w:p w14:paraId="159B9BFD" w14:textId="77777777" w:rsidR="00373ED9" w:rsidRPr="001B0F62" w:rsidRDefault="00373ED9" w:rsidP="00373ED9">
      <w:pPr>
        <w:pStyle w:val="EndnoteText"/>
        <w:rPr>
          <w:rFonts w:ascii="Calibri" w:hAnsi="Calibri" w:cs="Calibri"/>
          <w:color w:val="000000"/>
          <w:shd w:val="clear" w:color="auto" w:fill="FFFF00"/>
        </w:rPr>
      </w:pPr>
      <w:r w:rsidRPr="001B0F62">
        <w:rPr>
          <w:rStyle w:val="EndnoteReference"/>
        </w:rPr>
        <w:endnoteRef/>
      </w:r>
      <w:r w:rsidRPr="001B0F62">
        <w:t xml:space="preserve"> </w:t>
      </w:r>
      <w:r w:rsidRPr="001B0F62">
        <w:rPr>
          <w:rStyle w:val="normaltextrun"/>
          <w:rFonts w:ascii="Calibri" w:hAnsi="Calibri" w:cs="Calibri"/>
          <w:color w:val="000000"/>
          <w:shd w:val="clear" w:color="auto" w:fill="FFFFFF"/>
        </w:rPr>
        <w:t xml:space="preserve">Department of Treasury and Finance, </w:t>
      </w:r>
      <w:hyperlink r:id="rId108" w:anchor="budget-paper-3-service-delivery" w:tgtFrame="_blank" w:history="1">
        <w:r w:rsidRPr="001B0F62">
          <w:rPr>
            <w:rStyle w:val="normaltextrun"/>
            <w:rFonts w:ascii="Calibri" w:hAnsi="Calibri" w:cs="Calibri"/>
            <w:i/>
            <w:iCs/>
            <w:color w:val="0563C1"/>
            <w:u w:val="single"/>
            <w:shd w:val="clear" w:color="auto" w:fill="FFFFFF"/>
          </w:rPr>
          <w:t xml:space="preserve">Victorian </w:t>
        </w:r>
        <w:r>
          <w:rPr>
            <w:rStyle w:val="normaltextrun"/>
            <w:rFonts w:ascii="Calibri" w:hAnsi="Calibri" w:cs="Calibri"/>
            <w:i/>
            <w:iCs/>
            <w:color w:val="0563C1"/>
            <w:u w:val="single"/>
            <w:shd w:val="clear" w:color="auto" w:fill="FFFFFF"/>
          </w:rPr>
          <w:t xml:space="preserve">Budget </w:t>
        </w:r>
        <w:r w:rsidRPr="001B0F62">
          <w:rPr>
            <w:rStyle w:val="normaltextrun"/>
            <w:rFonts w:ascii="Calibri" w:hAnsi="Calibri" w:cs="Calibri"/>
            <w:i/>
            <w:iCs/>
            <w:color w:val="0563C1"/>
            <w:u w:val="single"/>
            <w:shd w:val="clear" w:color="auto" w:fill="FFFFFF"/>
          </w:rPr>
          <w:t xml:space="preserve"> 2023</w:t>
        </w:r>
        <w:r>
          <w:rPr>
            <w:rStyle w:val="normaltextrun"/>
            <w:rFonts w:ascii="Calibri" w:hAnsi="Calibri" w:cs="Calibri"/>
            <w:i/>
            <w:iCs/>
            <w:color w:val="0563C1"/>
            <w:u w:val="single"/>
            <w:shd w:val="clear" w:color="auto" w:fill="FFFFFF"/>
          </w:rPr>
          <w:t>–</w:t>
        </w:r>
        <w:r w:rsidRPr="001B0F62">
          <w:rPr>
            <w:rStyle w:val="normaltextrun"/>
            <w:rFonts w:ascii="Calibri" w:hAnsi="Calibri" w:cs="Calibri"/>
            <w:i/>
            <w:iCs/>
            <w:color w:val="0563C1"/>
            <w:u w:val="single"/>
            <w:shd w:val="clear" w:color="auto" w:fill="FFFFFF"/>
          </w:rPr>
          <w:t xml:space="preserve">24 – </w:t>
        </w:r>
        <w:r>
          <w:rPr>
            <w:rStyle w:val="normaltextrun"/>
            <w:rFonts w:ascii="Calibri" w:hAnsi="Calibri" w:cs="Calibri"/>
            <w:i/>
            <w:iCs/>
            <w:color w:val="0563C1"/>
            <w:u w:val="single"/>
            <w:shd w:val="clear" w:color="auto" w:fill="FFFFFF"/>
          </w:rPr>
          <w:t xml:space="preserve">Budget </w:t>
        </w:r>
        <w:r w:rsidRPr="001B0F62">
          <w:rPr>
            <w:rStyle w:val="normaltextrun"/>
            <w:rFonts w:ascii="Calibri" w:hAnsi="Calibri" w:cs="Calibri"/>
            <w:i/>
            <w:iCs/>
            <w:color w:val="0563C1"/>
            <w:u w:val="single"/>
            <w:shd w:val="clear" w:color="auto" w:fill="FFFFFF"/>
          </w:rPr>
          <w:t xml:space="preserve"> Paper No. 3</w:t>
        </w:r>
      </w:hyperlink>
      <w:r w:rsidRPr="001B0F62">
        <w:rPr>
          <w:rStyle w:val="normaltextrun"/>
          <w:rFonts w:ascii="Calibri" w:hAnsi="Calibri" w:cs="Calibri"/>
          <w:color w:val="000000"/>
          <w:shd w:val="clear" w:color="auto" w:fill="FFFFFF"/>
        </w:rPr>
        <w:t xml:space="preserve">, 2023, p.102, 105, accessed </w:t>
      </w:r>
      <w:r w:rsidRPr="00F60296">
        <w:rPr>
          <w:rStyle w:val="normaltextrun"/>
          <w:rFonts w:ascii="Calibri" w:hAnsi="Calibri" w:cs="Calibri"/>
          <w:color w:val="000000"/>
        </w:rPr>
        <w:t>24 July 2023</w:t>
      </w:r>
      <w:r>
        <w:rPr>
          <w:rStyle w:val="normaltextrun"/>
          <w:rFonts w:ascii="Calibri" w:hAnsi="Calibri" w:cs="Calibri"/>
          <w:color w:val="000000"/>
        </w:rPr>
        <w:t xml:space="preserve"> </w:t>
      </w:r>
      <w:r w:rsidRPr="004A1190">
        <w:rPr>
          <w:szCs w:val="15"/>
        </w:rPr>
        <w:t>(</w:t>
      </w:r>
      <w:hyperlink r:id="rId109" w:history="1">
        <w:r w:rsidRPr="004A1190">
          <w:rPr>
            <w:rStyle w:val="Hyperlink"/>
            <w:szCs w:val="15"/>
          </w:rPr>
          <w:t>https://s3.ap-southeast-2.amazonaws.com/budgetfiles202324.budget.vic.gov.au/2023</w:t>
        </w:r>
        <w:r>
          <w:rPr>
            <w:rStyle w:val="Hyperlink"/>
            <w:szCs w:val="15"/>
          </w:rPr>
          <w:t>–</w:t>
        </w:r>
        <w:r w:rsidRPr="004A1190">
          <w:rPr>
            <w:rStyle w:val="Hyperlink"/>
            <w:szCs w:val="15"/>
          </w:rPr>
          <w:t>24+State+Budget+-+Service+Delivery.pdf</w:t>
        </w:r>
      </w:hyperlink>
      <w:r w:rsidRPr="004A1190">
        <w:rPr>
          <w:szCs w:val="15"/>
        </w:rPr>
        <w:t>)</w:t>
      </w:r>
      <w:r>
        <w:rPr>
          <w:szCs w:val="15"/>
        </w:rPr>
        <w:t>.</w:t>
      </w:r>
    </w:p>
  </w:endnote>
  <w:endnote w:id="83">
    <w:p w14:paraId="0DBBFB9A" w14:textId="77777777" w:rsidR="00373ED9" w:rsidRPr="001B0F62" w:rsidRDefault="00373ED9" w:rsidP="00373ED9">
      <w:pPr>
        <w:pStyle w:val="EndnoteText"/>
      </w:pPr>
      <w:r w:rsidRPr="001B0F62">
        <w:rPr>
          <w:rStyle w:val="EndnoteReference"/>
        </w:rPr>
        <w:endnoteRef/>
      </w:r>
      <w:r w:rsidRPr="001B0F62">
        <w:t xml:space="preserve"> </w:t>
      </w:r>
      <w:r w:rsidRPr="001B0F62">
        <w:rPr>
          <w:rStyle w:val="normaltextrun"/>
          <w:rFonts w:ascii="Calibri" w:hAnsi="Calibri" w:cs="Calibri"/>
          <w:color w:val="000000"/>
          <w:shd w:val="clear" w:color="auto" w:fill="FFFFFF"/>
        </w:rPr>
        <w:t xml:space="preserve">Department of Treasury and Finance, </w:t>
      </w:r>
      <w:hyperlink r:id="rId110" w:history="1">
        <w:r w:rsidRPr="001B0F62">
          <w:rPr>
            <w:rStyle w:val="Hyperlink"/>
            <w:i/>
            <w:iCs/>
          </w:rPr>
          <w:t>2022 Economic and Fiscal Update</w:t>
        </w:r>
      </w:hyperlink>
      <w:r w:rsidRPr="001B0F62">
        <w:rPr>
          <w:rStyle w:val="normaltextrun"/>
          <w:rFonts w:ascii="Calibri" w:hAnsi="Calibri" w:cs="Calibri"/>
          <w:color w:val="000000"/>
          <w:shd w:val="clear" w:color="auto" w:fill="FFFFFF"/>
        </w:rPr>
        <w:t>, 2022, p.107, 108, accesse</w:t>
      </w:r>
      <w:r w:rsidRPr="00F60296">
        <w:rPr>
          <w:rStyle w:val="normaltextrun"/>
          <w:rFonts w:ascii="Calibri" w:hAnsi="Calibri" w:cs="Calibri"/>
          <w:color w:val="000000"/>
        </w:rPr>
        <w:t>d 24 July 2023</w:t>
      </w:r>
      <w:r>
        <w:rPr>
          <w:rStyle w:val="normaltextrun"/>
          <w:rFonts w:ascii="Calibri" w:hAnsi="Calibri" w:cs="Calibri"/>
          <w:color w:val="000000"/>
        </w:rPr>
        <w:t>,</w:t>
      </w:r>
    </w:p>
  </w:endnote>
  <w:endnote w:id="84">
    <w:p w14:paraId="7FAFE961" w14:textId="77777777" w:rsidR="00373ED9" w:rsidRPr="00E57E49" w:rsidRDefault="00373ED9" w:rsidP="00373ED9">
      <w:pPr>
        <w:pStyle w:val="EndnoteText"/>
      </w:pPr>
      <w:r>
        <w:rPr>
          <w:rStyle w:val="EndnoteReference"/>
        </w:rPr>
        <w:endnoteRef/>
      </w:r>
      <w:r>
        <w:t xml:space="preserve"> Level Crossing Removal Project, </w:t>
      </w:r>
      <w:hyperlink r:id="rId111" w:history="1">
        <w:r w:rsidRPr="00E57E49">
          <w:rPr>
            <w:rStyle w:val="Hyperlink"/>
            <w:i/>
            <w:iCs/>
          </w:rPr>
          <w:t>Union Station opening fact sheet</w:t>
        </w:r>
        <w:r w:rsidRPr="00E57E49">
          <w:rPr>
            <w:rStyle w:val="Hyperlink"/>
          </w:rPr>
          <w:t>,</w:t>
        </w:r>
      </w:hyperlink>
      <w:r>
        <w:t xml:space="preserve"> Victoria’s Big Build website, 29 May 2023, accessed 25 July 2023.</w:t>
      </w:r>
    </w:p>
  </w:endnote>
  <w:endnote w:id="85">
    <w:p w14:paraId="1A993569" w14:textId="77777777" w:rsidR="00373ED9" w:rsidRPr="001B0F62" w:rsidRDefault="00373ED9" w:rsidP="00373ED9">
      <w:pPr>
        <w:pStyle w:val="EndnoteText"/>
      </w:pPr>
      <w:r w:rsidRPr="001B0F62">
        <w:rPr>
          <w:rStyle w:val="EndnoteReference"/>
        </w:rPr>
        <w:endnoteRef/>
      </w:r>
      <w:r w:rsidRPr="001B0F62">
        <w:t xml:space="preserve"> Victoria’s Big Build, </w:t>
      </w:r>
      <w:hyperlink r:id="rId112" w:history="1">
        <w:r w:rsidRPr="001B0F62">
          <w:rPr>
            <w:rStyle w:val="Hyperlink"/>
            <w:i/>
            <w:iCs/>
          </w:rPr>
          <w:t>Gap Road reopens to traffic ahead of schedule</w:t>
        </w:r>
      </w:hyperlink>
      <w:r w:rsidRPr="001B0F62">
        <w:rPr>
          <w:i/>
          <w:iCs/>
        </w:rPr>
        <w:t xml:space="preserve"> </w:t>
      </w:r>
      <w:r w:rsidRPr="001B0F62">
        <w:t>(media release), 30 September 2022, accessed 10 July 2023</w:t>
      </w:r>
    </w:p>
  </w:endnote>
  <w:endnote w:id="86">
    <w:p w14:paraId="02A2CAB3" w14:textId="77777777" w:rsidR="00373ED9" w:rsidRPr="001B0F62" w:rsidRDefault="00373ED9" w:rsidP="00373ED9">
      <w:pPr>
        <w:pStyle w:val="EndnoteText"/>
      </w:pPr>
      <w:r w:rsidRPr="001B0F62">
        <w:rPr>
          <w:rStyle w:val="EndnoteReference"/>
        </w:rPr>
        <w:endnoteRef/>
      </w:r>
      <w:r w:rsidRPr="001B0F62">
        <w:t xml:space="preserve"> Level Crossing Removal Project, </w:t>
      </w:r>
      <w:hyperlink r:id="rId113" w:history="1">
        <w:r w:rsidRPr="001B0F62">
          <w:rPr>
            <w:rStyle w:val="Hyperlink"/>
            <w:i/>
            <w:iCs/>
          </w:rPr>
          <w:t>Hurstbridge line duplication</w:t>
        </w:r>
      </w:hyperlink>
      <w:r w:rsidRPr="001B0F62">
        <w:t>, Victoria’s Big Build website, n.d., accessed 10 July 2023</w:t>
      </w:r>
      <w:r>
        <w:t>,</w:t>
      </w:r>
    </w:p>
  </w:endnote>
  <w:endnote w:id="87">
    <w:p w14:paraId="3A46E86E" w14:textId="77777777" w:rsidR="00373ED9" w:rsidRPr="001B0F62" w:rsidRDefault="00373ED9" w:rsidP="00373ED9">
      <w:pPr>
        <w:pStyle w:val="EndnoteText"/>
      </w:pPr>
      <w:r w:rsidRPr="001B0F62">
        <w:rPr>
          <w:rStyle w:val="EndnoteReference"/>
        </w:rPr>
        <w:endnoteRef/>
      </w:r>
      <w:r w:rsidRPr="001B0F62">
        <w:t xml:space="preserve"> Department of Treasury and Financ</w:t>
      </w:r>
      <w:r>
        <w:t xml:space="preserve">e, </w:t>
      </w:r>
      <w:hyperlink r:id="rId114" w:history="1">
        <w:r w:rsidRPr="001B0F62">
          <w:rPr>
            <w:rStyle w:val="Hyperlink"/>
            <w:i/>
            <w:iCs/>
          </w:rPr>
          <w:t>Victorian infrastructure plan 2021</w:t>
        </w:r>
      </w:hyperlink>
      <w:r w:rsidRPr="001B0F62">
        <w:rPr>
          <w:i/>
          <w:iCs/>
        </w:rPr>
        <w:t>,</w:t>
      </w:r>
      <w:r w:rsidRPr="001B0F62">
        <w:t xml:space="preserve"> 2021, p.25, accessed 20 July 2023</w:t>
      </w:r>
      <w:r>
        <w:t>.</w:t>
      </w:r>
    </w:p>
  </w:endnote>
  <w:endnote w:id="88">
    <w:p w14:paraId="4D4F8EAB" w14:textId="77777777" w:rsidR="00373ED9" w:rsidRDefault="00373ED9" w:rsidP="00373ED9">
      <w:pPr>
        <w:pStyle w:val="EndnoteText"/>
      </w:pPr>
      <w:r>
        <w:rPr>
          <w:rStyle w:val="EndnoteReference"/>
        </w:rPr>
        <w:endnoteRef/>
      </w:r>
      <w:r>
        <w:t xml:space="preserve"> Victoria’s Big Build, </w:t>
      </w:r>
      <w:hyperlink r:id="rId115" w:history="1">
        <w:r w:rsidRPr="004473DD">
          <w:rPr>
            <w:rStyle w:val="Hyperlink"/>
            <w:i/>
            <w:iCs/>
          </w:rPr>
          <w:t>New walking and cycling connections in Greensborough and Montmorency fact sheet</w:t>
        </w:r>
      </w:hyperlink>
      <w:r>
        <w:t xml:space="preserve"> (website), 30 April 2023, accessed 16 August 2023.</w:t>
      </w:r>
    </w:p>
  </w:endnote>
  <w:endnote w:id="89">
    <w:p w14:paraId="00210447" w14:textId="77777777" w:rsidR="00373ED9" w:rsidRPr="001B0F62" w:rsidRDefault="00373ED9" w:rsidP="00373ED9">
      <w:pPr>
        <w:pStyle w:val="EndnoteText"/>
      </w:pPr>
      <w:r w:rsidRPr="001B0F62">
        <w:rPr>
          <w:rStyle w:val="EndnoteReference"/>
        </w:rPr>
        <w:endnoteRef/>
      </w:r>
      <w:r w:rsidRPr="001B0F62">
        <w:t xml:space="preserve"> </w:t>
      </w:r>
      <w:r w:rsidRPr="001B0F62">
        <w:rPr>
          <w:rStyle w:val="normaltextrun"/>
          <w:rFonts w:ascii="Calibri" w:hAnsi="Calibri" w:cs="Calibri"/>
          <w:color w:val="000000"/>
          <w:shd w:val="clear" w:color="auto" w:fill="FFFFFF"/>
        </w:rPr>
        <w:t xml:space="preserve">Department of Treasury and Finance, </w:t>
      </w:r>
      <w:hyperlink r:id="rId116" w:anchor="budget-paper-3-service-delivery" w:tgtFrame="_blank" w:history="1">
        <w:r w:rsidRPr="001B0F62">
          <w:rPr>
            <w:rStyle w:val="normaltextrun"/>
            <w:rFonts w:ascii="Calibri" w:hAnsi="Calibri" w:cs="Calibri"/>
            <w:i/>
            <w:iCs/>
            <w:color w:val="0563C1"/>
            <w:u w:val="single"/>
            <w:shd w:val="clear" w:color="auto" w:fill="FFFFFF"/>
          </w:rPr>
          <w:t xml:space="preserve">Victorian </w:t>
        </w:r>
        <w:r>
          <w:rPr>
            <w:rStyle w:val="normaltextrun"/>
            <w:rFonts w:ascii="Calibri" w:hAnsi="Calibri" w:cs="Calibri"/>
            <w:i/>
            <w:iCs/>
            <w:color w:val="0563C1"/>
            <w:u w:val="single"/>
            <w:shd w:val="clear" w:color="auto" w:fill="FFFFFF"/>
          </w:rPr>
          <w:t xml:space="preserve">Budget </w:t>
        </w:r>
        <w:r w:rsidRPr="001B0F62">
          <w:rPr>
            <w:rStyle w:val="normaltextrun"/>
            <w:rFonts w:ascii="Calibri" w:hAnsi="Calibri" w:cs="Calibri"/>
            <w:i/>
            <w:iCs/>
            <w:color w:val="0563C1"/>
            <w:u w:val="single"/>
            <w:shd w:val="clear" w:color="auto" w:fill="FFFFFF"/>
          </w:rPr>
          <w:t xml:space="preserve"> 2023</w:t>
        </w:r>
        <w:r>
          <w:rPr>
            <w:rStyle w:val="normaltextrun"/>
            <w:rFonts w:ascii="Calibri" w:hAnsi="Calibri" w:cs="Calibri"/>
            <w:i/>
            <w:iCs/>
            <w:color w:val="0563C1"/>
            <w:u w:val="single"/>
            <w:shd w:val="clear" w:color="auto" w:fill="FFFFFF"/>
          </w:rPr>
          <w:t>–</w:t>
        </w:r>
        <w:r w:rsidRPr="001B0F62">
          <w:rPr>
            <w:rStyle w:val="normaltextrun"/>
            <w:rFonts w:ascii="Calibri" w:hAnsi="Calibri" w:cs="Calibri"/>
            <w:i/>
            <w:iCs/>
            <w:color w:val="0563C1"/>
            <w:u w:val="single"/>
            <w:shd w:val="clear" w:color="auto" w:fill="FFFFFF"/>
          </w:rPr>
          <w:t xml:space="preserve">24 – </w:t>
        </w:r>
        <w:r>
          <w:rPr>
            <w:rStyle w:val="normaltextrun"/>
            <w:rFonts w:ascii="Calibri" w:hAnsi="Calibri" w:cs="Calibri"/>
            <w:i/>
            <w:iCs/>
            <w:color w:val="0563C1"/>
            <w:u w:val="single"/>
            <w:shd w:val="clear" w:color="auto" w:fill="FFFFFF"/>
          </w:rPr>
          <w:t xml:space="preserve">Budget </w:t>
        </w:r>
        <w:r w:rsidRPr="001B0F62">
          <w:rPr>
            <w:rStyle w:val="normaltextrun"/>
            <w:rFonts w:ascii="Calibri" w:hAnsi="Calibri" w:cs="Calibri"/>
            <w:i/>
            <w:iCs/>
            <w:color w:val="0563C1"/>
            <w:u w:val="single"/>
            <w:shd w:val="clear" w:color="auto" w:fill="FFFFFF"/>
          </w:rPr>
          <w:t xml:space="preserve"> Paper No. 3</w:t>
        </w:r>
      </w:hyperlink>
      <w:r w:rsidRPr="001B0F62">
        <w:rPr>
          <w:rStyle w:val="normaltextrun"/>
          <w:rFonts w:ascii="Calibri" w:hAnsi="Calibri" w:cs="Calibri"/>
          <w:color w:val="000000"/>
          <w:shd w:val="clear" w:color="auto" w:fill="FFFFFF"/>
        </w:rPr>
        <w:t xml:space="preserve">, 2023, p.102, 105, accessed </w:t>
      </w:r>
      <w:r w:rsidRPr="00F60296">
        <w:rPr>
          <w:rStyle w:val="normaltextrun"/>
          <w:rFonts w:ascii="Calibri" w:hAnsi="Calibri" w:cs="Calibri"/>
          <w:color w:val="000000"/>
        </w:rPr>
        <w:t>24 July 2023</w:t>
      </w:r>
      <w:r>
        <w:rPr>
          <w:rStyle w:val="normaltextrun"/>
          <w:rFonts w:ascii="Calibri" w:hAnsi="Calibri" w:cs="Calibri"/>
          <w:color w:val="000000"/>
        </w:rPr>
        <w:t xml:space="preserve"> </w:t>
      </w:r>
      <w:r w:rsidRPr="004A1190">
        <w:rPr>
          <w:szCs w:val="15"/>
        </w:rPr>
        <w:t>(</w:t>
      </w:r>
      <w:hyperlink r:id="rId117" w:history="1">
        <w:r w:rsidRPr="004A1190">
          <w:rPr>
            <w:rStyle w:val="Hyperlink"/>
            <w:szCs w:val="15"/>
          </w:rPr>
          <w:t>https://s3.ap-southeast-2.amazonaws.com/budgetfiles202324.budget.vic.gov.au/2023</w:t>
        </w:r>
        <w:r>
          <w:rPr>
            <w:rStyle w:val="Hyperlink"/>
            <w:szCs w:val="15"/>
          </w:rPr>
          <w:t>–</w:t>
        </w:r>
        <w:r w:rsidRPr="004A1190">
          <w:rPr>
            <w:rStyle w:val="Hyperlink"/>
            <w:szCs w:val="15"/>
          </w:rPr>
          <w:t>24+State+Budget+-+Service+Delivery.pdf</w:t>
        </w:r>
      </w:hyperlink>
      <w:r w:rsidRPr="004A1190">
        <w:rPr>
          <w:szCs w:val="15"/>
        </w:rPr>
        <w:t>)</w:t>
      </w:r>
      <w:r>
        <w:rPr>
          <w:szCs w:val="15"/>
        </w:rPr>
        <w:t>.</w:t>
      </w:r>
    </w:p>
  </w:endnote>
  <w:endnote w:id="90">
    <w:p w14:paraId="0DADB638" w14:textId="77777777" w:rsidR="00373ED9" w:rsidRPr="001B0F62" w:rsidRDefault="00373ED9" w:rsidP="00373ED9">
      <w:pPr>
        <w:pStyle w:val="EndnoteText"/>
      </w:pPr>
      <w:r w:rsidRPr="001B0F62">
        <w:rPr>
          <w:rStyle w:val="EndnoteReference"/>
        </w:rPr>
        <w:endnoteRef/>
      </w:r>
      <w:r w:rsidRPr="001B0F62">
        <w:t xml:space="preserve"> </w:t>
      </w:r>
      <w:r w:rsidRPr="001B0F62">
        <w:rPr>
          <w:rStyle w:val="normaltextrun"/>
          <w:rFonts w:ascii="Calibri" w:hAnsi="Calibri" w:cs="Calibri"/>
          <w:color w:val="000000"/>
          <w:shd w:val="clear" w:color="auto" w:fill="FFFFFF"/>
        </w:rPr>
        <w:t xml:space="preserve">Department of Treasury and Finance, </w:t>
      </w:r>
      <w:hyperlink r:id="rId118" w:anchor="budget-paper-3-service-delivery" w:tgtFrame="_blank" w:history="1">
        <w:r w:rsidRPr="001B0F62">
          <w:rPr>
            <w:rStyle w:val="normaltextrun"/>
            <w:rFonts w:ascii="Calibri" w:hAnsi="Calibri" w:cs="Calibri"/>
            <w:i/>
            <w:iCs/>
            <w:color w:val="0563C1"/>
            <w:u w:val="single"/>
            <w:shd w:val="clear" w:color="auto" w:fill="FFFFFF"/>
          </w:rPr>
          <w:t xml:space="preserve">Victorian </w:t>
        </w:r>
        <w:r>
          <w:rPr>
            <w:rStyle w:val="normaltextrun"/>
            <w:rFonts w:ascii="Calibri" w:hAnsi="Calibri" w:cs="Calibri"/>
            <w:i/>
            <w:iCs/>
            <w:color w:val="0563C1"/>
            <w:u w:val="single"/>
            <w:shd w:val="clear" w:color="auto" w:fill="FFFFFF"/>
          </w:rPr>
          <w:t xml:space="preserve">Budget </w:t>
        </w:r>
        <w:r w:rsidRPr="001B0F62">
          <w:rPr>
            <w:rStyle w:val="normaltextrun"/>
            <w:rFonts w:ascii="Calibri" w:hAnsi="Calibri" w:cs="Calibri"/>
            <w:i/>
            <w:iCs/>
            <w:color w:val="0563C1"/>
            <w:u w:val="single"/>
            <w:shd w:val="clear" w:color="auto" w:fill="FFFFFF"/>
          </w:rPr>
          <w:t xml:space="preserve"> 2023</w:t>
        </w:r>
        <w:r>
          <w:rPr>
            <w:rStyle w:val="normaltextrun"/>
            <w:rFonts w:ascii="Calibri" w:hAnsi="Calibri" w:cs="Calibri"/>
            <w:i/>
            <w:iCs/>
            <w:color w:val="0563C1"/>
            <w:u w:val="single"/>
            <w:shd w:val="clear" w:color="auto" w:fill="FFFFFF"/>
          </w:rPr>
          <w:t>–</w:t>
        </w:r>
        <w:r w:rsidRPr="001B0F62">
          <w:rPr>
            <w:rStyle w:val="normaltextrun"/>
            <w:rFonts w:ascii="Calibri" w:hAnsi="Calibri" w:cs="Calibri"/>
            <w:i/>
            <w:iCs/>
            <w:color w:val="0563C1"/>
            <w:u w:val="single"/>
            <w:shd w:val="clear" w:color="auto" w:fill="FFFFFF"/>
          </w:rPr>
          <w:t xml:space="preserve">24 – </w:t>
        </w:r>
        <w:r>
          <w:rPr>
            <w:rStyle w:val="normaltextrun"/>
            <w:rFonts w:ascii="Calibri" w:hAnsi="Calibri" w:cs="Calibri"/>
            <w:i/>
            <w:iCs/>
            <w:color w:val="0563C1"/>
            <w:u w:val="single"/>
            <w:shd w:val="clear" w:color="auto" w:fill="FFFFFF"/>
          </w:rPr>
          <w:t xml:space="preserve">Budget </w:t>
        </w:r>
        <w:r w:rsidRPr="001B0F62">
          <w:rPr>
            <w:rStyle w:val="normaltextrun"/>
            <w:rFonts w:ascii="Calibri" w:hAnsi="Calibri" w:cs="Calibri"/>
            <w:i/>
            <w:iCs/>
            <w:color w:val="0563C1"/>
            <w:u w:val="single"/>
            <w:shd w:val="clear" w:color="auto" w:fill="FFFFFF"/>
          </w:rPr>
          <w:t xml:space="preserve"> Paper No. 3</w:t>
        </w:r>
      </w:hyperlink>
      <w:r w:rsidRPr="001B0F62">
        <w:rPr>
          <w:rStyle w:val="normaltextrun"/>
          <w:rFonts w:ascii="Calibri" w:hAnsi="Calibri" w:cs="Calibri"/>
          <w:color w:val="000000"/>
          <w:shd w:val="clear" w:color="auto" w:fill="FFFFFF"/>
        </w:rPr>
        <w:t xml:space="preserve">, 2023, p.102, 105, accessed </w:t>
      </w:r>
      <w:r w:rsidRPr="00F60296">
        <w:rPr>
          <w:rStyle w:val="normaltextrun"/>
          <w:rFonts w:ascii="Calibri" w:hAnsi="Calibri" w:cs="Calibri"/>
          <w:color w:val="000000"/>
        </w:rPr>
        <w:t>24 July 2023</w:t>
      </w:r>
      <w:r>
        <w:rPr>
          <w:rStyle w:val="normaltextrun"/>
          <w:rFonts w:ascii="Calibri" w:hAnsi="Calibri" w:cs="Calibri"/>
          <w:color w:val="000000"/>
        </w:rPr>
        <w:t xml:space="preserve"> </w:t>
      </w:r>
      <w:r w:rsidRPr="004A1190">
        <w:rPr>
          <w:szCs w:val="15"/>
        </w:rPr>
        <w:t>(</w:t>
      </w:r>
      <w:hyperlink r:id="rId119" w:history="1">
        <w:r w:rsidRPr="004A1190">
          <w:rPr>
            <w:rStyle w:val="Hyperlink"/>
            <w:szCs w:val="15"/>
          </w:rPr>
          <w:t>https://s3.ap-southeast-2.amazonaws.com/budgetfiles202324.budget.vic.gov.au/2023</w:t>
        </w:r>
        <w:r>
          <w:rPr>
            <w:rStyle w:val="Hyperlink"/>
            <w:szCs w:val="15"/>
          </w:rPr>
          <w:t>–</w:t>
        </w:r>
        <w:r w:rsidRPr="004A1190">
          <w:rPr>
            <w:rStyle w:val="Hyperlink"/>
            <w:szCs w:val="15"/>
          </w:rPr>
          <w:t>24+State+Budget+-+Service+Delivery.pdf</w:t>
        </w:r>
      </w:hyperlink>
      <w:r w:rsidRPr="004A1190">
        <w:rPr>
          <w:szCs w:val="15"/>
        </w:rPr>
        <w:t>)</w:t>
      </w:r>
      <w:r>
        <w:rPr>
          <w:szCs w:val="15"/>
        </w:rPr>
        <w:t>.</w:t>
      </w:r>
    </w:p>
  </w:endnote>
  <w:endnote w:id="91">
    <w:p w14:paraId="5C342C14" w14:textId="77777777" w:rsidR="00373ED9" w:rsidRPr="001B0F62" w:rsidRDefault="00373ED9" w:rsidP="00373ED9">
      <w:pPr>
        <w:pStyle w:val="EndnoteText"/>
      </w:pPr>
      <w:r w:rsidRPr="001B0F62">
        <w:rPr>
          <w:rStyle w:val="EndnoteReference"/>
        </w:rPr>
        <w:endnoteRef/>
      </w:r>
      <w:r w:rsidRPr="001B0F62">
        <w:rPr>
          <w:rStyle w:val="normaltextrun"/>
          <w:rFonts w:ascii="Calibri" w:hAnsi="Calibri" w:cs="Calibri"/>
          <w:color w:val="000000"/>
          <w:shd w:val="clear" w:color="auto" w:fill="FFFFFF"/>
        </w:rPr>
        <w:t xml:space="preserve"> Department of Treasury and Finance, </w:t>
      </w:r>
      <w:hyperlink r:id="rId120" w:anchor="budget-paper-3-service-delivery" w:tgtFrame="_blank" w:history="1">
        <w:r w:rsidRPr="001B0F62">
          <w:rPr>
            <w:rStyle w:val="normaltextrun"/>
            <w:rFonts w:ascii="Calibri" w:hAnsi="Calibri" w:cs="Calibri"/>
            <w:i/>
            <w:iCs/>
            <w:color w:val="0563C1"/>
            <w:u w:val="single"/>
            <w:shd w:val="clear" w:color="auto" w:fill="FFFFFF"/>
          </w:rPr>
          <w:t xml:space="preserve">Victorian </w:t>
        </w:r>
        <w:r>
          <w:rPr>
            <w:rStyle w:val="normaltextrun"/>
            <w:rFonts w:ascii="Calibri" w:hAnsi="Calibri" w:cs="Calibri"/>
            <w:i/>
            <w:iCs/>
            <w:color w:val="0563C1"/>
            <w:u w:val="single"/>
            <w:shd w:val="clear" w:color="auto" w:fill="FFFFFF"/>
          </w:rPr>
          <w:t xml:space="preserve">Budget </w:t>
        </w:r>
        <w:r w:rsidRPr="001B0F62">
          <w:rPr>
            <w:rStyle w:val="normaltextrun"/>
            <w:rFonts w:ascii="Calibri" w:hAnsi="Calibri" w:cs="Calibri"/>
            <w:i/>
            <w:iCs/>
            <w:color w:val="0563C1"/>
            <w:u w:val="single"/>
            <w:shd w:val="clear" w:color="auto" w:fill="FFFFFF"/>
          </w:rPr>
          <w:t xml:space="preserve"> 2023</w:t>
        </w:r>
        <w:r>
          <w:rPr>
            <w:rStyle w:val="normaltextrun"/>
            <w:rFonts w:ascii="Calibri" w:hAnsi="Calibri" w:cs="Calibri"/>
            <w:i/>
            <w:iCs/>
            <w:color w:val="0563C1"/>
            <w:u w:val="single"/>
            <w:shd w:val="clear" w:color="auto" w:fill="FFFFFF"/>
          </w:rPr>
          <w:t>–</w:t>
        </w:r>
        <w:r w:rsidRPr="001B0F62">
          <w:rPr>
            <w:rStyle w:val="normaltextrun"/>
            <w:rFonts w:ascii="Calibri" w:hAnsi="Calibri" w:cs="Calibri"/>
            <w:i/>
            <w:iCs/>
            <w:color w:val="0563C1"/>
            <w:u w:val="single"/>
            <w:shd w:val="clear" w:color="auto" w:fill="FFFFFF"/>
          </w:rPr>
          <w:t xml:space="preserve">24 – </w:t>
        </w:r>
        <w:r>
          <w:rPr>
            <w:rStyle w:val="normaltextrun"/>
            <w:rFonts w:ascii="Calibri" w:hAnsi="Calibri" w:cs="Calibri"/>
            <w:i/>
            <w:iCs/>
            <w:color w:val="0563C1"/>
            <w:u w:val="single"/>
            <w:shd w:val="clear" w:color="auto" w:fill="FFFFFF"/>
          </w:rPr>
          <w:t xml:space="preserve">Budget </w:t>
        </w:r>
        <w:r w:rsidRPr="001B0F62">
          <w:rPr>
            <w:rStyle w:val="normaltextrun"/>
            <w:rFonts w:ascii="Calibri" w:hAnsi="Calibri" w:cs="Calibri"/>
            <w:i/>
            <w:iCs/>
            <w:color w:val="0563C1"/>
            <w:u w:val="single"/>
            <w:shd w:val="clear" w:color="auto" w:fill="FFFFFF"/>
          </w:rPr>
          <w:t xml:space="preserve"> Paper No. 3</w:t>
        </w:r>
      </w:hyperlink>
      <w:r w:rsidRPr="001B0F62">
        <w:rPr>
          <w:rStyle w:val="normaltextrun"/>
          <w:rFonts w:ascii="Calibri" w:hAnsi="Calibri" w:cs="Calibri"/>
          <w:color w:val="000000"/>
          <w:shd w:val="clear" w:color="auto" w:fill="FFFFFF"/>
        </w:rPr>
        <w:t xml:space="preserve">, 2023, p.102, 107, accessed </w:t>
      </w:r>
      <w:r w:rsidRPr="00F60296">
        <w:rPr>
          <w:rStyle w:val="normaltextrun"/>
          <w:rFonts w:ascii="Calibri" w:hAnsi="Calibri" w:cs="Calibri"/>
          <w:color w:val="000000"/>
        </w:rPr>
        <w:t>24 July 2023</w:t>
      </w:r>
      <w:r>
        <w:rPr>
          <w:rStyle w:val="normaltextrun"/>
          <w:rFonts w:ascii="Calibri" w:hAnsi="Calibri" w:cs="Calibri"/>
          <w:color w:val="000000"/>
        </w:rPr>
        <w:t xml:space="preserve"> </w:t>
      </w:r>
      <w:r w:rsidRPr="004A1190">
        <w:rPr>
          <w:szCs w:val="15"/>
        </w:rPr>
        <w:t>(</w:t>
      </w:r>
      <w:hyperlink r:id="rId121" w:history="1">
        <w:r w:rsidRPr="004A1190">
          <w:rPr>
            <w:rStyle w:val="Hyperlink"/>
            <w:szCs w:val="15"/>
          </w:rPr>
          <w:t>https://s3.ap-southeast-2.amazonaws.com/budgetfiles202324.budget.vic.gov.au/2023</w:t>
        </w:r>
        <w:r>
          <w:rPr>
            <w:rStyle w:val="Hyperlink"/>
            <w:szCs w:val="15"/>
          </w:rPr>
          <w:t>–</w:t>
        </w:r>
        <w:r w:rsidRPr="004A1190">
          <w:rPr>
            <w:rStyle w:val="Hyperlink"/>
            <w:szCs w:val="15"/>
          </w:rPr>
          <w:t>24+State+Budget+-+Service+Delivery.pdf</w:t>
        </w:r>
      </w:hyperlink>
      <w:r w:rsidRPr="004A1190">
        <w:rPr>
          <w:szCs w:val="15"/>
        </w:rPr>
        <w:t>)</w:t>
      </w:r>
      <w:r>
        <w:rPr>
          <w:szCs w:val="15"/>
        </w:rPr>
        <w:t>.</w:t>
      </w:r>
    </w:p>
  </w:endnote>
  <w:endnote w:id="92">
    <w:p w14:paraId="588BEA24" w14:textId="77777777" w:rsidR="00373ED9" w:rsidRPr="001B0F62" w:rsidRDefault="00373ED9" w:rsidP="00373ED9">
      <w:pPr>
        <w:pStyle w:val="EndnoteText"/>
      </w:pPr>
      <w:r w:rsidRPr="001B0F62">
        <w:rPr>
          <w:rStyle w:val="EndnoteReference"/>
        </w:rPr>
        <w:endnoteRef/>
      </w:r>
      <w:r w:rsidRPr="001B0F62">
        <w:t xml:space="preserve"> Infrastructure Victoria, </w:t>
      </w:r>
      <w:hyperlink r:id="rId122" w:history="1">
        <w:r w:rsidRPr="001B0F62">
          <w:rPr>
            <w:rStyle w:val="Hyperlink"/>
            <w:i/>
            <w:iCs/>
          </w:rPr>
          <w:t>Victoria’s infrastructure strategy 2021</w:t>
        </w:r>
        <w:r>
          <w:rPr>
            <w:rStyle w:val="Hyperlink"/>
            <w:i/>
            <w:iCs/>
          </w:rPr>
          <w:t>–</w:t>
        </w:r>
        <w:r w:rsidRPr="001B0F62">
          <w:rPr>
            <w:rStyle w:val="Hyperlink"/>
            <w:i/>
            <w:iCs/>
          </w:rPr>
          <w:t>2051</w:t>
        </w:r>
      </w:hyperlink>
      <w:r w:rsidRPr="001B0F62">
        <w:t>, 2021, p.</w:t>
      </w:r>
      <w:r>
        <w:t>132</w:t>
      </w:r>
      <w:r w:rsidRPr="001B0F62">
        <w:t>, accessed 10 July 2023</w:t>
      </w:r>
      <w:r>
        <w:t>.</w:t>
      </w:r>
    </w:p>
  </w:endnote>
  <w:endnote w:id="93">
    <w:p w14:paraId="0AA24232" w14:textId="77777777" w:rsidR="00373ED9" w:rsidRPr="001B0F62" w:rsidRDefault="00373ED9" w:rsidP="00373ED9">
      <w:pPr>
        <w:pStyle w:val="EndnoteText"/>
      </w:pPr>
      <w:r w:rsidRPr="001B0F62">
        <w:rPr>
          <w:rStyle w:val="EndnoteReference"/>
        </w:rPr>
        <w:endnoteRef/>
      </w:r>
      <w:r w:rsidRPr="001B0F62">
        <w:t xml:space="preserve"> </w:t>
      </w:r>
      <w:r w:rsidRPr="001B0F62">
        <w:rPr>
          <w:rStyle w:val="normaltextrun"/>
          <w:rFonts w:ascii="Calibri" w:hAnsi="Calibri" w:cs="Calibri"/>
          <w:color w:val="000000"/>
          <w:shd w:val="clear" w:color="auto" w:fill="FFFFFF"/>
        </w:rPr>
        <w:t xml:space="preserve">Department of Treasury and Finance, </w:t>
      </w:r>
      <w:hyperlink r:id="rId123" w:tgtFrame="_blank" w:history="1">
        <w:r w:rsidRPr="001B0F62">
          <w:rPr>
            <w:rStyle w:val="normaltextrun"/>
            <w:rFonts w:ascii="Calibri" w:hAnsi="Calibri" w:cs="Calibri"/>
            <w:i/>
            <w:iCs/>
            <w:color w:val="0563C1"/>
            <w:u w:val="single"/>
            <w:shd w:val="clear" w:color="auto" w:fill="FFFFFF"/>
          </w:rPr>
          <w:t>Victorian infrastructure plan 2021</w:t>
        </w:r>
      </w:hyperlink>
      <w:r w:rsidRPr="001B0F62">
        <w:rPr>
          <w:rStyle w:val="normaltextrun"/>
          <w:rFonts w:ascii="Calibri" w:hAnsi="Calibri" w:cs="Calibri"/>
          <w:color w:val="000000"/>
          <w:shd w:val="clear" w:color="auto" w:fill="FFFFFF"/>
        </w:rPr>
        <w:t>, 2021, p.23, accessed 18 July 2023</w:t>
      </w:r>
      <w:r>
        <w:rPr>
          <w:rStyle w:val="normaltextrun"/>
          <w:rFonts w:ascii="Calibri" w:hAnsi="Calibri" w:cs="Calibri"/>
          <w:color w:val="000000"/>
          <w:shd w:val="clear" w:color="auto" w:fill="FFFFFF"/>
        </w:rPr>
        <w:t>.</w:t>
      </w:r>
    </w:p>
  </w:endnote>
  <w:endnote w:id="94">
    <w:p w14:paraId="0DD226D9" w14:textId="77777777" w:rsidR="00373ED9" w:rsidRPr="001B0F62" w:rsidRDefault="00373ED9" w:rsidP="00373ED9">
      <w:pPr>
        <w:pStyle w:val="EndnoteText"/>
      </w:pPr>
      <w:r w:rsidRPr="001B0F62">
        <w:rPr>
          <w:rStyle w:val="EndnoteReference"/>
        </w:rPr>
        <w:endnoteRef/>
      </w:r>
      <w:r w:rsidRPr="001B0F62">
        <w:t xml:space="preserve"> </w:t>
      </w:r>
      <w:r w:rsidRPr="001B0F62">
        <w:rPr>
          <w:rStyle w:val="normaltextrun"/>
          <w:rFonts w:ascii="Calibri" w:hAnsi="Calibri" w:cs="Calibri"/>
          <w:color w:val="000000"/>
          <w:shd w:val="clear" w:color="auto" w:fill="FFFFFF"/>
        </w:rPr>
        <w:t xml:space="preserve">Department of Treasury and Finance, </w:t>
      </w:r>
      <w:hyperlink r:id="rId124" w:anchor="budget-paper-3-service-delivery" w:tgtFrame="_blank" w:history="1">
        <w:r w:rsidRPr="001B0F62">
          <w:rPr>
            <w:rStyle w:val="normaltextrun"/>
            <w:rFonts w:ascii="Calibri" w:hAnsi="Calibri" w:cs="Calibri"/>
            <w:i/>
            <w:iCs/>
            <w:color w:val="0563C1"/>
            <w:u w:val="single"/>
            <w:shd w:val="clear" w:color="auto" w:fill="FFFFFF"/>
          </w:rPr>
          <w:t xml:space="preserve">Victorian </w:t>
        </w:r>
        <w:r>
          <w:rPr>
            <w:rStyle w:val="normaltextrun"/>
            <w:rFonts w:ascii="Calibri" w:hAnsi="Calibri" w:cs="Calibri"/>
            <w:i/>
            <w:iCs/>
            <w:color w:val="0563C1"/>
            <w:u w:val="single"/>
            <w:shd w:val="clear" w:color="auto" w:fill="FFFFFF"/>
          </w:rPr>
          <w:t xml:space="preserve">Budget </w:t>
        </w:r>
        <w:r w:rsidRPr="001B0F62">
          <w:rPr>
            <w:rStyle w:val="normaltextrun"/>
            <w:rFonts w:ascii="Calibri" w:hAnsi="Calibri" w:cs="Calibri"/>
            <w:i/>
            <w:iCs/>
            <w:color w:val="0563C1"/>
            <w:u w:val="single"/>
            <w:shd w:val="clear" w:color="auto" w:fill="FFFFFF"/>
          </w:rPr>
          <w:t xml:space="preserve"> 2023</w:t>
        </w:r>
        <w:r>
          <w:rPr>
            <w:rStyle w:val="normaltextrun"/>
            <w:rFonts w:ascii="Calibri" w:hAnsi="Calibri" w:cs="Calibri"/>
            <w:i/>
            <w:iCs/>
            <w:color w:val="0563C1"/>
            <w:u w:val="single"/>
            <w:shd w:val="clear" w:color="auto" w:fill="FFFFFF"/>
          </w:rPr>
          <w:t>–</w:t>
        </w:r>
        <w:r w:rsidRPr="001B0F62">
          <w:rPr>
            <w:rStyle w:val="normaltextrun"/>
            <w:rFonts w:ascii="Calibri" w:hAnsi="Calibri" w:cs="Calibri"/>
            <w:i/>
            <w:iCs/>
            <w:color w:val="0563C1"/>
            <w:u w:val="single"/>
            <w:shd w:val="clear" w:color="auto" w:fill="FFFFFF"/>
          </w:rPr>
          <w:t xml:space="preserve">24 – </w:t>
        </w:r>
        <w:r>
          <w:rPr>
            <w:rStyle w:val="normaltextrun"/>
            <w:rFonts w:ascii="Calibri" w:hAnsi="Calibri" w:cs="Calibri"/>
            <w:i/>
            <w:iCs/>
            <w:color w:val="0563C1"/>
            <w:u w:val="single"/>
            <w:shd w:val="clear" w:color="auto" w:fill="FFFFFF"/>
          </w:rPr>
          <w:t xml:space="preserve">Budget </w:t>
        </w:r>
        <w:r w:rsidRPr="001B0F62">
          <w:rPr>
            <w:rStyle w:val="normaltextrun"/>
            <w:rFonts w:ascii="Calibri" w:hAnsi="Calibri" w:cs="Calibri"/>
            <w:i/>
            <w:iCs/>
            <w:color w:val="0563C1"/>
            <w:u w:val="single"/>
            <w:shd w:val="clear" w:color="auto" w:fill="FFFFFF"/>
          </w:rPr>
          <w:t xml:space="preserve"> Paper No. 3</w:t>
        </w:r>
      </w:hyperlink>
      <w:r w:rsidRPr="001B0F62">
        <w:rPr>
          <w:rStyle w:val="normaltextrun"/>
          <w:rFonts w:ascii="Calibri" w:hAnsi="Calibri" w:cs="Calibri"/>
          <w:color w:val="000000"/>
          <w:shd w:val="clear" w:color="auto" w:fill="FFFFFF"/>
        </w:rPr>
        <w:t>, 2023, p.320, 321,  accessed</w:t>
      </w:r>
      <w:r w:rsidRPr="00F60296">
        <w:rPr>
          <w:rStyle w:val="normaltextrun"/>
          <w:rFonts w:ascii="Calibri" w:hAnsi="Calibri" w:cs="Calibri"/>
          <w:color w:val="000000"/>
        </w:rPr>
        <w:t xml:space="preserve"> 24 July 2023</w:t>
      </w:r>
      <w:r>
        <w:rPr>
          <w:rStyle w:val="normaltextrun"/>
          <w:rFonts w:ascii="Calibri" w:hAnsi="Calibri" w:cs="Calibri"/>
          <w:color w:val="000000"/>
        </w:rPr>
        <w:t xml:space="preserve"> </w:t>
      </w:r>
      <w:r w:rsidRPr="004A1190">
        <w:rPr>
          <w:szCs w:val="15"/>
        </w:rPr>
        <w:t>(</w:t>
      </w:r>
      <w:hyperlink r:id="rId125" w:history="1">
        <w:r w:rsidRPr="004A1190">
          <w:rPr>
            <w:rStyle w:val="Hyperlink"/>
            <w:szCs w:val="15"/>
          </w:rPr>
          <w:t>https://s3.ap-southeast-2.amazonaws.com/budgetfiles202324.budget.vic.gov.au/2023</w:t>
        </w:r>
        <w:r>
          <w:rPr>
            <w:rStyle w:val="Hyperlink"/>
            <w:szCs w:val="15"/>
          </w:rPr>
          <w:t>–</w:t>
        </w:r>
        <w:r w:rsidRPr="004A1190">
          <w:rPr>
            <w:rStyle w:val="Hyperlink"/>
            <w:szCs w:val="15"/>
          </w:rPr>
          <w:t>24+State+Budget+-+Service+Delivery.pdf</w:t>
        </w:r>
      </w:hyperlink>
      <w:r w:rsidRPr="004A1190">
        <w:rPr>
          <w:szCs w:val="15"/>
        </w:rPr>
        <w:t>)</w:t>
      </w:r>
      <w:r>
        <w:rPr>
          <w:szCs w:val="15"/>
        </w:rPr>
        <w:t>.</w:t>
      </w:r>
    </w:p>
  </w:endnote>
  <w:endnote w:id="95">
    <w:p w14:paraId="52290C87" w14:textId="77777777" w:rsidR="00373ED9" w:rsidRPr="001B0F62" w:rsidRDefault="00373ED9" w:rsidP="00373ED9">
      <w:pPr>
        <w:pStyle w:val="EndnoteText"/>
      </w:pPr>
      <w:r w:rsidRPr="001B0F62">
        <w:rPr>
          <w:rStyle w:val="EndnoteReference"/>
        </w:rPr>
        <w:endnoteRef/>
      </w:r>
      <w:r w:rsidRPr="001B0F62">
        <w:t xml:space="preserve"> </w:t>
      </w:r>
      <w:r w:rsidRPr="001B0F62">
        <w:rPr>
          <w:rStyle w:val="normaltextrun"/>
          <w:rFonts w:ascii="Calibri" w:hAnsi="Calibri" w:cs="Calibri"/>
          <w:color w:val="000000"/>
          <w:shd w:val="clear" w:color="auto" w:fill="FFFFFF"/>
        </w:rPr>
        <w:t xml:space="preserve">Department of Treasury and Finance, </w:t>
      </w:r>
      <w:hyperlink r:id="rId126" w:anchor="budget-paper-3-service-delivery" w:tgtFrame="_blank" w:history="1">
        <w:r w:rsidRPr="001B0F62">
          <w:rPr>
            <w:rStyle w:val="normaltextrun"/>
            <w:rFonts w:ascii="Calibri" w:hAnsi="Calibri" w:cs="Calibri"/>
            <w:i/>
            <w:iCs/>
            <w:color w:val="0563C1"/>
            <w:u w:val="single"/>
            <w:shd w:val="clear" w:color="auto" w:fill="FFFFFF"/>
          </w:rPr>
          <w:t xml:space="preserve">Victorian </w:t>
        </w:r>
        <w:r>
          <w:rPr>
            <w:rStyle w:val="normaltextrun"/>
            <w:rFonts w:ascii="Calibri" w:hAnsi="Calibri" w:cs="Calibri"/>
            <w:i/>
            <w:iCs/>
            <w:color w:val="0563C1"/>
            <w:u w:val="single"/>
            <w:shd w:val="clear" w:color="auto" w:fill="FFFFFF"/>
          </w:rPr>
          <w:t xml:space="preserve">Budget </w:t>
        </w:r>
        <w:r w:rsidRPr="001B0F62">
          <w:rPr>
            <w:rStyle w:val="normaltextrun"/>
            <w:rFonts w:ascii="Calibri" w:hAnsi="Calibri" w:cs="Calibri"/>
            <w:i/>
            <w:iCs/>
            <w:color w:val="0563C1"/>
            <w:u w:val="single"/>
            <w:shd w:val="clear" w:color="auto" w:fill="FFFFFF"/>
          </w:rPr>
          <w:t xml:space="preserve"> 2023</w:t>
        </w:r>
        <w:r>
          <w:rPr>
            <w:rStyle w:val="normaltextrun"/>
            <w:rFonts w:ascii="Calibri" w:hAnsi="Calibri" w:cs="Calibri"/>
            <w:i/>
            <w:iCs/>
            <w:color w:val="0563C1"/>
            <w:u w:val="single"/>
            <w:shd w:val="clear" w:color="auto" w:fill="FFFFFF"/>
          </w:rPr>
          <w:t>–</w:t>
        </w:r>
        <w:r w:rsidRPr="001B0F62">
          <w:rPr>
            <w:rStyle w:val="normaltextrun"/>
            <w:rFonts w:ascii="Calibri" w:hAnsi="Calibri" w:cs="Calibri"/>
            <w:i/>
            <w:iCs/>
            <w:color w:val="0563C1"/>
            <w:u w:val="single"/>
            <w:shd w:val="clear" w:color="auto" w:fill="FFFFFF"/>
          </w:rPr>
          <w:t xml:space="preserve">24 – </w:t>
        </w:r>
        <w:r>
          <w:rPr>
            <w:rStyle w:val="normaltextrun"/>
            <w:rFonts w:ascii="Calibri" w:hAnsi="Calibri" w:cs="Calibri"/>
            <w:i/>
            <w:iCs/>
            <w:color w:val="0563C1"/>
            <w:u w:val="single"/>
            <w:shd w:val="clear" w:color="auto" w:fill="FFFFFF"/>
          </w:rPr>
          <w:t xml:space="preserve">Budget </w:t>
        </w:r>
        <w:r w:rsidRPr="001B0F62">
          <w:rPr>
            <w:rStyle w:val="normaltextrun"/>
            <w:rFonts w:ascii="Calibri" w:hAnsi="Calibri" w:cs="Calibri"/>
            <w:i/>
            <w:iCs/>
            <w:color w:val="0563C1"/>
            <w:u w:val="single"/>
            <w:shd w:val="clear" w:color="auto" w:fill="FFFFFF"/>
          </w:rPr>
          <w:t xml:space="preserve"> Paper No. 3</w:t>
        </w:r>
      </w:hyperlink>
      <w:r w:rsidRPr="001B0F62">
        <w:rPr>
          <w:rStyle w:val="normaltextrun"/>
          <w:rFonts w:ascii="Calibri" w:hAnsi="Calibri" w:cs="Calibri"/>
          <w:color w:val="000000"/>
          <w:shd w:val="clear" w:color="auto" w:fill="FFFFFF"/>
        </w:rPr>
        <w:t xml:space="preserve">, 2023, p.314, 323, accessed </w:t>
      </w:r>
      <w:r w:rsidRPr="00F60296">
        <w:rPr>
          <w:rStyle w:val="normaltextrun"/>
          <w:rFonts w:ascii="Calibri" w:hAnsi="Calibri" w:cs="Calibri"/>
          <w:color w:val="000000"/>
        </w:rPr>
        <w:t>24 July 2023</w:t>
      </w:r>
      <w:r>
        <w:rPr>
          <w:rStyle w:val="normaltextrun"/>
          <w:rFonts w:ascii="Calibri" w:hAnsi="Calibri" w:cs="Calibri"/>
          <w:color w:val="000000"/>
        </w:rPr>
        <w:t xml:space="preserve"> </w:t>
      </w:r>
      <w:r w:rsidRPr="004A1190">
        <w:rPr>
          <w:szCs w:val="15"/>
        </w:rPr>
        <w:t>(</w:t>
      </w:r>
      <w:hyperlink r:id="rId127" w:history="1">
        <w:r w:rsidRPr="004A1190">
          <w:rPr>
            <w:rStyle w:val="Hyperlink"/>
            <w:szCs w:val="15"/>
          </w:rPr>
          <w:t>https://s3.ap-southeast-2.amazonaws.com/budgetfiles202324.budget.vic.gov.au/2023</w:t>
        </w:r>
        <w:r>
          <w:rPr>
            <w:rStyle w:val="Hyperlink"/>
            <w:szCs w:val="15"/>
          </w:rPr>
          <w:t>–</w:t>
        </w:r>
        <w:r w:rsidRPr="004A1190">
          <w:rPr>
            <w:rStyle w:val="Hyperlink"/>
            <w:szCs w:val="15"/>
          </w:rPr>
          <w:t>24+State+Budget+-+Service+Delivery.pdf</w:t>
        </w:r>
      </w:hyperlink>
      <w:r w:rsidRPr="004A1190">
        <w:rPr>
          <w:szCs w:val="15"/>
        </w:rPr>
        <w:t>)</w:t>
      </w:r>
      <w:r>
        <w:rPr>
          <w:szCs w:val="15"/>
        </w:rPr>
        <w:t>.</w:t>
      </w:r>
    </w:p>
  </w:endnote>
  <w:endnote w:id="96">
    <w:p w14:paraId="0BD26BA4" w14:textId="77777777" w:rsidR="00373ED9" w:rsidRPr="001B0F62" w:rsidRDefault="00373ED9" w:rsidP="00373ED9">
      <w:pPr>
        <w:pStyle w:val="EndnoteText"/>
      </w:pPr>
      <w:r w:rsidRPr="001B0F62">
        <w:rPr>
          <w:rStyle w:val="EndnoteReference"/>
        </w:rPr>
        <w:endnoteRef/>
      </w:r>
      <w:r w:rsidRPr="001B0F62">
        <w:t xml:space="preserve"> </w:t>
      </w:r>
      <w:r w:rsidRPr="001B0F62">
        <w:rPr>
          <w:rStyle w:val="normaltextrun"/>
          <w:rFonts w:ascii="Calibri" w:hAnsi="Calibri" w:cs="Calibri"/>
          <w:color w:val="000000"/>
          <w:shd w:val="clear" w:color="auto" w:fill="FFFFFF"/>
        </w:rPr>
        <w:t xml:space="preserve">Department of Treasury and Finance, </w:t>
      </w:r>
      <w:hyperlink r:id="rId128" w:anchor="budget-paper-3-service-delivery" w:tgtFrame="_blank" w:history="1">
        <w:r w:rsidRPr="001B0F62">
          <w:rPr>
            <w:rStyle w:val="normaltextrun"/>
            <w:rFonts w:ascii="Calibri" w:hAnsi="Calibri" w:cs="Calibri"/>
            <w:i/>
            <w:iCs/>
            <w:color w:val="0563C1"/>
            <w:u w:val="single"/>
            <w:shd w:val="clear" w:color="auto" w:fill="FFFFFF"/>
          </w:rPr>
          <w:t xml:space="preserve">Victorian </w:t>
        </w:r>
        <w:r>
          <w:rPr>
            <w:rStyle w:val="normaltextrun"/>
            <w:rFonts w:ascii="Calibri" w:hAnsi="Calibri" w:cs="Calibri"/>
            <w:i/>
            <w:iCs/>
            <w:color w:val="0563C1"/>
            <w:u w:val="single"/>
            <w:shd w:val="clear" w:color="auto" w:fill="FFFFFF"/>
          </w:rPr>
          <w:t xml:space="preserve">Budget </w:t>
        </w:r>
        <w:r w:rsidRPr="001B0F62">
          <w:rPr>
            <w:rStyle w:val="normaltextrun"/>
            <w:rFonts w:ascii="Calibri" w:hAnsi="Calibri" w:cs="Calibri"/>
            <w:i/>
            <w:iCs/>
            <w:color w:val="0563C1"/>
            <w:u w:val="single"/>
            <w:shd w:val="clear" w:color="auto" w:fill="FFFFFF"/>
          </w:rPr>
          <w:t xml:space="preserve"> 2023</w:t>
        </w:r>
        <w:r>
          <w:rPr>
            <w:rStyle w:val="normaltextrun"/>
            <w:rFonts w:ascii="Calibri" w:hAnsi="Calibri" w:cs="Calibri"/>
            <w:i/>
            <w:iCs/>
            <w:color w:val="0563C1"/>
            <w:u w:val="single"/>
            <w:shd w:val="clear" w:color="auto" w:fill="FFFFFF"/>
          </w:rPr>
          <w:t>–</w:t>
        </w:r>
        <w:r w:rsidRPr="001B0F62">
          <w:rPr>
            <w:rStyle w:val="normaltextrun"/>
            <w:rFonts w:ascii="Calibri" w:hAnsi="Calibri" w:cs="Calibri"/>
            <w:i/>
            <w:iCs/>
            <w:color w:val="0563C1"/>
            <w:u w:val="single"/>
            <w:shd w:val="clear" w:color="auto" w:fill="FFFFFF"/>
          </w:rPr>
          <w:t xml:space="preserve">24 – </w:t>
        </w:r>
        <w:r>
          <w:rPr>
            <w:rStyle w:val="normaltextrun"/>
            <w:rFonts w:ascii="Calibri" w:hAnsi="Calibri" w:cs="Calibri"/>
            <w:i/>
            <w:iCs/>
            <w:color w:val="0563C1"/>
            <w:u w:val="single"/>
            <w:shd w:val="clear" w:color="auto" w:fill="FFFFFF"/>
          </w:rPr>
          <w:t xml:space="preserve">Budget </w:t>
        </w:r>
        <w:r w:rsidRPr="001B0F62">
          <w:rPr>
            <w:rStyle w:val="normaltextrun"/>
            <w:rFonts w:ascii="Calibri" w:hAnsi="Calibri" w:cs="Calibri"/>
            <w:i/>
            <w:iCs/>
            <w:color w:val="0563C1"/>
            <w:u w:val="single"/>
            <w:shd w:val="clear" w:color="auto" w:fill="FFFFFF"/>
          </w:rPr>
          <w:t xml:space="preserve"> Paper No. 3</w:t>
        </w:r>
      </w:hyperlink>
      <w:r w:rsidRPr="001B0F62">
        <w:rPr>
          <w:rStyle w:val="normaltextrun"/>
          <w:rFonts w:ascii="Calibri" w:hAnsi="Calibri" w:cs="Calibri"/>
          <w:color w:val="000000"/>
          <w:shd w:val="clear" w:color="auto" w:fill="FFFFFF"/>
        </w:rPr>
        <w:t>, 2023, p.313, accessed</w:t>
      </w:r>
      <w:r w:rsidRPr="001B0F62">
        <w:rPr>
          <w:rStyle w:val="normaltextrun"/>
          <w:rFonts w:ascii="Calibri" w:hAnsi="Calibri" w:cs="Calibri"/>
          <w:color w:val="000000"/>
        </w:rPr>
        <w:t xml:space="preserve"> 24 July 2023</w:t>
      </w:r>
      <w:r>
        <w:rPr>
          <w:rStyle w:val="normaltextrun"/>
          <w:rFonts w:ascii="Calibri" w:hAnsi="Calibri" w:cs="Calibri"/>
          <w:color w:val="000000"/>
        </w:rPr>
        <w:t xml:space="preserve"> </w:t>
      </w:r>
      <w:r w:rsidRPr="004A1190">
        <w:rPr>
          <w:szCs w:val="15"/>
        </w:rPr>
        <w:t>(</w:t>
      </w:r>
      <w:hyperlink r:id="rId129" w:history="1">
        <w:r w:rsidRPr="004A1190">
          <w:rPr>
            <w:rStyle w:val="Hyperlink"/>
            <w:szCs w:val="15"/>
          </w:rPr>
          <w:t>https://s3.ap-southeast-2.amazonaws.com/budgetfiles202324.budget.vic.gov.au/2023</w:t>
        </w:r>
        <w:r>
          <w:rPr>
            <w:rStyle w:val="Hyperlink"/>
            <w:szCs w:val="15"/>
          </w:rPr>
          <w:t>–</w:t>
        </w:r>
        <w:r w:rsidRPr="004A1190">
          <w:rPr>
            <w:rStyle w:val="Hyperlink"/>
            <w:szCs w:val="15"/>
          </w:rPr>
          <w:t>24+State+Budget+-+Service+Delivery.pdf</w:t>
        </w:r>
      </w:hyperlink>
      <w:r w:rsidRPr="004A1190">
        <w:rPr>
          <w:szCs w:val="15"/>
        </w:rPr>
        <w:t>)</w:t>
      </w:r>
      <w:r>
        <w:rPr>
          <w:szCs w:val="15"/>
        </w:rPr>
        <w:t>.</w:t>
      </w:r>
    </w:p>
  </w:endnote>
  <w:endnote w:id="97">
    <w:p w14:paraId="227828D4" w14:textId="77777777" w:rsidR="00373ED9" w:rsidRPr="001B0F62" w:rsidRDefault="00373ED9" w:rsidP="00373ED9">
      <w:pPr>
        <w:pStyle w:val="EndnoteText"/>
      </w:pPr>
      <w:r w:rsidRPr="001B0F62">
        <w:rPr>
          <w:rStyle w:val="EndnoteReference"/>
        </w:rPr>
        <w:endnoteRef/>
      </w:r>
      <w:r w:rsidRPr="001B0F62">
        <w:t xml:space="preserve"> Department of Treasury and Finance, </w:t>
      </w:r>
      <w:hyperlink r:id="rId130" w:history="1">
        <w:r w:rsidRPr="001B0F62">
          <w:rPr>
            <w:rStyle w:val="Hyperlink"/>
            <w:i/>
            <w:iCs/>
          </w:rPr>
          <w:t>Victorian infrastructure plan</w:t>
        </w:r>
      </w:hyperlink>
      <w:r w:rsidRPr="001B0F62">
        <w:rPr>
          <w:rStyle w:val="Hyperlink"/>
          <w:i/>
          <w:iCs/>
        </w:rPr>
        <w:t xml:space="preserve"> 2021</w:t>
      </w:r>
      <w:r w:rsidRPr="001B0F62">
        <w:t>, 2021, accessed 7 July 2023</w:t>
      </w:r>
      <w:r>
        <w:t>.</w:t>
      </w:r>
    </w:p>
  </w:endnote>
  <w:endnote w:id="98">
    <w:p w14:paraId="76C313F8" w14:textId="77777777" w:rsidR="00373ED9" w:rsidRPr="001B0F62" w:rsidRDefault="00373ED9" w:rsidP="00373ED9">
      <w:pPr>
        <w:pStyle w:val="EndnoteText"/>
      </w:pPr>
      <w:r w:rsidRPr="001B0F62">
        <w:rPr>
          <w:rStyle w:val="EndnoteReference"/>
        </w:rPr>
        <w:endnoteRef/>
      </w:r>
      <w:r w:rsidRPr="001B0F62">
        <w:t xml:space="preserve"> Premier of Victoria, </w:t>
      </w:r>
      <w:hyperlink r:id="rId131" w:history="1">
        <w:r w:rsidRPr="001B0F62">
          <w:rPr>
            <w:rStyle w:val="Hyperlink"/>
            <w:i/>
            <w:iCs/>
          </w:rPr>
          <w:t>Delivering new stations for the west</w:t>
        </w:r>
      </w:hyperlink>
      <w:r w:rsidRPr="001B0F62">
        <w:t xml:space="preserve"> (media release), 2 October 2022, accessed 7 July 2023</w:t>
      </w:r>
    </w:p>
  </w:endnote>
  <w:endnote w:id="99">
    <w:p w14:paraId="34E211D2" w14:textId="77777777" w:rsidR="00373ED9" w:rsidRPr="001B0F62" w:rsidRDefault="00373ED9" w:rsidP="00373ED9">
      <w:pPr>
        <w:pStyle w:val="EndnoteText"/>
      </w:pPr>
      <w:r w:rsidRPr="001B0F62">
        <w:rPr>
          <w:rStyle w:val="EndnoteReference"/>
        </w:rPr>
        <w:endnoteRef/>
      </w:r>
      <w:r>
        <w:t xml:space="preserve"> </w:t>
      </w:r>
      <w:r w:rsidRPr="001B0F62">
        <w:rPr>
          <w:rStyle w:val="normaltextrun"/>
          <w:rFonts w:ascii="Calibri" w:hAnsi="Calibri" w:cs="Calibri"/>
          <w:color w:val="000000"/>
          <w:shd w:val="clear" w:color="auto" w:fill="FFFFFF"/>
        </w:rPr>
        <w:t xml:space="preserve">Department of Treasury and Finance, </w:t>
      </w:r>
      <w:hyperlink r:id="rId132" w:anchor="budget-paper-3-service-delivery" w:tgtFrame="_blank" w:history="1">
        <w:r w:rsidRPr="001B0F62">
          <w:rPr>
            <w:rStyle w:val="normaltextrun"/>
            <w:rFonts w:ascii="Calibri" w:hAnsi="Calibri" w:cs="Calibri"/>
            <w:i/>
            <w:iCs/>
            <w:color w:val="0563C1"/>
            <w:u w:val="single"/>
            <w:shd w:val="clear" w:color="auto" w:fill="FFFFFF"/>
          </w:rPr>
          <w:t xml:space="preserve">Victorian </w:t>
        </w:r>
        <w:r>
          <w:rPr>
            <w:rStyle w:val="normaltextrun"/>
            <w:rFonts w:ascii="Calibri" w:hAnsi="Calibri" w:cs="Calibri"/>
            <w:i/>
            <w:iCs/>
            <w:color w:val="0563C1"/>
            <w:u w:val="single"/>
            <w:shd w:val="clear" w:color="auto" w:fill="FFFFFF"/>
          </w:rPr>
          <w:t xml:space="preserve">Budget </w:t>
        </w:r>
        <w:r w:rsidRPr="001B0F62">
          <w:rPr>
            <w:rStyle w:val="normaltextrun"/>
            <w:rFonts w:ascii="Calibri" w:hAnsi="Calibri" w:cs="Calibri"/>
            <w:i/>
            <w:iCs/>
            <w:color w:val="0563C1"/>
            <w:u w:val="single"/>
            <w:shd w:val="clear" w:color="auto" w:fill="FFFFFF"/>
          </w:rPr>
          <w:t xml:space="preserve"> 2023</w:t>
        </w:r>
        <w:r>
          <w:rPr>
            <w:rStyle w:val="normaltextrun"/>
            <w:rFonts w:ascii="Calibri" w:hAnsi="Calibri" w:cs="Calibri"/>
            <w:i/>
            <w:iCs/>
            <w:color w:val="0563C1"/>
            <w:u w:val="single"/>
            <w:shd w:val="clear" w:color="auto" w:fill="FFFFFF"/>
          </w:rPr>
          <w:t>–</w:t>
        </w:r>
        <w:r w:rsidRPr="001B0F62">
          <w:rPr>
            <w:rStyle w:val="normaltextrun"/>
            <w:rFonts w:ascii="Calibri" w:hAnsi="Calibri" w:cs="Calibri"/>
            <w:i/>
            <w:iCs/>
            <w:color w:val="0563C1"/>
            <w:u w:val="single"/>
            <w:shd w:val="clear" w:color="auto" w:fill="FFFFFF"/>
          </w:rPr>
          <w:t xml:space="preserve">24 – </w:t>
        </w:r>
        <w:r>
          <w:rPr>
            <w:rStyle w:val="normaltextrun"/>
            <w:rFonts w:ascii="Calibri" w:hAnsi="Calibri" w:cs="Calibri"/>
            <w:i/>
            <w:iCs/>
            <w:color w:val="0563C1"/>
            <w:u w:val="single"/>
            <w:shd w:val="clear" w:color="auto" w:fill="FFFFFF"/>
          </w:rPr>
          <w:t xml:space="preserve">Budget </w:t>
        </w:r>
        <w:r w:rsidRPr="001B0F62">
          <w:rPr>
            <w:rStyle w:val="normaltextrun"/>
            <w:rFonts w:ascii="Calibri" w:hAnsi="Calibri" w:cs="Calibri"/>
            <w:i/>
            <w:iCs/>
            <w:color w:val="0563C1"/>
            <w:u w:val="single"/>
            <w:shd w:val="clear" w:color="auto" w:fill="FFFFFF"/>
          </w:rPr>
          <w:t xml:space="preserve"> Paper No. 3</w:t>
        </w:r>
      </w:hyperlink>
      <w:r w:rsidRPr="001B0F62">
        <w:rPr>
          <w:rStyle w:val="normaltextrun"/>
          <w:rFonts w:ascii="Calibri" w:hAnsi="Calibri" w:cs="Calibri"/>
          <w:color w:val="000000"/>
          <w:shd w:val="clear" w:color="auto" w:fill="FFFFFF"/>
        </w:rPr>
        <w:t>, 2023, p.</w:t>
      </w:r>
      <w:r>
        <w:rPr>
          <w:rStyle w:val="normaltextrun"/>
          <w:rFonts w:ascii="Calibri" w:hAnsi="Calibri" w:cs="Calibri"/>
          <w:color w:val="000000"/>
          <w:shd w:val="clear" w:color="auto" w:fill="FFFFFF"/>
        </w:rPr>
        <w:t>12</w:t>
      </w:r>
      <w:r w:rsidRPr="001B0F62">
        <w:rPr>
          <w:rStyle w:val="normaltextrun"/>
          <w:rFonts w:ascii="Calibri" w:hAnsi="Calibri" w:cs="Calibri"/>
          <w:color w:val="000000"/>
          <w:shd w:val="clear" w:color="auto" w:fill="FFFFFF"/>
        </w:rPr>
        <w:t>, accessed</w:t>
      </w:r>
      <w:r w:rsidRPr="001B0F62">
        <w:rPr>
          <w:rStyle w:val="normaltextrun"/>
          <w:rFonts w:ascii="Calibri" w:hAnsi="Calibri" w:cs="Calibri"/>
          <w:color w:val="000000"/>
        </w:rPr>
        <w:t xml:space="preserve"> 24 July 2023</w:t>
      </w:r>
      <w:r>
        <w:rPr>
          <w:rStyle w:val="normaltextrun"/>
          <w:rFonts w:ascii="Calibri" w:hAnsi="Calibri" w:cs="Calibri"/>
          <w:color w:val="000000"/>
        </w:rPr>
        <w:t xml:space="preserve"> </w:t>
      </w:r>
      <w:r w:rsidRPr="004A1190">
        <w:rPr>
          <w:szCs w:val="15"/>
        </w:rPr>
        <w:t>(</w:t>
      </w:r>
      <w:hyperlink r:id="rId133" w:history="1">
        <w:r w:rsidRPr="004A1190">
          <w:rPr>
            <w:rStyle w:val="Hyperlink"/>
            <w:szCs w:val="15"/>
          </w:rPr>
          <w:t>https://s3.ap-southeast-2.amazonaws.com/budgetfiles202324.budget.vic.gov.au/2023</w:t>
        </w:r>
        <w:r>
          <w:rPr>
            <w:rStyle w:val="Hyperlink"/>
            <w:szCs w:val="15"/>
          </w:rPr>
          <w:t>–</w:t>
        </w:r>
        <w:r w:rsidRPr="004A1190">
          <w:rPr>
            <w:rStyle w:val="Hyperlink"/>
            <w:szCs w:val="15"/>
          </w:rPr>
          <w:t>24+State+Budget+-+Service+Delivery.pdf</w:t>
        </w:r>
      </w:hyperlink>
      <w:r w:rsidRPr="004A1190">
        <w:rPr>
          <w:szCs w:val="15"/>
        </w:rPr>
        <w:t>)</w:t>
      </w:r>
      <w:r>
        <w:rPr>
          <w:szCs w:val="15"/>
        </w:rPr>
        <w:t>.</w:t>
      </w:r>
      <w:r w:rsidRPr="001B0F62">
        <w:t xml:space="preserve"> </w:t>
      </w:r>
    </w:p>
  </w:endnote>
  <w:endnote w:id="100">
    <w:p w14:paraId="5FD28160" w14:textId="77777777" w:rsidR="00373ED9" w:rsidRDefault="00373ED9" w:rsidP="00373ED9">
      <w:pPr>
        <w:pStyle w:val="EndnoteText"/>
      </w:pPr>
      <w:r>
        <w:rPr>
          <w:rStyle w:val="EndnoteReference"/>
        </w:rPr>
        <w:endnoteRef/>
      </w:r>
      <w:r>
        <w:t xml:space="preserve">Australian Minister for Infrastructure, Transport, Regional Development and Local Government, </w:t>
      </w:r>
      <w:hyperlink r:id="rId134" w:history="1">
        <w:r w:rsidRPr="00E27A36">
          <w:rPr>
            <w:rStyle w:val="Hyperlink"/>
            <w:i/>
            <w:iCs/>
          </w:rPr>
          <w:t>Securing Australia’s $120 billion nation-building infrastructure pipeline</w:t>
        </w:r>
      </w:hyperlink>
      <w:r>
        <w:t xml:space="preserve"> (media release), 1 May 2023, accessed 10 August 2023; Minister for Transport and Infrastructure, </w:t>
      </w:r>
      <w:hyperlink r:id="rId135" w:history="1">
        <w:r w:rsidRPr="00CE5E4B">
          <w:rPr>
            <w:rStyle w:val="Hyperlink"/>
            <w:i/>
            <w:iCs/>
          </w:rPr>
          <w:t>Victoria’s Big Build projects – National review</w:t>
        </w:r>
      </w:hyperlink>
      <w:r>
        <w:t xml:space="preserve"> (media release), 17 May 2023, accessed 10 August 2023; Victoria’s Big Build, </w:t>
      </w:r>
      <w:hyperlink r:id="rId136" w:history="1">
        <w:r w:rsidRPr="00CE5E4B">
          <w:rPr>
            <w:rStyle w:val="Hyperlink"/>
            <w:i/>
            <w:iCs/>
          </w:rPr>
          <w:t>Melbourne Airport Rail (SRL Airport)</w:t>
        </w:r>
      </w:hyperlink>
      <w:r>
        <w:t xml:space="preserve"> (website), n.d., accessed 10 August 2023.</w:t>
      </w:r>
    </w:p>
  </w:endnote>
  <w:endnote w:id="101">
    <w:p w14:paraId="29BA22C8" w14:textId="77777777" w:rsidR="00373ED9" w:rsidRPr="001B0F62" w:rsidRDefault="00373ED9" w:rsidP="00373ED9">
      <w:pPr>
        <w:pStyle w:val="EndnoteText"/>
      </w:pPr>
      <w:r w:rsidRPr="001B0F62">
        <w:rPr>
          <w:rStyle w:val="EndnoteReference"/>
        </w:rPr>
        <w:endnoteRef/>
      </w:r>
      <w:r w:rsidRPr="001B0F62">
        <w:t xml:space="preserve"> Melbourne Airport Rail, </w:t>
      </w:r>
      <w:hyperlink r:id="rId137" w:history="1">
        <w:r w:rsidRPr="001B0F62">
          <w:rPr>
            <w:rStyle w:val="Hyperlink"/>
          </w:rPr>
          <w:t>Melbourne airport rail business case</w:t>
        </w:r>
      </w:hyperlink>
      <w:r w:rsidRPr="001B0F62">
        <w:t>, Victoria’s Big Build website, 21 September 2022, accessed 7 July 2023</w:t>
      </w:r>
      <w:r>
        <w:t>.</w:t>
      </w:r>
    </w:p>
  </w:endnote>
  <w:endnote w:id="102">
    <w:p w14:paraId="64D52381" w14:textId="77777777" w:rsidR="00373ED9" w:rsidRPr="001B0F62" w:rsidRDefault="00373ED9" w:rsidP="00373ED9">
      <w:pPr>
        <w:pStyle w:val="EndnoteText"/>
      </w:pPr>
      <w:r w:rsidRPr="001B0F62">
        <w:rPr>
          <w:rStyle w:val="EndnoteReference"/>
        </w:rPr>
        <w:endnoteRef/>
      </w:r>
      <w:r w:rsidRPr="001B0F62">
        <w:t xml:space="preserve"> Premier of Victoria, </w:t>
      </w:r>
      <w:hyperlink r:id="rId138" w:history="1">
        <w:r w:rsidRPr="001B0F62">
          <w:rPr>
            <w:rStyle w:val="Hyperlink"/>
            <w:i/>
            <w:iCs/>
          </w:rPr>
          <w:t>New station for Melbourne’s west as part of airport rail</w:t>
        </w:r>
      </w:hyperlink>
      <w:r w:rsidRPr="001B0F62">
        <w:t xml:space="preserve"> (media release), 21 September 2022, accessed 7 July 2023</w:t>
      </w:r>
      <w:r>
        <w:t>.</w:t>
      </w:r>
    </w:p>
  </w:endnote>
  <w:endnote w:id="103">
    <w:p w14:paraId="5FBFE553" w14:textId="77777777" w:rsidR="00373ED9" w:rsidRPr="001B0F62" w:rsidRDefault="00373ED9" w:rsidP="00373ED9">
      <w:pPr>
        <w:pStyle w:val="EndnoteText"/>
        <w:rPr>
          <w:rFonts w:ascii="Calibri" w:hAnsi="Calibri" w:cs="Calibri"/>
          <w:color w:val="000000"/>
          <w:shd w:val="clear" w:color="auto" w:fill="FFFFFF"/>
        </w:rPr>
      </w:pPr>
      <w:r w:rsidRPr="001B0F62">
        <w:rPr>
          <w:rStyle w:val="EndnoteReference"/>
        </w:rPr>
        <w:endnoteRef/>
      </w:r>
      <w:r w:rsidRPr="001B0F62">
        <w:t xml:space="preserve"> </w:t>
      </w:r>
      <w:r w:rsidRPr="001B0F62">
        <w:rPr>
          <w:rStyle w:val="normaltextrun"/>
          <w:rFonts w:ascii="Calibri" w:hAnsi="Calibri" w:cs="Calibri"/>
          <w:color w:val="000000"/>
          <w:shd w:val="clear" w:color="auto" w:fill="FFFFFF"/>
        </w:rPr>
        <w:t xml:space="preserve">Department of Treasury and Finance, </w:t>
      </w:r>
      <w:hyperlink r:id="rId139" w:anchor="budget-paper-3-service-delivery" w:tgtFrame="_blank" w:history="1">
        <w:r w:rsidRPr="001B0F62">
          <w:rPr>
            <w:rStyle w:val="normaltextrun"/>
            <w:rFonts w:ascii="Calibri" w:hAnsi="Calibri" w:cs="Calibri"/>
            <w:i/>
            <w:iCs/>
            <w:color w:val="0563C1"/>
            <w:u w:val="single"/>
            <w:shd w:val="clear" w:color="auto" w:fill="FFFFFF"/>
          </w:rPr>
          <w:t xml:space="preserve">Victorian </w:t>
        </w:r>
        <w:r>
          <w:rPr>
            <w:rStyle w:val="normaltextrun"/>
            <w:rFonts w:ascii="Calibri" w:hAnsi="Calibri" w:cs="Calibri"/>
            <w:i/>
            <w:iCs/>
            <w:color w:val="0563C1"/>
            <w:u w:val="single"/>
            <w:shd w:val="clear" w:color="auto" w:fill="FFFFFF"/>
          </w:rPr>
          <w:t xml:space="preserve">Budget </w:t>
        </w:r>
        <w:r w:rsidRPr="001B0F62">
          <w:rPr>
            <w:rStyle w:val="normaltextrun"/>
            <w:rFonts w:ascii="Calibri" w:hAnsi="Calibri" w:cs="Calibri"/>
            <w:i/>
            <w:iCs/>
            <w:color w:val="0563C1"/>
            <w:u w:val="single"/>
            <w:shd w:val="clear" w:color="auto" w:fill="FFFFFF"/>
          </w:rPr>
          <w:t xml:space="preserve"> 2023</w:t>
        </w:r>
        <w:r>
          <w:rPr>
            <w:rStyle w:val="normaltextrun"/>
            <w:rFonts w:ascii="Calibri" w:hAnsi="Calibri" w:cs="Calibri"/>
            <w:i/>
            <w:iCs/>
            <w:color w:val="0563C1"/>
            <w:u w:val="single"/>
            <w:shd w:val="clear" w:color="auto" w:fill="FFFFFF"/>
          </w:rPr>
          <w:t>–</w:t>
        </w:r>
        <w:r w:rsidRPr="001B0F62">
          <w:rPr>
            <w:rStyle w:val="normaltextrun"/>
            <w:rFonts w:ascii="Calibri" w:hAnsi="Calibri" w:cs="Calibri"/>
            <w:i/>
            <w:iCs/>
            <w:color w:val="0563C1"/>
            <w:u w:val="single"/>
            <w:shd w:val="clear" w:color="auto" w:fill="FFFFFF"/>
          </w:rPr>
          <w:t xml:space="preserve">24 – </w:t>
        </w:r>
        <w:r>
          <w:rPr>
            <w:rStyle w:val="normaltextrun"/>
            <w:rFonts w:ascii="Calibri" w:hAnsi="Calibri" w:cs="Calibri"/>
            <w:i/>
            <w:iCs/>
            <w:color w:val="0563C1"/>
            <w:u w:val="single"/>
            <w:shd w:val="clear" w:color="auto" w:fill="FFFFFF"/>
          </w:rPr>
          <w:t xml:space="preserve">Budget </w:t>
        </w:r>
        <w:r w:rsidRPr="001B0F62">
          <w:rPr>
            <w:rStyle w:val="normaltextrun"/>
            <w:rFonts w:ascii="Calibri" w:hAnsi="Calibri" w:cs="Calibri"/>
            <w:i/>
            <w:iCs/>
            <w:color w:val="0563C1"/>
            <w:u w:val="single"/>
            <w:shd w:val="clear" w:color="auto" w:fill="FFFFFF"/>
          </w:rPr>
          <w:t xml:space="preserve"> Paper No. 3</w:t>
        </w:r>
      </w:hyperlink>
      <w:r w:rsidRPr="001B0F62">
        <w:rPr>
          <w:rStyle w:val="normaltextrun"/>
          <w:rFonts w:ascii="Calibri" w:hAnsi="Calibri" w:cs="Calibri"/>
          <w:color w:val="000000"/>
          <w:shd w:val="clear" w:color="auto" w:fill="FFFFFF"/>
        </w:rPr>
        <w:t xml:space="preserve">, 2023, p.102, 106, accessed </w:t>
      </w:r>
      <w:r w:rsidRPr="001B0F62">
        <w:rPr>
          <w:rStyle w:val="normaltextrun"/>
          <w:rFonts w:ascii="Calibri" w:hAnsi="Calibri" w:cs="Calibri"/>
          <w:color w:val="000000"/>
        </w:rPr>
        <w:t>24 July 2023</w:t>
      </w:r>
      <w:r>
        <w:rPr>
          <w:rStyle w:val="normaltextrun"/>
          <w:rFonts w:ascii="Calibri" w:hAnsi="Calibri" w:cs="Calibri"/>
          <w:color w:val="000000"/>
        </w:rPr>
        <w:t xml:space="preserve">  </w:t>
      </w:r>
      <w:r w:rsidRPr="004A1190">
        <w:rPr>
          <w:szCs w:val="15"/>
        </w:rPr>
        <w:t>(</w:t>
      </w:r>
      <w:hyperlink r:id="rId140" w:history="1">
        <w:r w:rsidRPr="004A1190">
          <w:rPr>
            <w:rStyle w:val="Hyperlink"/>
            <w:szCs w:val="15"/>
          </w:rPr>
          <w:t>https://s3.ap-southeast-2.amazonaws.com/budgetfiles202324.budget.vic.gov.au/2023</w:t>
        </w:r>
        <w:r>
          <w:rPr>
            <w:rStyle w:val="Hyperlink"/>
            <w:szCs w:val="15"/>
          </w:rPr>
          <w:t>–</w:t>
        </w:r>
        <w:r w:rsidRPr="004A1190">
          <w:rPr>
            <w:rStyle w:val="Hyperlink"/>
            <w:szCs w:val="15"/>
          </w:rPr>
          <w:t>24+State+Budget+-+Service+Delivery.pdf</w:t>
        </w:r>
      </w:hyperlink>
      <w:r w:rsidRPr="004A1190">
        <w:rPr>
          <w:szCs w:val="15"/>
        </w:rPr>
        <w:t>)</w:t>
      </w:r>
      <w:r>
        <w:rPr>
          <w:szCs w:val="15"/>
        </w:rPr>
        <w:t>.</w:t>
      </w:r>
    </w:p>
  </w:endnote>
  <w:endnote w:id="104">
    <w:p w14:paraId="5FCD9CB5" w14:textId="77777777" w:rsidR="00373ED9" w:rsidRPr="001B0F62" w:rsidRDefault="00373ED9" w:rsidP="00373ED9">
      <w:pPr>
        <w:pStyle w:val="EndnoteText"/>
      </w:pPr>
      <w:r w:rsidRPr="001B0F62">
        <w:rPr>
          <w:rStyle w:val="EndnoteReference"/>
        </w:rPr>
        <w:endnoteRef/>
      </w:r>
      <w:r w:rsidRPr="001B0F62">
        <w:t xml:space="preserve"> West Gate Tunnel Project, </w:t>
      </w:r>
      <w:hyperlink r:id="rId141" w:history="1">
        <w:r w:rsidRPr="001B0F62">
          <w:rPr>
            <w:rStyle w:val="Hyperlink"/>
            <w:i/>
            <w:iCs/>
          </w:rPr>
          <w:t>Biggest TBMs in the southern hemisphere complete journey on West Gate Tunnels</w:t>
        </w:r>
      </w:hyperlink>
      <w:r w:rsidRPr="001B0F62">
        <w:t xml:space="preserve"> (media release), 8 May 2023, accessed 7 July 2023</w:t>
      </w:r>
      <w:r>
        <w:t>.</w:t>
      </w:r>
    </w:p>
  </w:endnote>
  <w:endnote w:id="105">
    <w:p w14:paraId="6E01B9BF" w14:textId="77777777" w:rsidR="00373ED9" w:rsidRPr="001B0F62" w:rsidRDefault="00373ED9" w:rsidP="00373ED9">
      <w:pPr>
        <w:pStyle w:val="EndnoteText"/>
      </w:pPr>
      <w:r w:rsidRPr="001B0F62">
        <w:rPr>
          <w:rStyle w:val="EndnoteReference"/>
        </w:rPr>
        <w:endnoteRef/>
      </w:r>
      <w:r w:rsidRPr="001B0F62">
        <w:t xml:space="preserve"> West Gate Tunnel Project, </w:t>
      </w:r>
      <w:hyperlink r:id="rId142" w:history="1">
        <w:r w:rsidRPr="001B0F62">
          <w:rPr>
            <w:rStyle w:val="Hyperlink"/>
            <w:i/>
            <w:iCs/>
          </w:rPr>
          <w:t>FAQs</w:t>
        </w:r>
      </w:hyperlink>
      <w:r w:rsidRPr="001B0F62">
        <w:t>, Victoria’s Big Build website, n.d., accessed 7 July 2023</w:t>
      </w:r>
      <w:r>
        <w:t>.</w:t>
      </w:r>
    </w:p>
  </w:endnote>
  <w:endnote w:id="106">
    <w:p w14:paraId="533FC71A" w14:textId="77777777" w:rsidR="00373ED9" w:rsidRPr="001B0F62" w:rsidRDefault="00373ED9" w:rsidP="00373ED9">
      <w:pPr>
        <w:pStyle w:val="EndnoteText"/>
      </w:pPr>
      <w:r w:rsidRPr="001B0F62">
        <w:rPr>
          <w:rStyle w:val="EndnoteReference"/>
        </w:rPr>
        <w:endnoteRef/>
      </w:r>
      <w:r w:rsidRPr="001B0F62">
        <w:t xml:space="preserve"> West Gate Tunnel Project, </w:t>
      </w:r>
      <w:hyperlink r:id="rId143" w:history="1">
        <w:r w:rsidRPr="001B0F62">
          <w:rPr>
            <w:rStyle w:val="Hyperlink"/>
            <w:i/>
            <w:iCs/>
          </w:rPr>
          <w:t>Project overview</w:t>
        </w:r>
      </w:hyperlink>
      <w:r w:rsidRPr="001B0F62">
        <w:t>, Victoria’s Big Build website, n.d., accessed 7 July 2023</w:t>
      </w:r>
      <w:r>
        <w:t>.</w:t>
      </w:r>
    </w:p>
  </w:endnote>
  <w:endnote w:id="107">
    <w:p w14:paraId="50C60DE1" w14:textId="77777777" w:rsidR="00373ED9" w:rsidRPr="001B0F62" w:rsidRDefault="00373ED9" w:rsidP="00373ED9">
      <w:pPr>
        <w:pStyle w:val="EndnoteText"/>
      </w:pPr>
      <w:r w:rsidRPr="001B0F62">
        <w:rPr>
          <w:rStyle w:val="EndnoteReference"/>
        </w:rPr>
        <w:endnoteRef/>
      </w:r>
      <w:r w:rsidRPr="001B0F62">
        <w:t xml:space="preserve"> Infrastructure Victoria, </w:t>
      </w:r>
      <w:hyperlink r:id="rId144" w:history="1">
        <w:r w:rsidRPr="001B0F62">
          <w:rPr>
            <w:rStyle w:val="Hyperlink"/>
            <w:i/>
            <w:iCs/>
          </w:rPr>
          <w:t>Victoria’s infrastructure strategy 2021</w:t>
        </w:r>
        <w:r>
          <w:rPr>
            <w:rStyle w:val="Hyperlink"/>
            <w:i/>
            <w:iCs/>
          </w:rPr>
          <w:t>–</w:t>
        </w:r>
        <w:r w:rsidRPr="001B0F62">
          <w:rPr>
            <w:rStyle w:val="Hyperlink"/>
            <w:i/>
            <w:iCs/>
          </w:rPr>
          <w:t>2051</w:t>
        </w:r>
      </w:hyperlink>
      <w:r w:rsidRPr="001B0F62">
        <w:t>, 2021, p.108, accessed 7 July 2023</w:t>
      </w:r>
      <w:r>
        <w:t>.</w:t>
      </w:r>
    </w:p>
  </w:endnote>
  <w:endnote w:id="108">
    <w:p w14:paraId="590F5DFC" w14:textId="77777777" w:rsidR="00373ED9" w:rsidRPr="001B0F62" w:rsidRDefault="00373ED9" w:rsidP="00373ED9">
      <w:pPr>
        <w:pStyle w:val="EndnoteText"/>
      </w:pPr>
      <w:r w:rsidRPr="001B0F62">
        <w:rPr>
          <w:rStyle w:val="EndnoteReference"/>
        </w:rPr>
        <w:endnoteRef/>
      </w:r>
      <w:r w:rsidRPr="001B0F62">
        <w:t xml:space="preserve"> Infrastructure Victoria, </w:t>
      </w:r>
      <w:hyperlink r:id="rId145" w:history="1">
        <w:r w:rsidRPr="001B0F62">
          <w:rPr>
            <w:rStyle w:val="Hyperlink"/>
            <w:i/>
            <w:iCs/>
          </w:rPr>
          <w:t>Victoria’s infrastructure strategy 2021</w:t>
        </w:r>
        <w:r>
          <w:rPr>
            <w:rStyle w:val="Hyperlink"/>
            <w:i/>
            <w:iCs/>
          </w:rPr>
          <w:t>–</w:t>
        </w:r>
        <w:r w:rsidRPr="001B0F62">
          <w:rPr>
            <w:rStyle w:val="Hyperlink"/>
            <w:i/>
            <w:iCs/>
          </w:rPr>
          <w:t>2051</w:t>
        </w:r>
      </w:hyperlink>
      <w:r w:rsidRPr="001B0F62">
        <w:rPr>
          <w:i/>
          <w:iCs/>
        </w:rPr>
        <w:t>,</w:t>
      </w:r>
      <w:r w:rsidRPr="001B0F62">
        <w:t xml:space="preserve"> 2021, p.177, accessed 7 July 2023</w:t>
      </w:r>
      <w:r>
        <w:t>.</w:t>
      </w:r>
    </w:p>
  </w:endnote>
  <w:endnote w:id="109">
    <w:p w14:paraId="3D955FF1" w14:textId="77777777" w:rsidR="00373ED9" w:rsidRPr="001B0F62" w:rsidRDefault="00373ED9" w:rsidP="00373ED9">
      <w:pPr>
        <w:pStyle w:val="EndnoteText"/>
      </w:pPr>
      <w:r w:rsidRPr="001B0F62">
        <w:rPr>
          <w:rStyle w:val="EndnoteReference"/>
        </w:rPr>
        <w:endnoteRef/>
      </w:r>
      <w:r w:rsidRPr="001B0F62">
        <w:t xml:space="preserve"> Infrastructure Victoria, </w:t>
      </w:r>
      <w:hyperlink r:id="rId146" w:history="1">
        <w:r w:rsidRPr="001B0F62">
          <w:rPr>
            <w:rStyle w:val="Hyperlink"/>
            <w:i/>
            <w:iCs/>
          </w:rPr>
          <w:t>Victoria’s infrastructure strategy 2021</w:t>
        </w:r>
        <w:r>
          <w:rPr>
            <w:rStyle w:val="Hyperlink"/>
            <w:i/>
            <w:iCs/>
          </w:rPr>
          <w:t>–</w:t>
        </w:r>
        <w:r w:rsidRPr="001B0F62">
          <w:rPr>
            <w:rStyle w:val="Hyperlink"/>
            <w:i/>
            <w:iCs/>
          </w:rPr>
          <w:t>2051</w:t>
        </w:r>
      </w:hyperlink>
      <w:r w:rsidRPr="001B0F62">
        <w:rPr>
          <w:i/>
          <w:iCs/>
        </w:rPr>
        <w:t>,</w:t>
      </w:r>
      <w:r w:rsidRPr="001B0F62">
        <w:t xml:space="preserve"> 2021, p.178, accessed 7 July 2023</w:t>
      </w:r>
      <w:r>
        <w:t>.</w:t>
      </w:r>
    </w:p>
  </w:endnote>
  <w:endnote w:id="110">
    <w:p w14:paraId="268E80C3" w14:textId="77777777" w:rsidR="00373ED9" w:rsidRPr="001B0F62" w:rsidRDefault="00373ED9" w:rsidP="00373ED9">
      <w:pPr>
        <w:pStyle w:val="EndnoteText"/>
      </w:pPr>
      <w:r w:rsidRPr="001B0F62">
        <w:rPr>
          <w:rStyle w:val="EndnoteReference"/>
        </w:rPr>
        <w:endnoteRef/>
      </w:r>
      <w:r w:rsidRPr="001B0F62">
        <w:t xml:space="preserve"> Infrastructure Victoria, </w:t>
      </w:r>
      <w:hyperlink r:id="rId147" w:history="1">
        <w:r w:rsidRPr="001B0F62">
          <w:rPr>
            <w:rStyle w:val="Hyperlink"/>
            <w:i/>
            <w:iCs/>
          </w:rPr>
          <w:t>Victoria’s infrastructure strategy 2021</w:t>
        </w:r>
        <w:r>
          <w:rPr>
            <w:rStyle w:val="Hyperlink"/>
            <w:i/>
            <w:iCs/>
          </w:rPr>
          <w:t>–</w:t>
        </w:r>
        <w:r w:rsidRPr="001B0F62">
          <w:rPr>
            <w:rStyle w:val="Hyperlink"/>
            <w:i/>
            <w:iCs/>
          </w:rPr>
          <w:t>2051</w:t>
        </w:r>
      </w:hyperlink>
      <w:r w:rsidRPr="001B0F62">
        <w:t>, 2021, p 206, accessed 7 July 2023</w:t>
      </w:r>
      <w:r>
        <w:t>.</w:t>
      </w:r>
    </w:p>
  </w:endnote>
  <w:endnote w:id="111">
    <w:p w14:paraId="43EE7502" w14:textId="77777777" w:rsidR="00373ED9" w:rsidRPr="001B0F62" w:rsidRDefault="00373ED9" w:rsidP="00373ED9">
      <w:pPr>
        <w:pStyle w:val="EndnoteText"/>
      </w:pPr>
      <w:r w:rsidRPr="001B0F62">
        <w:rPr>
          <w:rStyle w:val="EndnoteReference"/>
        </w:rPr>
        <w:endnoteRef/>
      </w:r>
      <w:r w:rsidRPr="001B0F62">
        <w:t xml:space="preserve"> Infrastructure Victoria, </w:t>
      </w:r>
      <w:hyperlink r:id="rId148" w:history="1">
        <w:r w:rsidRPr="001B0F62">
          <w:rPr>
            <w:rStyle w:val="Hyperlink"/>
            <w:i/>
            <w:iCs/>
          </w:rPr>
          <w:t>Victoria’s infrastructure strategy 2021</w:t>
        </w:r>
        <w:r>
          <w:rPr>
            <w:rStyle w:val="Hyperlink"/>
            <w:i/>
            <w:iCs/>
          </w:rPr>
          <w:t>–</w:t>
        </w:r>
        <w:r w:rsidRPr="001B0F62">
          <w:rPr>
            <w:rStyle w:val="Hyperlink"/>
            <w:i/>
            <w:iCs/>
          </w:rPr>
          <w:t>2051</w:t>
        </w:r>
      </w:hyperlink>
      <w:r w:rsidRPr="001B0F62">
        <w:rPr>
          <w:i/>
          <w:iCs/>
        </w:rPr>
        <w:t>,</w:t>
      </w:r>
      <w:r w:rsidRPr="001B0F62">
        <w:t xml:space="preserve"> 2021, p.158, accessed 7 July 2023</w:t>
      </w:r>
      <w:r>
        <w:t>.</w:t>
      </w:r>
    </w:p>
  </w:endnote>
  <w:endnote w:id="112">
    <w:p w14:paraId="2E0BA219" w14:textId="77777777" w:rsidR="00373ED9" w:rsidRPr="001B0F62" w:rsidRDefault="00373ED9" w:rsidP="00373ED9">
      <w:pPr>
        <w:pStyle w:val="EndnoteText"/>
      </w:pPr>
      <w:r w:rsidRPr="001B0F62">
        <w:rPr>
          <w:rStyle w:val="EndnoteReference"/>
        </w:rPr>
        <w:endnoteRef/>
      </w:r>
      <w:r w:rsidRPr="001B0F62">
        <w:t xml:space="preserve"> Infrastructure Victoria, </w:t>
      </w:r>
      <w:hyperlink r:id="rId149" w:history="1">
        <w:r w:rsidRPr="001B0F62">
          <w:rPr>
            <w:rStyle w:val="Hyperlink"/>
            <w:i/>
            <w:iCs/>
          </w:rPr>
          <w:t>Victoria’s infrastructure strategy 2021</w:t>
        </w:r>
        <w:r>
          <w:rPr>
            <w:rStyle w:val="Hyperlink"/>
            <w:i/>
            <w:iCs/>
          </w:rPr>
          <w:t>–</w:t>
        </w:r>
        <w:r w:rsidRPr="001B0F62">
          <w:rPr>
            <w:rStyle w:val="Hyperlink"/>
            <w:i/>
            <w:iCs/>
          </w:rPr>
          <w:t>2051</w:t>
        </w:r>
      </w:hyperlink>
      <w:r w:rsidRPr="001B0F62">
        <w:rPr>
          <w:i/>
          <w:iCs/>
        </w:rPr>
        <w:t>,</w:t>
      </w:r>
      <w:r w:rsidRPr="001B0F62">
        <w:t xml:space="preserve"> 2021, p.161, accessed 7 July 2023</w:t>
      </w:r>
      <w:r>
        <w:t>.</w:t>
      </w:r>
    </w:p>
  </w:endnote>
  <w:endnote w:id="113">
    <w:p w14:paraId="0F5660CB" w14:textId="77777777" w:rsidR="00373ED9" w:rsidRPr="006D40CB" w:rsidRDefault="00373ED9" w:rsidP="00373ED9">
      <w:pPr>
        <w:pStyle w:val="EndnoteText"/>
        <w:rPr>
          <w:rFonts w:ascii="Calibri" w:hAnsi="Calibri" w:cs="Calibri"/>
          <w:color w:val="000000"/>
          <w:shd w:val="clear" w:color="auto" w:fill="FFFFFF"/>
        </w:rPr>
      </w:pPr>
      <w:r>
        <w:rPr>
          <w:rStyle w:val="EndnoteReference"/>
        </w:rPr>
        <w:endnoteRef/>
      </w:r>
      <w:r>
        <w:t xml:space="preserve"> </w:t>
      </w:r>
      <w:r w:rsidRPr="00735F74">
        <w:rPr>
          <w:rStyle w:val="normaltextrun"/>
          <w:rFonts w:ascii="Calibri" w:hAnsi="Calibri" w:cs="Calibri"/>
          <w:color w:val="000000"/>
          <w:shd w:val="clear" w:color="auto" w:fill="FFFFFF"/>
        </w:rPr>
        <w:t xml:space="preserve">Department of Treasury and Finance, </w:t>
      </w:r>
      <w:hyperlink r:id="rId150" w:anchor="budget-paper-3-service-delivery" w:tgtFrame="_blank" w:history="1">
        <w:r w:rsidRPr="00735F74">
          <w:rPr>
            <w:rStyle w:val="normaltextrun"/>
            <w:rFonts w:ascii="Calibri" w:hAnsi="Calibri" w:cs="Calibri"/>
            <w:i/>
            <w:iCs/>
            <w:color w:val="0563C1"/>
            <w:u w:val="single"/>
            <w:shd w:val="clear" w:color="auto" w:fill="FFFFFF"/>
          </w:rPr>
          <w:t>Victorian Budget 2023</w:t>
        </w:r>
        <w:r>
          <w:rPr>
            <w:rStyle w:val="normaltextrun"/>
            <w:rFonts w:ascii="Calibri" w:hAnsi="Calibri" w:cs="Calibri"/>
            <w:i/>
            <w:iCs/>
            <w:color w:val="0563C1"/>
            <w:u w:val="single"/>
            <w:shd w:val="clear" w:color="auto" w:fill="FFFFFF"/>
          </w:rPr>
          <w:t>–</w:t>
        </w:r>
        <w:r w:rsidRPr="00735F74">
          <w:rPr>
            <w:rStyle w:val="normaltextrun"/>
            <w:rFonts w:ascii="Calibri" w:hAnsi="Calibri" w:cs="Calibri"/>
            <w:i/>
            <w:iCs/>
            <w:color w:val="0563C1"/>
            <w:u w:val="single"/>
            <w:shd w:val="clear" w:color="auto" w:fill="FFFFFF"/>
          </w:rPr>
          <w:t>24 – Budget Paper No. 3</w:t>
        </w:r>
      </w:hyperlink>
      <w:r w:rsidRPr="00735F74">
        <w:rPr>
          <w:rStyle w:val="normaltextrun"/>
          <w:rFonts w:ascii="Calibri" w:hAnsi="Calibri" w:cs="Calibri"/>
          <w:color w:val="000000"/>
          <w:shd w:val="clear" w:color="auto" w:fill="FFFFFF"/>
        </w:rPr>
        <w:t>, 2023, p.</w:t>
      </w:r>
      <w:r>
        <w:rPr>
          <w:rStyle w:val="normaltextrun"/>
          <w:rFonts w:ascii="Calibri" w:hAnsi="Calibri" w:cs="Calibri"/>
          <w:color w:val="000000"/>
          <w:shd w:val="clear" w:color="auto" w:fill="FFFFFF"/>
        </w:rPr>
        <w:t>314, accessed 1 August 2023</w:t>
      </w:r>
      <w:r>
        <w:rPr>
          <w:rStyle w:val="normaltextrun"/>
          <w:rFonts w:ascii="Calibri" w:hAnsi="Calibri" w:cs="Calibri"/>
          <w:color w:val="000000"/>
        </w:rPr>
        <w:t xml:space="preserve"> </w:t>
      </w:r>
      <w:r w:rsidRPr="004A1190">
        <w:rPr>
          <w:szCs w:val="15"/>
        </w:rPr>
        <w:t>(</w:t>
      </w:r>
      <w:hyperlink r:id="rId151" w:history="1">
        <w:r w:rsidRPr="004A1190">
          <w:rPr>
            <w:rStyle w:val="Hyperlink"/>
            <w:szCs w:val="15"/>
          </w:rPr>
          <w:t>https://s3.ap-southeast-2.amazonaws.com/budgetfiles202324.budget.vic.gov.au/2023</w:t>
        </w:r>
        <w:r>
          <w:rPr>
            <w:rStyle w:val="Hyperlink"/>
            <w:szCs w:val="15"/>
          </w:rPr>
          <w:t>–</w:t>
        </w:r>
        <w:r w:rsidRPr="004A1190">
          <w:rPr>
            <w:rStyle w:val="Hyperlink"/>
            <w:szCs w:val="15"/>
          </w:rPr>
          <w:t>24+State+Budget+-+Service+Delivery.pdf</w:t>
        </w:r>
      </w:hyperlink>
      <w:r w:rsidRPr="004A1190">
        <w:rPr>
          <w:szCs w:val="15"/>
        </w:rPr>
        <w:t>)</w:t>
      </w:r>
      <w:r>
        <w:rPr>
          <w:szCs w:val="15"/>
        </w:rPr>
        <w:t>.</w:t>
      </w:r>
    </w:p>
  </w:endnote>
  <w:endnote w:id="114">
    <w:p w14:paraId="7FCBF8B3" w14:textId="77777777" w:rsidR="00373ED9" w:rsidRDefault="00373ED9" w:rsidP="00373ED9">
      <w:pPr>
        <w:pStyle w:val="EndnoteText"/>
      </w:pPr>
      <w:r>
        <w:rPr>
          <w:rStyle w:val="EndnoteReference"/>
        </w:rPr>
        <w:endnoteRef/>
      </w:r>
      <w:r>
        <w:t xml:space="preserve"> </w:t>
      </w:r>
      <w:r w:rsidRPr="00735F74">
        <w:rPr>
          <w:rStyle w:val="normaltextrun"/>
          <w:rFonts w:ascii="Calibri" w:hAnsi="Calibri" w:cs="Calibri"/>
          <w:color w:val="000000"/>
          <w:shd w:val="clear" w:color="auto" w:fill="FFFFFF"/>
        </w:rPr>
        <w:t xml:space="preserve">Department of Treasury and Finance, </w:t>
      </w:r>
      <w:hyperlink r:id="rId152" w:anchor="budget-paper-3-service-delivery" w:tgtFrame="_blank" w:history="1">
        <w:r w:rsidRPr="00735F74">
          <w:rPr>
            <w:rStyle w:val="normaltextrun"/>
            <w:rFonts w:ascii="Calibri" w:hAnsi="Calibri" w:cs="Calibri"/>
            <w:i/>
            <w:iCs/>
            <w:color w:val="0563C1"/>
            <w:u w:val="single"/>
            <w:shd w:val="clear" w:color="auto" w:fill="FFFFFF"/>
          </w:rPr>
          <w:t>Victorian Budget 2023</w:t>
        </w:r>
        <w:r>
          <w:rPr>
            <w:rStyle w:val="normaltextrun"/>
            <w:rFonts w:ascii="Calibri" w:hAnsi="Calibri" w:cs="Calibri"/>
            <w:i/>
            <w:iCs/>
            <w:color w:val="0563C1"/>
            <w:u w:val="single"/>
            <w:shd w:val="clear" w:color="auto" w:fill="FFFFFF"/>
          </w:rPr>
          <w:t>–</w:t>
        </w:r>
        <w:r w:rsidRPr="00735F74">
          <w:rPr>
            <w:rStyle w:val="normaltextrun"/>
            <w:rFonts w:ascii="Calibri" w:hAnsi="Calibri" w:cs="Calibri"/>
            <w:i/>
            <w:iCs/>
            <w:color w:val="0563C1"/>
            <w:u w:val="single"/>
            <w:shd w:val="clear" w:color="auto" w:fill="FFFFFF"/>
          </w:rPr>
          <w:t>24 – Budget Paper No. 3</w:t>
        </w:r>
      </w:hyperlink>
      <w:r w:rsidRPr="00735F74">
        <w:rPr>
          <w:rStyle w:val="normaltextrun"/>
          <w:rFonts w:ascii="Calibri" w:hAnsi="Calibri" w:cs="Calibri"/>
          <w:color w:val="000000"/>
          <w:shd w:val="clear" w:color="auto" w:fill="FFFFFF"/>
        </w:rPr>
        <w:t>, 2023, p.</w:t>
      </w:r>
      <w:r>
        <w:rPr>
          <w:rStyle w:val="normaltextrun"/>
          <w:rFonts w:ascii="Calibri" w:hAnsi="Calibri" w:cs="Calibri"/>
          <w:color w:val="000000"/>
          <w:shd w:val="clear" w:color="auto" w:fill="FFFFFF"/>
        </w:rPr>
        <w:t>321, accessed 1 August 2023</w:t>
      </w:r>
      <w:r>
        <w:rPr>
          <w:rStyle w:val="normaltextrun"/>
          <w:rFonts w:ascii="Calibri" w:hAnsi="Calibri" w:cs="Calibri"/>
          <w:color w:val="000000"/>
        </w:rPr>
        <w:t xml:space="preserve"> </w:t>
      </w:r>
      <w:r w:rsidRPr="004A1190">
        <w:rPr>
          <w:szCs w:val="15"/>
        </w:rPr>
        <w:t>(</w:t>
      </w:r>
      <w:hyperlink r:id="rId153" w:history="1">
        <w:r w:rsidRPr="004A1190">
          <w:rPr>
            <w:rStyle w:val="Hyperlink"/>
            <w:szCs w:val="15"/>
          </w:rPr>
          <w:t>https://s3.ap-southeast-2.amazonaws.com/budgetfiles202324.budget.vic.gov.au/2023</w:t>
        </w:r>
        <w:r>
          <w:rPr>
            <w:rStyle w:val="Hyperlink"/>
            <w:szCs w:val="15"/>
          </w:rPr>
          <w:t>–</w:t>
        </w:r>
        <w:r w:rsidRPr="004A1190">
          <w:rPr>
            <w:rStyle w:val="Hyperlink"/>
            <w:szCs w:val="15"/>
          </w:rPr>
          <w:t>24+State+Budget+-+Service+Delivery.pdf</w:t>
        </w:r>
      </w:hyperlink>
      <w:r w:rsidRPr="004A1190">
        <w:rPr>
          <w:szCs w:val="15"/>
        </w:rPr>
        <w:t>)</w:t>
      </w:r>
      <w:r>
        <w:rPr>
          <w:szCs w:val="15"/>
        </w:rPr>
        <w:t>.</w:t>
      </w:r>
    </w:p>
  </w:endnote>
  <w:endnote w:id="115">
    <w:p w14:paraId="4F10EAA1" w14:textId="77777777" w:rsidR="00373ED9" w:rsidRPr="006D40CB" w:rsidRDefault="00373ED9" w:rsidP="00373ED9">
      <w:pPr>
        <w:pStyle w:val="EndnoteText"/>
        <w:rPr>
          <w:rFonts w:ascii="Calibri" w:hAnsi="Calibri" w:cs="Calibri"/>
          <w:color w:val="000000"/>
          <w:shd w:val="clear" w:color="auto" w:fill="FFFFFF"/>
        </w:rPr>
      </w:pPr>
      <w:r>
        <w:rPr>
          <w:rStyle w:val="EndnoteReference"/>
        </w:rPr>
        <w:endnoteRef/>
      </w:r>
      <w:r>
        <w:t xml:space="preserve"> </w:t>
      </w:r>
      <w:r w:rsidRPr="00735F74">
        <w:rPr>
          <w:rStyle w:val="normaltextrun"/>
          <w:rFonts w:ascii="Calibri" w:hAnsi="Calibri" w:cs="Calibri"/>
          <w:color w:val="000000"/>
          <w:shd w:val="clear" w:color="auto" w:fill="FFFFFF"/>
        </w:rPr>
        <w:t xml:space="preserve">Department of Treasury and Finance, </w:t>
      </w:r>
      <w:hyperlink r:id="rId154" w:anchor="budget-paper-3-service-delivery" w:tgtFrame="_blank" w:history="1">
        <w:r w:rsidRPr="00735F74">
          <w:rPr>
            <w:rStyle w:val="normaltextrun"/>
            <w:rFonts w:ascii="Calibri" w:hAnsi="Calibri" w:cs="Calibri"/>
            <w:i/>
            <w:iCs/>
            <w:color w:val="0563C1"/>
            <w:u w:val="single"/>
            <w:shd w:val="clear" w:color="auto" w:fill="FFFFFF"/>
          </w:rPr>
          <w:t>Victorian Budget 2023</w:t>
        </w:r>
        <w:r>
          <w:rPr>
            <w:rStyle w:val="normaltextrun"/>
            <w:rFonts w:ascii="Calibri" w:hAnsi="Calibri" w:cs="Calibri"/>
            <w:i/>
            <w:iCs/>
            <w:color w:val="0563C1"/>
            <w:u w:val="single"/>
            <w:shd w:val="clear" w:color="auto" w:fill="FFFFFF"/>
          </w:rPr>
          <w:t>–</w:t>
        </w:r>
        <w:r w:rsidRPr="00735F74">
          <w:rPr>
            <w:rStyle w:val="normaltextrun"/>
            <w:rFonts w:ascii="Calibri" w:hAnsi="Calibri" w:cs="Calibri"/>
            <w:i/>
            <w:iCs/>
            <w:color w:val="0563C1"/>
            <w:u w:val="single"/>
            <w:shd w:val="clear" w:color="auto" w:fill="FFFFFF"/>
          </w:rPr>
          <w:t>24 – Budget Paper No. 3</w:t>
        </w:r>
      </w:hyperlink>
      <w:r w:rsidRPr="00735F74">
        <w:rPr>
          <w:rStyle w:val="normaltextrun"/>
          <w:rFonts w:ascii="Calibri" w:hAnsi="Calibri" w:cs="Calibri"/>
          <w:color w:val="000000"/>
          <w:shd w:val="clear" w:color="auto" w:fill="FFFFFF"/>
        </w:rPr>
        <w:t>, 2023, p.313</w:t>
      </w:r>
      <w:r>
        <w:rPr>
          <w:rStyle w:val="normaltextrun"/>
          <w:rFonts w:ascii="Calibri" w:hAnsi="Calibri" w:cs="Calibri"/>
          <w:color w:val="000000"/>
          <w:shd w:val="clear" w:color="auto" w:fill="FFFFFF"/>
        </w:rPr>
        <w:t>, 320, 323, accessed 1 August 2023</w:t>
      </w:r>
      <w:r>
        <w:rPr>
          <w:rStyle w:val="normaltextrun"/>
          <w:rFonts w:ascii="Calibri" w:hAnsi="Calibri" w:cs="Calibri"/>
          <w:color w:val="000000"/>
        </w:rPr>
        <w:t xml:space="preserve"> </w:t>
      </w:r>
      <w:r w:rsidRPr="004A1190">
        <w:rPr>
          <w:szCs w:val="15"/>
        </w:rPr>
        <w:t>(</w:t>
      </w:r>
      <w:hyperlink r:id="rId155" w:history="1">
        <w:r w:rsidRPr="004A1190">
          <w:rPr>
            <w:rStyle w:val="Hyperlink"/>
            <w:szCs w:val="15"/>
          </w:rPr>
          <w:t>https://s3.ap-southeast-2.amazonaws.com/budgetfiles202324.budget.vic.gov.au/2023</w:t>
        </w:r>
        <w:r>
          <w:rPr>
            <w:rStyle w:val="Hyperlink"/>
            <w:szCs w:val="15"/>
          </w:rPr>
          <w:t>–</w:t>
        </w:r>
        <w:r w:rsidRPr="004A1190">
          <w:rPr>
            <w:rStyle w:val="Hyperlink"/>
            <w:szCs w:val="15"/>
          </w:rPr>
          <w:t>24+State+Budget+-+Service+Delivery.pdf</w:t>
        </w:r>
      </w:hyperlink>
      <w:r w:rsidRPr="004A1190">
        <w:rPr>
          <w:szCs w:val="15"/>
        </w:rPr>
        <w:t>)</w:t>
      </w:r>
      <w:r>
        <w:rPr>
          <w:szCs w:val="15"/>
        </w:rPr>
        <w:t>.</w:t>
      </w:r>
    </w:p>
  </w:endnote>
  <w:endnote w:id="116">
    <w:p w14:paraId="57060937" w14:textId="77777777" w:rsidR="00373ED9" w:rsidRPr="001B0F62" w:rsidRDefault="00373ED9" w:rsidP="00373ED9">
      <w:pPr>
        <w:pStyle w:val="EndnoteText"/>
      </w:pPr>
      <w:r w:rsidRPr="001B0F62">
        <w:rPr>
          <w:rStyle w:val="EndnoteReference"/>
        </w:rPr>
        <w:endnoteRef/>
      </w:r>
      <w:r w:rsidRPr="001B0F62">
        <w:t xml:space="preserve"> </w:t>
      </w:r>
      <w:r w:rsidRPr="001B0F62">
        <w:rPr>
          <w:rStyle w:val="normaltextrun"/>
          <w:rFonts w:ascii="Calibri" w:hAnsi="Calibri" w:cs="Calibri"/>
          <w:color w:val="000000"/>
          <w:shd w:val="clear" w:color="auto" w:fill="FFFFFF"/>
        </w:rPr>
        <w:t xml:space="preserve">Department of Treasury and Finance, </w:t>
      </w:r>
      <w:hyperlink r:id="rId156" w:anchor="budget-paper-3-service-delivery" w:tgtFrame="_blank" w:history="1">
        <w:r w:rsidRPr="001B0F62">
          <w:rPr>
            <w:rStyle w:val="normaltextrun"/>
            <w:rFonts w:ascii="Calibri" w:hAnsi="Calibri" w:cs="Calibri"/>
            <w:i/>
            <w:iCs/>
            <w:color w:val="0563C1"/>
            <w:u w:val="single"/>
            <w:shd w:val="clear" w:color="auto" w:fill="FFFFFF"/>
          </w:rPr>
          <w:t xml:space="preserve">Victorian </w:t>
        </w:r>
        <w:r>
          <w:rPr>
            <w:rStyle w:val="normaltextrun"/>
            <w:rFonts w:ascii="Calibri" w:hAnsi="Calibri" w:cs="Calibri"/>
            <w:i/>
            <w:iCs/>
            <w:color w:val="0563C1"/>
            <w:u w:val="single"/>
            <w:shd w:val="clear" w:color="auto" w:fill="FFFFFF"/>
          </w:rPr>
          <w:t xml:space="preserve">Budget </w:t>
        </w:r>
        <w:r w:rsidRPr="001B0F62">
          <w:rPr>
            <w:rStyle w:val="normaltextrun"/>
            <w:rFonts w:ascii="Calibri" w:hAnsi="Calibri" w:cs="Calibri"/>
            <w:i/>
            <w:iCs/>
            <w:color w:val="0563C1"/>
            <w:u w:val="single"/>
            <w:shd w:val="clear" w:color="auto" w:fill="FFFFFF"/>
          </w:rPr>
          <w:t xml:space="preserve"> 2023</w:t>
        </w:r>
        <w:r>
          <w:rPr>
            <w:rStyle w:val="normaltextrun"/>
            <w:rFonts w:ascii="Calibri" w:hAnsi="Calibri" w:cs="Calibri"/>
            <w:i/>
            <w:iCs/>
            <w:color w:val="0563C1"/>
            <w:u w:val="single"/>
            <w:shd w:val="clear" w:color="auto" w:fill="FFFFFF"/>
          </w:rPr>
          <w:t>–</w:t>
        </w:r>
        <w:r w:rsidRPr="001B0F62">
          <w:rPr>
            <w:rStyle w:val="normaltextrun"/>
            <w:rFonts w:ascii="Calibri" w:hAnsi="Calibri" w:cs="Calibri"/>
            <w:i/>
            <w:iCs/>
            <w:color w:val="0563C1"/>
            <w:u w:val="single"/>
            <w:shd w:val="clear" w:color="auto" w:fill="FFFFFF"/>
          </w:rPr>
          <w:t xml:space="preserve">24 – </w:t>
        </w:r>
        <w:r>
          <w:rPr>
            <w:rStyle w:val="normaltextrun"/>
            <w:rFonts w:ascii="Calibri" w:hAnsi="Calibri" w:cs="Calibri"/>
            <w:i/>
            <w:iCs/>
            <w:color w:val="0563C1"/>
            <w:u w:val="single"/>
            <w:shd w:val="clear" w:color="auto" w:fill="FFFFFF"/>
          </w:rPr>
          <w:t xml:space="preserve">Budget </w:t>
        </w:r>
        <w:r w:rsidRPr="001B0F62">
          <w:rPr>
            <w:rStyle w:val="normaltextrun"/>
            <w:rFonts w:ascii="Calibri" w:hAnsi="Calibri" w:cs="Calibri"/>
            <w:i/>
            <w:iCs/>
            <w:color w:val="0563C1"/>
            <w:u w:val="single"/>
            <w:shd w:val="clear" w:color="auto" w:fill="FFFFFF"/>
          </w:rPr>
          <w:t xml:space="preserve"> Paper No. 3</w:t>
        </w:r>
      </w:hyperlink>
      <w:r w:rsidRPr="001B0F62">
        <w:rPr>
          <w:rStyle w:val="normaltextrun"/>
          <w:rFonts w:ascii="Calibri" w:hAnsi="Calibri" w:cs="Calibri"/>
          <w:color w:val="000000"/>
          <w:shd w:val="clear" w:color="auto" w:fill="FFFFFF"/>
        </w:rPr>
        <w:t>, 2023, pp.313</w:t>
      </w:r>
      <w:r>
        <w:rPr>
          <w:rStyle w:val="normaltextrun"/>
          <w:rFonts w:ascii="Calibri" w:hAnsi="Calibri" w:cs="Calibri"/>
          <w:color w:val="000000"/>
          <w:shd w:val="clear" w:color="auto" w:fill="FFFFFF"/>
        </w:rPr>
        <w:t>–</w:t>
      </w:r>
      <w:r w:rsidRPr="001B0F62">
        <w:rPr>
          <w:rStyle w:val="normaltextrun"/>
          <w:rFonts w:ascii="Calibri" w:hAnsi="Calibri" w:cs="Calibri"/>
          <w:color w:val="000000"/>
          <w:shd w:val="clear" w:color="auto" w:fill="FFFFFF"/>
        </w:rPr>
        <w:t xml:space="preserve">323, </w:t>
      </w:r>
      <w:r w:rsidRPr="001B0F62">
        <w:rPr>
          <w:rStyle w:val="normaltextrun"/>
          <w:rFonts w:ascii="Calibri" w:hAnsi="Calibri" w:cs="Calibri"/>
          <w:color w:val="000000"/>
        </w:rPr>
        <w:t>accessed 24 July 2023</w:t>
      </w:r>
      <w:r>
        <w:rPr>
          <w:rStyle w:val="normaltextrun"/>
          <w:rFonts w:ascii="Calibri" w:hAnsi="Calibri" w:cs="Calibri"/>
          <w:color w:val="000000"/>
        </w:rPr>
        <w:t xml:space="preserve"> </w:t>
      </w:r>
      <w:r w:rsidRPr="004A1190">
        <w:rPr>
          <w:szCs w:val="15"/>
        </w:rPr>
        <w:t>(</w:t>
      </w:r>
      <w:hyperlink r:id="rId157" w:history="1">
        <w:r w:rsidRPr="004A1190">
          <w:rPr>
            <w:rStyle w:val="Hyperlink"/>
            <w:szCs w:val="15"/>
          </w:rPr>
          <w:t>https://s3.ap-southeast-2.amazonaws.com/budgetfiles202324.budget.vic.gov.au/2023</w:t>
        </w:r>
        <w:r>
          <w:rPr>
            <w:rStyle w:val="Hyperlink"/>
            <w:szCs w:val="15"/>
          </w:rPr>
          <w:t>–</w:t>
        </w:r>
        <w:r w:rsidRPr="004A1190">
          <w:rPr>
            <w:rStyle w:val="Hyperlink"/>
            <w:szCs w:val="15"/>
          </w:rPr>
          <w:t>24+State+Budget+-+Service+Delivery.pdf</w:t>
        </w:r>
      </w:hyperlink>
      <w:r w:rsidRPr="004A1190">
        <w:rPr>
          <w:szCs w:val="15"/>
        </w:rPr>
        <w:t>)</w:t>
      </w:r>
      <w:r>
        <w:rPr>
          <w:szCs w:val="15"/>
        </w:rPr>
        <w:t>.</w:t>
      </w:r>
    </w:p>
  </w:endnote>
  <w:endnote w:id="117">
    <w:p w14:paraId="1D9C5DF2" w14:textId="77777777" w:rsidR="00373ED9" w:rsidRPr="001B0F62" w:rsidRDefault="00373ED9" w:rsidP="00373ED9">
      <w:pPr>
        <w:pStyle w:val="EndnoteText"/>
      </w:pPr>
      <w:r w:rsidRPr="001B0F62">
        <w:rPr>
          <w:rStyle w:val="EndnoteReference"/>
        </w:rPr>
        <w:endnoteRef/>
      </w:r>
      <w:r w:rsidRPr="001B0F62">
        <w:t xml:space="preserve"> Department of Treasury and Finance, </w:t>
      </w:r>
      <w:hyperlink r:id="rId158" w:history="1">
        <w:r>
          <w:rPr>
            <w:rStyle w:val="Hyperlink"/>
          </w:rPr>
          <w:t>Department of Transport output performance measures 2022–23</w:t>
        </w:r>
      </w:hyperlink>
      <w:r w:rsidRPr="001B0F62">
        <w:t>, 2022, accessed 29 June 2023</w:t>
      </w:r>
      <w:r>
        <w:t>.</w:t>
      </w:r>
    </w:p>
  </w:endnote>
  <w:endnote w:id="118">
    <w:p w14:paraId="12CCD406" w14:textId="77777777" w:rsidR="00373ED9" w:rsidRPr="001B0F62" w:rsidRDefault="00373ED9" w:rsidP="00373ED9">
      <w:pPr>
        <w:pStyle w:val="EndnoteText"/>
      </w:pPr>
      <w:r w:rsidRPr="001B0F62">
        <w:rPr>
          <w:rStyle w:val="EndnoteReference"/>
        </w:rPr>
        <w:endnoteRef/>
      </w:r>
      <w:r w:rsidRPr="001B0F62">
        <w:t xml:space="preserve"> Department of Transport, </w:t>
      </w:r>
      <w:hyperlink r:id="rId159" w:history="1">
        <w:r w:rsidRPr="001B0F62">
          <w:rPr>
            <w:rStyle w:val="Hyperlink"/>
            <w:i/>
            <w:iCs/>
          </w:rPr>
          <w:t>Annual report</w:t>
        </w:r>
      </w:hyperlink>
      <w:r w:rsidRPr="001B0F62">
        <w:rPr>
          <w:rStyle w:val="Hyperlink"/>
          <w:i/>
          <w:iCs/>
        </w:rPr>
        <w:t xml:space="preserve"> 2021</w:t>
      </w:r>
      <w:r>
        <w:rPr>
          <w:rStyle w:val="Hyperlink"/>
          <w:i/>
          <w:iCs/>
        </w:rPr>
        <w:t>–</w:t>
      </w:r>
      <w:r w:rsidRPr="001B0F62">
        <w:rPr>
          <w:rStyle w:val="Hyperlink"/>
          <w:i/>
          <w:iCs/>
        </w:rPr>
        <w:t>2022</w:t>
      </w:r>
      <w:r w:rsidRPr="001B0F62">
        <w:t>, 2022, p.145, accessed 29 June 2023</w:t>
      </w:r>
      <w:r>
        <w:t>.</w:t>
      </w:r>
    </w:p>
  </w:endnote>
  <w:endnote w:id="119">
    <w:p w14:paraId="56EEAC1E" w14:textId="77777777" w:rsidR="00373ED9" w:rsidRPr="001B0F62" w:rsidRDefault="00373ED9" w:rsidP="00373ED9">
      <w:pPr>
        <w:pStyle w:val="EndnoteText"/>
      </w:pPr>
      <w:r w:rsidRPr="001B0F62">
        <w:rPr>
          <w:rStyle w:val="EndnoteReference"/>
        </w:rPr>
        <w:endnoteRef/>
      </w:r>
      <w:r w:rsidRPr="001B0F62">
        <w:t xml:space="preserve"> Department of Transport, </w:t>
      </w:r>
      <w:hyperlink r:id="rId160" w:history="1">
        <w:r w:rsidRPr="001B0F62">
          <w:rPr>
            <w:rStyle w:val="Hyperlink"/>
            <w:i/>
            <w:iCs/>
          </w:rPr>
          <w:t>Annual report</w:t>
        </w:r>
      </w:hyperlink>
      <w:r w:rsidRPr="001B0F62">
        <w:rPr>
          <w:rStyle w:val="Hyperlink"/>
          <w:i/>
          <w:iCs/>
        </w:rPr>
        <w:t xml:space="preserve"> 2021</w:t>
      </w:r>
      <w:r>
        <w:rPr>
          <w:rStyle w:val="Hyperlink"/>
          <w:i/>
          <w:iCs/>
        </w:rPr>
        <w:t>–</w:t>
      </w:r>
      <w:r w:rsidRPr="001B0F62">
        <w:rPr>
          <w:rStyle w:val="Hyperlink"/>
          <w:i/>
          <w:iCs/>
        </w:rPr>
        <w:t>2022</w:t>
      </w:r>
      <w:r w:rsidRPr="001B0F62">
        <w:t>, 2022, p.145, accessed 29 June 2023</w:t>
      </w:r>
      <w:r>
        <w:t>.</w:t>
      </w:r>
    </w:p>
  </w:endnote>
  <w:endnote w:id="120">
    <w:p w14:paraId="1D4DCEBF" w14:textId="77777777" w:rsidR="00373ED9" w:rsidRPr="00CE5E4B" w:rsidRDefault="00373ED9" w:rsidP="00373ED9">
      <w:pPr>
        <w:pStyle w:val="EndnoteText"/>
        <w:rPr>
          <w:i/>
          <w:iCs/>
        </w:rPr>
      </w:pPr>
      <w:r>
        <w:rPr>
          <w:rStyle w:val="EndnoteReference"/>
        </w:rPr>
        <w:endnoteRef/>
      </w:r>
      <w:r>
        <w:t xml:space="preserve"> Department of Transport, </w:t>
      </w:r>
      <w:hyperlink r:id="rId161" w:history="1">
        <w:r w:rsidRPr="00CE5E4B">
          <w:rPr>
            <w:rStyle w:val="Hyperlink"/>
            <w:i/>
            <w:iCs/>
          </w:rPr>
          <w:t>Victorian Road Safety Strategy 2021</w:t>
        </w:r>
        <w:r>
          <w:rPr>
            <w:rStyle w:val="Hyperlink"/>
            <w:i/>
            <w:iCs/>
          </w:rPr>
          <w:t>–</w:t>
        </w:r>
        <w:r w:rsidRPr="00CE5E4B">
          <w:rPr>
            <w:rStyle w:val="Hyperlink"/>
            <w:i/>
            <w:iCs/>
          </w:rPr>
          <w:t>2030</w:t>
        </w:r>
      </w:hyperlink>
      <w:r>
        <w:t>, 2020, accessed 10 August 2023.</w:t>
      </w:r>
    </w:p>
  </w:endnote>
  <w:endnote w:id="121">
    <w:p w14:paraId="4D0132AD" w14:textId="77777777" w:rsidR="00373ED9" w:rsidRPr="001B0F62" w:rsidRDefault="00373ED9" w:rsidP="00373ED9">
      <w:pPr>
        <w:pStyle w:val="EndnoteText"/>
      </w:pPr>
      <w:r w:rsidRPr="001B0F62">
        <w:rPr>
          <w:rStyle w:val="EndnoteReference"/>
        </w:rPr>
        <w:endnoteRef/>
      </w:r>
      <w:r w:rsidRPr="001B0F62">
        <w:t xml:space="preserve"> Transport Accident Commission, </w:t>
      </w:r>
      <w:hyperlink r:id="rId162" w:history="1">
        <w:r w:rsidRPr="001B0F62">
          <w:rPr>
            <w:rStyle w:val="Hyperlink"/>
            <w:i/>
            <w:iCs/>
          </w:rPr>
          <w:t>Lives lost – annual</w:t>
        </w:r>
      </w:hyperlink>
      <w:r w:rsidRPr="001B0F62">
        <w:t>, TAC website, n.d., accessed 30 June 2023</w:t>
      </w:r>
      <w:r>
        <w:t>.</w:t>
      </w:r>
    </w:p>
  </w:endnote>
  <w:endnote w:id="122">
    <w:p w14:paraId="42020704" w14:textId="77777777" w:rsidR="00373ED9" w:rsidRPr="001B0F62" w:rsidRDefault="00373ED9" w:rsidP="00373ED9">
      <w:pPr>
        <w:pStyle w:val="EndnoteText"/>
      </w:pPr>
      <w:r w:rsidRPr="001B0F62">
        <w:rPr>
          <w:rStyle w:val="EndnoteReference"/>
        </w:rPr>
        <w:endnoteRef/>
      </w:r>
      <w:r w:rsidRPr="001B0F62">
        <w:t xml:space="preserve"> Transport Accident Commission, </w:t>
      </w:r>
      <w:hyperlink r:id="rId163" w:history="1">
        <w:r w:rsidRPr="001B0F62">
          <w:rPr>
            <w:rStyle w:val="Hyperlink"/>
            <w:i/>
            <w:iCs/>
          </w:rPr>
          <w:t>Lives lost – annual</w:t>
        </w:r>
      </w:hyperlink>
      <w:r w:rsidRPr="001B0F62">
        <w:t>, TAC website, n.d., accessed 30 June 2023</w:t>
      </w:r>
      <w:r>
        <w:t>.</w:t>
      </w:r>
    </w:p>
  </w:endnote>
  <w:endnote w:id="123">
    <w:p w14:paraId="62D3FB12" w14:textId="77777777" w:rsidR="00373ED9" w:rsidRPr="001B0F62" w:rsidRDefault="00373ED9" w:rsidP="00373ED9">
      <w:pPr>
        <w:pStyle w:val="EndnoteText"/>
      </w:pPr>
      <w:r w:rsidRPr="001B0F62">
        <w:rPr>
          <w:rStyle w:val="EndnoteReference"/>
        </w:rPr>
        <w:endnoteRef/>
      </w:r>
      <w:r w:rsidRPr="001B0F62">
        <w:t xml:space="preserve"> Department of Land, Environment, Water and Planning, </w:t>
      </w:r>
      <w:hyperlink r:id="rId164" w:history="1">
        <w:r w:rsidRPr="001B0F62">
          <w:rPr>
            <w:rStyle w:val="Hyperlink"/>
            <w:i/>
            <w:iCs/>
          </w:rPr>
          <w:t>Victoria’s climate change strategy</w:t>
        </w:r>
      </w:hyperlink>
      <w:r w:rsidRPr="001B0F62">
        <w:rPr>
          <w:i/>
          <w:iCs/>
        </w:rPr>
        <w:t>,</w:t>
      </w:r>
      <w:r w:rsidRPr="001B0F62">
        <w:t xml:space="preserve"> 2021, p.39, accessed 6 July 2023</w:t>
      </w:r>
      <w:r>
        <w:t>.</w:t>
      </w:r>
    </w:p>
  </w:endnote>
  <w:endnote w:id="124">
    <w:p w14:paraId="7953BA7A" w14:textId="77777777" w:rsidR="00373ED9" w:rsidRPr="001B0F62" w:rsidRDefault="00373ED9" w:rsidP="00373ED9">
      <w:pPr>
        <w:pStyle w:val="EndnoteText"/>
      </w:pPr>
      <w:r w:rsidRPr="001B0F62">
        <w:rPr>
          <w:rStyle w:val="EndnoteReference"/>
        </w:rPr>
        <w:endnoteRef/>
      </w:r>
      <w:r w:rsidRPr="001B0F62">
        <w:t xml:space="preserve"> Major Road Projects Victoria,</w:t>
      </w:r>
      <w:r w:rsidRPr="001B0F62">
        <w:rPr>
          <w:i/>
          <w:iCs/>
        </w:rPr>
        <w:t xml:space="preserve"> </w:t>
      </w:r>
      <w:hyperlink r:id="rId165" w:history="1">
        <w:r w:rsidRPr="001B0F62">
          <w:rPr>
            <w:rStyle w:val="Hyperlink"/>
            <w:i/>
            <w:iCs/>
          </w:rPr>
          <w:t>St Kilda Road bike lanes</w:t>
        </w:r>
      </w:hyperlink>
      <w:r w:rsidRPr="001B0F62">
        <w:t>, Victoria’s Big Build website, n.d., accessed 7 July 2023</w:t>
      </w:r>
      <w:r>
        <w:t>.</w:t>
      </w:r>
    </w:p>
  </w:endnote>
  <w:endnote w:id="125">
    <w:p w14:paraId="1C25CB77" w14:textId="77777777" w:rsidR="00373ED9" w:rsidRPr="001B0F62" w:rsidRDefault="00373ED9" w:rsidP="00373ED9">
      <w:pPr>
        <w:pStyle w:val="EndnoteText"/>
      </w:pPr>
      <w:r w:rsidRPr="001B0F62">
        <w:rPr>
          <w:rStyle w:val="EndnoteReference"/>
        </w:rPr>
        <w:endnoteRef/>
      </w:r>
      <w:r w:rsidRPr="001B0F62">
        <w:t xml:space="preserve"> Major Road Projects Victoria,</w:t>
      </w:r>
      <w:r w:rsidRPr="001B0F62">
        <w:rPr>
          <w:i/>
          <w:iCs/>
        </w:rPr>
        <w:t xml:space="preserve"> </w:t>
      </w:r>
      <w:hyperlink r:id="rId166" w:history="1">
        <w:r w:rsidRPr="001B0F62">
          <w:rPr>
            <w:rStyle w:val="Hyperlink"/>
            <w:i/>
            <w:iCs/>
          </w:rPr>
          <w:t>St Kilda Road bike lanes</w:t>
        </w:r>
      </w:hyperlink>
      <w:r w:rsidRPr="001B0F62">
        <w:t>, Victoria’s Big Build website, n.d., accessed 7 July 2023</w:t>
      </w:r>
      <w:r>
        <w:t>.</w:t>
      </w:r>
    </w:p>
  </w:endnote>
  <w:endnote w:id="126">
    <w:p w14:paraId="70FB5258" w14:textId="77777777" w:rsidR="00373ED9" w:rsidRPr="001B0F62" w:rsidRDefault="00373ED9" w:rsidP="00373ED9">
      <w:pPr>
        <w:pStyle w:val="EndnoteText"/>
      </w:pPr>
      <w:r w:rsidRPr="001B0F62">
        <w:rPr>
          <w:rStyle w:val="EndnoteReference"/>
        </w:rPr>
        <w:endnoteRef/>
      </w:r>
      <w:r w:rsidRPr="001B0F62">
        <w:t xml:space="preserve"> Level Crossing Removal Project, </w:t>
      </w:r>
      <w:hyperlink r:id="rId167" w:history="1">
        <w:r w:rsidRPr="001B0F62">
          <w:rPr>
            <w:rStyle w:val="Hyperlink"/>
            <w:i/>
            <w:iCs/>
          </w:rPr>
          <w:t>Level crossing removal project</w:t>
        </w:r>
      </w:hyperlink>
      <w:r w:rsidRPr="001B0F62">
        <w:t>, Victoria’s Big Build website, n.d., accessed 7 July 2023</w:t>
      </w:r>
      <w:r>
        <w:t>.</w:t>
      </w:r>
    </w:p>
  </w:endnote>
  <w:endnote w:id="127">
    <w:p w14:paraId="7492EA0F" w14:textId="77777777" w:rsidR="00373ED9" w:rsidRPr="001B0F62" w:rsidRDefault="00373ED9" w:rsidP="00373ED9">
      <w:pPr>
        <w:pStyle w:val="EndnoteText"/>
      </w:pPr>
      <w:r w:rsidRPr="001B0F62">
        <w:rPr>
          <w:rStyle w:val="EndnoteReference"/>
        </w:rPr>
        <w:endnoteRef/>
      </w:r>
      <w:r w:rsidRPr="001B0F62">
        <w:t xml:space="preserve"> </w:t>
      </w:r>
      <w:r w:rsidRPr="00CB31B1">
        <w:rPr>
          <w:rFonts w:cstheme="minorHAnsi"/>
          <w:szCs w:val="15"/>
        </w:rPr>
        <w:t>Department of Treasury and Finance,</w:t>
      </w:r>
      <w:r>
        <w:rPr>
          <w:rFonts w:cstheme="minorHAnsi"/>
          <w:szCs w:val="15"/>
        </w:rPr>
        <w:t xml:space="preserve"> </w:t>
      </w:r>
      <w:hyperlink r:id="rId168" w:history="1">
        <w:r w:rsidRPr="00EF14EE">
          <w:rPr>
            <w:rStyle w:val="Hyperlink"/>
            <w:rFonts w:cstheme="minorHAnsi"/>
            <w:i/>
            <w:iCs/>
            <w:szCs w:val="15"/>
          </w:rPr>
          <w:t>2022 Victorian Economic and Fiscal Update</w:t>
        </w:r>
      </w:hyperlink>
      <w:r>
        <w:rPr>
          <w:rFonts w:cstheme="minorHAnsi"/>
          <w:szCs w:val="15"/>
        </w:rPr>
        <w:t>, 2022, p. 107, 109</w:t>
      </w:r>
      <w:r w:rsidRPr="004A1190">
        <w:rPr>
          <w:szCs w:val="15"/>
        </w:rPr>
        <w:t>, accessed</w:t>
      </w:r>
      <w:r>
        <w:rPr>
          <w:szCs w:val="15"/>
        </w:rPr>
        <w:t xml:space="preserve"> 2 August 2023; </w:t>
      </w:r>
      <w:r w:rsidRPr="001B0F62">
        <w:rPr>
          <w:rStyle w:val="normaltextrun"/>
          <w:rFonts w:ascii="Calibri" w:hAnsi="Calibri" w:cs="Calibri"/>
          <w:color w:val="000000"/>
          <w:shd w:val="clear" w:color="auto" w:fill="FFFFFF"/>
        </w:rPr>
        <w:t xml:space="preserve">Department of Treasury and Finance, </w:t>
      </w:r>
      <w:hyperlink r:id="rId169" w:anchor="budget-paper-4-state-capital-program" w:tgtFrame="_blank" w:history="1">
        <w:r w:rsidRPr="001B0F62">
          <w:rPr>
            <w:rStyle w:val="normaltextrun"/>
            <w:rFonts w:ascii="Calibri" w:hAnsi="Calibri" w:cs="Calibri"/>
            <w:i/>
            <w:iCs/>
            <w:color w:val="0563C1"/>
            <w:u w:val="single"/>
            <w:shd w:val="clear" w:color="auto" w:fill="FFFFFF"/>
          </w:rPr>
          <w:t xml:space="preserve">Victorian </w:t>
        </w:r>
        <w:r>
          <w:rPr>
            <w:rStyle w:val="normaltextrun"/>
            <w:rFonts w:ascii="Calibri" w:hAnsi="Calibri" w:cs="Calibri"/>
            <w:i/>
            <w:iCs/>
            <w:color w:val="0563C1"/>
            <w:u w:val="single"/>
            <w:shd w:val="clear" w:color="auto" w:fill="FFFFFF"/>
          </w:rPr>
          <w:t xml:space="preserve">Budget </w:t>
        </w:r>
        <w:r w:rsidRPr="001B0F62">
          <w:rPr>
            <w:rStyle w:val="normaltextrun"/>
            <w:rFonts w:ascii="Calibri" w:hAnsi="Calibri" w:cs="Calibri"/>
            <w:i/>
            <w:iCs/>
            <w:color w:val="0563C1"/>
            <w:u w:val="single"/>
            <w:shd w:val="clear" w:color="auto" w:fill="FFFFFF"/>
          </w:rPr>
          <w:t xml:space="preserve"> 2023</w:t>
        </w:r>
        <w:r>
          <w:rPr>
            <w:rStyle w:val="normaltextrun"/>
            <w:rFonts w:ascii="Calibri" w:hAnsi="Calibri" w:cs="Calibri"/>
            <w:i/>
            <w:iCs/>
            <w:color w:val="0563C1"/>
            <w:u w:val="single"/>
            <w:shd w:val="clear" w:color="auto" w:fill="FFFFFF"/>
          </w:rPr>
          <w:t>–</w:t>
        </w:r>
        <w:r w:rsidRPr="001B0F62">
          <w:rPr>
            <w:rStyle w:val="normaltextrun"/>
            <w:rFonts w:ascii="Calibri" w:hAnsi="Calibri" w:cs="Calibri"/>
            <w:i/>
            <w:iCs/>
            <w:color w:val="0563C1"/>
            <w:u w:val="single"/>
            <w:shd w:val="clear" w:color="auto" w:fill="FFFFFF"/>
          </w:rPr>
          <w:t xml:space="preserve">24 – </w:t>
        </w:r>
        <w:r>
          <w:rPr>
            <w:rStyle w:val="normaltextrun"/>
            <w:rFonts w:ascii="Calibri" w:hAnsi="Calibri" w:cs="Calibri"/>
            <w:i/>
            <w:iCs/>
            <w:color w:val="0563C1"/>
            <w:u w:val="single"/>
            <w:shd w:val="clear" w:color="auto" w:fill="FFFFFF"/>
          </w:rPr>
          <w:t xml:space="preserve">Budget </w:t>
        </w:r>
        <w:r w:rsidRPr="001B0F62">
          <w:rPr>
            <w:rStyle w:val="normaltextrun"/>
            <w:rFonts w:ascii="Calibri" w:hAnsi="Calibri" w:cs="Calibri"/>
            <w:i/>
            <w:iCs/>
            <w:color w:val="0563C1"/>
            <w:u w:val="single"/>
            <w:shd w:val="clear" w:color="auto" w:fill="FFFFFF"/>
          </w:rPr>
          <w:t xml:space="preserve"> Paper No. 4</w:t>
        </w:r>
      </w:hyperlink>
      <w:r w:rsidRPr="001B0F62">
        <w:rPr>
          <w:rStyle w:val="normaltextrun"/>
          <w:rFonts w:ascii="Calibri" w:hAnsi="Calibri" w:cs="Calibri"/>
          <w:color w:val="000000"/>
          <w:shd w:val="clear" w:color="auto" w:fill="FFFFFF"/>
        </w:rPr>
        <w:t>, 2023, p.</w:t>
      </w:r>
      <w:r>
        <w:rPr>
          <w:rStyle w:val="normaltextrun"/>
          <w:rFonts w:ascii="Calibri" w:hAnsi="Calibri" w:cs="Calibri"/>
          <w:color w:val="000000"/>
          <w:shd w:val="clear" w:color="auto" w:fill="FFFFFF"/>
        </w:rPr>
        <w:t xml:space="preserve"> 15, </w:t>
      </w:r>
      <w:r w:rsidRPr="001B0F62">
        <w:rPr>
          <w:rStyle w:val="normaltextrun"/>
          <w:rFonts w:ascii="Calibri" w:hAnsi="Calibri" w:cs="Calibri"/>
          <w:color w:val="000000"/>
          <w:shd w:val="clear" w:color="auto" w:fill="FFFFFF"/>
        </w:rPr>
        <w:t>83, accessed</w:t>
      </w:r>
      <w:r w:rsidRPr="001B0F62">
        <w:t xml:space="preserve"> 24 July 2023</w:t>
      </w:r>
      <w:r>
        <w:t>.</w:t>
      </w:r>
    </w:p>
  </w:endnote>
  <w:endnote w:id="128">
    <w:p w14:paraId="432A3776" w14:textId="77777777" w:rsidR="00373ED9" w:rsidRPr="001B0F62" w:rsidRDefault="00373ED9" w:rsidP="00373ED9">
      <w:pPr>
        <w:pStyle w:val="EndnoteText"/>
      </w:pPr>
      <w:r w:rsidRPr="001B0F62">
        <w:rPr>
          <w:rStyle w:val="EndnoteReference"/>
        </w:rPr>
        <w:endnoteRef/>
      </w:r>
      <w:r w:rsidRPr="001B0F62">
        <w:t xml:space="preserve"> Premier of Victoria, </w:t>
      </w:r>
      <w:hyperlink r:id="rId170" w:history="1">
        <w:r w:rsidRPr="001B0F62">
          <w:rPr>
            <w:rStyle w:val="Hyperlink"/>
            <w:i/>
            <w:iCs/>
          </w:rPr>
          <w:t>Union Station opening marks major level crossing milestone</w:t>
        </w:r>
      </w:hyperlink>
      <w:r w:rsidRPr="001B0F62">
        <w:t xml:space="preserve"> (media release) 22 May 2023, accessed 7 July 2023</w:t>
      </w:r>
      <w:r>
        <w:t>.</w:t>
      </w:r>
    </w:p>
  </w:endnote>
  <w:endnote w:id="129">
    <w:p w14:paraId="459E8701" w14:textId="77777777" w:rsidR="00373ED9" w:rsidRPr="001B0F62" w:rsidRDefault="00373ED9" w:rsidP="00373ED9">
      <w:pPr>
        <w:pStyle w:val="EndnoteText"/>
      </w:pPr>
      <w:r w:rsidRPr="001B0F62">
        <w:rPr>
          <w:rStyle w:val="EndnoteReference"/>
        </w:rPr>
        <w:endnoteRef/>
      </w:r>
      <w:r w:rsidRPr="001B0F62">
        <w:t xml:space="preserve"> Premier of Victoria, </w:t>
      </w:r>
      <w:hyperlink r:id="rId171" w:history="1">
        <w:r w:rsidRPr="001B0F62">
          <w:rPr>
            <w:rStyle w:val="Hyperlink"/>
            <w:i/>
            <w:iCs/>
          </w:rPr>
          <w:t>Union Station opening marks major level crossing milestone</w:t>
        </w:r>
      </w:hyperlink>
      <w:r w:rsidRPr="001B0F62">
        <w:t xml:space="preserve"> (media release) 22 May 2023, accessed 7 July 2023</w:t>
      </w:r>
      <w:r>
        <w:t>.</w:t>
      </w:r>
    </w:p>
  </w:endnote>
  <w:endnote w:id="130">
    <w:p w14:paraId="6DAE02BC" w14:textId="77777777" w:rsidR="00373ED9" w:rsidRPr="001B0F62" w:rsidRDefault="00373ED9" w:rsidP="00373ED9">
      <w:pPr>
        <w:pStyle w:val="EndnoteText"/>
      </w:pPr>
      <w:r w:rsidRPr="001B0F62">
        <w:rPr>
          <w:rStyle w:val="EndnoteReference"/>
        </w:rPr>
        <w:endnoteRef/>
      </w:r>
      <w:r w:rsidRPr="001B0F62">
        <w:t xml:space="preserve"> Premier of Victoria, </w:t>
      </w:r>
      <w:hyperlink r:id="rId172" w:history="1">
        <w:r w:rsidRPr="001B0F62">
          <w:rPr>
            <w:rStyle w:val="Hyperlink"/>
            <w:i/>
            <w:iCs/>
          </w:rPr>
          <w:t>Cheaper regional fares now in effect</w:t>
        </w:r>
      </w:hyperlink>
      <w:r w:rsidRPr="001B0F62">
        <w:t xml:space="preserve"> (media release), 31 March 2023, accessed 29 June 2023</w:t>
      </w:r>
      <w:r>
        <w:t>.</w:t>
      </w:r>
    </w:p>
  </w:endnote>
  <w:endnote w:id="131">
    <w:p w14:paraId="47ABCA2D" w14:textId="77777777" w:rsidR="00373ED9" w:rsidRPr="001B0F62" w:rsidRDefault="00373ED9" w:rsidP="00373ED9">
      <w:pPr>
        <w:pStyle w:val="EndnoteText"/>
      </w:pPr>
      <w:r w:rsidRPr="001B0F62">
        <w:rPr>
          <w:rStyle w:val="EndnoteReference"/>
        </w:rPr>
        <w:endnoteRef/>
      </w:r>
      <w:r w:rsidRPr="001B0F62">
        <w:t xml:space="preserve"> Premier of Victoria, </w:t>
      </w:r>
      <w:hyperlink r:id="rId173" w:history="1">
        <w:r w:rsidRPr="001B0F62">
          <w:rPr>
            <w:rStyle w:val="Hyperlink"/>
            <w:i/>
            <w:iCs/>
          </w:rPr>
          <w:t>Cheaper regional fares now in effect</w:t>
        </w:r>
      </w:hyperlink>
      <w:r w:rsidRPr="001B0F62">
        <w:t xml:space="preserve"> (media release), 31 March 2023, accessed 29 June 2023</w:t>
      </w:r>
      <w:r>
        <w:t>.</w:t>
      </w:r>
    </w:p>
  </w:endnote>
  <w:endnote w:id="132">
    <w:p w14:paraId="2477FF22" w14:textId="77777777" w:rsidR="00373ED9" w:rsidRPr="001B0F62" w:rsidRDefault="00373ED9" w:rsidP="00373ED9">
      <w:pPr>
        <w:pStyle w:val="EndnoteText"/>
      </w:pPr>
      <w:r w:rsidRPr="001B0F62">
        <w:rPr>
          <w:rStyle w:val="EndnoteReference"/>
        </w:rPr>
        <w:endnoteRef/>
      </w:r>
      <w:r w:rsidRPr="001B0F62">
        <w:t xml:space="preserve"> Premier of Victoria, </w:t>
      </w:r>
      <w:hyperlink r:id="rId174" w:history="1">
        <w:r w:rsidRPr="001B0F62">
          <w:rPr>
            <w:rStyle w:val="Hyperlink"/>
            <w:i/>
            <w:iCs/>
          </w:rPr>
          <w:t>More VLocity trains to keep Victorians moving</w:t>
        </w:r>
      </w:hyperlink>
      <w:r w:rsidRPr="001B0F62">
        <w:t xml:space="preserve"> (media release), 24 May 2023, accessed 29 June 2023</w:t>
      </w:r>
      <w:r>
        <w:t>.</w:t>
      </w:r>
    </w:p>
  </w:endnote>
  <w:endnote w:id="133">
    <w:p w14:paraId="2A838C93" w14:textId="77777777" w:rsidR="00373ED9" w:rsidRPr="001B0F62" w:rsidRDefault="00373ED9" w:rsidP="00373ED9">
      <w:pPr>
        <w:pStyle w:val="EndnoteText"/>
      </w:pPr>
      <w:r w:rsidRPr="001B0F62">
        <w:rPr>
          <w:rStyle w:val="EndnoteReference"/>
        </w:rPr>
        <w:endnoteRef/>
      </w:r>
      <w:r w:rsidRPr="001B0F62">
        <w:t xml:space="preserve"> Department of Treasury and Finance,</w:t>
      </w:r>
      <w:r w:rsidRPr="001B0F62">
        <w:rPr>
          <w:i/>
          <w:iCs/>
        </w:rPr>
        <w:t xml:space="preserve"> </w:t>
      </w:r>
      <w:hyperlink r:id="rId175" w:history="1">
        <w:r w:rsidRPr="001B0F62">
          <w:rPr>
            <w:rStyle w:val="Hyperlink"/>
            <w:i/>
            <w:iCs/>
          </w:rPr>
          <w:t>Victorian infrastructure plan</w:t>
        </w:r>
      </w:hyperlink>
      <w:r w:rsidRPr="001B0F62">
        <w:rPr>
          <w:rStyle w:val="Hyperlink"/>
          <w:i/>
          <w:iCs/>
        </w:rPr>
        <w:t xml:space="preserve"> 2021</w:t>
      </w:r>
      <w:r w:rsidRPr="001B0F62">
        <w:t>, 2021, p 24, accessed 29 June 2023</w:t>
      </w:r>
      <w:r>
        <w:t>.</w:t>
      </w:r>
    </w:p>
  </w:endnote>
  <w:endnote w:id="134">
    <w:p w14:paraId="13B4B959" w14:textId="77777777" w:rsidR="00373ED9" w:rsidRPr="001B0F62" w:rsidRDefault="00373ED9" w:rsidP="00373ED9">
      <w:pPr>
        <w:pStyle w:val="EndnoteText"/>
      </w:pPr>
      <w:r w:rsidRPr="001B0F62">
        <w:rPr>
          <w:rStyle w:val="EndnoteReference"/>
        </w:rPr>
        <w:endnoteRef/>
      </w:r>
      <w:r w:rsidRPr="001B0F62">
        <w:t xml:space="preserve"> </w:t>
      </w:r>
      <w:r w:rsidRPr="001B0F62">
        <w:rPr>
          <w:rStyle w:val="normaltextrun"/>
          <w:rFonts w:ascii="Calibri" w:hAnsi="Calibri" w:cs="Calibri"/>
          <w:color w:val="000000"/>
          <w:shd w:val="clear" w:color="auto" w:fill="FFFFFF"/>
        </w:rPr>
        <w:t xml:space="preserve">Department of Treasury and Finance, </w:t>
      </w:r>
      <w:hyperlink r:id="rId176" w:anchor="budget-paper-3-service-delivery" w:tgtFrame="_blank" w:history="1">
        <w:r w:rsidRPr="001B0F62">
          <w:rPr>
            <w:rStyle w:val="normaltextrun"/>
            <w:rFonts w:ascii="Calibri" w:hAnsi="Calibri" w:cs="Calibri"/>
            <w:i/>
            <w:iCs/>
            <w:color w:val="0563C1"/>
            <w:u w:val="single"/>
            <w:shd w:val="clear" w:color="auto" w:fill="FFFFFF"/>
          </w:rPr>
          <w:t xml:space="preserve">Victorian </w:t>
        </w:r>
        <w:r>
          <w:rPr>
            <w:rStyle w:val="normaltextrun"/>
            <w:rFonts w:ascii="Calibri" w:hAnsi="Calibri" w:cs="Calibri"/>
            <w:i/>
            <w:iCs/>
            <w:color w:val="0563C1"/>
            <w:u w:val="single"/>
            <w:shd w:val="clear" w:color="auto" w:fill="FFFFFF"/>
          </w:rPr>
          <w:t xml:space="preserve">Budget </w:t>
        </w:r>
        <w:r w:rsidRPr="001B0F62">
          <w:rPr>
            <w:rStyle w:val="normaltextrun"/>
            <w:rFonts w:ascii="Calibri" w:hAnsi="Calibri" w:cs="Calibri"/>
            <w:i/>
            <w:iCs/>
            <w:color w:val="0563C1"/>
            <w:u w:val="single"/>
            <w:shd w:val="clear" w:color="auto" w:fill="FFFFFF"/>
          </w:rPr>
          <w:t xml:space="preserve"> 2023</w:t>
        </w:r>
        <w:r>
          <w:rPr>
            <w:rStyle w:val="normaltextrun"/>
            <w:rFonts w:ascii="Calibri" w:hAnsi="Calibri" w:cs="Calibri"/>
            <w:i/>
            <w:iCs/>
            <w:color w:val="0563C1"/>
            <w:u w:val="single"/>
            <w:shd w:val="clear" w:color="auto" w:fill="FFFFFF"/>
          </w:rPr>
          <w:t>–</w:t>
        </w:r>
        <w:r w:rsidRPr="001B0F62">
          <w:rPr>
            <w:rStyle w:val="normaltextrun"/>
            <w:rFonts w:ascii="Calibri" w:hAnsi="Calibri" w:cs="Calibri"/>
            <w:i/>
            <w:iCs/>
            <w:color w:val="0563C1"/>
            <w:u w:val="single"/>
            <w:shd w:val="clear" w:color="auto" w:fill="FFFFFF"/>
          </w:rPr>
          <w:t xml:space="preserve">24 – </w:t>
        </w:r>
        <w:r>
          <w:rPr>
            <w:rStyle w:val="normaltextrun"/>
            <w:rFonts w:ascii="Calibri" w:hAnsi="Calibri" w:cs="Calibri"/>
            <w:i/>
            <w:iCs/>
            <w:color w:val="0563C1"/>
            <w:u w:val="single"/>
            <w:shd w:val="clear" w:color="auto" w:fill="FFFFFF"/>
          </w:rPr>
          <w:t xml:space="preserve">Budget </w:t>
        </w:r>
        <w:r w:rsidRPr="001B0F62">
          <w:rPr>
            <w:rStyle w:val="normaltextrun"/>
            <w:rFonts w:ascii="Calibri" w:hAnsi="Calibri" w:cs="Calibri"/>
            <w:i/>
            <w:iCs/>
            <w:color w:val="0563C1"/>
            <w:u w:val="single"/>
            <w:shd w:val="clear" w:color="auto" w:fill="FFFFFF"/>
          </w:rPr>
          <w:t xml:space="preserve"> Paper No. 3</w:t>
        </w:r>
      </w:hyperlink>
      <w:r w:rsidRPr="001B0F62">
        <w:rPr>
          <w:rStyle w:val="normaltextrun"/>
          <w:rFonts w:ascii="Calibri" w:hAnsi="Calibri" w:cs="Calibri"/>
          <w:color w:val="000000"/>
          <w:shd w:val="clear" w:color="auto" w:fill="FFFFFF"/>
        </w:rPr>
        <w:t>, 2023, pp.96, 100, accessed 18 July 2023</w:t>
      </w:r>
      <w:r>
        <w:rPr>
          <w:rStyle w:val="normaltextrun"/>
          <w:rFonts w:ascii="Calibri" w:hAnsi="Calibri" w:cs="Calibri"/>
          <w:color w:val="000000"/>
          <w:shd w:val="clear" w:color="auto" w:fill="FFFFFF"/>
        </w:rPr>
        <w:t xml:space="preserve"> </w:t>
      </w:r>
      <w:r w:rsidRPr="004A1190">
        <w:rPr>
          <w:szCs w:val="15"/>
        </w:rPr>
        <w:t>(</w:t>
      </w:r>
      <w:hyperlink r:id="rId177" w:history="1">
        <w:r w:rsidRPr="004A1190">
          <w:rPr>
            <w:rStyle w:val="Hyperlink"/>
            <w:szCs w:val="15"/>
          </w:rPr>
          <w:t>https://s3.ap-southeast-2.amazonaws.com/budgetfiles202324.budget.vic.gov.au/2023</w:t>
        </w:r>
        <w:r>
          <w:rPr>
            <w:rStyle w:val="Hyperlink"/>
            <w:szCs w:val="15"/>
          </w:rPr>
          <w:t>–</w:t>
        </w:r>
        <w:r w:rsidRPr="004A1190">
          <w:rPr>
            <w:rStyle w:val="Hyperlink"/>
            <w:szCs w:val="15"/>
          </w:rPr>
          <w:t>24+State+Budget+-+Service+Delivery.pdf</w:t>
        </w:r>
      </w:hyperlink>
      <w:r w:rsidRPr="004A1190">
        <w:rPr>
          <w:szCs w:val="15"/>
        </w:rPr>
        <w:t>)</w:t>
      </w:r>
      <w:r>
        <w:rPr>
          <w:szCs w:val="15"/>
        </w:rPr>
        <w:t>.</w:t>
      </w:r>
    </w:p>
  </w:endnote>
  <w:endnote w:id="135">
    <w:p w14:paraId="17374BEC" w14:textId="77777777" w:rsidR="00373ED9" w:rsidRPr="001B0F62" w:rsidRDefault="00373ED9" w:rsidP="00373ED9">
      <w:pPr>
        <w:pStyle w:val="EndnoteText"/>
      </w:pPr>
      <w:r w:rsidRPr="001B0F62">
        <w:rPr>
          <w:rStyle w:val="EndnoteReference"/>
        </w:rPr>
        <w:endnoteRef/>
      </w:r>
      <w:r w:rsidRPr="001B0F62">
        <w:t xml:space="preserve"> Department of Transport and Planning, </w:t>
      </w:r>
      <w:hyperlink r:id="rId178" w:history="1">
        <w:r w:rsidRPr="001B0F62">
          <w:rPr>
            <w:rStyle w:val="Hyperlink"/>
            <w:i/>
            <w:iCs/>
          </w:rPr>
          <w:t>About car parks for commuters</w:t>
        </w:r>
      </w:hyperlink>
      <w:r w:rsidRPr="001B0F62">
        <w:t xml:space="preserve"> </w:t>
      </w:r>
      <w:r>
        <w:t>(</w:t>
      </w:r>
      <w:r w:rsidRPr="001B0F62">
        <w:t>website</w:t>
      </w:r>
      <w:r>
        <w:t>)</w:t>
      </w:r>
      <w:r w:rsidRPr="001B0F62">
        <w:t>, n.d., accessed 29 June 2023</w:t>
      </w:r>
      <w:r>
        <w:t>.</w:t>
      </w:r>
    </w:p>
  </w:endnote>
  <w:endnote w:id="136">
    <w:p w14:paraId="3F68663D" w14:textId="77777777" w:rsidR="00373ED9" w:rsidRPr="001B0F62" w:rsidRDefault="00373ED9" w:rsidP="00373ED9">
      <w:pPr>
        <w:pStyle w:val="EndnoteText"/>
      </w:pPr>
      <w:r w:rsidRPr="001B0F62">
        <w:rPr>
          <w:rStyle w:val="EndnoteReference"/>
        </w:rPr>
        <w:endnoteRef/>
      </w:r>
      <w:r w:rsidRPr="001B0F62">
        <w:t xml:space="preserve"> Department of Transport and Planning, </w:t>
      </w:r>
      <w:hyperlink r:id="rId179" w:history="1">
        <w:r w:rsidRPr="001B0F62">
          <w:rPr>
            <w:rStyle w:val="Hyperlink"/>
            <w:i/>
            <w:iCs/>
          </w:rPr>
          <w:t>About car parks for commuters</w:t>
        </w:r>
      </w:hyperlink>
      <w:r w:rsidRPr="001B0F62">
        <w:t xml:space="preserve"> </w:t>
      </w:r>
      <w:r>
        <w:t>(</w:t>
      </w:r>
      <w:r w:rsidRPr="001B0F62">
        <w:t>website</w:t>
      </w:r>
      <w:r>
        <w:t>)</w:t>
      </w:r>
      <w:r w:rsidRPr="001B0F62">
        <w:t>, n.d., accessed 29 June 2023</w:t>
      </w:r>
      <w:r>
        <w:t>.</w:t>
      </w:r>
    </w:p>
  </w:endnote>
  <w:endnote w:id="137">
    <w:p w14:paraId="23271345" w14:textId="77777777" w:rsidR="00373ED9" w:rsidRPr="001B0F62" w:rsidRDefault="00373ED9" w:rsidP="00373ED9">
      <w:pPr>
        <w:pStyle w:val="EndnoteText"/>
      </w:pPr>
      <w:r w:rsidRPr="001B0F62">
        <w:rPr>
          <w:rStyle w:val="EndnoteReference"/>
        </w:rPr>
        <w:endnoteRef/>
      </w:r>
      <w:r w:rsidRPr="001B0F62">
        <w:t xml:space="preserve"> Department of Transport and Planning, </w:t>
      </w:r>
      <w:hyperlink r:id="rId180" w:history="1">
        <w:r w:rsidRPr="001B0F62">
          <w:rPr>
            <w:rStyle w:val="Hyperlink"/>
            <w:i/>
            <w:iCs/>
          </w:rPr>
          <w:t>About car parks for commuters</w:t>
        </w:r>
      </w:hyperlink>
      <w:r w:rsidRPr="001B0F62">
        <w:t xml:space="preserve"> </w:t>
      </w:r>
      <w:r>
        <w:t>(</w:t>
      </w:r>
      <w:r w:rsidRPr="001B0F62">
        <w:t>website</w:t>
      </w:r>
      <w:r>
        <w:t>)</w:t>
      </w:r>
      <w:r w:rsidRPr="001B0F62">
        <w:t>, n.d., accessed 29 June 2023</w:t>
      </w:r>
      <w:r>
        <w:t>.</w:t>
      </w:r>
    </w:p>
  </w:endnote>
  <w:endnote w:id="138">
    <w:p w14:paraId="2D1B0121" w14:textId="77777777" w:rsidR="00373ED9" w:rsidRPr="001B0F62" w:rsidRDefault="00373ED9" w:rsidP="00373ED9">
      <w:pPr>
        <w:pStyle w:val="EndnoteText"/>
      </w:pPr>
      <w:r w:rsidRPr="001B0F62">
        <w:rPr>
          <w:rStyle w:val="EndnoteReference"/>
        </w:rPr>
        <w:endnoteRef/>
      </w:r>
      <w:r w:rsidRPr="001B0F62">
        <w:t xml:space="preserve"> Premier of Victoria, </w:t>
      </w:r>
      <w:hyperlink r:id="rId181" w:history="1">
        <w:r w:rsidRPr="001B0F62">
          <w:rPr>
            <w:rStyle w:val="Hyperlink"/>
            <w:i/>
            <w:iCs/>
          </w:rPr>
          <w:t>Delivering more station car parks across the state</w:t>
        </w:r>
      </w:hyperlink>
      <w:r w:rsidRPr="001B0F62">
        <w:t xml:space="preserve"> (media release), 24 October 2022, accessed 6 July 2023</w:t>
      </w:r>
      <w:r>
        <w:t>.</w:t>
      </w:r>
    </w:p>
  </w:endnote>
  <w:endnote w:id="139">
    <w:p w14:paraId="00071846" w14:textId="77777777" w:rsidR="00373ED9" w:rsidRPr="001B0F62" w:rsidRDefault="00373ED9" w:rsidP="00373ED9">
      <w:pPr>
        <w:pStyle w:val="EndnoteText"/>
      </w:pPr>
      <w:r w:rsidRPr="001B0F62">
        <w:rPr>
          <w:rStyle w:val="EndnoteReference"/>
        </w:rPr>
        <w:endnoteRef/>
      </w:r>
      <w:r w:rsidRPr="001B0F62">
        <w:t xml:space="preserve"> </w:t>
      </w:r>
      <w:r w:rsidRPr="001B0F62">
        <w:rPr>
          <w:rStyle w:val="normaltextrun"/>
          <w:rFonts w:ascii="Calibri" w:hAnsi="Calibri" w:cs="Calibri"/>
          <w:color w:val="000000"/>
          <w:shd w:val="clear" w:color="auto" w:fill="FFFFFF"/>
        </w:rPr>
        <w:t xml:space="preserve">Department of Treasury and Finance, </w:t>
      </w:r>
      <w:hyperlink r:id="rId182" w:anchor="budget-paper-4-state-capital-program" w:tgtFrame="_blank" w:history="1">
        <w:r w:rsidRPr="001B0F62">
          <w:rPr>
            <w:rStyle w:val="normaltextrun"/>
            <w:rFonts w:ascii="Calibri" w:hAnsi="Calibri" w:cs="Calibri"/>
            <w:i/>
            <w:iCs/>
            <w:color w:val="0563C1"/>
            <w:u w:val="single"/>
            <w:shd w:val="clear" w:color="auto" w:fill="FFFFFF"/>
          </w:rPr>
          <w:t xml:space="preserve">Victorian </w:t>
        </w:r>
        <w:r>
          <w:rPr>
            <w:rStyle w:val="normaltextrun"/>
            <w:rFonts w:ascii="Calibri" w:hAnsi="Calibri" w:cs="Calibri"/>
            <w:i/>
            <w:iCs/>
            <w:color w:val="0563C1"/>
            <w:u w:val="single"/>
            <w:shd w:val="clear" w:color="auto" w:fill="FFFFFF"/>
          </w:rPr>
          <w:t xml:space="preserve">Budget </w:t>
        </w:r>
        <w:r w:rsidRPr="001B0F62">
          <w:rPr>
            <w:rStyle w:val="normaltextrun"/>
            <w:rFonts w:ascii="Calibri" w:hAnsi="Calibri" w:cs="Calibri"/>
            <w:i/>
            <w:iCs/>
            <w:color w:val="0563C1"/>
            <w:u w:val="single"/>
            <w:shd w:val="clear" w:color="auto" w:fill="FFFFFF"/>
          </w:rPr>
          <w:t xml:space="preserve"> 2023</w:t>
        </w:r>
        <w:r>
          <w:rPr>
            <w:rStyle w:val="normaltextrun"/>
            <w:rFonts w:ascii="Calibri" w:hAnsi="Calibri" w:cs="Calibri"/>
            <w:i/>
            <w:iCs/>
            <w:color w:val="0563C1"/>
            <w:u w:val="single"/>
            <w:shd w:val="clear" w:color="auto" w:fill="FFFFFF"/>
          </w:rPr>
          <w:t>–</w:t>
        </w:r>
        <w:r w:rsidRPr="001B0F62">
          <w:rPr>
            <w:rStyle w:val="normaltextrun"/>
            <w:rFonts w:ascii="Calibri" w:hAnsi="Calibri" w:cs="Calibri"/>
            <w:i/>
            <w:iCs/>
            <w:color w:val="0563C1"/>
            <w:u w:val="single"/>
            <w:shd w:val="clear" w:color="auto" w:fill="FFFFFF"/>
          </w:rPr>
          <w:t xml:space="preserve">24 – </w:t>
        </w:r>
        <w:r>
          <w:rPr>
            <w:rStyle w:val="normaltextrun"/>
            <w:rFonts w:ascii="Calibri" w:hAnsi="Calibri" w:cs="Calibri"/>
            <w:i/>
            <w:iCs/>
            <w:color w:val="0563C1"/>
            <w:u w:val="single"/>
            <w:shd w:val="clear" w:color="auto" w:fill="FFFFFF"/>
          </w:rPr>
          <w:t xml:space="preserve">Budget </w:t>
        </w:r>
        <w:r w:rsidRPr="001B0F62">
          <w:rPr>
            <w:rStyle w:val="normaltextrun"/>
            <w:rFonts w:ascii="Calibri" w:hAnsi="Calibri" w:cs="Calibri"/>
            <w:i/>
            <w:iCs/>
            <w:color w:val="0563C1"/>
            <w:u w:val="single"/>
            <w:shd w:val="clear" w:color="auto" w:fill="FFFFFF"/>
          </w:rPr>
          <w:t xml:space="preserve"> Paper No. 4</w:t>
        </w:r>
      </w:hyperlink>
      <w:r w:rsidRPr="001B0F62">
        <w:rPr>
          <w:rStyle w:val="normaltextrun"/>
          <w:rFonts w:ascii="Calibri" w:hAnsi="Calibri" w:cs="Calibri"/>
          <w:color w:val="000000"/>
          <w:shd w:val="clear" w:color="auto" w:fill="FFFFFF"/>
        </w:rPr>
        <w:t>, 2023, p</w:t>
      </w:r>
      <w:r w:rsidRPr="001B0F62">
        <w:rPr>
          <w:rStyle w:val="normaltextrun"/>
          <w:rFonts w:ascii="Calibri" w:hAnsi="Calibri" w:cs="Calibri"/>
          <w:color w:val="000000"/>
        </w:rPr>
        <w:t>.182, accessed 24 July 2023</w:t>
      </w:r>
      <w:r>
        <w:rPr>
          <w:rStyle w:val="normaltextrun"/>
          <w:rFonts w:ascii="Calibri" w:hAnsi="Calibri" w:cs="Calibri"/>
          <w:color w:val="000000"/>
        </w:rPr>
        <w:t xml:space="preserve"> </w:t>
      </w:r>
      <w:r w:rsidRPr="004A1190">
        <w:rPr>
          <w:szCs w:val="15"/>
        </w:rPr>
        <w:t>(</w:t>
      </w:r>
      <w:hyperlink r:id="rId183" w:history="1">
        <w:r w:rsidRPr="004A1190">
          <w:rPr>
            <w:rStyle w:val="Hyperlink"/>
            <w:szCs w:val="15"/>
          </w:rPr>
          <w:t>https://s3.ap-southeast-2.amazonaws.com/budgetfiles202324.budget.vic.gov.au/2023</w:t>
        </w:r>
        <w:r>
          <w:rPr>
            <w:rStyle w:val="Hyperlink"/>
            <w:szCs w:val="15"/>
          </w:rPr>
          <w:t>–</w:t>
        </w:r>
        <w:r w:rsidRPr="004A1190">
          <w:rPr>
            <w:rStyle w:val="Hyperlink"/>
            <w:szCs w:val="15"/>
          </w:rPr>
          <w:t>24+State+Budget+-+State+Capital+Program.pdf</w:t>
        </w:r>
      </w:hyperlink>
      <w:r w:rsidRPr="004A1190">
        <w:rPr>
          <w:szCs w:val="15"/>
        </w:rPr>
        <w:t>)</w:t>
      </w:r>
      <w:r>
        <w:rPr>
          <w:szCs w:val="15"/>
        </w:rPr>
        <w:t>.</w:t>
      </w:r>
    </w:p>
  </w:endnote>
  <w:endnote w:id="140">
    <w:p w14:paraId="2B3ADB45" w14:textId="3CB187AC" w:rsidR="00373ED9" w:rsidRPr="001B0F62" w:rsidRDefault="00373ED9" w:rsidP="00373ED9">
      <w:pPr>
        <w:pStyle w:val="EndnoteText"/>
      </w:pPr>
      <w:r w:rsidRPr="001B0F62">
        <w:rPr>
          <w:rStyle w:val="EndnoteReference"/>
        </w:rPr>
        <w:endnoteRef/>
      </w:r>
      <w:r w:rsidRPr="001B0F62">
        <w:t xml:space="preserve"> Infrastructure Victoria, </w:t>
      </w:r>
      <w:hyperlink r:id="rId184" w:history="1">
        <w:r w:rsidRPr="001B0F62">
          <w:rPr>
            <w:rStyle w:val="Hyperlink"/>
            <w:i/>
            <w:iCs/>
          </w:rPr>
          <w:t>Victoria’s infrastructure strategy 2021</w:t>
        </w:r>
        <w:r>
          <w:rPr>
            <w:rStyle w:val="Hyperlink"/>
            <w:i/>
            <w:iCs/>
          </w:rPr>
          <w:t>–</w:t>
        </w:r>
        <w:r w:rsidRPr="001B0F62">
          <w:rPr>
            <w:rStyle w:val="Hyperlink"/>
            <w:i/>
            <w:iCs/>
          </w:rPr>
          <w:t>2051</w:t>
        </w:r>
      </w:hyperlink>
      <w:r w:rsidRPr="001B0F62">
        <w:t>, 2021, p.13</w:t>
      </w:r>
      <w:r>
        <w:t>8</w:t>
      </w:r>
      <w:r w:rsidRPr="001B0F62">
        <w:t>, accessed 29 June 2023</w:t>
      </w:r>
      <w:r>
        <w:t>.</w:t>
      </w:r>
    </w:p>
  </w:endnote>
  <w:endnote w:id="141">
    <w:p w14:paraId="0BFAB57F" w14:textId="77777777" w:rsidR="00373ED9" w:rsidRPr="001B0F62" w:rsidRDefault="00373ED9" w:rsidP="00373ED9">
      <w:pPr>
        <w:pStyle w:val="EndnoteText"/>
      </w:pPr>
      <w:r w:rsidRPr="001B0F62">
        <w:rPr>
          <w:rStyle w:val="EndnoteReference"/>
        </w:rPr>
        <w:endnoteRef/>
      </w:r>
      <w:r w:rsidRPr="001B0F62">
        <w:t xml:space="preserve"> Premier of Victoria, </w:t>
      </w:r>
      <w:hyperlink r:id="rId185" w:history="1">
        <w:r w:rsidRPr="001B0F62">
          <w:rPr>
            <w:rStyle w:val="Hyperlink"/>
            <w:i/>
            <w:iCs/>
          </w:rPr>
          <w:t>Moving more freight of roads to rail</w:t>
        </w:r>
      </w:hyperlink>
      <w:r w:rsidRPr="001B0F62">
        <w:t xml:space="preserve"> (media release), 27 August 2021, accessed 18 July 2023</w:t>
      </w:r>
      <w:r>
        <w:t>.</w:t>
      </w:r>
    </w:p>
  </w:endnote>
  <w:endnote w:id="142">
    <w:p w14:paraId="2C117891" w14:textId="77777777" w:rsidR="00373ED9" w:rsidRPr="001B0F62" w:rsidRDefault="00373ED9" w:rsidP="00373ED9">
      <w:pPr>
        <w:pStyle w:val="EndnoteText"/>
      </w:pPr>
      <w:r w:rsidRPr="001B0F62">
        <w:rPr>
          <w:rStyle w:val="EndnoteReference"/>
        </w:rPr>
        <w:endnoteRef/>
      </w:r>
      <w:r w:rsidRPr="001B0F62">
        <w:t xml:space="preserve"> Premier of Victoria, </w:t>
      </w:r>
      <w:hyperlink r:id="rId186" w:history="1">
        <w:r w:rsidRPr="001B0F62">
          <w:rPr>
            <w:rStyle w:val="Hyperlink"/>
            <w:i/>
            <w:iCs/>
          </w:rPr>
          <w:t>More freight on Murray Basin trains</w:t>
        </w:r>
      </w:hyperlink>
      <w:r w:rsidRPr="001B0F62">
        <w:t xml:space="preserve"> (media release), 24 December 2022, accessed 10 July 2023</w:t>
      </w:r>
      <w:r>
        <w:t>.</w:t>
      </w:r>
    </w:p>
  </w:endnote>
  <w:endnote w:id="143">
    <w:p w14:paraId="354B2BB1" w14:textId="542FBA3F" w:rsidR="00373ED9" w:rsidRPr="001B0F62" w:rsidRDefault="00373ED9" w:rsidP="00373ED9">
      <w:pPr>
        <w:pStyle w:val="EndnoteText"/>
      </w:pPr>
      <w:r w:rsidRPr="001B0F62">
        <w:rPr>
          <w:rStyle w:val="EndnoteReference"/>
        </w:rPr>
        <w:endnoteRef/>
      </w:r>
      <w:r w:rsidRPr="001B0F62">
        <w:t xml:space="preserve"> Infrastructure Victoria, </w:t>
      </w:r>
      <w:hyperlink r:id="rId187" w:history="1">
        <w:r w:rsidRPr="001B0F62">
          <w:rPr>
            <w:rStyle w:val="Hyperlink"/>
            <w:i/>
            <w:iCs/>
          </w:rPr>
          <w:t>Victoria’s infrastructure strategy 2021</w:t>
        </w:r>
        <w:r>
          <w:rPr>
            <w:rStyle w:val="Hyperlink"/>
            <w:i/>
            <w:iCs/>
          </w:rPr>
          <w:t>–</w:t>
        </w:r>
        <w:r w:rsidRPr="001B0F62">
          <w:rPr>
            <w:rStyle w:val="Hyperlink"/>
            <w:i/>
            <w:iCs/>
          </w:rPr>
          <w:t>2051</w:t>
        </w:r>
      </w:hyperlink>
      <w:r w:rsidRPr="001B0F62">
        <w:t>, 2021, p.134, accessed 29 June 2023</w:t>
      </w:r>
      <w:r>
        <w:t>.</w:t>
      </w:r>
    </w:p>
  </w:endnote>
  <w:endnote w:id="144">
    <w:p w14:paraId="1FD7F70D" w14:textId="455376DF" w:rsidR="00373ED9" w:rsidRDefault="00373ED9" w:rsidP="00373ED9">
      <w:pPr>
        <w:pStyle w:val="EndnoteText"/>
      </w:pPr>
      <w:r>
        <w:rPr>
          <w:rStyle w:val="EndnoteReference"/>
        </w:rPr>
        <w:endnoteRef/>
      </w:r>
      <w:r>
        <w:t xml:space="preserve"> </w:t>
      </w:r>
      <w:r w:rsidRPr="001B0F62">
        <w:t xml:space="preserve">Infrastructure Victoria, </w:t>
      </w:r>
      <w:hyperlink r:id="rId188" w:history="1">
        <w:r w:rsidRPr="001B0F62">
          <w:rPr>
            <w:rStyle w:val="Hyperlink"/>
            <w:i/>
            <w:iCs/>
          </w:rPr>
          <w:t>Victoria’s infrastructure strategy 2021</w:t>
        </w:r>
        <w:r>
          <w:rPr>
            <w:rStyle w:val="Hyperlink"/>
            <w:i/>
            <w:iCs/>
          </w:rPr>
          <w:t>–</w:t>
        </w:r>
        <w:r w:rsidRPr="001B0F62">
          <w:rPr>
            <w:rStyle w:val="Hyperlink"/>
            <w:i/>
            <w:iCs/>
          </w:rPr>
          <w:t>2051</w:t>
        </w:r>
      </w:hyperlink>
      <w:r w:rsidRPr="001B0F62">
        <w:t>, 2021, p.</w:t>
      </w:r>
      <w:r>
        <w:t xml:space="preserve"> 230</w:t>
      </w:r>
      <w:r w:rsidRPr="001B0F62">
        <w:t xml:space="preserve">, accessed </w:t>
      </w:r>
      <w:r>
        <w:t>9 August</w:t>
      </w:r>
      <w:r w:rsidRPr="001B0F62">
        <w:t xml:space="preserve"> 2023</w:t>
      </w:r>
      <w:r>
        <w:t>.</w:t>
      </w:r>
    </w:p>
  </w:endnote>
  <w:endnote w:id="145">
    <w:p w14:paraId="3B2D67B8" w14:textId="7DFAC61B" w:rsidR="00373ED9" w:rsidRDefault="00373ED9" w:rsidP="00373ED9">
      <w:pPr>
        <w:pStyle w:val="EndnoteText"/>
      </w:pPr>
      <w:r>
        <w:rPr>
          <w:rStyle w:val="EndnoteReference"/>
        </w:rPr>
        <w:endnoteRef/>
      </w:r>
      <w:r>
        <w:t xml:space="preserve"> </w:t>
      </w:r>
      <w:r w:rsidRPr="001B0F62">
        <w:t xml:space="preserve">Infrastructure Victoria, </w:t>
      </w:r>
      <w:hyperlink r:id="rId189" w:history="1">
        <w:r w:rsidRPr="001B0F62">
          <w:rPr>
            <w:rStyle w:val="Hyperlink"/>
            <w:i/>
            <w:iCs/>
          </w:rPr>
          <w:t>Victoria’s infrastructure strategy 2021</w:t>
        </w:r>
        <w:r>
          <w:rPr>
            <w:rStyle w:val="Hyperlink"/>
            <w:i/>
            <w:iCs/>
          </w:rPr>
          <w:t>–</w:t>
        </w:r>
        <w:r w:rsidRPr="001B0F62">
          <w:rPr>
            <w:rStyle w:val="Hyperlink"/>
            <w:i/>
            <w:iCs/>
          </w:rPr>
          <w:t>2051</w:t>
        </w:r>
      </w:hyperlink>
      <w:r w:rsidRPr="001B0F62">
        <w:t>, 2021, p.</w:t>
      </w:r>
      <w:r>
        <w:t xml:space="preserve"> 219</w:t>
      </w:r>
      <w:r w:rsidRPr="001B0F62">
        <w:t xml:space="preserve">, accessed </w:t>
      </w:r>
      <w:r>
        <w:t>9 August</w:t>
      </w:r>
      <w:r w:rsidRPr="001B0F62">
        <w:t xml:space="preserve"> 2023</w:t>
      </w:r>
      <w:r>
        <w:t>.</w:t>
      </w:r>
    </w:p>
  </w:endnote>
  <w:endnote w:id="146">
    <w:p w14:paraId="57F0C7F2" w14:textId="1114A420" w:rsidR="00373ED9" w:rsidRPr="001B0F62" w:rsidRDefault="00373ED9" w:rsidP="00373ED9">
      <w:pPr>
        <w:pStyle w:val="EndnoteText"/>
      </w:pPr>
      <w:r w:rsidRPr="001B0F62">
        <w:rPr>
          <w:rStyle w:val="EndnoteReference"/>
        </w:rPr>
        <w:endnoteRef/>
      </w:r>
      <w:r w:rsidRPr="001B0F62">
        <w:t xml:space="preserve"> Infrastructure Victoria, </w:t>
      </w:r>
      <w:hyperlink r:id="rId190" w:history="1">
        <w:r w:rsidRPr="001B0F62">
          <w:rPr>
            <w:rStyle w:val="Hyperlink"/>
            <w:i/>
            <w:iCs/>
          </w:rPr>
          <w:t>Victoria’s infrastructure strategy 2021</w:t>
        </w:r>
        <w:r>
          <w:rPr>
            <w:rStyle w:val="Hyperlink"/>
            <w:i/>
            <w:iCs/>
          </w:rPr>
          <w:t>–</w:t>
        </w:r>
        <w:r w:rsidRPr="001B0F62">
          <w:rPr>
            <w:rStyle w:val="Hyperlink"/>
            <w:i/>
            <w:iCs/>
          </w:rPr>
          <w:t>2051</w:t>
        </w:r>
      </w:hyperlink>
      <w:r w:rsidRPr="001B0F62">
        <w:t>, 2021, p.120, accessed 29 June 2023</w:t>
      </w:r>
      <w:r>
        <w:t>.</w:t>
      </w:r>
    </w:p>
  </w:endnote>
  <w:endnote w:id="147">
    <w:p w14:paraId="4B338167" w14:textId="77777777" w:rsidR="00373ED9" w:rsidRPr="001B0F62" w:rsidRDefault="00373ED9" w:rsidP="00373ED9">
      <w:pPr>
        <w:pStyle w:val="EndnoteText"/>
      </w:pPr>
      <w:r w:rsidRPr="001B0F62">
        <w:rPr>
          <w:rStyle w:val="EndnoteReference"/>
        </w:rPr>
        <w:endnoteRef/>
      </w:r>
      <w:r w:rsidRPr="001B0F62">
        <w:t xml:space="preserve"> Premier of Victoria, </w:t>
      </w:r>
      <w:hyperlink r:id="rId191" w:history="1">
        <w:r w:rsidRPr="001B0F62">
          <w:rPr>
            <w:rStyle w:val="Hyperlink"/>
            <w:i/>
            <w:iCs/>
          </w:rPr>
          <w:t>First electric buses hit the road in Sunbury</w:t>
        </w:r>
      </w:hyperlink>
      <w:r w:rsidRPr="001B0F62">
        <w:t xml:space="preserve"> (media release), 9 October 2022, accessed 10 July 2023</w:t>
      </w:r>
      <w:r>
        <w:t>.</w:t>
      </w:r>
    </w:p>
  </w:endnote>
  <w:endnote w:id="148">
    <w:p w14:paraId="11F83B3D" w14:textId="77777777" w:rsidR="00373ED9" w:rsidRPr="001B0F62" w:rsidRDefault="00373ED9" w:rsidP="00373ED9">
      <w:pPr>
        <w:pStyle w:val="EndnoteText"/>
      </w:pPr>
      <w:r w:rsidRPr="001B0F62">
        <w:rPr>
          <w:rStyle w:val="EndnoteReference"/>
        </w:rPr>
        <w:endnoteRef/>
      </w:r>
      <w:r w:rsidRPr="001B0F62">
        <w:t xml:space="preserve"> Premier of Victoria, </w:t>
      </w:r>
      <w:hyperlink r:id="rId192" w:history="1">
        <w:r w:rsidRPr="001B0F62">
          <w:rPr>
            <w:rStyle w:val="Hyperlink"/>
            <w:i/>
            <w:iCs/>
          </w:rPr>
          <w:t>First electric buses hit the road in Sunbury</w:t>
        </w:r>
      </w:hyperlink>
      <w:r w:rsidRPr="001B0F62">
        <w:t xml:space="preserve"> (media release), 9 October 2022, accessed 10 July 2023</w:t>
      </w:r>
      <w:r>
        <w:t>.</w:t>
      </w:r>
    </w:p>
  </w:endnote>
  <w:endnote w:id="149">
    <w:p w14:paraId="7B055F6F" w14:textId="77777777" w:rsidR="00373ED9" w:rsidRPr="001B0F62" w:rsidRDefault="00373ED9" w:rsidP="00373ED9">
      <w:pPr>
        <w:pStyle w:val="EndnoteText"/>
      </w:pPr>
      <w:r w:rsidRPr="001B0F62">
        <w:rPr>
          <w:rStyle w:val="EndnoteReference"/>
        </w:rPr>
        <w:endnoteRef/>
      </w:r>
      <w:r w:rsidRPr="001B0F62">
        <w:t xml:space="preserve"> Premier of Victoria, </w:t>
      </w:r>
      <w:hyperlink r:id="rId193" w:history="1">
        <w:r w:rsidRPr="001B0F62">
          <w:rPr>
            <w:rStyle w:val="Hyperlink"/>
            <w:i/>
            <w:iCs/>
          </w:rPr>
          <w:t>First electric buses hit the road in Sunbury</w:t>
        </w:r>
      </w:hyperlink>
      <w:r w:rsidRPr="001B0F62">
        <w:t xml:space="preserve"> (media release), 9 October 2022, accessed 10 July 2023</w:t>
      </w:r>
      <w:r>
        <w:t>.</w:t>
      </w:r>
    </w:p>
  </w:endnote>
  <w:endnote w:id="150">
    <w:p w14:paraId="182B2215" w14:textId="77777777" w:rsidR="00373ED9" w:rsidRPr="001B0F62" w:rsidRDefault="00373ED9" w:rsidP="00373ED9">
      <w:pPr>
        <w:pStyle w:val="EndnoteText"/>
      </w:pPr>
      <w:r w:rsidRPr="001B0F62">
        <w:rPr>
          <w:rStyle w:val="EndnoteReference"/>
        </w:rPr>
        <w:endnoteRef/>
      </w:r>
      <w:r w:rsidRPr="001B0F62">
        <w:t xml:space="preserve"> </w:t>
      </w:r>
      <w:r w:rsidRPr="001B0F62">
        <w:rPr>
          <w:rStyle w:val="normaltextrun"/>
          <w:rFonts w:ascii="Calibri" w:hAnsi="Calibri" w:cs="Calibri"/>
          <w:color w:val="000000"/>
          <w:shd w:val="clear" w:color="auto" w:fill="FFFFFF"/>
        </w:rPr>
        <w:t xml:space="preserve">Department of Treasury and Finance, </w:t>
      </w:r>
      <w:hyperlink r:id="rId194" w:anchor="budget-paper-3-service-delivery" w:tgtFrame="_blank" w:history="1">
        <w:r w:rsidRPr="001B0F62">
          <w:rPr>
            <w:rStyle w:val="normaltextrun"/>
            <w:rFonts w:ascii="Calibri" w:hAnsi="Calibri" w:cs="Calibri"/>
            <w:i/>
            <w:iCs/>
            <w:color w:val="0563C1"/>
            <w:u w:val="single"/>
            <w:shd w:val="clear" w:color="auto" w:fill="FFFFFF"/>
          </w:rPr>
          <w:t xml:space="preserve">Victorian </w:t>
        </w:r>
        <w:r>
          <w:rPr>
            <w:rStyle w:val="normaltextrun"/>
            <w:rFonts w:ascii="Calibri" w:hAnsi="Calibri" w:cs="Calibri"/>
            <w:i/>
            <w:iCs/>
            <w:color w:val="0563C1"/>
            <w:u w:val="single"/>
            <w:shd w:val="clear" w:color="auto" w:fill="FFFFFF"/>
          </w:rPr>
          <w:t xml:space="preserve">Budget </w:t>
        </w:r>
        <w:r w:rsidRPr="001B0F62">
          <w:rPr>
            <w:rStyle w:val="normaltextrun"/>
            <w:rFonts w:ascii="Calibri" w:hAnsi="Calibri" w:cs="Calibri"/>
            <w:i/>
            <w:iCs/>
            <w:color w:val="0563C1"/>
            <w:u w:val="single"/>
            <w:shd w:val="clear" w:color="auto" w:fill="FFFFFF"/>
          </w:rPr>
          <w:t xml:space="preserve"> 2023</w:t>
        </w:r>
        <w:r>
          <w:rPr>
            <w:rStyle w:val="normaltextrun"/>
            <w:rFonts w:ascii="Calibri" w:hAnsi="Calibri" w:cs="Calibri"/>
            <w:i/>
            <w:iCs/>
            <w:color w:val="0563C1"/>
            <w:u w:val="single"/>
            <w:shd w:val="clear" w:color="auto" w:fill="FFFFFF"/>
          </w:rPr>
          <w:t>–</w:t>
        </w:r>
        <w:r w:rsidRPr="001B0F62">
          <w:rPr>
            <w:rStyle w:val="normaltextrun"/>
            <w:rFonts w:ascii="Calibri" w:hAnsi="Calibri" w:cs="Calibri"/>
            <w:i/>
            <w:iCs/>
            <w:color w:val="0563C1"/>
            <w:u w:val="single"/>
            <w:shd w:val="clear" w:color="auto" w:fill="FFFFFF"/>
          </w:rPr>
          <w:t xml:space="preserve">24 – </w:t>
        </w:r>
        <w:r>
          <w:rPr>
            <w:rStyle w:val="normaltextrun"/>
            <w:rFonts w:ascii="Calibri" w:hAnsi="Calibri" w:cs="Calibri"/>
            <w:i/>
            <w:iCs/>
            <w:color w:val="0563C1"/>
            <w:u w:val="single"/>
            <w:shd w:val="clear" w:color="auto" w:fill="FFFFFF"/>
          </w:rPr>
          <w:t xml:space="preserve">Budget </w:t>
        </w:r>
        <w:r w:rsidRPr="001B0F62">
          <w:rPr>
            <w:rStyle w:val="normaltextrun"/>
            <w:rFonts w:ascii="Calibri" w:hAnsi="Calibri" w:cs="Calibri"/>
            <w:i/>
            <w:iCs/>
            <w:color w:val="0563C1"/>
            <w:u w:val="single"/>
            <w:shd w:val="clear" w:color="auto" w:fill="FFFFFF"/>
          </w:rPr>
          <w:t xml:space="preserve"> Paper No. 3</w:t>
        </w:r>
      </w:hyperlink>
      <w:r w:rsidRPr="001B0F62">
        <w:rPr>
          <w:rStyle w:val="normaltextrun"/>
          <w:rFonts w:ascii="Calibri" w:hAnsi="Calibri" w:cs="Calibri"/>
          <w:color w:val="000000"/>
          <w:shd w:val="clear" w:color="auto" w:fill="FFFFFF"/>
        </w:rPr>
        <w:t>, 2023, pp.96, 97, accessed 18 July 2023</w:t>
      </w:r>
      <w:r>
        <w:rPr>
          <w:rStyle w:val="normaltextrun"/>
          <w:rFonts w:ascii="Calibri" w:hAnsi="Calibri" w:cs="Calibri"/>
          <w:color w:val="000000"/>
          <w:shd w:val="clear" w:color="auto" w:fill="FFFFFF"/>
        </w:rPr>
        <w:t xml:space="preserve"> </w:t>
      </w:r>
      <w:r w:rsidRPr="004A1190">
        <w:rPr>
          <w:szCs w:val="15"/>
        </w:rPr>
        <w:t>(</w:t>
      </w:r>
      <w:hyperlink r:id="rId195" w:history="1">
        <w:r w:rsidRPr="004A1190">
          <w:rPr>
            <w:rStyle w:val="Hyperlink"/>
            <w:szCs w:val="15"/>
          </w:rPr>
          <w:t>https://s3.ap-southeast-2.amazonaws.com/budgetfiles202324.budget.vic.gov.au/2023</w:t>
        </w:r>
        <w:r>
          <w:rPr>
            <w:rStyle w:val="Hyperlink"/>
            <w:szCs w:val="15"/>
          </w:rPr>
          <w:t>–</w:t>
        </w:r>
        <w:r w:rsidRPr="004A1190">
          <w:rPr>
            <w:rStyle w:val="Hyperlink"/>
            <w:szCs w:val="15"/>
          </w:rPr>
          <w:t>24+State+Budget+-+Service+Delivery.pdf</w:t>
        </w:r>
      </w:hyperlink>
      <w:r w:rsidRPr="004A1190">
        <w:rPr>
          <w:szCs w:val="15"/>
        </w:rPr>
        <w:t>)</w:t>
      </w:r>
      <w:r>
        <w:rPr>
          <w:szCs w:val="15"/>
        </w:rPr>
        <w:t>.</w:t>
      </w:r>
    </w:p>
  </w:endnote>
  <w:endnote w:id="151">
    <w:p w14:paraId="49C743BD" w14:textId="77777777" w:rsidR="00373ED9" w:rsidRPr="001B0F62" w:rsidRDefault="00373ED9" w:rsidP="00373ED9">
      <w:pPr>
        <w:pStyle w:val="EndnoteText"/>
      </w:pPr>
      <w:r w:rsidRPr="001B0F62">
        <w:rPr>
          <w:rStyle w:val="EndnoteReference"/>
        </w:rPr>
        <w:endnoteRef/>
      </w:r>
      <w:r w:rsidRPr="001B0F62">
        <w:t xml:space="preserve"> Premier of Victoria, </w:t>
      </w:r>
      <w:hyperlink r:id="rId196" w:history="1">
        <w:r w:rsidRPr="001B0F62">
          <w:rPr>
            <w:rStyle w:val="Hyperlink"/>
            <w:i/>
            <w:iCs/>
          </w:rPr>
          <w:t>First all-electric bus depot powering ahead</w:t>
        </w:r>
      </w:hyperlink>
      <w:r w:rsidRPr="001B0F62">
        <w:t xml:space="preserve"> (media release), 15 February 2023, accessed 10 July</w:t>
      </w:r>
      <w:r>
        <w:t>.</w:t>
      </w:r>
    </w:p>
  </w:endnote>
  <w:endnote w:id="152">
    <w:p w14:paraId="7C7E87C4" w14:textId="77777777" w:rsidR="00373ED9" w:rsidRPr="001B0F62" w:rsidRDefault="00373ED9" w:rsidP="00373ED9">
      <w:pPr>
        <w:pStyle w:val="EndnoteText"/>
      </w:pPr>
      <w:r w:rsidRPr="001B0F62">
        <w:rPr>
          <w:rStyle w:val="EndnoteReference"/>
        </w:rPr>
        <w:endnoteRef/>
      </w:r>
      <w:r w:rsidRPr="001B0F62">
        <w:t xml:space="preserve"> Premier of Victoria, </w:t>
      </w:r>
      <w:hyperlink r:id="rId197" w:history="1">
        <w:r w:rsidRPr="001B0F62">
          <w:rPr>
            <w:rStyle w:val="Hyperlink"/>
          </w:rPr>
          <w:t>First all-electric bus depot powering ahead</w:t>
        </w:r>
      </w:hyperlink>
      <w:r w:rsidRPr="001B0F62">
        <w:t xml:space="preserve"> (media release), 15 February 2023, accessed 10 July</w:t>
      </w:r>
      <w:r>
        <w:t>.</w:t>
      </w:r>
    </w:p>
  </w:endnote>
  <w:endnote w:id="153">
    <w:p w14:paraId="1D2B6FCD" w14:textId="77777777" w:rsidR="00373ED9" w:rsidRPr="00E264BC" w:rsidRDefault="00373ED9" w:rsidP="00373ED9">
      <w:pPr>
        <w:pStyle w:val="EndnoteText"/>
      </w:pPr>
      <w:r>
        <w:rPr>
          <w:rStyle w:val="EndnoteReference"/>
        </w:rPr>
        <w:endnoteRef/>
      </w:r>
      <w:r>
        <w:t xml:space="preserve"> Premier of Victoria,</w:t>
      </w:r>
      <w:hyperlink r:id="rId198" w:history="1">
        <w:r w:rsidRPr="00A23364">
          <w:rPr>
            <w:rStyle w:val="Hyperlink"/>
          </w:rPr>
          <w:t xml:space="preserve"> </w:t>
        </w:r>
        <w:r w:rsidRPr="00A23364">
          <w:rPr>
            <w:rStyle w:val="Hyperlink"/>
            <w:i/>
            <w:iCs/>
          </w:rPr>
          <w:t>Zero emissions buses in Melbourne’s west</w:t>
        </w:r>
      </w:hyperlink>
      <w:r>
        <w:rPr>
          <w:i/>
          <w:iCs/>
        </w:rPr>
        <w:t xml:space="preserve"> </w:t>
      </w:r>
      <w:r>
        <w:t>(media release), 26 May 2023, accessed 25 July 2023.</w:t>
      </w:r>
    </w:p>
  </w:endnote>
  <w:endnote w:id="154">
    <w:p w14:paraId="266CE038" w14:textId="77777777" w:rsidR="00373ED9" w:rsidRPr="001B0F62" w:rsidRDefault="00373ED9" w:rsidP="00373ED9">
      <w:pPr>
        <w:pStyle w:val="EndnoteText"/>
      </w:pPr>
      <w:r w:rsidRPr="001B0F62">
        <w:rPr>
          <w:rStyle w:val="EndnoteReference"/>
        </w:rPr>
        <w:endnoteRef/>
      </w:r>
      <w:r w:rsidRPr="001B0F62">
        <w:t xml:space="preserve"> VicRoads, </w:t>
      </w:r>
      <w:hyperlink r:id="rId199" w:history="1">
        <w:r w:rsidRPr="001B0F62">
          <w:rPr>
            <w:rStyle w:val="Hyperlink"/>
            <w:i/>
            <w:iCs/>
          </w:rPr>
          <w:t>E-scooters in Victoria</w:t>
        </w:r>
      </w:hyperlink>
      <w:r w:rsidRPr="001B0F62">
        <w:t xml:space="preserve"> </w:t>
      </w:r>
      <w:r>
        <w:t>(</w:t>
      </w:r>
      <w:r w:rsidRPr="001B0F62">
        <w:t>website</w:t>
      </w:r>
      <w:r>
        <w:t>)</w:t>
      </w:r>
      <w:r w:rsidRPr="001B0F62">
        <w:t>, n.d., accessed 10 July 2023</w:t>
      </w:r>
      <w:r>
        <w:t>.</w:t>
      </w:r>
    </w:p>
  </w:endnote>
  <w:endnote w:id="155">
    <w:p w14:paraId="39E28887" w14:textId="2965EADF" w:rsidR="00373ED9" w:rsidRPr="001B0F62" w:rsidRDefault="00373ED9" w:rsidP="00373ED9">
      <w:pPr>
        <w:pStyle w:val="EndnoteText"/>
      </w:pPr>
      <w:r w:rsidRPr="001B0F62">
        <w:rPr>
          <w:rStyle w:val="EndnoteReference"/>
        </w:rPr>
        <w:endnoteRef/>
      </w:r>
      <w:r w:rsidRPr="001B0F62">
        <w:t xml:space="preserve"> VicRoads, </w:t>
      </w:r>
      <w:hyperlink r:id="rId200" w:history="1">
        <w:r w:rsidRPr="001B0F62">
          <w:rPr>
            <w:rStyle w:val="Hyperlink"/>
            <w:i/>
            <w:iCs/>
          </w:rPr>
          <w:t>E-scooter safety and tr</w:t>
        </w:r>
        <w:r w:rsidR="00866C74">
          <w:rPr>
            <w:rStyle w:val="Hyperlink"/>
            <w:i/>
            <w:iCs/>
          </w:rPr>
          <w:t>ia</w:t>
        </w:r>
        <w:r w:rsidRPr="001B0F62">
          <w:rPr>
            <w:rStyle w:val="Hyperlink"/>
            <w:i/>
            <w:iCs/>
          </w:rPr>
          <w:t>l FAQs</w:t>
        </w:r>
      </w:hyperlink>
      <w:r w:rsidRPr="001B0F62">
        <w:t xml:space="preserve"> </w:t>
      </w:r>
      <w:r>
        <w:t>(</w:t>
      </w:r>
      <w:r w:rsidRPr="001B0F62">
        <w:t>website</w:t>
      </w:r>
      <w:r>
        <w:t>)</w:t>
      </w:r>
      <w:r w:rsidRPr="001B0F62">
        <w:t>, n.d., accessed 10 July 2023</w:t>
      </w:r>
      <w:r>
        <w:t>.</w:t>
      </w:r>
    </w:p>
  </w:endnote>
  <w:endnote w:id="156">
    <w:p w14:paraId="429C881F" w14:textId="0DDFEF3F" w:rsidR="00373ED9" w:rsidRPr="001B0F62" w:rsidRDefault="00373ED9" w:rsidP="00373ED9">
      <w:pPr>
        <w:pStyle w:val="EndnoteText"/>
      </w:pPr>
      <w:r w:rsidRPr="001B0F62">
        <w:rPr>
          <w:rStyle w:val="EndnoteReference"/>
        </w:rPr>
        <w:endnoteRef/>
      </w:r>
      <w:r w:rsidRPr="001B0F62">
        <w:t xml:space="preserve"> VicRoads, </w:t>
      </w:r>
      <w:hyperlink r:id="rId201" w:history="1">
        <w:r w:rsidRPr="001B0F62">
          <w:rPr>
            <w:rStyle w:val="Hyperlink"/>
            <w:i/>
            <w:iCs/>
          </w:rPr>
          <w:t>E-scooter safety and tr</w:t>
        </w:r>
        <w:r w:rsidR="00866C74">
          <w:rPr>
            <w:rStyle w:val="Hyperlink"/>
            <w:i/>
            <w:iCs/>
          </w:rPr>
          <w:t>ia</w:t>
        </w:r>
        <w:r w:rsidRPr="001B0F62">
          <w:rPr>
            <w:rStyle w:val="Hyperlink"/>
            <w:i/>
            <w:iCs/>
          </w:rPr>
          <w:t>l FAQs</w:t>
        </w:r>
      </w:hyperlink>
      <w:r w:rsidRPr="001B0F62">
        <w:t xml:space="preserve"> </w:t>
      </w:r>
      <w:r>
        <w:t>(</w:t>
      </w:r>
      <w:r w:rsidRPr="001B0F62">
        <w:t>website</w:t>
      </w:r>
      <w:r>
        <w:t>)</w:t>
      </w:r>
      <w:r w:rsidRPr="001B0F62">
        <w:t>, n.d., accessed 10 July 2023</w:t>
      </w:r>
      <w:r>
        <w:t>.</w:t>
      </w:r>
    </w:p>
  </w:endnote>
  <w:endnote w:id="157">
    <w:p w14:paraId="0A1EE861" w14:textId="02617CF5" w:rsidR="00373ED9" w:rsidRPr="001B0F62" w:rsidRDefault="00373ED9" w:rsidP="00373ED9">
      <w:pPr>
        <w:pStyle w:val="EndnoteText"/>
      </w:pPr>
      <w:r w:rsidRPr="001B0F62">
        <w:rPr>
          <w:rStyle w:val="EndnoteReference"/>
        </w:rPr>
        <w:endnoteRef/>
      </w:r>
      <w:r w:rsidRPr="001B0F62">
        <w:t xml:space="preserve"> VicRoads, </w:t>
      </w:r>
      <w:hyperlink r:id="rId202" w:history="1">
        <w:r w:rsidRPr="001B0F62">
          <w:rPr>
            <w:rStyle w:val="Hyperlink"/>
            <w:i/>
            <w:iCs/>
          </w:rPr>
          <w:t>E-scooter safety and tr</w:t>
        </w:r>
        <w:r w:rsidR="00866C74">
          <w:rPr>
            <w:rStyle w:val="Hyperlink"/>
            <w:i/>
            <w:iCs/>
          </w:rPr>
          <w:t>ia</w:t>
        </w:r>
        <w:r w:rsidRPr="001B0F62">
          <w:rPr>
            <w:rStyle w:val="Hyperlink"/>
            <w:i/>
            <w:iCs/>
          </w:rPr>
          <w:t>l FAQs</w:t>
        </w:r>
      </w:hyperlink>
      <w:r w:rsidRPr="001B0F62">
        <w:t xml:space="preserve"> </w:t>
      </w:r>
      <w:r>
        <w:t>(</w:t>
      </w:r>
      <w:r w:rsidRPr="001B0F62">
        <w:t>website</w:t>
      </w:r>
      <w:r>
        <w:t>)</w:t>
      </w:r>
      <w:r w:rsidRPr="001B0F62">
        <w:t>, n.d., accessed 10 July 2023</w:t>
      </w:r>
      <w:r>
        <w:t>.</w:t>
      </w:r>
    </w:p>
  </w:endnote>
  <w:endnote w:id="158">
    <w:p w14:paraId="5EC57FEB" w14:textId="6ED6C7DB" w:rsidR="00373ED9" w:rsidRPr="001B0F62" w:rsidRDefault="00373ED9" w:rsidP="00373ED9">
      <w:pPr>
        <w:pStyle w:val="EndnoteText"/>
      </w:pPr>
      <w:r w:rsidRPr="001B0F62">
        <w:rPr>
          <w:rStyle w:val="EndnoteReference"/>
        </w:rPr>
        <w:endnoteRef/>
      </w:r>
      <w:r w:rsidRPr="001B0F62">
        <w:t xml:space="preserve"> Premier of Victoria</w:t>
      </w:r>
      <w:hyperlink r:id="rId203" w:history="1">
        <w:r w:rsidRPr="001B0F62">
          <w:rPr>
            <w:rStyle w:val="Hyperlink"/>
          </w:rPr>
          <w:t>, E-scooter tr</w:t>
        </w:r>
        <w:r w:rsidR="00C22CCD">
          <w:rPr>
            <w:rStyle w:val="Hyperlink"/>
          </w:rPr>
          <w:t>ia</w:t>
        </w:r>
        <w:r w:rsidRPr="001B0F62">
          <w:rPr>
            <w:rStyle w:val="Hyperlink"/>
          </w:rPr>
          <w:t>l extended across Victoria</w:t>
        </w:r>
      </w:hyperlink>
      <w:r w:rsidRPr="001B0F62">
        <w:t xml:space="preserve"> (media release), 30 March 2023, accessed 10 July 2023</w:t>
      </w:r>
      <w:r>
        <w:t>.</w:t>
      </w:r>
    </w:p>
  </w:endnote>
  <w:endnote w:id="159">
    <w:p w14:paraId="59C93A6E" w14:textId="1522B169" w:rsidR="00373ED9" w:rsidRPr="000E44DB" w:rsidRDefault="00373ED9" w:rsidP="00373ED9">
      <w:pPr>
        <w:pStyle w:val="EndnoteText"/>
      </w:pPr>
      <w:r>
        <w:rPr>
          <w:rStyle w:val="EndnoteReference"/>
        </w:rPr>
        <w:endnoteRef/>
      </w:r>
      <w:r>
        <w:t xml:space="preserve"> VicRoads, </w:t>
      </w:r>
      <w:hyperlink r:id="rId204" w:history="1">
        <w:r w:rsidRPr="00174468">
          <w:rPr>
            <w:rStyle w:val="Hyperlink"/>
            <w:i/>
            <w:iCs/>
          </w:rPr>
          <w:t>E-scooter safety and tr</w:t>
        </w:r>
        <w:r w:rsidR="00174468" w:rsidRPr="00174468">
          <w:rPr>
            <w:rStyle w:val="Hyperlink"/>
            <w:i/>
            <w:iCs/>
          </w:rPr>
          <w:t>ia</w:t>
        </w:r>
        <w:r w:rsidRPr="00174468">
          <w:rPr>
            <w:rStyle w:val="Hyperlink"/>
            <w:i/>
            <w:iCs/>
          </w:rPr>
          <w:t>l FAQs</w:t>
        </w:r>
      </w:hyperlink>
      <w:r>
        <w:t xml:space="preserve"> (website), n.d., accessed 16 August 2023.</w:t>
      </w:r>
    </w:p>
  </w:endnote>
  <w:endnote w:id="160">
    <w:p w14:paraId="17D3628F" w14:textId="77777777" w:rsidR="00373ED9" w:rsidRPr="001B0F62" w:rsidRDefault="00373ED9" w:rsidP="00373ED9">
      <w:pPr>
        <w:pStyle w:val="EndnoteText"/>
      </w:pPr>
      <w:r w:rsidRPr="001B0F62">
        <w:rPr>
          <w:rStyle w:val="EndnoteReference"/>
        </w:rPr>
        <w:endnoteRef/>
      </w:r>
      <w:r w:rsidRPr="001B0F62">
        <w:t xml:space="preserve"> Infrastructure Victoria, </w:t>
      </w:r>
      <w:hyperlink r:id="rId205" w:history="1">
        <w:r w:rsidRPr="001B0F62">
          <w:rPr>
            <w:rStyle w:val="Hyperlink"/>
            <w:i/>
            <w:iCs/>
          </w:rPr>
          <w:t>Victoria’s infrastructure strategy 2021</w:t>
        </w:r>
        <w:r>
          <w:rPr>
            <w:rStyle w:val="Hyperlink"/>
            <w:i/>
            <w:iCs/>
          </w:rPr>
          <w:t>–</w:t>
        </w:r>
        <w:r w:rsidRPr="001B0F62">
          <w:rPr>
            <w:rStyle w:val="Hyperlink"/>
            <w:i/>
            <w:iCs/>
          </w:rPr>
          <w:t>2051</w:t>
        </w:r>
      </w:hyperlink>
      <w:r w:rsidRPr="001B0F62">
        <w:t>, 2021, p.</w:t>
      </w:r>
      <w:r>
        <w:t xml:space="preserve"> 82</w:t>
      </w:r>
      <w:r w:rsidRPr="001B0F62">
        <w:t>, accessed 10 July 2023</w:t>
      </w:r>
      <w:r>
        <w:t>.</w:t>
      </w:r>
    </w:p>
  </w:endnote>
  <w:endnote w:id="161">
    <w:p w14:paraId="2378BE33" w14:textId="77777777" w:rsidR="00373ED9" w:rsidRPr="001B0F62" w:rsidRDefault="00373ED9" w:rsidP="00373ED9">
      <w:pPr>
        <w:pStyle w:val="EndnoteText"/>
      </w:pPr>
      <w:r w:rsidRPr="001B0F62">
        <w:rPr>
          <w:rStyle w:val="EndnoteReference"/>
        </w:rPr>
        <w:endnoteRef/>
      </w:r>
      <w:r w:rsidRPr="001B0F62">
        <w:t xml:space="preserve"> Metro Tunnel Project,</w:t>
      </w:r>
      <w:r w:rsidRPr="001B0F62">
        <w:rPr>
          <w:i/>
          <w:iCs/>
        </w:rPr>
        <w:t xml:space="preserve"> </w:t>
      </w:r>
      <w:hyperlink r:id="rId206" w:history="1">
        <w:r w:rsidRPr="001B0F62">
          <w:rPr>
            <w:rStyle w:val="Hyperlink"/>
            <w:i/>
            <w:iCs/>
          </w:rPr>
          <w:t>High capacity signalling</w:t>
        </w:r>
      </w:hyperlink>
      <w:r w:rsidRPr="001B0F62">
        <w:t>, Victoria’s Big Build website, n.d., accessed 10 July 2023</w:t>
      </w:r>
      <w:r>
        <w:t>.</w:t>
      </w:r>
    </w:p>
  </w:endnote>
  <w:endnote w:id="162">
    <w:p w14:paraId="6A25717B" w14:textId="77777777" w:rsidR="00373ED9" w:rsidRPr="001B0F62" w:rsidRDefault="00373ED9" w:rsidP="00373ED9">
      <w:pPr>
        <w:pStyle w:val="EndnoteText"/>
      </w:pPr>
      <w:r w:rsidRPr="001B0F62">
        <w:rPr>
          <w:rStyle w:val="EndnoteReference"/>
        </w:rPr>
        <w:endnoteRef/>
      </w:r>
      <w:r w:rsidRPr="001B0F62">
        <w:t xml:space="preserve"> Metro Tunnel Project,</w:t>
      </w:r>
      <w:r w:rsidRPr="001B0F62">
        <w:rPr>
          <w:i/>
          <w:iCs/>
        </w:rPr>
        <w:t xml:space="preserve"> </w:t>
      </w:r>
      <w:hyperlink r:id="rId207" w:history="1">
        <w:r w:rsidRPr="001B0F62">
          <w:rPr>
            <w:rStyle w:val="Hyperlink"/>
            <w:i/>
            <w:iCs/>
          </w:rPr>
          <w:t>High capacity signalling</w:t>
        </w:r>
      </w:hyperlink>
      <w:r w:rsidRPr="001B0F62">
        <w:t>, Victoria’s Big Build website, n.d., accessed 10 July 2023</w:t>
      </w:r>
      <w:r>
        <w:t>.</w:t>
      </w:r>
    </w:p>
  </w:endnote>
  <w:endnote w:id="163">
    <w:p w14:paraId="397F7C69" w14:textId="77777777" w:rsidR="00373ED9" w:rsidRPr="001B0F62" w:rsidRDefault="00373ED9" w:rsidP="00373ED9">
      <w:pPr>
        <w:pStyle w:val="EndnoteText"/>
      </w:pPr>
      <w:r w:rsidRPr="001B0F62">
        <w:rPr>
          <w:rStyle w:val="EndnoteReference"/>
        </w:rPr>
        <w:endnoteRef/>
      </w:r>
      <w:r w:rsidRPr="001B0F62">
        <w:t xml:space="preserve"> Metro Tunnel Project,</w:t>
      </w:r>
      <w:r w:rsidRPr="001B0F62">
        <w:rPr>
          <w:i/>
          <w:iCs/>
        </w:rPr>
        <w:t xml:space="preserve"> </w:t>
      </w:r>
      <w:hyperlink r:id="rId208" w:history="1">
        <w:r w:rsidRPr="001B0F62">
          <w:rPr>
            <w:rStyle w:val="Hyperlink"/>
            <w:i/>
            <w:iCs/>
          </w:rPr>
          <w:t>High capacity signalling</w:t>
        </w:r>
      </w:hyperlink>
      <w:r w:rsidRPr="001B0F62">
        <w:t>, Victoria’s Big Build website, n.d., accessed 10 July 2023</w:t>
      </w:r>
      <w:r>
        <w:t>.</w:t>
      </w:r>
    </w:p>
  </w:endnote>
  <w:endnote w:id="164">
    <w:p w14:paraId="6AD4A43B" w14:textId="77777777" w:rsidR="00373ED9" w:rsidRPr="001B0F62" w:rsidRDefault="00373ED9" w:rsidP="00373ED9">
      <w:pPr>
        <w:pStyle w:val="EndnoteText"/>
      </w:pPr>
      <w:r w:rsidRPr="001B0F62">
        <w:rPr>
          <w:rStyle w:val="EndnoteReference"/>
        </w:rPr>
        <w:endnoteRef/>
      </w:r>
      <w:r w:rsidRPr="001B0F62">
        <w:t xml:space="preserve"> Premier of Victoria, </w:t>
      </w:r>
      <w:hyperlink r:id="rId209" w:history="1">
        <w:r w:rsidRPr="001B0F62">
          <w:rPr>
            <w:rStyle w:val="Hyperlink"/>
            <w:i/>
            <w:iCs/>
          </w:rPr>
          <w:t>New public transport ticketing contract</w:t>
        </w:r>
      </w:hyperlink>
      <w:r w:rsidRPr="001B0F62">
        <w:t xml:space="preserve"> (media release) 15 May 2023, accessed 10 July 2023</w:t>
      </w:r>
      <w:r>
        <w:t>.</w:t>
      </w:r>
    </w:p>
  </w:endnote>
  <w:endnote w:id="165">
    <w:p w14:paraId="7AAD4E56" w14:textId="77777777" w:rsidR="00373ED9" w:rsidRPr="001B0F62" w:rsidRDefault="00373ED9" w:rsidP="00373ED9">
      <w:pPr>
        <w:pStyle w:val="EndnoteText"/>
      </w:pPr>
      <w:r w:rsidRPr="001B0F62">
        <w:rPr>
          <w:rStyle w:val="EndnoteReference"/>
        </w:rPr>
        <w:endnoteRef/>
      </w:r>
      <w:r w:rsidRPr="001B0F62">
        <w:t xml:space="preserve"> Premier of Victoria, </w:t>
      </w:r>
      <w:hyperlink r:id="rId210" w:history="1">
        <w:r w:rsidRPr="001B0F62">
          <w:rPr>
            <w:rStyle w:val="Hyperlink"/>
          </w:rPr>
          <w:t>New public transport ticketing contract</w:t>
        </w:r>
      </w:hyperlink>
      <w:r w:rsidRPr="001B0F62">
        <w:t xml:space="preserve"> (media release), 15 May 2023, accessed 10 July 2023</w:t>
      </w:r>
      <w:r>
        <w:t>.</w:t>
      </w:r>
    </w:p>
  </w:endnote>
  <w:endnote w:id="166">
    <w:p w14:paraId="65A33073" w14:textId="77777777" w:rsidR="00373ED9" w:rsidRPr="001B0F62" w:rsidRDefault="00373ED9" w:rsidP="00373ED9">
      <w:pPr>
        <w:pStyle w:val="EndnoteText"/>
      </w:pPr>
      <w:r w:rsidRPr="001B0F62">
        <w:rPr>
          <w:rStyle w:val="EndnoteReference"/>
        </w:rPr>
        <w:endnoteRef/>
      </w:r>
      <w:r w:rsidRPr="001B0F62">
        <w:t xml:space="preserve"> Infrastructure Victoria, </w:t>
      </w:r>
      <w:hyperlink r:id="rId211" w:history="1">
        <w:r w:rsidRPr="001B0F62">
          <w:rPr>
            <w:rStyle w:val="Hyperlink"/>
            <w:i/>
            <w:iCs/>
          </w:rPr>
          <w:t>Victoria’s infrastructure strategy 2021</w:t>
        </w:r>
        <w:r>
          <w:rPr>
            <w:rStyle w:val="Hyperlink"/>
            <w:i/>
            <w:iCs/>
          </w:rPr>
          <w:t>–</w:t>
        </w:r>
        <w:r w:rsidRPr="001B0F62">
          <w:rPr>
            <w:rStyle w:val="Hyperlink"/>
            <w:i/>
            <w:iCs/>
          </w:rPr>
          <w:t>2051</w:t>
        </w:r>
      </w:hyperlink>
      <w:r w:rsidRPr="001B0F62">
        <w:t>, 2021, p.</w:t>
      </w:r>
      <w:r>
        <w:t>134</w:t>
      </w:r>
      <w:r w:rsidRPr="001B0F62">
        <w:t>, accessed 10 July 2023</w:t>
      </w:r>
      <w:r>
        <w:t>.</w:t>
      </w:r>
    </w:p>
  </w:endnote>
  <w:endnote w:id="167">
    <w:p w14:paraId="4086ABAE" w14:textId="77777777" w:rsidR="00373ED9" w:rsidRPr="001B0F62" w:rsidRDefault="00373ED9" w:rsidP="00373ED9">
      <w:pPr>
        <w:pStyle w:val="EndnoteText"/>
      </w:pPr>
      <w:r w:rsidRPr="001B0F62">
        <w:rPr>
          <w:rStyle w:val="EndnoteReference"/>
        </w:rPr>
        <w:endnoteRef/>
      </w:r>
      <w:r w:rsidRPr="001B0F62">
        <w:t xml:space="preserve"> Infrastructure Victoria, </w:t>
      </w:r>
      <w:hyperlink r:id="rId212" w:history="1">
        <w:r w:rsidRPr="001B0F62">
          <w:rPr>
            <w:rStyle w:val="Hyperlink"/>
            <w:i/>
            <w:iCs/>
          </w:rPr>
          <w:t>Victoria’s infrastructure strategy 2021</w:t>
        </w:r>
        <w:r>
          <w:rPr>
            <w:rStyle w:val="Hyperlink"/>
            <w:i/>
            <w:iCs/>
          </w:rPr>
          <w:t>–</w:t>
        </w:r>
        <w:r w:rsidRPr="001B0F62">
          <w:rPr>
            <w:rStyle w:val="Hyperlink"/>
            <w:i/>
            <w:iCs/>
          </w:rPr>
          <w:t>2051</w:t>
        </w:r>
      </w:hyperlink>
      <w:r w:rsidRPr="001B0F62">
        <w:t>, 2021, p.</w:t>
      </w:r>
      <w:r>
        <w:t>132</w:t>
      </w:r>
      <w:r w:rsidRPr="001B0F62">
        <w:t>, accessed 10 July 2023</w:t>
      </w:r>
      <w:r>
        <w:t>.</w:t>
      </w:r>
    </w:p>
  </w:endnote>
  <w:endnote w:id="168">
    <w:p w14:paraId="09750E60" w14:textId="77777777" w:rsidR="00373ED9" w:rsidRDefault="00373ED9" w:rsidP="00373ED9">
      <w:pPr>
        <w:pStyle w:val="EndnoteText"/>
      </w:pPr>
      <w:r w:rsidRPr="001B0F62">
        <w:rPr>
          <w:rStyle w:val="EndnoteReference"/>
        </w:rPr>
        <w:endnoteRef/>
      </w:r>
      <w:r w:rsidRPr="001B0F62">
        <w:t xml:space="preserve"> Infrastructure Victoria, </w:t>
      </w:r>
      <w:hyperlink r:id="rId213" w:history="1">
        <w:r w:rsidRPr="001B0F62">
          <w:rPr>
            <w:rStyle w:val="Hyperlink"/>
            <w:i/>
            <w:iCs/>
          </w:rPr>
          <w:t>Victoria’s infrastructure strategy 2021</w:t>
        </w:r>
        <w:r>
          <w:rPr>
            <w:rStyle w:val="Hyperlink"/>
            <w:i/>
            <w:iCs/>
          </w:rPr>
          <w:t>–</w:t>
        </w:r>
        <w:r w:rsidRPr="001B0F62">
          <w:rPr>
            <w:rStyle w:val="Hyperlink"/>
            <w:i/>
            <w:iCs/>
          </w:rPr>
          <w:t>2051</w:t>
        </w:r>
      </w:hyperlink>
      <w:r w:rsidRPr="001B0F62">
        <w:t>, 2021, p.84, accessed 10 July 2023</w:t>
      </w:r>
      <w:r>
        <w:t>.</w:t>
      </w:r>
    </w:p>
  </w:endnote>
  <w:endnote w:id="169">
    <w:p w14:paraId="6AB53C62" w14:textId="77777777" w:rsidR="00373ED9" w:rsidRPr="006C5016" w:rsidRDefault="00373ED9" w:rsidP="00373ED9">
      <w:pPr>
        <w:pStyle w:val="EndnoteText"/>
      </w:pPr>
      <w:r>
        <w:rPr>
          <w:rStyle w:val="EndnoteReference"/>
        </w:rPr>
        <w:endnoteRef/>
      </w:r>
      <w:r>
        <w:t xml:space="preserve"> VicRoads, </w:t>
      </w:r>
      <w:hyperlink r:id="rId214" w:history="1">
        <w:r>
          <w:rPr>
            <w:rStyle w:val="Hyperlink"/>
            <w:i/>
            <w:iCs/>
          </w:rPr>
          <w:t>Our technology</w:t>
        </w:r>
      </w:hyperlink>
      <w:r>
        <w:t xml:space="preserve"> (website), Smarter Roads website, n.d., accessed 16 August 2023.</w:t>
      </w:r>
    </w:p>
  </w:endnote>
  <w:endnote w:id="170">
    <w:p w14:paraId="45DA6EB1" w14:textId="77777777" w:rsidR="00373ED9" w:rsidRDefault="00373ED9" w:rsidP="00373ED9">
      <w:pPr>
        <w:pStyle w:val="EndnoteText"/>
      </w:pPr>
      <w:r>
        <w:rPr>
          <w:rStyle w:val="EndnoteReference"/>
        </w:rPr>
        <w:endnoteRef/>
      </w:r>
      <w:r>
        <w:t xml:space="preserve"> VicRoads, </w:t>
      </w:r>
      <w:hyperlink r:id="rId215" w:history="1">
        <w:r w:rsidRPr="007E0B22">
          <w:rPr>
            <w:rStyle w:val="Hyperlink"/>
            <w:i/>
            <w:iCs/>
          </w:rPr>
          <w:t>Keeping you moving with smarter roads</w:t>
        </w:r>
      </w:hyperlink>
      <w:r>
        <w:t xml:space="preserve"> (website), Smarter Roads website, n.d. accessed 16 August 2023.</w:t>
      </w:r>
    </w:p>
  </w:endnote>
  <w:endnote w:id="171">
    <w:p w14:paraId="67D55623" w14:textId="77777777" w:rsidR="00373ED9" w:rsidRPr="004F6274" w:rsidRDefault="00373ED9" w:rsidP="00373ED9">
      <w:pPr>
        <w:pStyle w:val="EndnoteText"/>
      </w:pPr>
      <w:r>
        <w:rPr>
          <w:rStyle w:val="EndnoteReference"/>
        </w:rPr>
        <w:endnoteRef/>
      </w:r>
      <w:r>
        <w:t xml:space="preserve"> VicRoads, </w:t>
      </w:r>
      <w:hyperlink r:id="rId216" w:history="1">
        <w:r w:rsidRPr="004873BA">
          <w:rPr>
            <w:rStyle w:val="Hyperlink"/>
            <w:i/>
            <w:iCs/>
          </w:rPr>
          <w:t>Reduced queues and bottlenecks on key south-eastern roads</w:t>
        </w:r>
      </w:hyperlink>
      <w:r>
        <w:t xml:space="preserve"> (website), Smarter Roads website, 9 June 2023, accessed 16 August 2023.</w:t>
      </w:r>
    </w:p>
  </w:endnote>
  <w:endnote w:id="172">
    <w:p w14:paraId="7E5674BF" w14:textId="18D06E51" w:rsidR="00373ED9" w:rsidRPr="004F6274" w:rsidRDefault="00373ED9" w:rsidP="00373ED9">
      <w:pPr>
        <w:pStyle w:val="EndnoteText"/>
      </w:pPr>
      <w:r>
        <w:rPr>
          <w:rStyle w:val="EndnoteReference"/>
        </w:rPr>
        <w:endnoteRef/>
      </w:r>
      <w:r>
        <w:t xml:space="preserve"> VicRoads, </w:t>
      </w:r>
      <w:hyperlink r:id="rId217" w:history="1">
        <w:r w:rsidRPr="007C3DBF">
          <w:rPr>
            <w:rStyle w:val="Hyperlink"/>
            <w:i/>
            <w:iCs/>
          </w:rPr>
          <w:t>Traffic flow improves along Boundary/Wells Road</w:t>
        </w:r>
      </w:hyperlink>
      <w:r>
        <w:t xml:space="preserve"> (website), Smarter Roads website, 19 September 2023, accessed 16 August 2023.</w:t>
      </w:r>
    </w:p>
  </w:endnote>
  <w:endnote w:id="173">
    <w:p w14:paraId="55C9C323" w14:textId="77777777" w:rsidR="00373ED9" w:rsidRPr="004F6274" w:rsidRDefault="00373ED9" w:rsidP="00373ED9">
      <w:pPr>
        <w:pStyle w:val="EndnoteText"/>
      </w:pPr>
      <w:r>
        <w:rPr>
          <w:rStyle w:val="EndnoteReference"/>
        </w:rPr>
        <w:endnoteRef/>
      </w:r>
      <w:r>
        <w:t xml:space="preserve"> VicRoads, </w:t>
      </w:r>
      <w:hyperlink r:id="rId218" w:history="1">
        <w:r w:rsidRPr="004873BA">
          <w:rPr>
            <w:rStyle w:val="Hyperlink"/>
            <w:i/>
            <w:iCs/>
          </w:rPr>
          <w:t>Reduced queues and bottlenecks on key south-eastern roads</w:t>
        </w:r>
      </w:hyperlink>
      <w:r>
        <w:t xml:space="preserve"> (website), Smarter Roads website, 9 June 2023, accessed 16 August 2023; VicRoads, </w:t>
      </w:r>
      <w:r w:rsidRPr="00C55456">
        <w:rPr>
          <w:i/>
          <w:iCs/>
        </w:rPr>
        <w:t>Traffic flow improves along Boundary/Wells Road</w:t>
      </w:r>
      <w:r>
        <w:t xml:space="preserve"> (website), Smarter Roads website, 19 September 2023, accessed 16 August 2023.</w:t>
      </w:r>
    </w:p>
  </w:endnote>
  <w:endnote w:id="174">
    <w:p w14:paraId="38500A61" w14:textId="77777777" w:rsidR="00373ED9" w:rsidRPr="00597874" w:rsidRDefault="00373ED9" w:rsidP="00373ED9">
      <w:pPr>
        <w:pStyle w:val="EndnoteText"/>
      </w:pPr>
      <w:r w:rsidRPr="00597874">
        <w:rPr>
          <w:rStyle w:val="EndnoteReference"/>
        </w:rPr>
        <w:endnoteRef/>
      </w:r>
      <w:r w:rsidRPr="00597874">
        <w:t xml:space="preserve"> Department of Environment, Land, Water and Planning, </w:t>
      </w:r>
      <w:hyperlink r:id="rId219" w:history="1">
        <w:r w:rsidRPr="00597874">
          <w:rPr>
            <w:rStyle w:val="Hyperlink"/>
            <w:i/>
          </w:rPr>
          <w:t>Victorian greenhouse gas emissions report 2020</w:t>
        </w:r>
      </w:hyperlink>
      <w:r w:rsidRPr="00597874">
        <w:t>, 2022, p</w:t>
      </w:r>
      <w:r>
        <w:t>.</w:t>
      </w:r>
      <w:r w:rsidRPr="00597874">
        <w:t xml:space="preserve">18, accessed 30 June 2023, </w:t>
      </w:r>
    </w:p>
  </w:endnote>
  <w:endnote w:id="175">
    <w:p w14:paraId="71AAFDF5" w14:textId="77777777" w:rsidR="00373ED9" w:rsidRDefault="00373ED9" w:rsidP="00373ED9">
      <w:pPr>
        <w:pStyle w:val="EndnoteText"/>
      </w:pPr>
      <w:r w:rsidRPr="00597874">
        <w:rPr>
          <w:rStyle w:val="EndnoteReference"/>
        </w:rPr>
        <w:endnoteRef/>
      </w:r>
      <w:r w:rsidRPr="00597874">
        <w:t xml:space="preserve"> Department of Environment, Land, Water and Planning, </w:t>
      </w:r>
      <w:hyperlink r:id="rId220" w:history="1">
        <w:r w:rsidRPr="00597874">
          <w:rPr>
            <w:rStyle w:val="Hyperlink"/>
            <w:i/>
          </w:rPr>
          <w:t>Victorian greenhouse gas emissions report 2020</w:t>
        </w:r>
      </w:hyperlink>
      <w:r w:rsidRPr="00597874">
        <w:rPr>
          <w:i/>
        </w:rPr>
        <w:t>,</w:t>
      </w:r>
      <w:r w:rsidRPr="00597874">
        <w:t xml:space="preserve"> 2022, p</w:t>
      </w:r>
      <w:r>
        <w:t>.</w:t>
      </w:r>
      <w:r w:rsidRPr="00597874">
        <w:t>28, accessed 30 June 2023</w:t>
      </w:r>
    </w:p>
  </w:endnote>
  <w:endnote w:id="176">
    <w:p w14:paraId="47DD8E39" w14:textId="77777777" w:rsidR="00373ED9" w:rsidRPr="001B0F62" w:rsidRDefault="00373ED9" w:rsidP="00373ED9">
      <w:pPr>
        <w:pStyle w:val="EndnoteText"/>
      </w:pPr>
      <w:r w:rsidRPr="001B0F62">
        <w:rPr>
          <w:rStyle w:val="EndnoteReference"/>
        </w:rPr>
        <w:endnoteRef/>
      </w:r>
      <w:r w:rsidRPr="001B0F62">
        <w:t xml:space="preserve"> Infrastructure Victoria, </w:t>
      </w:r>
      <w:hyperlink r:id="rId221" w:history="1">
        <w:r w:rsidRPr="001B0F62">
          <w:rPr>
            <w:rStyle w:val="Hyperlink"/>
            <w:i/>
            <w:iCs/>
          </w:rPr>
          <w:t>Victoria’s infrastructure strategy 2021</w:t>
        </w:r>
        <w:r>
          <w:rPr>
            <w:rStyle w:val="Hyperlink"/>
            <w:i/>
            <w:iCs/>
          </w:rPr>
          <w:t>–</w:t>
        </w:r>
        <w:r w:rsidRPr="001B0F62">
          <w:rPr>
            <w:rStyle w:val="Hyperlink"/>
            <w:i/>
            <w:iCs/>
          </w:rPr>
          <w:t>2051</w:t>
        </w:r>
      </w:hyperlink>
      <w:r w:rsidRPr="001B0F62">
        <w:t>, 2021, p.42, accessed 10 July 2023</w:t>
      </w:r>
      <w:r>
        <w:t>.</w:t>
      </w:r>
    </w:p>
  </w:endnote>
  <w:endnote w:id="177">
    <w:p w14:paraId="19A6020B" w14:textId="77777777" w:rsidR="00373ED9" w:rsidRDefault="00373ED9" w:rsidP="00373ED9">
      <w:pPr>
        <w:pStyle w:val="EndnoteText"/>
      </w:pPr>
      <w:r>
        <w:rPr>
          <w:rStyle w:val="EndnoteReference"/>
        </w:rPr>
        <w:endnoteRef/>
      </w:r>
      <w:r>
        <w:t xml:space="preserve"> Australian Trade and Investment Commission, </w:t>
      </w:r>
      <w:hyperlink r:id="rId222" w:history="1">
        <w:r w:rsidRPr="00CE5E4B">
          <w:rPr>
            <w:rStyle w:val="Hyperlink"/>
            <w:i/>
            <w:iCs/>
          </w:rPr>
          <w:t>National Visitor Survey results</w:t>
        </w:r>
      </w:hyperlink>
      <w:r>
        <w:t xml:space="preserve"> (website), n.d., accessed 7 August 2023.</w:t>
      </w:r>
    </w:p>
  </w:endnote>
  <w:endnote w:id="178">
    <w:p w14:paraId="10A9119A" w14:textId="77777777" w:rsidR="00373ED9" w:rsidRDefault="00373ED9" w:rsidP="00373ED9">
      <w:pPr>
        <w:pStyle w:val="EndnoteText"/>
      </w:pPr>
      <w:r>
        <w:rPr>
          <w:rStyle w:val="EndnoteReference"/>
        </w:rPr>
        <w:endnoteRef/>
      </w:r>
      <w:r>
        <w:t xml:space="preserve"> Development Victoria, </w:t>
      </w:r>
      <w:hyperlink r:id="rId223" w:history="1">
        <w:r w:rsidRPr="00CE5E4B">
          <w:rPr>
            <w:rStyle w:val="Hyperlink"/>
            <w:i/>
          </w:rPr>
          <w:t>Major milestone for Melbourne Arts Precinct Transformation</w:t>
        </w:r>
      </w:hyperlink>
      <w:r>
        <w:t xml:space="preserve"> (website), 28 April 2023,</w:t>
      </w:r>
      <w:r w:rsidDel="0026231E">
        <w:t xml:space="preserve"> </w:t>
      </w:r>
      <w:r>
        <w:t>accessed 10 July 2023.</w:t>
      </w:r>
    </w:p>
  </w:endnote>
  <w:endnote w:id="179">
    <w:p w14:paraId="4114FDDD" w14:textId="77777777" w:rsidR="00373ED9" w:rsidRDefault="00373ED9" w:rsidP="00373ED9">
      <w:pPr>
        <w:pStyle w:val="EndnoteText"/>
      </w:pPr>
      <w:r>
        <w:rPr>
          <w:rStyle w:val="EndnoteReference"/>
        </w:rPr>
        <w:endnoteRef/>
      </w:r>
      <w:r>
        <w:t xml:space="preserve"> </w:t>
      </w:r>
      <w:r w:rsidRPr="00EC4C3F">
        <w:t xml:space="preserve">Department of Treasury and Finance, </w:t>
      </w:r>
      <w:hyperlink r:id="rId224" w:anchor="budget-paper-3-service-delivery" w:history="1">
        <w:r w:rsidRPr="005260D7">
          <w:rPr>
            <w:rStyle w:val="Hyperlink"/>
            <w:i/>
            <w:iCs/>
          </w:rPr>
          <w:t>Victorian Budget  2023</w:t>
        </w:r>
        <w:r>
          <w:rPr>
            <w:rStyle w:val="Hyperlink"/>
            <w:i/>
            <w:iCs/>
          </w:rPr>
          <w:t>–</w:t>
        </w:r>
        <w:r w:rsidRPr="005260D7">
          <w:rPr>
            <w:rStyle w:val="Hyperlink"/>
            <w:i/>
            <w:iCs/>
          </w:rPr>
          <w:t>24 – Budget  Paper No. 3</w:t>
        </w:r>
      </w:hyperlink>
      <w:r w:rsidRPr="00EC4C3F">
        <w:t>, 202</w:t>
      </w:r>
      <w:r>
        <w:t>3</w:t>
      </w:r>
      <w:r w:rsidRPr="00EC4C3F">
        <w:t>, p. 7</w:t>
      </w:r>
      <w:r>
        <w:t xml:space="preserve">0 </w:t>
      </w:r>
      <w:r w:rsidRPr="004A1190">
        <w:rPr>
          <w:szCs w:val="15"/>
        </w:rPr>
        <w:t>(</w:t>
      </w:r>
      <w:hyperlink r:id="rId225" w:history="1">
        <w:r w:rsidRPr="004A1190">
          <w:rPr>
            <w:rStyle w:val="Hyperlink"/>
            <w:szCs w:val="15"/>
          </w:rPr>
          <w:t>https://s3.ap-southeast-2.amazonaws.com/budgetfiles202324.budget.vic.gov.au/2023</w:t>
        </w:r>
        <w:r>
          <w:rPr>
            <w:rStyle w:val="Hyperlink"/>
            <w:szCs w:val="15"/>
          </w:rPr>
          <w:t>–</w:t>
        </w:r>
        <w:r w:rsidRPr="004A1190">
          <w:rPr>
            <w:rStyle w:val="Hyperlink"/>
            <w:szCs w:val="15"/>
          </w:rPr>
          <w:t>24+State+Budget+-+Service+Delivery.pdf</w:t>
        </w:r>
      </w:hyperlink>
      <w:r w:rsidRPr="004A1190">
        <w:rPr>
          <w:szCs w:val="15"/>
        </w:rPr>
        <w:t>)</w:t>
      </w:r>
      <w:r>
        <w:rPr>
          <w:szCs w:val="15"/>
        </w:rPr>
        <w:t>.</w:t>
      </w:r>
    </w:p>
  </w:endnote>
  <w:endnote w:id="180">
    <w:p w14:paraId="5D5BD49C" w14:textId="77777777" w:rsidR="00373ED9" w:rsidRDefault="00373ED9" w:rsidP="00373ED9">
      <w:pPr>
        <w:pStyle w:val="EndnoteText"/>
      </w:pPr>
      <w:r>
        <w:rPr>
          <w:rStyle w:val="EndnoteReference"/>
        </w:rPr>
        <w:endnoteRef/>
      </w:r>
      <w:r>
        <w:t xml:space="preserve"> Premier of Victoria, </w:t>
      </w:r>
      <w:hyperlink r:id="rId226" w:history="1">
        <w:r w:rsidRPr="00CE5E4B">
          <w:rPr>
            <w:rStyle w:val="Hyperlink"/>
            <w:i/>
          </w:rPr>
          <w:t>Commonwealth Games costs too high at over $6 billion</w:t>
        </w:r>
      </w:hyperlink>
      <w:r>
        <w:t xml:space="preserve"> (media release), 18 July 2023, accessed 11 July.</w:t>
      </w:r>
      <w:r w:rsidDel="00065C27">
        <w:t xml:space="preserve"> </w:t>
      </w:r>
    </w:p>
  </w:endnote>
  <w:endnote w:id="181">
    <w:p w14:paraId="26F84FE5" w14:textId="77777777" w:rsidR="00373ED9" w:rsidRDefault="00373ED9" w:rsidP="00373ED9">
      <w:pPr>
        <w:pStyle w:val="EndnoteText"/>
      </w:pPr>
      <w:r>
        <w:rPr>
          <w:rStyle w:val="EndnoteReference"/>
        </w:rPr>
        <w:endnoteRef/>
      </w:r>
      <w:r>
        <w:t xml:space="preserve"> Development Victoria, </w:t>
      </w:r>
      <w:hyperlink r:id="rId227" w:history="1">
        <w:r w:rsidRPr="00091AA8">
          <w:rPr>
            <w:rStyle w:val="Hyperlink"/>
            <w:i/>
            <w:iCs/>
          </w:rPr>
          <w:t>New sports facility to deliver games legacy in Miners Rest</w:t>
        </w:r>
      </w:hyperlink>
      <w:r>
        <w:t xml:space="preserve"> (website), 10 May 2023, accessed 20 July 2023.</w:t>
      </w:r>
      <w:r w:rsidRPr="00A60608">
        <w:t> </w:t>
      </w:r>
    </w:p>
  </w:endnote>
  <w:endnote w:id="182">
    <w:p w14:paraId="1F1DDB43" w14:textId="77777777" w:rsidR="00373ED9" w:rsidRDefault="00373ED9" w:rsidP="00373ED9">
      <w:pPr>
        <w:pStyle w:val="EndnoteText"/>
      </w:pPr>
      <w:r>
        <w:rPr>
          <w:rStyle w:val="EndnoteReference"/>
        </w:rPr>
        <w:endnoteRef/>
      </w:r>
      <w:r>
        <w:t xml:space="preserve"> Development Victoria, </w:t>
      </w:r>
      <w:hyperlink r:id="rId228" w:history="1">
        <w:r w:rsidRPr="00091AA8">
          <w:rPr>
            <w:rStyle w:val="Hyperlink"/>
            <w:i/>
            <w:iCs/>
          </w:rPr>
          <w:t>Geelong a step closer to new sports venues for games</w:t>
        </w:r>
      </w:hyperlink>
      <w:r>
        <w:t xml:space="preserve"> (website), 29 March 2023, accessed 20 July 2023. </w:t>
      </w:r>
    </w:p>
  </w:endnote>
  <w:endnote w:id="183">
    <w:p w14:paraId="57714F5D" w14:textId="77777777" w:rsidR="00373ED9" w:rsidRDefault="00373ED9" w:rsidP="00373ED9">
      <w:pPr>
        <w:pStyle w:val="EndnoteText"/>
      </w:pPr>
      <w:r>
        <w:rPr>
          <w:rStyle w:val="EndnoteReference"/>
        </w:rPr>
        <w:endnoteRef/>
      </w:r>
      <w:r>
        <w:t xml:space="preserve">  Regional Development Victoria, </w:t>
      </w:r>
      <w:hyperlink r:id="rId229" w:history="1">
        <w:r w:rsidRPr="00CE5E4B">
          <w:rPr>
            <w:rStyle w:val="Hyperlink"/>
            <w:i/>
          </w:rPr>
          <w:t>Geelong City Deal</w:t>
        </w:r>
      </w:hyperlink>
      <w:r>
        <w:t xml:space="preserve"> (website), n.d., accessed 27 July 2023.</w:t>
      </w:r>
    </w:p>
  </w:endnote>
  <w:endnote w:id="184">
    <w:p w14:paraId="30FE7B34" w14:textId="77777777" w:rsidR="00373ED9" w:rsidRDefault="00373ED9" w:rsidP="00373ED9">
      <w:pPr>
        <w:pStyle w:val="EndnoteText"/>
      </w:pPr>
      <w:r>
        <w:rPr>
          <w:rStyle w:val="EndnoteReference"/>
        </w:rPr>
        <w:endnoteRef/>
      </w:r>
      <w:r>
        <w:t xml:space="preserve">  </w:t>
      </w:r>
      <w:r w:rsidRPr="00411717">
        <w:t>Revitalising Central Geelong</w:t>
      </w:r>
      <w:r>
        <w:t xml:space="preserve">, </w:t>
      </w:r>
      <w:hyperlink r:id="rId230" w:history="1">
        <w:r w:rsidRPr="00CE5E4B">
          <w:rPr>
            <w:rStyle w:val="Hyperlink"/>
            <w:i/>
          </w:rPr>
          <w:t>Laneway breakthroughs</w:t>
        </w:r>
      </w:hyperlink>
      <w:r>
        <w:t xml:space="preserve"> (website), 21 March 2023, a</w:t>
      </w:r>
      <w:r w:rsidRPr="00411717">
        <w:t>ccessed 17 July 2023</w:t>
      </w:r>
      <w:r>
        <w:t>.</w:t>
      </w:r>
    </w:p>
  </w:endnote>
  <w:endnote w:id="185">
    <w:p w14:paraId="2DC93A41" w14:textId="77777777" w:rsidR="00373ED9" w:rsidRDefault="00373ED9" w:rsidP="00373ED9">
      <w:pPr>
        <w:pStyle w:val="EndnoteText"/>
      </w:pPr>
      <w:r>
        <w:rPr>
          <w:rStyle w:val="EndnoteReference"/>
        </w:rPr>
        <w:endnoteRef/>
      </w:r>
      <w:r>
        <w:t xml:space="preserve"> </w:t>
      </w:r>
      <w:r w:rsidRPr="00D81E8C">
        <w:rPr>
          <w:rFonts w:ascii="Calibri" w:hAnsi="Calibri" w:cs="Calibri"/>
        </w:rPr>
        <w:t>Development Victoria</w:t>
      </w:r>
      <w:r>
        <w:rPr>
          <w:rFonts w:ascii="Calibri" w:hAnsi="Calibri" w:cs="Calibri"/>
        </w:rPr>
        <w:t xml:space="preserve">, </w:t>
      </w:r>
      <w:hyperlink r:id="rId231" w:history="1">
        <w:r w:rsidRPr="00CE5E4B">
          <w:rPr>
            <w:rStyle w:val="Hyperlink"/>
            <w:i/>
          </w:rPr>
          <w:t>Geelong convention and exhibition centre</w:t>
        </w:r>
      </w:hyperlink>
      <w:r>
        <w:rPr>
          <w:rFonts w:ascii="Calibri" w:hAnsi="Calibri" w:cs="Calibri"/>
        </w:rPr>
        <w:t xml:space="preserve"> (</w:t>
      </w:r>
      <w:r w:rsidRPr="00D81E8C">
        <w:rPr>
          <w:rFonts w:ascii="Calibri" w:hAnsi="Calibri" w:cs="Calibri"/>
        </w:rPr>
        <w:t>website</w:t>
      </w:r>
      <w:r>
        <w:rPr>
          <w:rFonts w:ascii="Calibri" w:hAnsi="Calibri" w:cs="Calibri"/>
        </w:rPr>
        <w:t>), n.d., accessed 17 July 2023.</w:t>
      </w:r>
    </w:p>
  </w:endnote>
  <w:endnote w:id="186">
    <w:p w14:paraId="1BCCAA94" w14:textId="77777777" w:rsidR="00373ED9" w:rsidRPr="00533D13" w:rsidRDefault="00373ED9" w:rsidP="00373ED9">
      <w:pPr>
        <w:pStyle w:val="EndnoteText"/>
      </w:pPr>
      <w:r>
        <w:rPr>
          <w:rStyle w:val="EndnoteReference"/>
        </w:rPr>
        <w:endnoteRef/>
      </w:r>
      <w:r>
        <w:t xml:space="preserve"> Development Victoria, </w:t>
      </w:r>
      <w:hyperlink r:id="rId232" w:history="1">
        <w:r w:rsidRPr="00CE5E4B">
          <w:rPr>
            <w:rStyle w:val="Hyperlink"/>
            <w:i/>
            <w:iCs/>
          </w:rPr>
          <w:t>Twelve Apostles Precinct Redevelopment</w:t>
        </w:r>
      </w:hyperlink>
      <w:r>
        <w:t>, Engage Victoria website, n.d., accessed 17 July 2023.</w:t>
      </w:r>
    </w:p>
  </w:endnote>
  <w:endnote w:id="187">
    <w:p w14:paraId="15B8B6E0" w14:textId="77777777" w:rsidR="00373ED9" w:rsidRPr="00B3439A" w:rsidRDefault="00373ED9" w:rsidP="00373ED9">
      <w:pPr>
        <w:spacing w:before="84" w:after="84" w:line="190" w:lineRule="atLeast"/>
        <w:ind w:left="340" w:hanging="340"/>
        <w:rPr>
          <w:sz w:val="15"/>
          <w:szCs w:val="15"/>
        </w:rPr>
      </w:pPr>
      <w:r w:rsidRPr="00533D13">
        <w:rPr>
          <w:rStyle w:val="EndnoteReference"/>
        </w:rPr>
        <w:endnoteRef/>
      </w:r>
      <w:r w:rsidRPr="00533D13">
        <w:t xml:space="preserve"> </w:t>
      </w:r>
      <w:r w:rsidRPr="00B3439A">
        <w:rPr>
          <w:sz w:val="15"/>
          <w:szCs w:val="15"/>
        </w:rPr>
        <w:t>Premier of Victoria</w:t>
      </w:r>
      <w:r>
        <w:rPr>
          <w:sz w:val="15"/>
          <w:szCs w:val="15"/>
        </w:rPr>
        <w:t>,</w:t>
      </w:r>
      <w:r w:rsidRPr="00B3439A">
        <w:rPr>
          <w:sz w:val="15"/>
          <w:szCs w:val="15"/>
        </w:rPr>
        <w:t xml:space="preserve"> </w:t>
      </w:r>
      <w:hyperlink r:id="rId233" w:history="1">
        <w:hyperlink r:id="rId234" w:history="1">
          <w:hyperlink r:id="rId235" w:tooltip="Queenscliff Ferry Terminal Opens" w:history="1">
            <w:r w:rsidRPr="00CE5E4B">
              <w:rPr>
                <w:rStyle w:val="Hyperlink"/>
                <w:i/>
                <w:sz w:val="15"/>
                <w:szCs w:val="15"/>
              </w:rPr>
              <w:t>Queenscliff ferry terminal opens</w:t>
            </w:r>
          </w:hyperlink>
        </w:hyperlink>
      </w:hyperlink>
      <w:r w:rsidRPr="00B3439A">
        <w:rPr>
          <w:color w:val="FF0000"/>
          <w:sz w:val="15"/>
          <w:szCs w:val="15"/>
        </w:rPr>
        <w:t xml:space="preserve"> </w:t>
      </w:r>
      <w:r w:rsidRPr="00B3439A">
        <w:rPr>
          <w:sz w:val="15"/>
          <w:szCs w:val="15"/>
        </w:rPr>
        <w:t>(media release)</w:t>
      </w:r>
      <w:r>
        <w:rPr>
          <w:sz w:val="15"/>
          <w:szCs w:val="15"/>
        </w:rPr>
        <w:t>,</w:t>
      </w:r>
      <w:r w:rsidRPr="00B3439A">
        <w:rPr>
          <w:sz w:val="15"/>
          <w:szCs w:val="15"/>
        </w:rPr>
        <w:t xml:space="preserve"> 21 April 2023, accessed 17 July 2023</w:t>
      </w:r>
      <w:r>
        <w:rPr>
          <w:sz w:val="15"/>
          <w:szCs w:val="15"/>
        </w:rPr>
        <w:t>.</w:t>
      </w:r>
    </w:p>
  </w:endnote>
  <w:endnote w:id="188">
    <w:p w14:paraId="6A4C714F" w14:textId="77777777" w:rsidR="00373ED9" w:rsidRPr="005D6A98" w:rsidRDefault="00373ED9" w:rsidP="00373ED9">
      <w:pPr>
        <w:pStyle w:val="EndnoteText"/>
      </w:pPr>
      <w:r>
        <w:rPr>
          <w:rStyle w:val="EndnoteReference"/>
        </w:rPr>
        <w:endnoteRef/>
      </w:r>
      <w:r>
        <w:t xml:space="preserve">  Development Victoria, </w:t>
      </w:r>
      <w:hyperlink r:id="rId236" w:history="1">
        <w:r w:rsidRPr="00CE5E4B">
          <w:rPr>
            <w:rStyle w:val="Hyperlink"/>
            <w:i/>
          </w:rPr>
          <w:t>Geelong Arts Centre</w:t>
        </w:r>
      </w:hyperlink>
      <w:r>
        <w:t xml:space="preserve"> (website), 26 May 2023, accessed </w:t>
      </w:r>
      <w:r w:rsidRPr="005D6A98">
        <w:t>10 July 2023</w:t>
      </w:r>
      <w:r>
        <w:t>.</w:t>
      </w:r>
    </w:p>
  </w:endnote>
  <w:endnote w:id="189">
    <w:p w14:paraId="11A3DDE9" w14:textId="77777777" w:rsidR="00373ED9" w:rsidRDefault="00373ED9" w:rsidP="00373ED9">
      <w:pPr>
        <w:pStyle w:val="EndnoteText"/>
      </w:pPr>
      <w:r>
        <w:rPr>
          <w:rStyle w:val="EndnoteReference"/>
        </w:rPr>
        <w:endnoteRef/>
      </w:r>
      <w:r>
        <w:t xml:space="preserve"> </w:t>
      </w:r>
      <w:r w:rsidRPr="00C07260">
        <w:t>Minister for Tourism, Sport and Major Events</w:t>
      </w:r>
      <w:r>
        <w:t xml:space="preserve">, </w:t>
      </w:r>
      <w:hyperlink r:id="rId237" w:history="1">
        <w:r w:rsidRPr="00CE5E4B">
          <w:rPr>
            <w:rStyle w:val="Hyperlink"/>
            <w:i/>
          </w:rPr>
          <w:t>New master plan to strengthen Victoria’s visitor economy</w:t>
        </w:r>
      </w:hyperlink>
      <w:r>
        <w:t xml:space="preserve"> (media release), 13 May 2023, accessed 9 August 2023; </w:t>
      </w:r>
      <w:r w:rsidRPr="00613DB2">
        <w:rPr>
          <w:szCs w:val="15"/>
        </w:rPr>
        <w:t>Department of Jobs, Skills, Industry and Regions,</w:t>
      </w:r>
      <w:r w:rsidRPr="00613DB2">
        <w:rPr>
          <w:i/>
          <w:iCs/>
          <w:szCs w:val="15"/>
        </w:rPr>
        <w:t xml:space="preserve"> </w:t>
      </w:r>
      <w:hyperlink r:id="rId238" w:history="1">
        <w:r>
          <w:rPr>
            <w:rStyle w:val="Hyperlink"/>
            <w:i/>
            <w:iCs/>
            <w:szCs w:val="15"/>
          </w:rPr>
          <w:t>Experience Victoria 2033: our strategic plan for a thriving visitor economy</w:t>
        </w:r>
      </w:hyperlink>
      <w:r>
        <w:rPr>
          <w:szCs w:val="15"/>
        </w:rPr>
        <w:t xml:space="preserve">, n.d., </w:t>
      </w:r>
      <w:r w:rsidRPr="00613DB2">
        <w:rPr>
          <w:szCs w:val="15"/>
        </w:rPr>
        <w:t>accessed 11 July 2023</w:t>
      </w:r>
      <w:r>
        <w:rPr>
          <w:szCs w:val="15"/>
        </w:rPr>
        <w:t>.</w:t>
      </w:r>
    </w:p>
  </w:endnote>
  <w:endnote w:id="190">
    <w:p w14:paraId="5684F0EF" w14:textId="77777777" w:rsidR="00373ED9" w:rsidRPr="00EC4C3F" w:rsidRDefault="00373ED9" w:rsidP="00373ED9">
      <w:pPr>
        <w:pStyle w:val="EndnoteText"/>
        <w:rPr>
          <w:b/>
          <w:bCs/>
        </w:rPr>
      </w:pPr>
      <w:r w:rsidRPr="00EC4C3F">
        <w:rPr>
          <w:rStyle w:val="EndnoteReference"/>
        </w:rPr>
        <w:endnoteRef/>
      </w:r>
      <w:r w:rsidRPr="00EC4C3F">
        <w:t xml:space="preserve"> Department of Jobs, </w:t>
      </w:r>
      <w:r>
        <w:t>Skills, Industry and Regions</w:t>
      </w:r>
      <w:r w:rsidRPr="00EC4C3F">
        <w:t xml:space="preserve">, </w:t>
      </w:r>
      <w:hyperlink r:id="rId239" w:history="1">
        <w:r w:rsidRPr="00E128A3">
          <w:rPr>
            <w:rStyle w:val="Hyperlink"/>
            <w:i/>
            <w:iCs/>
          </w:rPr>
          <w:t>Visitor economy recovery and reform plan</w:t>
        </w:r>
      </w:hyperlink>
      <w:r w:rsidRPr="00EC4C3F">
        <w:t>, 2021</w:t>
      </w:r>
      <w:r>
        <w:t>, accessed 11 July 2023.</w:t>
      </w:r>
    </w:p>
  </w:endnote>
  <w:endnote w:id="191">
    <w:p w14:paraId="451BF0FE" w14:textId="77777777" w:rsidR="00373ED9" w:rsidRPr="00EC4C3F" w:rsidRDefault="00373ED9" w:rsidP="00373ED9">
      <w:pPr>
        <w:pStyle w:val="EndnoteText"/>
      </w:pPr>
      <w:r w:rsidRPr="00EC4C3F">
        <w:rPr>
          <w:rStyle w:val="EndnoteReference"/>
        </w:rPr>
        <w:endnoteRef/>
      </w:r>
      <w:r w:rsidRPr="00EC4C3F">
        <w:t xml:space="preserve"> Regional Development Victoria, </w:t>
      </w:r>
      <w:hyperlink r:id="rId240" w:history="1">
        <w:r>
          <w:rPr>
            <w:rStyle w:val="Hyperlink"/>
            <w:i/>
            <w:iCs/>
          </w:rPr>
          <w:t>Regional tourism investment fund</w:t>
        </w:r>
      </w:hyperlink>
      <w:r w:rsidRPr="00EC4C3F">
        <w:t xml:space="preserve"> (website),</w:t>
      </w:r>
      <w:r>
        <w:t xml:space="preserve"> n.d., accessed 11 July 2023</w:t>
      </w:r>
      <w:r w:rsidRPr="00EC4C3F">
        <w:t>.</w:t>
      </w:r>
    </w:p>
  </w:endnote>
  <w:endnote w:id="192">
    <w:p w14:paraId="5BF916E4" w14:textId="77777777" w:rsidR="00373ED9" w:rsidRDefault="00373ED9" w:rsidP="00373ED9">
      <w:pPr>
        <w:pStyle w:val="EndnoteText"/>
      </w:pPr>
      <w:r>
        <w:rPr>
          <w:rStyle w:val="EndnoteReference"/>
        </w:rPr>
        <w:endnoteRef/>
      </w:r>
      <w:r>
        <w:t xml:space="preserve">  Minister for Tourism, Sport and Major Events, </w:t>
      </w:r>
      <w:hyperlink r:id="rId241" w:history="1">
        <w:r w:rsidRPr="00816D4A">
          <w:rPr>
            <w:rStyle w:val="Hyperlink"/>
            <w:i/>
          </w:rPr>
          <w:t>More fun in the snow for visitors to Mount Hotham</w:t>
        </w:r>
      </w:hyperlink>
      <w:r>
        <w:t xml:space="preserve"> (media release), 25 August 2022, accessed 11 July 2023.</w:t>
      </w:r>
    </w:p>
  </w:endnote>
  <w:endnote w:id="193">
    <w:p w14:paraId="7DF001C4" w14:textId="4916E813" w:rsidR="00373ED9" w:rsidRDefault="00373ED9" w:rsidP="00373ED9">
      <w:pPr>
        <w:pStyle w:val="EndnoteText"/>
      </w:pPr>
      <w:r>
        <w:rPr>
          <w:rStyle w:val="EndnoteReference"/>
        </w:rPr>
        <w:endnoteRef/>
      </w:r>
      <w:r>
        <w:t xml:space="preserve"> Minister for Tourism, Sport and Major Events, </w:t>
      </w:r>
      <w:hyperlink r:id="rId242" w:history="1">
        <w:r w:rsidRPr="00396916">
          <w:rPr>
            <w:rStyle w:val="Hyperlink"/>
          </w:rPr>
          <w:t>More visitors to soak and stay at Mornington Peninsula</w:t>
        </w:r>
      </w:hyperlink>
      <w:r>
        <w:t xml:space="preserve"> (media release), 14 October 2022, accessed 11 July 2023.</w:t>
      </w:r>
    </w:p>
  </w:endnote>
  <w:endnote w:id="194">
    <w:p w14:paraId="7B80AD57" w14:textId="77777777" w:rsidR="00373ED9" w:rsidRDefault="00373ED9" w:rsidP="00373ED9">
      <w:pPr>
        <w:pStyle w:val="EndnoteText"/>
      </w:pPr>
      <w:r>
        <w:rPr>
          <w:rStyle w:val="EndnoteReference"/>
        </w:rPr>
        <w:endnoteRef/>
      </w:r>
      <w:r>
        <w:t xml:space="preserve"> Australian Government Centre for Population, </w:t>
      </w:r>
      <w:hyperlink r:id="rId243" w:history="1">
        <w:r w:rsidRPr="00816D4A">
          <w:rPr>
            <w:rStyle w:val="Hyperlink"/>
            <w:i/>
          </w:rPr>
          <w:t>2022 Population Statement – Capital city and rest-of-state projections, 2021</w:t>
        </w:r>
        <w:r>
          <w:rPr>
            <w:rStyle w:val="Hyperlink"/>
            <w:i/>
          </w:rPr>
          <w:t>–</w:t>
        </w:r>
        <w:r w:rsidRPr="00816D4A">
          <w:rPr>
            <w:rStyle w:val="Hyperlink"/>
            <w:i/>
          </w:rPr>
          <w:t>22 to 2032</w:t>
        </w:r>
        <w:r>
          <w:rPr>
            <w:rStyle w:val="Hyperlink"/>
            <w:i/>
          </w:rPr>
          <w:t>–</w:t>
        </w:r>
        <w:r w:rsidRPr="00816D4A">
          <w:rPr>
            <w:rStyle w:val="Hyperlink"/>
            <w:i/>
          </w:rPr>
          <w:t>33</w:t>
        </w:r>
      </w:hyperlink>
      <w:r>
        <w:t>, 2022, accessed 14 August 2023.</w:t>
      </w:r>
    </w:p>
  </w:endnote>
  <w:endnote w:id="195">
    <w:p w14:paraId="1286ED73" w14:textId="77777777" w:rsidR="00373ED9" w:rsidRDefault="00373ED9" w:rsidP="00373ED9">
      <w:pPr>
        <w:pStyle w:val="EndnoteText"/>
      </w:pPr>
      <w:r>
        <w:rPr>
          <w:rStyle w:val="EndnoteReference"/>
        </w:rPr>
        <w:endnoteRef/>
      </w:r>
      <w:r>
        <w:t xml:space="preserve">Sport and Recreation Victoria, </w:t>
      </w:r>
      <w:hyperlink r:id="rId244" w:history="1">
        <w:r w:rsidRPr="00816D4A">
          <w:rPr>
            <w:rStyle w:val="Hyperlink"/>
            <w:i/>
          </w:rPr>
          <w:t>Active Victoria 2022</w:t>
        </w:r>
        <w:r>
          <w:rPr>
            <w:rStyle w:val="Hyperlink"/>
            <w:i/>
          </w:rPr>
          <w:t>–</w:t>
        </w:r>
        <w:r w:rsidRPr="00816D4A">
          <w:rPr>
            <w:rStyle w:val="Hyperlink"/>
            <w:i/>
          </w:rPr>
          <w:t>2026: A strategic framework for sport and active recreation in Victoria</w:t>
        </w:r>
      </w:hyperlink>
      <w:r>
        <w:t>, 2022,</w:t>
      </w:r>
      <w:r w:rsidDel="00552D3E">
        <w:t xml:space="preserve"> </w:t>
      </w:r>
      <w:r>
        <w:t>p. 28, accessed 14 August 2023.</w:t>
      </w:r>
    </w:p>
  </w:endnote>
  <w:endnote w:id="196">
    <w:p w14:paraId="5D501E95" w14:textId="77777777" w:rsidR="00373ED9" w:rsidRPr="00EC4C3F" w:rsidRDefault="00373ED9" w:rsidP="00373ED9">
      <w:pPr>
        <w:pStyle w:val="EndnoteText"/>
      </w:pPr>
      <w:r w:rsidRPr="00EC4C3F">
        <w:rPr>
          <w:rStyle w:val="EndnoteReference"/>
        </w:rPr>
        <w:endnoteRef/>
      </w:r>
      <w:r w:rsidRPr="00EC4C3F">
        <w:t xml:space="preserve"> </w:t>
      </w:r>
      <w:r w:rsidRPr="002811F2">
        <w:rPr>
          <w:szCs w:val="15"/>
        </w:rPr>
        <w:t xml:space="preserve">Infrastructure Victoria, </w:t>
      </w:r>
      <w:hyperlink r:id="rId245" w:history="1">
        <w:r w:rsidRPr="002811F2">
          <w:rPr>
            <w:rStyle w:val="Hyperlink"/>
            <w:i/>
            <w:iCs/>
            <w:szCs w:val="15"/>
          </w:rPr>
          <w:t>Victoria’s infrastructure strategy 2021</w:t>
        </w:r>
        <w:r>
          <w:rPr>
            <w:rStyle w:val="Hyperlink"/>
            <w:i/>
            <w:iCs/>
            <w:szCs w:val="15"/>
          </w:rPr>
          <w:t>–</w:t>
        </w:r>
        <w:r w:rsidRPr="002811F2">
          <w:rPr>
            <w:rStyle w:val="Hyperlink"/>
            <w:i/>
            <w:iCs/>
            <w:szCs w:val="15"/>
          </w:rPr>
          <w:t>2051</w:t>
        </w:r>
      </w:hyperlink>
      <w:r w:rsidRPr="002811F2">
        <w:rPr>
          <w:szCs w:val="15"/>
        </w:rPr>
        <w:t>, 2021, p</w:t>
      </w:r>
      <w:r w:rsidRPr="00EC4C3F">
        <w:t xml:space="preserve">. 204, </w:t>
      </w:r>
      <w:r>
        <w:t>accessed 14 August 2023.</w:t>
      </w:r>
    </w:p>
  </w:endnote>
  <w:endnote w:id="197">
    <w:p w14:paraId="65B210BE" w14:textId="77777777" w:rsidR="00373ED9" w:rsidRDefault="00373ED9" w:rsidP="00373ED9">
      <w:pPr>
        <w:pStyle w:val="EndnoteText"/>
      </w:pPr>
      <w:r>
        <w:rPr>
          <w:rStyle w:val="EndnoteReference"/>
        </w:rPr>
        <w:endnoteRef/>
      </w:r>
      <w:r>
        <w:t xml:space="preserve">  Local Government Victoria, </w:t>
      </w:r>
      <w:hyperlink r:id="rId246" w:history="1">
        <w:r w:rsidRPr="00816D4A">
          <w:rPr>
            <w:rStyle w:val="Hyperlink"/>
            <w:i/>
          </w:rPr>
          <w:t>Growing suburbs fund</w:t>
        </w:r>
      </w:hyperlink>
      <w:r>
        <w:t xml:space="preserve"> (website), n.d.,</w:t>
      </w:r>
      <w:r>
        <w:rPr>
          <w:color w:val="FF0000"/>
        </w:rPr>
        <w:t xml:space="preserve"> </w:t>
      </w:r>
      <w:r w:rsidRPr="0078777E">
        <w:t>accessed 18 July 2023</w:t>
      </w:r>
      <w:r>
        <w:t>.</w:t>
      </w:r>
      <w:r w:rsidRPr="0078777E">
        <w:t xml:space="preserve"> </w:t>
      </w:r>
    </w:p>
  </w:endnote>
  <w:endnote w:id="198">
    <w:p w14:paraId="7B394853" w14:textId="77777777" w:rsidR="00373ED9" w:rsidRDefault="00373ED9" w:rsidP="00373ED9">
      <w:pPr>
        <w:pStyle w:val="EndnoteText"/>
      </w:pPr>
      <w:r>
        <w:rPr>
          <w:rStyle w:val="EndnoteReference"/>
        </w:rPr>
        <w:endnoteRef/>
      </w:r>
      <w:r>
        <w:t xml:space="preserve"> Sport and Recreation Victoria, </w:t>
      </w:r>
      <w:hyperlink r:id="rId247" w:history="1">
        <w:r w:rsidRPr="00816D4A">
          <w:rPr>
            <w:rStyle w:val="Hyperlink"/>
            <w:i/>
          </w:rPr>
          <w:t>Matildas’ chase for cup glory begins at their new home</w:t>
        </w:r>
      </w:hyperlink>
      <w:r>
        <w:t xml:space="preserve"> (media release), 3 July, accessed 18 July 2023.</w:t>
      </w:r>
    </w:p>
  </w:endnote>
  <w:endnote w:id="199">
    <w:p w14:paraId="5F98894B" w14:textId="77777777" w:rsidR="00373ED9" w:rsidRPr="00EC4C3F" w:rsidRDefault="00373ED9" w:rsidP="00373ED9">
      <w:pPr>
        <w:pStyle w:val="EndnoteText"/>
      </w:pPr>
      <w:r w:rsidRPr="00EC4C3F">
        <w:rPr>
          <w:rStyle w:val="EndnoteReference"/>
        </w:rPr>
        <w:endnoteRef/>
      </w:r>
      <w:r w:rsidRPr="00EC4C3F">
        <w:t xml:space="preserve"> Sport and Recreation Victoria, </w:t>
      </w:r>
      <w:hyperlink r:id="rId248" w:history="1">
        <w:r w:rsidRPr="00816D4A">
          <w:rPr>
            <w:rStyle w:val="Hyperlink"/>
            <w:i/>
          </w:rPr>
          <w:t>Community sports infrastructure stimulus program</w:t>
        </w:r>
      </w:hyperlink>
      <w:r w:rsidRPr="00EC4C3F">
        <w:t xml:space="preserve"> (website),</w:t>
      </w:r>
      <w:r>
        <w:t xml:space="preserve"> 14 August 2023, accessed 14 August 2023.</w:t>
      </w:r>
    </w:p>
  </w:endnote>
  <w:endnote w:id="200">
    <w:p w14:paraId="79D7E6B9" w14:textId="77777777" w:rsidR="00373ED9" w:rsidRPr="00840565" w:rsidRDefault="00373ED9" w:rsidP="00373ED9">
      <w:pPr>
        <w:pStyle w:val="EndnoteText"/>
      </w:pPr>
      <w:r>
        <w:rPr>
          <w:rStyle w:val="EndnoteReference"/>
        </w:rPr>
        <w:endnoteRef/>
      </w:r>
      <w:r>
        <w:t xml:space="preserve"> Minister Community Sport, </w:t>
      </w:r>
      <w:hyperlink r:id="rId249" w:history="1">
        <w:r w:rsidRPr="00816D4A">
          <w:rPr>
            <w:rStyle w:val="Hyperlink"/>
            <w:i/>
            <w:iCs/>
          </w:rPr>
          <w:t>Truganina scores new sport precinct</w:t>
        </w:r>
      </w:hyperlink>
      <w:r>
        <w:rPr>
          <w:color w:val="FF0000"/>
        </w:rPr>
        <w:t xml:space="preserve"> </w:t>
      </w:r>
      <w:r w:rsidRPr="00840565">
        <w:t xml:space="preserve">(media release), 10 May 2023, accessed 17 July 2023 </w:t>
      </w:r>
    </w:p>
  </w:endnote>
  <w:endnote w:id="201">
    <w:p w14:paraId="6ABB374C" w14:textId="77777777" w:rsidR="00373ED9" w:rsidRDefault="00373ED9" w:rsidP="00373ED9">
      <w:pPr>
        <w:pStyle w:val="EndnoteText"/>
      </w:pPr>
      <w:r>
        <w:rPr>
          <w:rStyle w:val="EndnoteReference"/>
        </w:rPr>
        <w:endnoteRef/>
      </w:r>
      <w:r>
        <w:t xml:space="preserve"> Sport and Recreation Victoria, </w:t>
      </w:r>
      <w:hyperlink r:id="rId250" w:history="1">
        <w:r w:rsidRPr="00816D4A">
          <w:rPr>
            <w:rStyle w:val="Hyperlink"/>
            <w:i/>
          </w:rPr>
          <w:t>Lighting up sports in the eastern suburbs</w:t>
        </w:r>
      </w:hyperlink>
      <w:r>
        <w:t xml:space="preserve"> (media release), 7 September 2022,</w:t>
      </w:r>
      <w:r w:rsidDel="001F4444">
        <w:t xml:space="preserve"> </w:t>
      </w:r>
      <w:r>
        <w:t>accessed 17 July 2023.</w:t>
      </w:r>
    </w:p>
  </w:endnote>
  <w:endnote w:id="202">
    <w:p w14:paraId="2B45549F" w14:textId="77777777" w:rsidR="00373ED9" w:rsidRPr="00EC4C3F" w:rsidRDefault="00373ED9" w:rsidP="00373ED9">
      <w:pPr>
        <w:pStyle w:val="EndnoteText"/>
      </w:pPr>
      <w:r w:rsidRPr="00EC4C3F">
        <w:rPr>
          <w:rStyle w:val="EndnoteReference"/>
        </w:rPr>
        <w:endnoteRef/>
      </w:r>
      <w:r w:rsidRPr="00EC4C3F">
        <w:t xml:space="preserve"> </w:t>
      </w:r>
      <w:r>
        <w:t>Local Government Victoria</w:t>
      </w:r>
      <w:r w:rsidRPr="00EC4C3F">
        <w:t xml:space="preserve">, </w:t>
      </w:r>
      <w:hyperlink r:id="rId251" w:history="1">
        <w:r w:rsidRPr="00816D4A">
          <w:rPr>
            <w:rStyle w:val="Hyperlink"/>
            <w:i/>
            <w:iCs/>
          </w:rPr>
          <w:t>Growing suburbs fund</w:t>
        </w:r>
      </w:hyperlink>
      <w:r w:rsidRPr="00EC4C3F">
        <w:t xml:space="preserve"> (website),</w:t>
      </w:r>
      <w:r>
        <w:t xml:space="preserve"> n.d., </w:t>
      </w:r>
      <w:r w:rsidRPr="00EC4C3F">
        <w:t>accessed 10 July 202</w:t>
      </w:r>
      <w:r>
        <w:t>3</w:t>
      </w:r>
      <w:r w:rsidRPr="00EC4C3F">
        <w:t>.</w:t>
      </w:r>
    </w:p>
  </w:endnote>
  <w:endnote w:id="203">
    <w:p w14:paraId="1DCC34D3" w14:textId="77777777" w:rsidR="00373ED9" w:rsidRPr="00EC4C3F" w:rsidRDefault="00373ED9" w:rsidP="00373ED9">
      <w:pPr>
        <w:pStyle w:val="EndnoteText"/>
      </w:pPr>
      <w:r w:rsidRPr="00EC4C3F">
        <w:rPr>
          <w:rStyle w:val="EndnoteReference"/>
        </w:rPr>
        <w:endnoteRef/>
      </w:r>
      <w:r w:rsidRPr="00EC4C3F">
        <w:t xml:space="preserve"> </w:t>
      </w:r>
      <w:r w:rsidRPr="004A1190">
        <w:rPr>
          <w:szCs w:val="15"/>
        </w:rPr>
        <w:t xml:space="preserve">Department of Treasury and Finance, </w:t>
      </w:r>
      <w:hyperlink r:id="rId252" w:anchor="budget-paper-3-service-delivery" w:history="1">
        <w:r w:rsidRPr="004A1190">
          <w:rPr>
            <w:rStyle w:val="Hyperlink"/>
            <w:i/>
            <w:iCs/>
            <w:szCs w:val="15"/>
          </w:rPr>
          <w:t>Victorian Budget 2023</w:t>
        </w:r>
        <w:r>
          <w:rPr>
            <w:rStyle w:val="Hyperlink"/>
            <w:i/>
            <w:iCs/>
            <w:szCs w:val="15"/>
          </w:rPr>
          <w:t>–</w:t>
        </w:r>
        <w:r w:rsidRPr="004A1190">
          <w:rPr>
            <w:rStyle w:val="Hyperlink"/>
            <w:i/>
            <w:iCs/>
            <w:szCs w:val="15"/>
          </w:rPr>
          <w:t>24 – Budget Paper No. 3</w:t>
        </w:r>
      </w:hyperlink>
      <w:r w:rsidRPr="004A1190">
        <w:rPr>
          <w:szCs w:val="15"/>
        </w:rPr>
        <w:t>, 2023, p</w:t>
      </w:r>
      <w:r>
        <w:rPr>
          <w:szCs w:val="15"/>
        </w:rPr>
        <w:t>. 71</w:t>
      </w:r>
      <w:r w:rsidRPr="004A1190">
        <w:rPr>
          <w:szCs w:val="15"/>
        </w:rPr>
        <w:t>, accessed</w:t>
      </w:r>
      <w:r>
        <w:rPr>
          <w:szCs w:val="15"/>
        </w:rPr>
        <w:t xml:space="preserve"> 10 July 2023</w:t>
      </w:r>
      <w:r w:rsidRPr="004A1190">
        <w:rPr>
          <w:szCs w:val="15"/>
        </w:rPr>
        <w:t xml:space="preserve"> (</w:t>
      </w:r>
      <w:hyperlink r:id="rId253" w:history="1">
        <w:r w:rsidRPr="004A1190">
          <w:rPr>
            <w:rStyle w:val="Hyperlink"/>
            <w:szCs w:val="15"/>
          </w:rPr>
          <w:t>https://s3.ap-southeast-2.amazonaws.com/budgetfiles202324.budget.vic.gov.au/2023</w:t>
        </w:r>
        <w:r>
          <w:rPr>
            <w:rStyle w:val="Hyperlink"/>
            <w:szCs w:val="15"/>
          </w:rPr>
          <w:t>–</w:t>
        </w:r>
        <w:r w:rsidRPr="004A1190">
          <w:rPr>
            <w:rStyle w:val="Hyperlink"/>
            <w:szCs w:val="15"/>
          </w:rPr>
          <w:t>24+State+Budget+-+Service+Delivery.pdf</w:t>
        </w:r>
      </w:hyperlink>
      <w:r w:rsidRPr="004A1190">
        <w:rPr>
          <w:szCs w:val="15"/>
        </w:rPr>
        <w:t>)</w:t>
      </w:r>
      <w:r>
        <w:rPr>
          <w:szCs w:val="15"/>
        </w:rPr>
        <w:t>.</w:t>
      </w:r>
    </w:p>
  </w:endnote>
  <w:endnote w:id="204">
    <w:p w14:paraId="3E134D0E" w14:textId="22E3E9DB" w:rsidR="00373ED9" w:rsidRDefault="00373ED9" w:rsidP="00373ED9">
      <w:pPr>
        <w:pStyle w:val="EndnoteText"/>
      </w:pPr>
      <w:r>
        <w:rPr>
          <w:rStyle w:val="EndnoteReference"/>
        </w:rPr>
        <w:endnoteRef/>
      </w:r>
      <w:r>
        <w:t xml:space="preserve"> </w:t>
      </w:r>
      <w:r w:rsidRPr="00F62CF8">
        <w:t xml:space="preserve">Australian Bureau of Statistics, </w:t>
      </w:r>
      <w:hyperlink r:id="rId254" w:anchor="data-downloads" w:history="1">
        <w:r w:rsidRPr="00C85648">
          <w:rPr>
            <w:rStyle w:val="Hyperlink"/>
          </w:rPr>
          <w:t>Regional population by age and sex</w:t>
        </w:r>
      </w:hyperlink>
      <w:r>
        <w:t xml:space="preserve">, Data download </w:t>
      </w:r>
      <w:r w:rsidRPr="00816D4A">
        <w:rPr>
          <w:i/>
          <w:iCs/>
        </w:rPr>
        <w:t>Regional population by age and sex by LGA (ASGS2021) 20</w:t>
      </w:r>
      <w:r w:rsidR="009106D1">
        <w:rPr>
          <w:i/>
          <w:iCs/>
        </w:rPr>
        <w:t>0</w:t>
      </w:r>
      <w:r w:rsidRPr="00816D4A">
        <w:rPr>
          <w:i/>
          <w:iCs/>
        </w:rPr>
        <w:t>1 to 2021</w:t>
      </w:r>
      <w:r w:rsidRPr="00F62CF8">
        <w:t xml:space="preserve">, 30 August 2022, accessed </w:t>
      </w:r>
      <w:r>
        <w:t>17 August</w:t>
      </w:r>
      <w:r w:rsidRPr="00F62CF8">
        <w:t xml:space="preserve"> 2023.</w:t>
      </w:r>
    </w:p>
  </w:endnote>
  <w:endnote w:id="205">
    <w:p w14:paraId="057FFA17" w14:textId="77777777" w:rsidR="00373ED9" w:rsidRDefault="00373ED9" w:rsidP="00373ED9">
      <w:pPr>
        <w:pStyle w:val="EndnoteText"/>
      </w:pPr>
      <w:r>
        <w:rPr>
          <w:rStyle w:val="EndnoteReference"/>
        </w:rPr>
        <w:endnoteRef/>
      </w:r>
      <w:r>
        <w:t xml:space="preserve"> </w:t>
      </w:r>
      <w:r w:rsidRPr="00682305">
        <w:t xml:space="preserve">SGS Economics and Planning, </w:t>
      </w:r>
      <w:hyperlink r:id="rId255" w:history="1">
        <w:r w:rsidRPr="00816D4A">
          <w:rPr>
            <w:rStyle w:val="Hyperlink"/>
            <w:i/>
            <w:iCs/>
          </w:rPr>
          <w:t>Libraries work! The socio-economic value of public libraries to Victorians</w:t>
        </w:r>
      </w:hyperlink>
      <w:r w:rsidRPr="00682305">
        <w:t xml:space="preserve"> (report for State Library Victoria and Public Libraries Victoria Network), 2018</w:t>
      </w:r>
      <w:r>
        <w:t>,</w:t>
      </w:r>
      <w:r w:rsidRPr="00682305">
        <w:t xml:space="preserve"> p. 7,</w:t>
      </w:r>
      <w:r>
        <w:t xml:space="preserve"> accessed 17 August 2023.</w:t>
      </w:r>
      <w:r w:rsidRPr="00682305">
        <w:t xml:space="preserve"> </w:t>
      </w:r>
    </w:p>
  </w:endnote>
  <w:endnote w:id="206">
    <w:p w14:paraId="19A9FC54" w14:textId="77777777" w:rsidR="00373ED9" w:rsidRDefault="00373ED9" w:rsidP="00373ED9">
      <w:pPr>
        <w:pStyle w:val="EndnoteText"/>
      </w:pPr>
      <w:r>
        <w:rPr>
          <w:rStyle w:val="EndnoteReference"/>
        </w:rPr>
        <w:endnoteRef/>
      </w:r>
      <w:r>
        <w:t xml:space="preserve"> </w:t>
      </w:r>
      <w:r w:rsidRPr="00223AA5">
        <w:t>Aquatics Recreation Victoria and Life Saving Victoria</w:t>
      </w:r>
      <w:r>
        <w:t>,</w:t>
      </w:r>
      <w:r w:rsidRPr="00223AA5">
        <w:t xml:space="preserve"> </w:t>
      </w:r>
      <w:hyperlink r:id="rId256" w:history="1">
        <w:r w:rsidRPr="00816D4A">
          <w:rPr>
            <w:rStyle w:val="Hyperlink"/>
            <w:i/>
            <w:iCs/>
          </w:rPr>
          <w:t>Victorian Public Pools State of the Sector Report 2019</w:t>
        </w:r>
        <w:r>
          <w:rPr>
            <w:rStyle w:val="Hyperlink"/>
            <w:i/>
            <w:iCs/>
          </w:rPr>
          <w:t>–</w:t>
        </w:r>
        <w:r w:rsidRPr="00816D4A">
          <w:rPr>
            <w:rStyle w:val="Hyperlink"/>
            <w:i/>
            <w:iCs/>
          </w:rPr>
          <w:t>2020</w:t>
        </w:r>
      </w:hyperlink>
      <w:r w:rsidRPr="00223AA5">
        <w:t>, pp. 6</w:t>
      </w:r>
      <w:r>
        <w:t>–</w:t>
      </w:r>
      <w:r w:rsidRPr="00223AA5">
        <w:t>7</w:t>
      </w:r>
      <w:r>
        <w:t>, accessed 17 August 2023.</w:t>
      </w:r>
    </w:p>
  </w:endnote>
  <w:endnote w:id="207">
    <w:p w14:paraId="2941F04B" w14:textId="550C939E" w:rsidR="00373ED9" w:rsidRDefault="00373ED9" w:rsidP="00373ED9">
      <w:pPr>
        <w:pStyle w:val="EndnoteText"/>
      </w:pPr>
      <w:r>
        <w:rPr>
          <w:rStyle w:val="EndnoteReference"/>
        </w:rPr>
        <w:endnoteRef/>
      </w:r>
      <w:r>
        <w:t xml:space="preserve"> Infrastructure Victoria, </w:t>
      </w:r>
      <w:hyperlink r:id="rId257" w:history="1">
        <w:r w:rsidRPr="00816D4A">
          <w:rPr>
            <w:rStyle w:val="Hyperlink"/>
            <w:i/>
            <w:iCs/>
          </w:rPr>
          <w:t>Social infrastructure in Melbourne’s growth areas</w:t>
        </w:r>
      </w:hyperlink>
      <w:r>
        <w:t>, 2021, accessed 17 August 2023.</w:t>
      </w:r>
    </w:p>
  </w:endnote>
  <w:endnote w:id="208">
    <w:p w14:paraId="61AC358D" w14:textId="77777777" w:rsidR="00373ED9" w:rsidRDefault="00373ED9" w:rsidP="00373ED9">
      <w:pPr>
        <w:pStyle w:val="EndnoteText"/>
      </w:pPr>
      <w:r>
        <w:rPr>
          <w:rStyle w:val="EndnoteReference"/>
        </w:rPr>
        <w:endnoteRef/>
      </w:r>
      <w:r>
        <w:t xml:space="preserve"> The Clearinghouse for Sport, </w:t>
      </w:r>
      <w:hyperlink r:id="rId258" w:history="1">
        <w:r w:rsidRPr="00816D4A">
          <w:rPr>
            <w:rStyle w:val="Hyperlink"/>
            <w:i/>
          </w:rPr>
          <w:t>AusPlay Data Portal – overall participation: frequency of participation</w:t>
        </w:r>
      </w:hyperlink>
      <w:r>
        <w:t>, 2022, accessed 18 July 2023.</w:t>
      </w:r>
    </w:p>
  </w:endnote>
  <w:endnote w:id="209">
    <w:p w14:paraId="268F46EE" w14:textId="77777777" w:rsidR="00373ED9" w:rsidRDefault="00373ED9" w:rsidP="00373ED9">
      <w:pPr>
        <w:pStyle w:val="EndnoteText"/>
      </w:pPr>
      <w:r>
        <w:rPr>
          <w:rStyle w:val="EndnoteReference"/>
        </w:rPr>
        <w:endnoteRef/>
      </w:r>
      <w:r>
        <w:t xml:space="preserve"> The Clearinghouse for Sport, </w:t>
      </w:r>
      <w:hyperlink r:id="rId259" w:history="1">
        <w:r w:rsidRPr="00FF336B">
          <w:rPr>
            <w:rStyle w:val="Hyperlink"/>
            <w:i/>
            <w:iCs/>
          </w:rPr>
          <w:t>AusPlay Data Portal – overall participation: frequency of participation</w:t>
        </w:r>
      </w:hyperlink>
      <w:r>
        <w:t>, 2022, accessed 18 July 2023.</w:t>
      </w:r>
    </w:p>
  </w:endnote>
  <w:endnote w:id="210">
    <w:p w14:paraId="61A0D0BB" w14:textId="77777777" w:rsidR="00373ED9" w:rsidRDefault="00373ED9" w:rsidP="00373ED9">
      <w:pPr>
        <w:pStyle w:val="EndnoteText"/>
      </w:pPr>
      <w:r>
        <w:rPr>
          <w:rStyle w:val="EndnoteReference"/>
        </w:rPr>
        <w:endnoteRef/>
      </w:r>
      <w:r>
        <w:t xml:space="preserve"> Sport and Recreation Victoria, </w:t>
      </w:r>
      <w:hyperlink r:id="rId260" w:history="1">
        <w:r w:rsidRPr="00816D4A">
          <w:rPr>
            <w:rStyle w:val="Hyperlink"/>
            <w:i/>
          </w:rPr>
          <w:t>Fair access for women and girls in sport</w:t>
        </w:r>
      </w:hyperlink>
      <w:r>
        <w:t xml:space="preserve"> (media release), 8 August 2022,</w:t>
      </w:r>
      <w:r w:rsidDel="009C63C9">
        <w:t xml:space="preserve"> </w:t>
      </w:r>
      <w:r>
        <w:t>accessed 18 July 2023.</w:t>
      </w:r>
    </w:p>
  </w:endnote>
  <w:endnote w:id="211">
    <w:p w14:paraId="71747F94" w14:textId="77777777" w:rsidR="00373ED9" w:rsidRDefault="00373ED9" w:rsidP="00373ED9">
      <w:pPr>
        <w:pStyle w:val="EndnoteText"/>
      </w:pPr>
      <w:r>
        <w:rPr>
          <w:rStyle w:val="EndnoteReference"/>
        </w:rPr>
        <w:endnoteRef/>
      </w:r>
      <w:r>
        <w:t xml:space="preserve"> Sport and Recreation Victoria, </w:t>
      </w:r>
      <w:hyperlink r:id="rId261" w:history="1">
        <w:r w:rsidRPr="00FF336B">
          <w:rPr>
            <w:rStyle w:val="Hyperlink"/>
            <w:i/>
            <w:iCs/>
          </w:rPr>
          <w:t>Fair access for women and girls in sport</w:t>
        </w:r>
      </w:hyperlink>
      <w:r>
        <w:t xml:space="preserve"> (media release), 8 August 2022, accessed 18 July 2023.</w:t>
      </w:r>
    </w:p>
  </w:endnote>
  <w:endnote w:id="212">
    <w:p w14:paraId="1D4F5551" w14:textId="77777777" w:rsidR="00373ED9" w:rsidRPr="00EC4C3F" w:rsidRDefault="00373ED9" w:rsidP="00373ED9">
      <w:pPr>
        <w:pStyle w:val="EndnoteText"/>
      </w:pPr>
      <w:r w:rsidRPr="00EC4C3F">
        <w:rPr>
          <w:rStyle w:val="EndnoteReference"/>
        </w:rPr>
        <w:endnoteRef/>
      </w:r>
      <w:r w:rsidRPr="00EC4C3F">
        <w:t xml:space="preserve"> </w:t>
      </w:r>
      <w:r>
        <w:t xml:space="preserve">Sport and Recreation Victoria, </w:t>
      </w:r>
      <w:hyperlink r:id="rId262" w:history="1">
        <w:r w:rsidRPr="00816D4A">
          <w:rPr>
            <w:rStyle w:val="Hyperlink"/>
            <w:i/>
          </w:rPr>
          <w:t>2022 local sports infrastructure fund guidelines</w:t>
        </w:r>
      </w:hyperlink>
      <w:r>
        <w:t xml:space="preserve">, </w:t>
      </w:r>
      <w:r w:rsidRPr="00EC4C3F">
        <w:t xml:space="preserve"> 2022, p. 4,</w:t>
      </w:r>
      <w:r>
        <w:t xml:space="preserve"> accessed 18 July 2023.</w:t>
      </w:r>
    </w:p>
  </w:endnote>
  <w:endnote w:id="213">
    <w:p w14:paraId="0788C458" w14:textId="77777777" w:rsidR="00373ED9" w:rsidRDefault="00373ED9" w:rsidP="00373ED9">
      <w:pPr>
        <w:pStyle w:val="EndnoteText"/>
      </w:pPr>
      <w:r>
        <w:rPr>
          <w:rStyle w:val="EndnoteReference"/>
        </w:rPr>
        <w:endnoteRef/>
      </w:r>
      <w:r>
        <w:t xml:space="preserve"> Minister for Community Sport, </w:t>
      </w:r>
      <w:hyperlink r:id="rId263" w:history="1">
        <w:r w:rsidRPr="00816D4A">
          <w:rPr>
            <w:rStyle w:val="Hyperlink"/>
            <w:i/>
            <w:iCs/>
          </w:rPr>
          <w:t>Cash to Kick-Start Local Sports Infrastructure</w:t>
        </w:r>
      </w:hyperlink>
      <w:r>
        <w:t xml:space="preserve"> (media release), 25 October 2022, accessed 18 July 2023.</w:t>
      </w:r>
    </w:p>
  </w:endnote>
  <w:endnote w:id="214">
    <w:p w14:paraId="24E11520" w14:textId="77777777" w:rsidR="00373ED9" w:rsidRDefault="00373ED9" w:rsidP="00373ED9">
      <w:pPr>
        <w:pStyle w:val="EndnoteText"/>
      </w:pPr>
      <w:r>
        <w:rPr>
          <w:rStyle w:val="EndnoteReference"/>
        </w:rPr>
        <w:endnoteRef/>
      </w:r>
      <w:r>
        <w:t xml:space="preserve"> Sport and Recreation Victoria, </w:t>
      </w:r>
      <w:hyperlink r:id="rId264" w:history="1">
        <w:r w:rsidRPr="00816D4A">
          <w:rPr>
            <w:rStyle w:val="Hyperlink"/>
            <w:i/>
          </w:rPr>
          <w:t>Local sports infrastructure fund</w:t>
        </w:r>
      </w:hyperlink>
      <w:r>
        <w:t xml:space="preserve"> (website), 19 May 2022, accessed 18 July 2023.</w:t>
      </w:r>
    </w:p>
  </w:endnote>
  <w:endnote w:id="215">
    <w:p w14:paraId="69F42618" w14:textId="77777777" w:rsidR="00373ED9" w:rsidRDefault="00373ED9" w:rsidP="00373ED9">
      <w:pPr>
        <w:pStyle w:val="EndnoteText"/>
      </w:pPr>
      <w:r>
        <w:rPr>
          <w:rStyle w:val="EndnoteReference"/>
        </w:rPr>
        <w:endnoteRef/>
      </w:r>
      <w:r>
        <w:t xml:space="preserve">  </w:t>
      </w:r>
      <w:r w:rsidRPr="004A1190">
        <w:rPr>
          <w:szCs w:val="15"/>
        </w:rPr>
        <w:t>Department of Treasury</w:t>
      </w:r>
      <w:r w:rsidRPr="00B3439A">
        <w:rPr>
          <w:rFonts w:cstheme="minorHAnsi"/>
          <w:szCs w:val="15"/>
        </w:rPr>
        <w:t xml:space="preserve"> and </w:t>
      </w:r>
      <w:r w:rsidRPr="004A1190">
        <w:rPr>
          <w:szCs w:val="15"/>
        </w:rPr>
        <w:t>Finance</w:t>
      </w:r>
      <w:r>
        <w:t xml:space="preserve">, </w:t>
      </w:r>
      <w:hyperlink r:id="rId265" w:anchor="budget-paper-3-service-delivery" w:history="1">
        <w:r w:rsidRPr="004A1190">
          <w:rPr>
            <w:rStyle w:val="Hyperlink"/>
            <w:i/>
            <w:iCs/>
            <w:szCs w:val="15"/>
          </w:rPr>
          <w:t>Victorian Budget 2023</w:t>
        </w:r>
        <w:r>
          <w:rPr>
            <w:rStyle w:val="Hyperlink"/>
            <w:i/>
            <w:iCs/>
            <w:szCs w:val="15"/>
          </w:rPr>
          <w:t>–</w:t>
        </w:r>
        <w:r w:rsidRPr="004A1190">
          <w:rPr>
            <w:rStyle w:val="Hyperlink"/>
            <w:i/>
            <w:iCs/>
            <w:szCs w:val="15"/>
          </w:rPr>
          <w:t>24 – Budget Paper No. 3</w:t>
        </w:r>
      </w:hyperlink>
      <w:r w:rsidRPr="004A1190">
        <w:rPr>
          <w:szCs w:val="15"/>
        </w:rPr>
        <w:t>, 2023, p</w:t>
      </w:r>
      <w:r>
        <w:rPr>
          <w:szCs w:val="15"/>
        </w:rPr>
        <w:t>p. 70, 77</w:t>
      </w:r>
      <w:r>
        <w:t xml:space="preserve">, accessed </w:t>
      </w:r>
      <w:r>
        <w:rPr>
          <w:szCs w:val="15"/>
        </w:rPr>
        <w:t>14 August 2023</w:t>
      </w:r>
      <w:r w:rsidRPr="004A1190">
        <w:rPr>
          <w:szCs w:val="15"/>
        </w:rPr>
        <w:t xml:space="preserve"> (</w:t>
      </w:r>
      <w:hyperlink r:id="rId266" w:history="1">
        <w:r w:rsidRPr="004A1190">
          <w:rPr>
            <w:rStyle w:val="Hyperlink"/>
            <w:szCs w:val="15"/>
          </w:rPr>
          <w:t>https://s3.ap-southeast-2.amazonaws.com/budgetfiles202324.budget.vic.gov.au/2023</w:t>
        </w:r>
        <w:r>
          <w:rPr>
            <w:rStyle w:val="Hyperlink"/>
            <w:szCs w:val="15"/>
          </w:rPr>
          <w:t>–</w:t>
        </w:r>
        <w:r w:rsidRPr="004A1190">
          <w:rPr>
            <w:rStyle w:val="Hyperlink"/>
            <w:szCs w:val="15"/>
          </w:rPr>
          <w:t>24+State+Budget+-+Service+Delivery.pdf</w:t>
        </w:r>
      </w:hyperlink>
      <w:r w:rsidRPr="004A1190">
        <w:rPr>
          <w:szCs w:val="15"/>
        </w:rPr>
        <w:t>)</w:t>
      </w:r>
      <w:r>
        <w:rPr>
          <w:szCs w:val="15"/>
        </w:rPr>
        <w:t>.</w:t>
      </w:r>
    </w:p>
  </w:endnote>
  <w:endnote w:id="216">
    <w:p w14:paraId="56664CC5" w14:textId="77777777" w:rsidR="00373ED9" w:rsidRDefault="00373ED9" w:rsidP="00373ED9">
      <w:pPr>
        <w:pStyle w:val="EndnoteText"/>
      </w:pPr>
      <w:r>
        <w:rPr>
          <w:rStyle w:val="EndnoteReference"/>
        </w:rPr>
        <w:endnoteRef/>
      </w:r>
      <w:r>
        <w:t xml:space="preserve"> Minister for Community Sport, </w:t>
      </w:r>
      <w:hyperlink r:id="rId267" w:history="1">
        <w:r w:rsidRPr="00816D4A">
          <w:rPr>
            <w:rStyle w:val="Hyperlink"/>
            <w:i/>
          </w:rPr>
          <w:t>Country footy and netball clubs score more funding</w:t>
        </w:r>
      </w:hyperlink>
      <w:r>
        <w:t xml:space="preserve"> (media release), 2 June 2023, accessed 14 August 2023.</w:t>
      </w:r>
    </w:p>
  </w:endnote>
  <w:endnote w:id="217">
    <w:p w14:paraId="2D9C0A8B" w14:textId="77777777" w:rsidR="00373ED9" w:rsidRDefault="00373ED9" w:rsidP="00373ED9">
      <w:pPr>
        <w:pStyle w:val="EndnoteText"/>
      </w:pPr>
      <w:r>
        <w:rPr>
          <w:rStyle w:val="EndnoteReference"/>
        </w:rPr>
        <w:endnoteRef/>
      </w:r>
      <w:r>
        <w:t xml:space="preserve"> Sport and Recreation Victoria, </w:t>
      </w:r>
      <w:hyperlink r:id="rId268" w:history="1">
        <w:r w:rsidRPr="00816D4A">
          <w:rPr>
            <w:rStyle w:val="Hyperlink"/>
            <w:i/>
          </w:rPr>
          <w:t>World game facilities fund</w:t>
        </w:r>
      </w:hyperlink>
      <w:r>
        <w:t xml:space="preserve"> (website), 10 February 2022, accessed 14 August 2023.</w:t>
      </w:r>
    </w:p>
  </w:endnote>
  <w:endnote w:id="218">
    <w:p w14:paraId="564D3C54" w14:textId="77777777" w:rsidR="00373ED9" w:rsidRDefault="00373ED9" w:rsidP="00373ED9">
      <w:pPr>
        <w:pStyle w:val="EndnoteText"/>
      </w:pPr>
      <w:r>
        <w:rPr>
          <w:rStyle w:val="EndnoteReference"/>
        </w:rPr>
        <w:endnoteRef/>
      </w:r>
      <w:r>
        <w:t xml:space="preserve"> Minister for Tourism, Sport and Major Events, </w:t>
      </w:r>
      <w:hyperlink r:id="rId269" w:history="1">
        <w:r w:rsidRPr="00816D4A">
          <w:rPr>
            <w:rStyle w:val="Hyperlink"/>
            <w:i/>
          </w:rPr>
          <w:t>IKON Park reborn as the home of AFLW</w:t>
        </w:r>
      </w:hyperlink>
      <w:r>
        <w:t xml:space="preserve"> (media release), 15 August 2022, accessed 14 August 2023.</w:t>
      </w:r>
    </w:p>
  </w:endnote>
  <w:endnote w:id="219">
    <w:p w14:paraId="6C104771" w14:textId="77777777" w:rsidR="00373ED9" w:rsidRDefault="00373ED9" w:rsidP="00373ED9">
      <w:pPr>
        <w:pStyle w:val="EndnoteText"/>
      </w:pPr>
      <w:r w:rsidRPr="00761EDB">
        <w:rPr>
          <w:rStyle w:val="EndnoteReference"/>
        </w:rPr>
        <w:endnoteRef/>
      </w:r>
      <w:r w:rsidRPr="00761EDB">
        <w:t xml:space="preserve"> </w:t>
      </w:r>
      <w:r>
        <w:t xml:space="preserve">Minister for Tourism, Sport and Major Events, </w:t>
      </w:r>
      <w:hyperlink r:id="rId270" w:history="1">
        <w:r w:rsidRPr="00816D4A">
          <w:rPr>
            <w:rStyle w:val="Hyperlink"/>
            <w:i/>
          </w:rPr>
          <w:t>Bulldogs home revamp underway</w:t>
        </w:r>
      </w:hyperlink>
      <w:r>
        <w:t xml:space="preserve"> (media release), 16 July 2022, accessed 14 August 2023.</w:t>
      </w:r>
    </w:p>
  </w:endnote>
  <w:endnote w:id="220">
    <w:p w14:paraId="4791AD97" w14:textId="77777777" w:rsidR="00373ED9" w:rsidRDefault="00373ED9" w:rsidP="00373ED9">
      <w:pPr>
        <w:pStyle w:val="EndnoteText"/>
      </w:pPr>
      <w:r>
        <w:rPr>
          <w:rStyle w:val="EndnoteReference"/>
        </w:rPr>
        <w:endnoteRef/>
      </w:r>
      <w:r>
        <w:t xml:space="preserve"> Parks Victoria, </w:t>
      </w:r>
      <w:hyperlink r:id="rId271" w:history="1">
        <w:r w:rsidRPr="00816D4A">
          <w:rPr>
            <w:rStyle w:val="Hyperlink"/>
            <w:i/>
          </w:rPr>
          <w:t>Yarra Bend Park – Fairlea Reserve – netball courts and pavilion</w:t>
        </w:r>
      </w:hyperlink>
      <w:r>
        <w:t xml:space="preserve"> (website), n.d., accessed 14 August 2023.</w:t>
      </w:r>
    </w:p>
  </w:endnote>
  <w:endnote w:id="221">
    <w:p w14:paraId="3ABD5724" w14:textId="77777777" w:rsidR="00373ED9" w:rsidRPr="006967A4" w:rsidRDefault="00373ED9" w:rsidP="00373ED9">
      <w:pPr>
        <w:pStyle w:val="EndnoteText"/>
        <w:rPr>
          <w:szCs w:val="15"/>
        </w:rPr>
      </w:pPr>
      <w:r w:rsidRPr="006967A4">
        <w:rPr>
          <w:rStyle w:val="EndnoteReference"/>
          <w:szCs w:val="15"/>
        </w:rPr>
        <w:endnoteRef/>
      </w:r>
      <w:r w:rsidRPr="006967A4">
        <w:rPr>
          <w:szCs w:val="15"/>
        </w:rPr>
        <w:t xml:space="preserve"> KPMG, </w:t>
      </w:r>
      <w:hyperlink r:id="rId272" w:history="1">
        <w:r w:rsidRPr="002C06D2">
          <w:rPr>
            <w:rStyle w:val="Hyperlink"/>
            <w:i/>
            <w:iCs/>
            <w:szCs w:val="15"/>
          </w:rPr>
          <w:t>Rural and regional councils sustainability reform program</w:t>
        </w:r>
      </w:hyperlink>
      <w:r w:rsidRPr="006967A4">
        <w:rPr>
          <w:i/>
          <w:iCs/>
          <w:szCs w:val="15"/>
        </w:rPr>
        <w:t>,</w:t>
      </w:r>
      <w:r w:rsidRPr="006967A4">
        <w:rPr>
          <w:szCs w:val="15"/>
        </w:rPr>
        <w:t xml:space="preserve"> </w:t>
      </w:r>
      <w:r>
        <w:rPr>
          <w:szCs w:val="15"/>
        </w:rPr>
        <w:t xml:space="preserve">Local Government </w:t>
      </w:r>
      <w:r w:rsidRPr="006967A4" w:rsidDel="00DD1A98">
        <w:rPr>
          <w:szCs w:val="15"/>
        </w:rPr>
        <w:t>Victoria</w:t>
      </w:r>
      <w:r w:rsidRPr="006967A4">
        <w:rPr>
          <w:szCs w:val="15"/>
        </w:rPr>
        <w:t xml:space="preserve">, 2017, </w:t>
      </w:r>
      <w:r>
        <w:rPr>
          <w:szCs w:val="15"/>
        </w:rPr>
        <w:t>p. 28, accessed 14 August 2023.</w:t>
      </w:r>
    </w:p>
  </w:endnote>
  <w:endnote w:id="222">
    <w:p w14:paraId="0CC4DF64" w14:textId="77777777" w:rsidR="00373ED9" w:rsidRPr="006967A4" w:rsidRDefault="00373ED9" w:rsidP="00373ED9">
      <w:pPr>
        <w:pStyle w:val="EndnoteText"/>
        <w:rPr>
          <w:szCs w:val="15"/>
        </w:rPr>
      </w:pPr>
      <w:r w:rsidRPr="006967A4">
        <w:rPr>
          <w:rStyle w:val="EndnoteReference"/>
          <w:szCs w:val="15"/>
        </w:rPr>
        <w:endnoteRef/>
      </w:r>
      <w:r w:rsidRPr="006967A4">
        <w:rPr>
          <w:szCs w:val="15"/>
        </w:rPr>
        <w:t xml:space="preserve"> Victorian Auditor-General’s Office, </w:t>
      </w:r>
      <w:hyperlink r:id="rId273" w:history="1">
        <w:r w:rsidRPr="00C24C3A">
          <w:rPr>
            <w:rStyle w:val="Hyperlink"/>
            <w:i/>
            <w:iCs/>
            <w:szCs w:val="15"/>
          </w:rPr>
          <w:t>Results of 2019</w:t>
        </w:r>
        <w:r>
          <w:rPr>
            <w:rStyle w:val="Hyperlink"/>
            <w:i/>
            <w:iCs/>
            <w:szCs w:val="15"/>
          </w:rPr>
          <w:t>–</w:t>
        </w:r>
        <w:r w:rsidRPr="00C24C3A">
          <w:rPr>
            <w:rStyle w:val="Hyperlink"/>
            <w:i/>
            <w:iCs/>
            <w:szCs w:val="15"/>
          </w:rPr>
          <w:t xml:space="preserve">20 audits: Local </w:t>
        </w:r>
        <w:r w:rsidRPr="00816D4A">
          <w:rPr>
            <w:rStyle w:val="Hyperlink"/>
            <w:i/>
          </w:rPr>
          <w:t>government</w:t>
        </w:r>
      </w:hyperlink>
      <w:r w:rsidRPr="006967A4">
        <w:rPr>
          <w:szCs w:val="15"/>
        </w:rPr>
        <w:t>, March 2021, p. 26,</w:t>
      </w:r>
      <w:r>
        <w:rPr>
          <w:szCs w:val="15"/>
        </w:rPr>
        <w:t xml:space="preserve"> accessed 14 August 2023.</w:t>
      </w:r>
    </w:p>
  </w:endnote>
  <w:endnote w:id="223">
    <w:p w14:paraId="77BAB499" w14:textId="77777777" w:rsidR="00373ED9" w:rsidRPr="006967A4" w:rsidRDefault="00373ED9" w:rsidP="00373ED9">
      <w:pPr>
        <w:pStyle w:val="EndnoteText"/>
        <w:rPr>
          <w:szCs w:val="15"/>
        </w:rPr>
      </w:pPr>
      <w:r w:rsidRPr="00EC4C3F">
        <w:rPr>
          <w:rStyle w:val="EndnoteReference"/>
        </w:rPr>
        <w:endnoteRef/>
      </w:r>
      <w:r w:rsidRPr="00EC4C3F">
        <w:t xml:space="preserve"> </w:t>
      </w:r>
      <w:r w:rsidRPr="006967A4">
        <w:rPr>
          <w:szCs w:val="15"/>
        </w:rPr>
        <w:t xml:space="preserve">Department of Treasury and Finance, </w:t>
      </w:r>
      <w:hyperlink r:id="rId274" w:history="1">
        <w:r w:rsidRPr="00816D4A">
          <w:rPr>
            <w:rStyle w:val="Hyperlink"/>
            <w:i/>
          </w:rPr>
          <w:t>Departmental statements – Department of Jobs, Precincts and Regions output performance measures 2022</w:t>
        </w:r>
        <w:r>
          <w:rPr>
            <w:rStyle w:val="Hyperlink"/>
            <w:i/>
          </w:rPr>
          <w:t>–</w:t>
        </w:r>
        <w:r w:rsidRPr="00816D4A">
          <w:rPr>
            <w:rStyle w:val="Hyperlink"/>
            <w:i/>
          </w:rPr>
          <w:t>23</w:t>
        </w:r>
      </w:hyperlink>
      <w:r w:rsidRPr="006967A4">
        <w:rPr>
          <w:szCs w:val="15"/>
        </w:rPr>
        <w:t xml:space="preserve"> (website),</w:t>
      </w:r>
      <w:r>
        <w:rPr>
          <w:szCs w:val="15"/>
        </w:rPr>
        <w:t xml:space="preserve"> accessed 14 August 2023.</w:t>
      </w:r>
    </w:p>
  </w:endnote>
  <w:endnote w:id="224">
    <w:p w14:paraId="50AF5767" w14:textId="77777777" w:rsidR="00373ED9" w:rsidRPr="006967A4" w:rsidRDefault="00373ED9" w:rsidP="00373ED9">
      <w:pPr>
        <w:pStyle w:val="EndnoteText"/>
        <w:rPr>
          <w:szCs w:val="15"/>
        </w:rPr>
      </w:pPr>
      <w:r w:rsidRPr="006967A4">
        <w:rPr>
          <w:rStyle w:val="EndnoteReference"/>
          <w:szCs w:val="15"/>
        </w:rPr>
        <w:endnoteRef/>
      </w:r>
      <w:r w:rsidRPr="006967A4">
        <w:rPr>
          <w:szCs w:val="15"/>
        </w:rPr>
        <w:t xml:space="preserve"> </w:t>
      </w:r>
      <w:r>
        <w:t xml:space="preserve">Minister for Community Sport, </w:t>
      </w:r>
      <w:hyperlink r:id="rId275" w:history="1">
        <w:r w:rsidRPr="002A7C95">
          <w:rPr>
            <w:rStyle w:val="Hyperlink"/>
            <w:i/>
            <w:iCs/>
          </w:rPr>
          <w:t>Works start on new Fawkner leisure centre</w:t>
        </w:r>
      </w:hyperlink>
      <w:r>
        <w:t xml:space="preserve"> (media release), 27 April 2023, accessed 14 August 2023.</w:t>
      </w:r>
    </w:p>
  </w:endnote>
  <w:endnote w:id="225">
    <w:p w14:paraId="71B8F3FD" w14:textId="77777777" w:rsidR="00373ED9" w:rsidRPr="006967A4" w:rsidRDefault="00373ED9" w:rsidP="00373ED9">
      <w:pPr>
        <w:pStyle w:val="EndnoteText"/>
        <w:rPr>
          <w:szCs w:val="15"/>
        </w:rPr>
      </w:pPr>
      <w:r w:rsidRPr="006967A4">
        <w:rPr>
          <w:rStyle w:val="EndnoteReference"/>
          <w:szCs w:val="15"/>
        </w:rPr>
        <w:endnoteRef/>
      </w:r>
      <w:r w:rsidRPr="006967A4">
        <w:rPr>
          <w:szCs w:val="15"/>
        </w:rPr>
        <w:t xml:space="preserve"> </w:t>
      </w:r>
      <w:r>
        <w:rPr>
          <w:szCs w:val="15"/>
        </w:rPr>
        <w:t>Local Government Victoria</w:t>
      </w:r>
      <w:r w:rsidRPr="006967A4">
        <w:rPr>
          <w:szCs w:val="15"/>
        </w:rPr>
        <w:t xml:space="preserve">, </w:t>
      </w:r>
      <w:hyperlink r:id="rId276" w:history="1">
        <w:r w:rsidRPr="00816D4A">
          <w:rPr>
            <w:rStyle w:val="Hyperlink"/>
            <w:i/>
          </w:rPr>
          <w:t>Living libraries infrastructure program</w:t>
        </w:r>
      </w:hyperlink>
      <w:r w:rsidRPr="006967A4">
        <w:rPr>
          <w:szCs w:val="15"/>
        </w:rPr>
        <w:t xml:space="preserve"> (website),</w:t>
      </w:r>
      <w:r>
        <w:rPr>
          <w:szCs w:val="15"/>
        </w:rPr>
        <w:t xml:space="preserve"> n.d., </w:t>
      </w:r>
      <w:r w:rsidRPr="006967A4">
        <w:rPr>
          <w:szCs w:val="15"/>
        </w:rPr>
        <w:t>accessed 11 July 2022.</w:t>
      </w:r>
    </w:p>
  </w:endnote>
  <w:endnote w:id="226">
    <w:p w14:paraId="5F752E7D" w14:textId="77777777" w:rsidR="00373ED9" w:rsidRPr="006967A4" w:rsidRDefault="00373ED9" w:rsidP="00373ED9">
      <w:pPr>
        <w:pStyle w:val="EndnoteText"/>
        <w:rPr>
          <w:szCs w:val="15"/>
        </w:rPr>
      </w:pPr>
      <w:r w:rsidRPr="006967A4">
        <w:rPr>
          <w:rStyle w:val="EndnoteReference"/>
          <w:szCs w:val="15"/>
        </w:rPr>
        <w:endnoteRef/>
      </w:r>
      <w:r w:rsidRPr="006967A4">
        <w:rPr>
          <w:szCs w:val="15"/>
        </w:rPr>
        <w:t xml:space="preserve"> </w:t>
      </w:r>
      <w:r>
        <w:t xml:space="preserve">Minister for Local Government, </w:t>
      </w:r>
      <w:hyperlink r:id="rId277" w:history="1">
        <w:r w:rsidRPr="005A38DA">
          <w:rPr>
            <w:rStyle w:val="Hyperlink"/>
            <w:i/>
            <w:iCs/>
          </w:rPr>
          <w:t>Funding boost to deliver first-class libraries for Victorians</w:t>
        </w:r>
      </w:hyperlink>
      <w:r>
        <w:t xml:space="preserve"> (media release), 26 September 2022, accessed 14 August 2023.</w:t>
      </w:r>
    </w:p>
  </w:endnote>
  <w:endnote w:id="227">
    <w:p w14:paraId="2D855BBC" w14:textId="77777777" w:rsidR="00373ED9" w:rsidRPr="006967A4" w:rsidRDefault="00373ED9" w:rsidP="00373ED9">
      <w:pPr>
        <w:pStyle w:val="EndnoteText"/>
        <w:rPr>
          <w:szCs w:val="15"/>
        </w:rPr>
      </w:pPr>
      <w:r w:rsidRPr="006967A4">
        <w:rPr>
          <w:rStyle w:val="EndnoteReference"/>
          <w:szCs w:val="15"/>
        </w:rPr>
        <w:endnoteRef/>
      </w:r>
      <w:r w:rsidRPr="006967A4">
        <w:rPr>
          <w:szCs w:val="15"/>
        </w:rPr>
        <w:t xml:space="preserve"> </w:t>
      </w:r>
      <w:bookmarkStart w:id="63" w:name="_Hlk141199129"/>
      <w:r w:rsidRPr="006967A4">
        <w:rPr>
          <w:szCs w:val="15"/>
        </w:rPr>
        <w:t xml:space="preserve">Department of Treasury and Finance, </w:t>
      </w:r>
      <w:hyperlink r:id="rId278" w:anchor="budget-paper-3-service-delivery" w:history="1">
        <w:r w:rsidRPr="004A1190">
          <w:rPr>
            <w:rStyle w:val="Hyperlink"/>
            <w:i/>
            <w:iCs/>
            <w:szCs w:val="15"/>
          </w:rPr>
          <w:t>Victorian Budget 2023</w:t>
        </w:r>
        <w:r>
          <w:rPr>
            <w:rStyle w:val="Hyperlink"/>
            <w:i/>
            <w:iCs/>
            <w:szCs w:val="15"/>
          </w:rPr>
          <w:t>–</w:t>
        </w:r>
        <w:r w:rsidRPr="004A1190">
          <w:rPr>
            <w:rStyle w:val="Hyperlink"/>
            <w:i/>
            <w:iCs/>
            <w:szCs w:val="15"/>
          </w:rPr>
          <w:t>24 – Budget Paper No. 3</w:t>
        </w:r>
      </w:hyperlink>
      <w:bookmarkEnd w:id="63"/>
      <w:r w:rsidRPr="004A1190">
        <w:rPr>
          <w:szCs w:val="15"/>
        </w:rPr>
        <w:t>,</w:t>
      </w:r>
      <w:r w:rsidRPr="006967A4">
        <w:rPr>
          <w:szCs w:val="15"/>
        </w:rPr>
        <w:t xml:space="preserve"> 2022, pp. 82</w:t>
      </w:r>
      <w:r>
        <w:rPr>
          <w:szCs w:val="15"/>
        </w:rPr>
        <w:t>–</w:t>
      </w:r>
      <w:r w:rsidRPr="006967A4">
        <w:rPr>
          <w:szCs w:val="15"/>
        </w:rPr>
        <w:t xml:space="preserve">83, </w:t>
      </w:r>
      <w:r>
        <w:rPr>
          <w:szCs w:val="15"/>
        </w:rPr>
        <w:t>(</w:t>
      </w:r>
      <w:hyperlink r:id="rId279" w:history="1">
        <w:r w:rsidRPr="009A206D">
          <w:rPr>
            <w:rStyle w:val="Hyperlink"/>
            <w:szCs w:val="15"/>
          </w:rPr>
          <w:t>https://s3.ap-southeast-2.amazonaws.com/Budget files202223.Budget .vic.gov.au/2022</w:t>
        </w:r>
        <w:r>
          <w:rPr>
            <w:rStyle w:val="Hyperlink"/>
            <w:szCs w:val="15"/>
          </w:rPr>
          <w:t>–</w:t>
        </w:r>
        <w:r w:rsidRPr="009A206D">
          <w:rPr>
            <w:rStyle w:val="Hyperlink"/>
            <w:szCs w:val="15"/>
          </w:rPr>
          <w:t>23+State+Budget +-+Service+Delivery.pdf</w:t>
        </w:r>
      </w:hyperlink>
      <w:r>
        <w:rPr>
          <w:szCs w:val="15"/>
        </w:rPr>
        <w:t>).</w:t>
      </w:r>
    </w:p>
  </w:endnote>
  <w:endnote w:id="228">
    <w:p w14:paraId="701D0B78" w14:textId="77777777" w:rsidR="00373ED9" w:rsidRPr="006967A4" w:rsidRDefault="00373ED9" w:rsidP="00373ED9">
      <w:pPr>
        <w:pStyle w:val="EndnoteText"/>
        <w:rPr>
          <w:szCs w:val="15"/>
        </w:rPr>
      </w:pPr>
      <w:r w:rsidRPr="006967A4">
        <w:rPr>
          <w:rStyle w:val="EndnoteReference"/>
          <w:szCs w:val="15"/>
        </w:rPr>
        <w:endnoteRef/>
      </w:r>
      <w:r w:rsidRPr="006967A4">
        <w:rPr>
          <w:szCs w:val="15"/>
        </w:rPr>
        <w:t xml:space="preserve"> </w:t>
      </w:r>
      <w:r>
        <w:rPr>
          <w:szCs w:val="15"/>
        </w:rPr>
        <w:t xml:space="preserve">Department of Jobs, Skills, Industry and Regions, </w:t>
      </w:r>
      <w:hyperlink r:id="rId280" w:history="1">
        <w:r w:rsidRPr="00827F68">
          <w:rPr>
            <w:rStyle w:val="Hyperlink"/>
            <w:i/>
            <w:iCs/>
            <w:szCs w:val="15"/>
          </w:rPr>
          <w:t>Suburban Grants: Successful Projects</w:t>
        </w:r>
      </w:hyperlink>
      <w:r>
        <w:rPr>
          <w:szCs w:val="15"/>
        </w:rPr>
        <w:t xml:space="preserve"> (website), 15 May 2023, accessed 27 July 2023.</w:t>
      </w:r>
    </w:p>
  </w:endnote>
  <w:endnote w:id="229">
    <w:p w14:paraId="254DE212" w14:textId="77777777" w:rsidR="00373ED9" w:rsidRPr="006967A4" w:rsidRDefault="00373ED9" w:rsidP="00373ED9">
      <w:pPr>
        <w:spacing w:before="84" w:after="84" w:line="190" w:lineRule="atLeast"/>
        <w:ind w:left="340" w:hanging="340"/>
        <w:rPr>
          <w:sz w:val="15"/>
          <w:szCs w:val="15"/>
        </w:rPr>
      </w:pPr>
      <w:r w:rsidRPr="006967A4">
        <w:rPr>
          <w:rStyle w:val="EndnoteReference"/>
          <w:sz w:val="15"/>
          <w:szCs w:val="15"/>
        </w:rPr>
        <w:endnoteRef/>
      </w:r>
      <w:r w:rsidRPr="006967A4">
        <w:rPr>
          <w:sz w:val="15"/>
          <w:szCs w:val="15"/>
        </w:rPr>
        <w:t xml:space="preserve"> </w:t>
      </w:r>
      <w:r>
        <w:rPr>
          <w:sz w:val="15"/>
          <w:szCs w:val="15"/>
        </w:rPr>
        <w:t xml:space="preserve">Regional Development Victoria, </w:t>
      </w:r>
      <w:hyperlink r:id="rId281" w:history="1">
        <w:r w:rsidRPr="00FE3A3B">
          <w:rPr>
            <w:rStyle w:val="Hyperlink"/>
            <w:i/>
            <w:iCs/>
            <w:sz w:val="15"/>
            <w:szCs w:val="15"/>
          </w:rPr>
          <w:t>Living local regional fund</w:t>
        </w:r>
      </w:hyperlink>
      <w:r>
        <w:rPr>
          <w:sz w:val="15"/>
          <w:szCs w:val="15"/>
        </w:rPr>
        <w:t xml:space="preserve"> (website), n.d., accessed 14 August 2023.</w:t>
      </w:r>
    </w:p>
  </w:endnote>
  <w:endnote w:id="230">
    <w:p w14:paraId="37E6A089" w14:textId="77777777" w:rsidR="00373ED9" w:rsidRPr="006967A4" w:rsidRDefault="00373ED9" w:rsidP="00373ED9">
      <w:pPr>
        <w:pStyle w:val="EndnoteText"/>
        <w:rPr>
          <w:szCs w:val="15"/>
        </w:rPr>
      </w:pPr>
      <w:r w:rsidRPr="006967A4">
        <w:rPr>
          <w:rStyle w:val="EndnoteReference"/>
          <w:szCs w:val="15"/>
        </w:rPr>
        <w:endnoteRef/>
      </w:r>
      <w:r w:rsidRPr="006967A4">
        <w:rPr>
          <w:szCs w:val="15"/>
        </w:rPr>
        <w:t xml:space="preserve"> </w:t>
      </w:r>
      <w:r>
        <w:rPr>
          <w:szCs w:val="15"/>
        </w:rPr>
        <w:t xml:space="preserve">Regional Development Victoria, </w:t>
      </w:r>
      <w:hyperlink r:id="rId282" w:history="1">
        <w:r w:rsidRPr="007444D3">
          <w:rPr>
            <w:rStyle w:val="Hyperlink"/>
            <w:i/>
            <w:iCs/>
            <w:szCs w:val="15"/>
          </w:rPr>
          <w:t>Regional infrastructure fund</w:t>
        </w:r>
      </w:hyperlink>
      <w:r>
        <w:rPr>
          <w:szCs w:val="15"/>
        </w:rPr>
        <w:t xml:space="preserve"> (website), n.d., accessed 14 August 2023.</w:t>
      </w:r>
    </w:p>
  </w:endnote>
  <w:endnote w:id="231">
    <w:p w14:paraId="25A97300" w14:textId="77777777" w:rsidR="00373ED9" w:rsidRPr="006967A4" w:rsidRDefault="00373ED9" w:rsidP="00373ED9">
      <w:pPr>
        <w:pStyle w:val="EndnoteText"/>
        <w:rPr>
          <w:szCs w:val="15"/>
        </w:rPr>
      </w:pPr>
      <w:r w:rsidRPr="006967A4">
        <w:rPr>
          <w:rStyle w:val="EndnoteReference"/>
          <w:szCs w:val="15"/>
        </w:rPr>
        <w:endnoteRef/>
      </w:r>
      <w:r w:rsidRPr="006967A4">
        <w:rPr>
          <w:szCs w:val="15"/>
        </w:rPr>
        <w:t xml:space="preserve"> Department of Treasury and Finance, </w:t>
      </w:r>
      <w:hyperlink r:id="rId283" w:anchor="budget-paper-3-service-delivery" w:history="1">
        <w:r w:rsidRPr="004A1190">
          <w:rPr>
            <w:rStyle w:val="Hyperlink"/>
            <w:i/>
            <w:iCs/>
            <w:szCs w:val="15"/>
          </w:rPr>
          <w:t>Victorian Budget 2023</w:t>
        </w:r>
        <w:r>
          <w:rPr>
            <w:rStyle w:val="Hyperlink"/>
            <w:i/>
            <w:iCs/>
            <w:szCs w:val="15"/>
          </w:rPr>
          <w:t>–</w:t>
        </w:r>
        <w:r w:rsidRPr="004A1190">
          <w:rPr>
            <w:rStyle w:val="Hyperlink"/>
            <w:i/>
            <w:iCs/>
            <w:szCs w:val="15"/>
          </w:rPr>
          <w:t>24 – Budget Paper No. 3</w:t>
        </w:r>
      </w:hyperlink>
      <w:r w:rsidRPr="004A1190">
        <w:rPr>
          <w:szCs w:val="15"/>
        </w:rPr>
        <w:t>, 2023, p</w:t>
      </w:r>
      <w:r>
        <w:rPr>
          <w:szCs w:val="15"/>
        </w:rPr>
        <w:t>. 3</w:t>
      </w:r>
      <w:r w:rsidRPr="004A1190">
        <w:rPr>
          <w:szCs w:val="15"/>
        </w:rPr>
        <w:t xml:space="preserve">, accessed </w:t>
      </w:r>
      <w:r>
        <w:rPr>
          <w:szCs w:val="15"/>
        </w:rPr>
        <w:t>14 August 2023</w:t>
      </w:r>
      <w:r w:rsidRPr="004A1190">
        <w:rPr>
          <w:szCs w:val="15"/>
        </w:rPr>
        <w:t xml:space="preserve"> (</w:t>
      </w:r>
      <w:hyperlink r:id="rId284" w:history="1">
        <w:r w:rsidRPr="004A1190">
          <w:rPr>
            <w:rStyle w:val="Hyperlink"/>
            <w:szCs w:val="15"/>
          </w:rPr>
          <w:t>https://s3.ap-southeast-2.amazonaws.com/budgetfiles202324.budget.vic.gov.au/2023</w:t>
        </w:r>
        <w:r>
          <w:rPr>
            <w:rStyle w:val="Hyperlink"/>
            <w:szCs w:val="15"/>
          </w:rPr>
          <w:t>–</w:t>
        </w:r>
        <w:r w:rsidRPr="004A1190">
          <w:rPr>
            <w:rStyle w:val="Hyperlink"/>
            <w:szCs w:val="15"/>
          </w:rPr>
          <w:t>24+State+Budget+-+Service+Delivery.pdf</w:t>
        </w:r>
      </w:hyperlink>
      <w:r w:rsidRPr="004A1190">
        <w:rPr>
          <w:szCs w:val="15"/>
        </w:rPr>
        <w:t>)</w:t>
      </w:r>
      <w:r>
        <w:rPr>
          <w:szCs w:val="15"/>
        </w:rPr>
        <w:t>.</w:t>
      </w:r>
    </w:p>
  </w:endnote>
  <w:endnote w:id="232">
    <w:p w14:paraId="70AD888F" w14:textId="77777777" w:rsidR="00373ED9" w:rsidRPr="00407AFF" w:rsidRDefault="00373ED9" w:rsidP="00373ED9">
      <w:pPr>
        <w:spacing w:before="84" w:after="84" w:line="190" w:lineRule="atLeast"/>
        <w:ind w:left="340" w:hanging="340"/>
        <w:rPr>
          <w:szCs w:val="15"/>
        </w:rPr>
      </w:pPr>
      <w:r w:rsidRPr="0054061C">
        <w:rPr>
          <w:rStyle w:val="EndnoteReference"/>
          <w:sz w:val="15"/>
          <w:szCs w:val="15"/>
        </w:rPr>
        <w:endnoteRef/>
      </w:r>
      <w:r w:rsidRPr="0054061C">
        <w:rPr>
          <w:sz w:val="15"/>
          <w:szCs w:val="15"/>
        </w:rPr>
        <w:t xml:space="preserve"> Infrastructure Victoria, </w:t>
      </w:r>
      <w:hyperlink r:id="rId285" w:history="1">
        <w:r w:rsidRPr="0054061C">
          <w:rPr>
            <w:rStyle w:val="Hyperlink"/>
            <w:i/>
            <w:sz w:val="15"/>
            <w:szCs w:val="15"/>
          </w:rPr>
          <w:t>Victoria’s infrastructure strategy 2021</w:t>
        </w:r>
        <w:r>
          <w:rPr>
            <w:rStyle w:val="Hyperlink"/>
            <w:i/>
            <w:sz w:val="15"/>
            <w:szCs w:val="15"/>
          </w:rPr>
          <w:t>–</w:t>
        </w:r>
        <w:r w:rsidRPr="0054061C">
          <w:rPr>
            <w:rStyle w:val="Hyperlink"/>
            <w:i/>
            <w:sz w:val="15"/>
            <w:szCs w:val="15"/>
          </w:rPr>
          <w:t>2051</w:t>
        </w:r>
      </w:hyperlink>
      <w:r w:rsidRPr="0054061C">
        <w:rPr>
          <w:sz w:val="15"/>
          <w:szCs w:val="15"/>
        </w:rPr>
        <w:t>, 2021, p. 244, accessed 14 August 2023.</w:t>
      </w:r>
    </w:p>
  </w:endnote>
  <w:endnote w:id="233">
    <w:p w14:paraId="4C5CD3AE" w14:textId="109AFFF8" w:rsidR="00373ED9" w:rsidRPr="00017DFE" w:rsidRDefault="00373ED9" w:rsidP="00373ED9">
      <w:pPr>
        <w:pStyle w:val="EndnoteText"/>
        <w:rPr>
          <w:rStyle w:val="EndnoteReference"/>
          <w:szCs w:val="15"/>
        </w:rPr>
      </w:pPr>
      <w:r w:rsidRPr="00017DFE">
        <w:rPr>
          <w:rStyle w:val="EndnoteReference"/>
          <w:szCs w:val="15"/>
        </w:rPr>
        <w:endnoteRef/>
      </w:r>
      <w:r w:rsidRPr="00017DFE">
        <w:rPr>
          <w:rStyle w:val="EndnoteReference"/>
          <w:szCs w:val="15"/>
        </w:rPr>
        <w:t xml:space="preserve"> Department of Education and Training, </w:t>
      </w:r>
      <w:hyperlink r:id="rId286" w:history="1">
        <w:r w:rsidRPr="00017DFE">
          <w:rPr>
            <w:rStyle w:val="Hyperlink"/>
            <w:i/>
            <w:iCs/>
            <w:szCs w:val="15"/>
          </w:rPr>
          <w:t>Summary statistics for Victorian schools 2022</w:t>
        </w:r>
      </w:hyperlink>
      <w:r w:rsidRPr="00017DFE">
        <w:rPr>
          <w:rStyle w:val="EndnoteReference"/>
          <w:szCs w:val="15"/>
        </w:rPr>
        <w:t xml:space="preserve">, </w:t>
      </w:r>
      <w:r w:rsidRPr="00017DFE">
        <w:rPr>
          <w:szCs w:val="15"/>
        </w:rPr>
        <w:t xml:space="preserve">July </w:t>
      </w:r>
      <w:r w:rsidRPr="00017DFE">
        <w:rPr>
          <w:rStyle w:val="EndnoteReference"/>
          <w:szCs w:val="15"/>
        </w:rPr>
        <w:t>2022</w:t>
      </w:r>
      <w:r w:rsidRPr="00017DFE">
        <w:rPr>
          <w:szCs w:val="15"/>
        </w:rPr>
        <w:t>, accessed 14 August 2023.</w:t>
      </w:r>
    </w:p>
  </w:endnote>
  <w:endnote w:id="234">
    <w:p w14:paraId="20318C1C" w14:textId="421584A1" w:rsidR="00373ED9" w:rsidRPr="00017DFE" w:rsidRDefault="00373ED9" w:rsidP="00373ED9">
      <w:pPr>
        <w:pStyle w:val="EndnoteText"/>
        <w:rPr>
          <w:szCs w:val="15"/>
        </w:rPr>
      </w:pPr>
      <w:r w:rsidRPr="00017DFE">
        <w:rPr>
          <w:rStyle w:val="EndnoteReference"/>
          <w:rFonts w:eastAsiaTheme="majorEastAsia"/>
          <w:szCs w:val="15"/>
        </w:rPr>
        <w:endnoteRef/>
      </w:r>
      <w:r w:rsidRPr="00017DFE">
        <w:rPr>
          <w:szCs w:val="15"/>
        </w:rPr>
        <w:t xml:space="preserve"> </w:t>
      </w:r>
      <w:r w:rsidRPr="00017DFE">
        <w:rPr>
          <w:rStyle w:val="EndnoteReference"/>
          <w:szCs w:val="15"/>
        </w:rPr>
        <w:t xml:space="preserve">Department of Education and Training, </w:t>
      </w:r>
      <w:hyperlink r:id="rId287" w:history="1">
        <w:r w:rsidRPr="00017DFE">
          <w:rPr>
            <w:rStyle w:val="Hyperlink"/>
            <w:i/>
            <w:iCs/>
            <w:szCs w:val="15"/>
          </w:rPr>
          <w:t>Summary statistics for Victorian schools 2022</w:t>
        </w:r>
      </w:hyperlink>
      <w:r w:rsidRPr="00017DFE">
        <w:rPr>
          <w:rStyle w:val="EndnoteReference"/>
          <w:szCs w:val="15"/>
        </w:rPr>
        <w:t xml:space="preserve">, </w:t>
      </w:r>
      <w:r w:rsidRPr="00017DFE">
        <w:rPr>
          <w:szCs w:val="15"/>
        </w:rPr>
        <w:t xml:space="preserve">July </w:t>
      </w:r>
      <w:r w:rsidRPr="00017DFE">
        <w:rPr>
          <w:rStyle w:val="EndnoteReference"/>
          <w:szCs w:val="15"/>
        </w:rPr>
        <w:t>2022</w:t>
      </w:r>
      <w:r w:rsidRPr="00017DFE">
        <w:rPr>
          <w:szCs w:val="15"/>
        </w:rPr>
        <w:t xml:space="preserve">, accessed 14 August 2023. </w:t>
      </w:r>
    </w:p>
  </w:endnote>
  <w:endnote w:id="235">
    <w:p w14:paraId="27D8D61B" w14:textId="77777777" w:rsidR="00373ED9" w:rsidRPr="00EC4C3F" w:rsidRDefault="00373ED9" w:rsidP="00373ED9">
      <w:pPr>
        <w:pStyle w:val="EndnoteText"/>
      </w:pPr>
      <w:r w:rsidRPr="00EC4C3F">
        <w:rPr>
          <w:rStyle w:val="EndnoteReference"/>
          <w:rFonts w:eastAsiaTheme="majorEastAsia"/>
        </w:rPr>
        <w:endnoteRef/>
      </w:r>
      <w:r w:rsidRPr="00EC4C3F">
        <w:t xml:space="preserve"> Department of Treasury and Finance, </w:t>
      </w:r>
      <w:hyperlink r:id="rId288" w:history="1">
        <w:r w:rsidRPr="004A1190">
          <w:rPr>
            <w:rStyle w:val="Hyperlink"/>
            <w:i/>
            <w:iCs/>
            <w:szCs w:val="15"/>
          </w:rPr>
          <w:t xml:space="preserve">Victorian </w:t>
        </w:r>
        <w:r w:rsidRPr="004A1190">
          <w:rPr>
            <w:rStyle w:val="Hyperlink"/>
            <w:i/>
            <w:szCs w:val="15"/>
          </w:rPr>
          <w:t>infrastructure</w:t>
        </w:r>
        <w:r w:rsidRPr="004A1190">
          <w:rPr>
            <w:rStyle w:val="Hyperlink"/>
            <w:i/>
            <w:iCs/>
            <w:szCs w:val="15"/>
          </w:rPr>
          <w:t xml:space="preserve"> </w:t>
        </w:r>
        <w:r w:rsidRPr="004A1190">
          <w:rPr>
            <w:rStyle w:val="Hyperlink"/>
            <w:i/>
            <w:szCs w:val="15"/>
          </w:rPr>
          <w:t>plan</w:t>
        </w:r>
        <w:r w:rsidRPr="004A1190">
          <w:rPr>
            <w:rStyle w:val="Hyperlink"/>
            <w:i/>
            <w:iCs/>
            <w:szCs w:val="15"/>
          </w:rPr>
          <w:t xml:space="preserve"> 2021</w:t>
        </w:r>
      </w:hyperlink>
      <w:r w:rsidRPr="004A1190">
        <w:rPr>
          <w:szCs w:val="15"/>
        </w:rPr>
        <w:t>, 2021, p</w:t>
      </w:r>
      <w:r>
        <w:rPr>
          <w:szCs w:val="15"/>
        </w:rPr>
        <w:t>. 49,</w:t>
      </w:r>
      <w:r w:rsidRPr="004A1190">
        <w:rPr>
          <w:szCs w:val="15"/>
        </w:rPr>
        <w:t xml:space="preserve"> accessed</w:t>
      </w:r>
      <w:r>
        <w:rPr>
          <w:szCs w:val="15"/>
        </w:rPr>
        <w:t xml:space="preserve"> 14 August 2023.</w:t>
      </w:r>
    </w:p>
  </w:endnote>
  <w:endnote w:id="236">
    <w:p w14:paraId="449A8BAC" w14:textId="77777777" w:rsidR="00373ED9" w:rsidRDefault="00373ED9" w:rsidP="00373ED9">
      <w:pPr>
        <w:pStyle w:val="EndnoteText"/>
      </w:pPr>
      <w:r w:rsidRPr="008C0385">
        <w:rPr>
          <w:rStyle w:val="EndnoteReference"/>
        </w:rPr>
        <w:endnoteRef/>
      </w:r>
      <w:r w:rsidRPr="008C0385">
        <w:t xml:space="preserve"> </w:t>
      </w:r>
      <w:r>
        <w:t xml:space="preserve">Victorian School Building Authority, </w:t>
      </w:r>
      <w:hyperlink r:id="rId289" w:history="1">
        <w:r w:rsidRPr="00816D4A">
          <w:rPr>
            <w:rStyle w:val="Hyperlink"/>
            <w:i/>
          </w:rPr>
          <w:t>New schools</w:t>
        </w:r>
      </w:hyperlink>
      <w:r>
        <w:t xml:space="preserve"> (website), </w:t>
      </w:r>
      <w:r w:rsidRPr="008C0385">
        <w:t>May 2023, accessed 27 June 2023</w:t>
      </w:r>
      <w:r>
        <w:t>.</w:t>
      </w:r>
    </w:p>
  </w:endnote>
  <w:endnote w:id="237">
    <w:p w14:paraId="77ED125C" w14:textId="77777777" w:rsidR="00373ED9" w:rsidRPr="00EC4C3F" w:rsidRDefault="00373ED9" w:rsidP="00373ED9">
      <w:pPr>
        <w:pStyle w:val="EndnoteText"/>
      </w:pPr>
      <w:r w:rsidRPr="00BF3A25">
        <w:rPr>
          <w:rStyle w:val="EndnoteReference"/>
          <w:rFonts w:eastAsiaTheme="majorEastAsia"/>
        </w:rPr>
        <w:endnoteRef/>
      </w:r>
      <w:r w:rsidRPr="00BF3A25">
        <w:t xml:space="preserve"> Department of Treasury and Finance, </w:t>
      </w:r>
      <w:r w:rsidRPr="00BF3A25">
        <w:rPr>
          <w:i/>
          <w:iCs/>
        </w:rPr>
        <w:t xml:space="preserve">Victorian </w:t>
      </w:r>
      <w:r>
        <w:rPr>
          <w:i/>
          <w:iCs/>
        </w:rPr>
        <w:t xml:space="preserve">Budget </w:t>
      </w:r>
      <w:r w:rsidRPr="00BF3A25">
        <w:rPr>
          <w:i/>
          <w:iCs/>
        </w:rPr>
        <w:t xml:space="preserve"> 2023</w:t>
      </w:r>
      <w:r>
        <w:rPr>
          <w:i/>
          <w:iCs/>
        </w:rPr>
        <w:t>–</w:t>
      </w:r>
      <w:r w:rsidRPr="00BF3A25">
        <w:rPr>
          <w:i/>
          <w:iCs/>
        </w:rPr>
        <w:t xml:space="preserve">24 </w:t>
      </w:r>
      <w:r>
        <w:rPr>
          <w:i/>
          <w:iCs/>
        </w:rPr>
        <w:t xml:space="preserve">Budget </w:t>
      </w:r>
      <w:r w:rsidRPr="00BF3A25">
        <w:rPr>
          <w:i/>
          <w:iCs/>
        </w:rPr>
        <w:t xml:space="preserve"> Paper No. 3</w:t>
      </w:r>
      <w:r w:rsidRPr="00BF3A25">
        <w:t>, 2023, p.22,</w:t>
      </w:r>
      <w:r>
        <w:t xml:space="preserve"> </w:t>
      </w:r>
      <w:hyperlink r:id="rId290" w:history="1">
        <w:r w:rsidRPr="00BF3A25">
          <w:rPr>
            <w:rStyle w:val="Hyperlink"/>
          </w:rPr>
          <w:t>https://s3.ap-southeast-2.amazonaws.com/</w:t>
        </w:r>
        <w:r>
          <w:rPr>
            <w:rStyle w:val="Hyperlink"/>
          </w:rPr>
          <w:t xml:space="preserve">Budget </w:t>
        </w:r>
        <w:r w:rsidRPr="00BF3A25">
          <w:rPr>
            <w:rStyle w:val="Hyperlink"/>
          </w:rPr>
          <w:t>files202324.</w:t>
        </w:r>
        <w:r>
          <w:rPr>
            <w:rStyle w:val="Hyperlink"/>
          </w:rPr>
          <w:t xml:space="preserve">Budget </w:t>
        </w:r>
        <w:r w:rsidRPr="00BF3A25">
          <w:rPr>
            <w:rStyle w:val="Hyperlink"/>
          </w:rPr>
          <w:t>.vic.gov.au/2023</w:t>
        </w:r>
        <w:r>
          <w:rPr>
            <w:rStyle w:val="Hyperlink"/>
          </w:rPr>
          <w:t>–</w:t>
        </w:r>
        <w:r w:rsidRPr="00BF3A25">
          <w:rPr>
            <w:rStyle w:val="Hyperlink"/>
          </w:rPr>
          <w:t>24+State+</w:t>
        </w:r>
        <w:r>
          <w:rPr>
            <w:rStyle w:val="Hyperlink"/>
          </w:rPr>
          <w:t xml:space="preserve">Budget </w:t>
        </w:r>
        <w:r w:rsidRPr="00BF3A25">
          <w:rPr>
            <w:rStyle w:val="Hyperlink"/>
          </w:rPr>
          <w:t>+-+Service+Delivery.pdf</w:t>
        </w:r>
      </w:hyperlink>
      <w:r>
        <w:t xml:space="preserve"> </w:t>
      </w:r>
    </w:p>
  </w:endnote>
  <w:endnote w:id="238">
    <w:p w14:paraId="5CE63B32" w14:textId="77777777" w:rsidR="00373ED9" w:rsidRPr="00B83E33" w:rsidRDefault="00373ED9" w:rsidP="00373ED9">
      <w:pPr>
        <w:pStyle w:val="EndnoteText"/>
      </w:pPr>
      <w:r>
        <w:rPr>
          <w:rStyle w:val="EndnoteReference"/>
        </w:rPr>
        <w:endnoteRef/>
      </w:r>
      <w:r>
        <w:t xml:space="preserve"> Minister for Education, </w:t>
      </w:r>
      <w:hyperlink r:id="rId291" w:history="1">
        <w:r>
          <w:rPr>
            <w:rStyle w:val="Hyperlink"/>
            <w:i/>
            <w:iCs/>
          </w:rPr>
          <w:t>New primary school a step closer in Melbourne’s West</w:t>
        </w:r>
      </w:hyperlink>
      <w:r>
        <w:t xml:space="preserve"> (media release), 21 October 2023, accessed 10 August 2023.</w:t>
      </w:r>
    </w:p>
  </w:endnote>
  <w:endnote w:id="239">
    <w:p w14:paraId="0779DD09" w14:textId="77777777" w:rsidR="00373ED9" w:rsidRPr="006D666D" w:rsidRDefault="00373ED9" w:rsidP="00373ED9">
      <w:pPr>
        <w:pStyle w:val="EndnoteText"/>
      </w:pPr>
      <w:r>
        <w:rPr>
          <w:rStyle w:val="EndnoteReference"/>
        </w:rPr>
        <w:endnoteRef/>
      </w:r>
      <w:r>
        <w:t xml:space="preserve"> Minister for Education, </w:t>
      </w:r>
      <w:hyperlink r:id="rId292" w:history="1">
        <w:r w:rsidRPr="00E267AF">
          <w:rPr>
            <w:rStyle w:val="Hyperlink"/>
            <w:i/>
            <w:iCs/>
          </w:rPr>
          <w:t>Land acquired for new school in Melbourne’s outer West</w:t>
        </w:r>
      </w:hyperlink>
      <w:r>
        <w:t xml:space="preserve"> (media release), 20 March 2023, accessed 10 August 2023.</w:t>
      </w:r>
    </w:p>
  </w:endnote>
  <w:endnote w:id="240">
    <w:p w14:paraId="69215D03" w14:textId="77777777" w:rsidR="00373ED9" w:rsidRPr="00EC4C3F" w:rsidRDefault="00373ED9" w:rsidP="00373ED9">
      <w:pPr>
        <w:pStyle w:val="EndnoteText"/>
      </w:pPr>
      <w:r w:rsidRPr="00EC4C3F">
        <w:rPr>
          <w:rStyle w:val="EndnoteReference"/>
          <w:rFonts w:eastAsiaTheme="majorEastAsia"/>
        </w:rPr>
        <w:endnoteRef/>
      </w:r>
      <w:r w:rsidRPr="00EC4C3F">
        <w:t xml:space="preserve"> </w:t>
      </w:r>
      <w:r w:rsidRPr="006967A4">
        <w:rPr>
          <w:szCs w:val="15"/>
        </w:rPr>
        <w:t xml:space="preserve">Department of Treasury and Finance, </w:t>
      </w:r>
      <w:hyperlink r:id="rId293" w:anchor="budget-paper-3-service-delivery" w:history="1">
        <w:r w:rsidRPr="004A1190">
          <w:rPr>
            <w:rStyle w:val="Hyperlink"/>
            <w:i/>
            <w:iCs/>
            <w:szCs w:val="15"/>
          </w:rPr>
          <w:t>Victorian Budget 2023</w:t>
        </w:r>
        <w:r>
          <w:rPr>
            <w:rStyle w:val="Hyperlink"/>
            <w:i/>
            <w:iCs/>
            <w:szCs w:val="15"/>
          </w:rPr>
          <w:t>–</w:t>
        </w:r>
        <w:r w:rsidRPr="004A1190">
          <w:rPr>
            <w:rStyle w:val="Hyperlink"/>
            <w:i/>
            <w:iCs/>
            <w:szCs w:val="15"/>
          </w:rPr>
          <w:t>24 – Budget Paper No. 3</w:t>
        </w:r>
      </w:hyperlink>
      <w:r w:rsidRPr="004A1190">
        <w:rPr>
          <w:szCs w:val="15"/>
        </w:rPr>
        <w:t>,</w:t>
      </w:r>
      <w:r w:rsidRPr="006967A4">
        <w:rPr>
          <w:szCs w:val="15"/>
        </w:rPr>
        <w:t xml:space="preserve"> 2022, p. </w:t>
      </w:r>
      <w:r>
        <w:rPr>
          <w:szCs w:val="15"/>
        </w:rPr>
        <w:t>22</w:t>
      </w:r>
      <w:r w:rsidRPr="006967A4">
        <w:rPr>
          <w:szCs w:val="15"/>
        </w:rPr>
        <w:t xml:space="preserve">, </w:t>
      </w:r>
      <w:r>
        <w:rPr>
          <w:szCs w:val="15"/>
        </w:rPr>
        <w:t>(</w:t>
      </w:r>
      <w:hyperlink r:id="rId294" w:history="1">
        <w:r w:rsidRPr="009A206D">
          <w:rPr>
            <w:rStyle w:val="Hyperlink"/>
            <w:szCs w:val="15"/>
          </w:rPr>
          <w:t>https://s3.ap-southeast-2.amazonaws.com/Budget files202223.Budget .vic.gov.au/2022</w:t>
        </w:r>
        <w:r>
          <w:rPr>
            <w:rStyle w:val="Hyperlink"/>
            <w:szCs w:val="15"/>
          </w:rPr>
          <w:t>–</w:t>
        </w:r>
        <w:r w:rsidRPr="009A206D">
          <w:rPr>
            <w:rStyle w:val="Hyperlink"/>
            <w:szCs w:val="15"/>
          </w:rPr>
          <w:t>23+State+Budget +-+Service+Delivery.pdf</w:t>
        </w:r>
      </w:hyperlink>
      <w:r>
        <w:rPr>
          <w:szCs w:val="15"/>
        </w:rPr>
        <w:t xml:space="preserve">). </w:t>
      </w:r>
    </w:p>
  </w:endnote>
  <w:endnote w:id="241">
    <w:p w14:paraId="3FFA2584" w14:textId="50AC0424" w:rsidR="00373ED9" w:rsidRDefault="00373ED9" w:rsidP="00373ED9">
      <w:pPr>
        <w:pStyle w:val="EndnoteText"/>
      </w:pPr>
      <w:r>
        <w:rPr>
          <w:rStyle w:val="EndnoteReference"/>
        </w:rPr>
        <w:endnoteRef/>
      </w:r>
      <w:r>
        <w:t xml:space="preserve"> Victorian Government, </w:t>
      </w:r>
      <w:hyperlink r:id="rId295" w:anchor="frequently-asked-questions-faqs" w:history="1">
        <w:r w:rsidRPr="00816D4A">
          <w:rPr>
            <w:rStyle w:val="Hyperlink"/>
            <w:i/>
          </w:rPr>
          <w:t>School zones – frequently asked questions</w:t>
        </w:r>
      </w:hyperlink>
      <w:r>
        <w:t xml:space="preserve"> (website), April 2023, accessed</w:t>
      </w:r>
      <w:r w:rsidDel="00656BCB">
        <w:t xml:space="preserve"> </w:t>
      </w:r>
      <w:r>
        <w:t>4 July 2023.</w:t>
      </w:r>
    </w:p>
  </w:endnote>
  <w:endnote w:id="242">
    <w:p w14:paraId="7A7E023B" w14:textId="77777777" w:rsidR="00373ED9" w:rsidRDefault="00373ED9" w:rsidP="00373ED9">
      <w:pPr>
        <w:pStyle w:val="EndnoteText"/>
      </w:pPr>
      <w:r>
        <w:rPr>
          <w:rStyle w:val="EndnoteReference"/>
        </w:rPr>
        <w:endnoteRef/>
      </w:r>
      <w:r>
        <w:t xml:space="preserve"> </w:t>
      </w:r>
      <w:r w:rsidRPr="00555047">
        <w:t xml:space="preserve">Department of Treasury and Finance, </w:t>
      </w:r>
      <w:hyperlink r:id="rId296" w:anchor="budget-paper-3-service-delivery" w:history="1">
        <w:r w:rsidRPr="004A1190">
          <w:rPr>
            <w:rStyle w:val="Hyperlink"/>
            <w:i/>
            <w:iCs/>
            <w:szCs w:val="15"/>
          </w:rPr>
          <w:t>Victorian Budget 2023</w:t>
        </w:r>
        <w:r>
          <w:rPr>
            <w:rStyle w:val="Hyperlink"/>
            <w:i/>
            <w:iCs/>
            <w:szCs w:val="15"/>
          </w:rPr>
          <w:t>–</w:t>
        </w:r>
        <w:r w:rsidRPr="004A1190">
          <w:rPr>
            <w:rStyle w:val="Hyperlink"/>
            <w:i/>
            <w:iCs/>
            <w:szCs w:val="15"/>
          </w:rPr>
          <w:t>24 – Budget Paper No. 3</w:t>
        </w:r>
      </w:hyperlink>
      <w:r w:rsidRPr="004A1190">
        <w:rPr>
          <w:szCs w:val="15"/>
        </w:rPr>
        <w:t>,</w:t>
      </w:r>
      <w:r w:rsidRPr="006967A4">
        <w:rPr>
          <w:szCs w:val="15"/>
        </w:rPr>
        <w:t xml:space="preserve"> 2022, p. </w:t>
      </w:r>
      <w:r>
        <w:rPr>
          <w:szCs w:val="15"/>
        </w:rPr>
        <w:t>22</w:t>
      </w:r>
      <w:r w:rsidRPr="006967A4">
        <w:rPr>
          <w:szCs w:val="15"/>
        </w:rPr>
        <w:t xml:space="preserve">, </w:t>
      </w:r>
      <w:r>
        <w:rPr>
          <w:szCs w:val="15"/>
        </w:rPr>
        <w:t>accessed 14 August 2023 (</w:t>
      </w:r>
      <w:hyperlink r:id="rId297" w:history="1">
        <w:r w:rsidRPr="009A206D">
          <w:rPr>
            <w:rStyle w:val="Hyperlink"/>
            <w:szCs w:val="15"/>
          </w:rPr>
          <w:t>https://s3.ap-southeast-2.amazonaws.com/Budget files202223.Budget .vic.gov.au/2022</w:t>
        </w:r>
        <w:r>
          <w:rPr>
            <w:rStyle w:val="Hyperlink"/>
            <w:szCs w:val="15"/>
          </w:rPr>
          <w:t>–</w:t>
        </w:r>
        <w:r w:rsidRPr="009A206D">
          <w:rPr>
            <w:rStyle w:val="Hyperlink"/>
            <w:szCs w:val="15"/>
          </w:rPr>
          <w:t>23+State+Budget +-+Service+Delivery.pdf</w:t>
        </w:r>
      </w:hyperlink>
      <w:r>
        <w:rPr>
          <w:szCs w:val="15"/>
        </w:rPr>
        <w:t>).</w:t>
      </w:r>
    </w:p>
  </w:endnote>
  <w:endnote w:id="243">
    <w:p w14:paraId="4F288400" w14:textId="77777777" w:rsidR="00373ED9" w:rsidRDefault="00373ED9" w:rsidP="00373ED9">
      <w:pPr>
        <w:pStyle w:val="EndnoteText"/>
      </w:pPr>
      <w:r>
        <w:rPr>
          <w:rStyle w:val="EndnoteReference"/>
        </w:rPr>
        <w:endnoteRef/>
      </w:r>
      <w:r>
        <w:t xml:space="preserve"> Department of Land, Water, Environment and Planning, </w:t>
      </w:r>
      <w:hyperlink r:id="rId298" w:history="1">
        <w:r w:rsidRPr="00816D4A">
          <w:rPr>
            <w:rStyle w:val="Hyperlink"/>
            <w:i/>
          </w:rPr>
          <w:t>Plan Melbourne 2017–2050: metropolitan planning strategy</w:t>
        </w:r>
      </w:hyperlink>
      <w:r>
        <w:t>, 2017, p. 47, accessed 14 August 2023.</w:t>
      </w:r>
    </w:p>
  </w:endnote>
  <w:endnote w:id="244">
    <w:p w14:paraId="605CC37F" w14:textId="77777777" w:rsidR="00373ED9" w:rsidRDefault="00373ED9" w:rsidP="00373ED9">
      <w:pPr>
        <w:pStyle w:val="EndnoteText"/>
      </w:pPr>
      <w:r>
        <w:rPr>
          <w:rStyle w:val="EndnoteReference"/>
        </w:rPr>
        <w:endnoteRef/>
      </w:r>
      <w:r>
        <w:t xml:space="preserve"> Department of Education, </w:t>
      </w:r>
      <w:hyperlink r:id="rId299" w:history="1">
        <w:r w:rsidRPr="00816D4A">
          <w:rPr>
            <w:rStyle w:val="Hyperlink"/>
            <w:i/>
          </w:rPr>
          <w:t>School operations: land acquisition</w:t>
        </w:r>
      </w:hyperlink>
      <w:r>
        <w:t xml:space="preserve"> (website), 24 November 22, accessed 27 June 2023.</w:t>
      </w:r>
    </w:p>
  </w:endnote>
  <w:endnote w:id="245">
    <w:p w14:paraId="61C4D49F" w14:textId="77777777" w:rsidR="00373ED9" w:rsidRPr="00EC4C3F" w:rsidRDefault="00373ED9" w:rsidP="00373ED9">
      <w:pPr>
        <w:pStyle w:val="EndnoteText"/>
      </w:pPr>
      <w:r w:rsidRPr="00EC4C3F">
        <w:rPr>
          <w:rStyle w:val="EndnoteReference"/>
          <w:rFonts w:eastAsiaTheme="majorEastAsia"/>
        </w:rPr>
        <w:endnoteRef/>
      </w:r>
      <w:r w:rsidRPr="00EC4C3F">
        <w:t xml:space="preserve"> Infrastructure Victoria, </w:t>
      </w:r>
      <w:hyperlink r:id="rId300" w:history="1">
        <w:r w:rsidRPr="002D2A87">
          <w:rPr>
            <w:rStyle w:val="Hyperlink"/>
            <w:i/>
            <w:iCs/>
          </w:rPr>
          <w:t>Growing Together: The case for better integration of land use and infrastructure planning in established areas</w:t>
        </w:r>
      </w:hyperlink>
      <w:r w:rsidRPr="00EC4C3F">
        <w:t>, 2020, p. 4</w:t>
      </w:r>
      <w:r w:rsidRPr="00816D4A">
        <w:t>, accessed 14 August 2023.</w:t>
      </w:r>
    </w:p>
  </w:endnote>
  <w:endnote w:id="246">
    <w:p w14:paraId="571DD0C5" w14:textId="77777777" w:rsidR="00373ED9" w:rsidRPr="00EC4C3F" w:rsidRDefault="00373ED9" w:rsidP="00373ED9">
      <w:pPr>
        <w:pStyle w:val="EndnoteText"/>
      </w:pPr>
      <w:r w:rsidRPr="00EC4C3F">
        <w:rPr>
          <w:rStyle w:val="EndnoteReference"/>
          <w:rFonts w:eastAsiaTheme="majorEastAsia"/>
        </w:rPr>
        <w:endnoteRef/>
      </w:r>
      <w:r w:rsidRPr="00EC4C3F">
        <w:t xml:space="preserve"> Department of Education, </w:t>
      </w:r>
      <w:hyperlink r:id="rId301" w:history="1">
        <w:r w:rsidRPr="00816D4A">
          <w:rPr>
            <w:rStyle w:val="Hyperlink"/>
            <w:i/>
            <w:iCs/>
          </w:rPr>
          <w:t>School operations: community use of schools — community joint use agreements</w:t>
        </w:r>
      </w:hyperlink>
      <w:r w:rsidRPr="00EC4C3F">
        <w:t xml:space="preserve"> (website),</w:t>
      </w:r>
      <w:r>
        <w:t xml:space="preserve"> 16 November 2022, accessed 7 July 2023.</w:t>
      </w:r>
    </w:p>
  </w:endnote>
  <w:endnote w:id="247">
    <w:p w14:paraId="2DDEFCD2" w14:textId="77777777" w:rsidR="00373ED9" w:rsidRPr="00EC4C3F" w:rsidRDefault="00373ED9" w:rsidP="00373ED9">
      <w:pPr>
        <w:pStyle w:val="EndnoteText"/>
      </w:pPr>
      <w:r w:rsidRPr="00EC4C3F">
        <w:rPr>
          <w:rStyle w:val="EndnoteReference"/>
          <w:rFonts w:eastAsiaTheme="majorEastAsia"/>
        </w:rPr>
        <w:endnoteRef/>
      </w:r>
      <w:r w:rsidRPr="00EC4C3F">
        <w:t xml:space="preserve"> Department of Education, </w:t>
      </w:r>
      <w:hyperlink r:id="rId302" w:history="1">
        <w:r w:rsidRPr="00FF336B">
          <w:rPr>
            <w:rStyle w:val="Hyperlink"/>
            <w:i/>
            <w:iCs/>
          </w:rPr>
          <w:t>School operations: community use of schools — community joint use agreements</w:t>
        </w:r>
      </w:hyperlink>
      <w:r w:rsidRPr="00EC4C3F">
        <w:t xml:space="preserve"> (website),</w:t>
      </w:r>
      <w:r>
        <w:t xml:space="preserve"> 16 November 2022, accessed 7 July 2023.</w:t>
      </w:r>
    </w:p>
  </w:endnote>
  <w:endnote w:id="248">
    <w:p w14:paraId="5E95C34D" w14:textId="77777777" w:rsidR="00373ED9" w:rsidRDefault="00373ED9" w:rsidP="00373ED9">
      <w:pPr>
        <w:pStyle w:val="EndnoteText"/>
      </w:pPr>
      <w:r>
        <w:rPr>
          <w:rStyle w:val="EndnoteReference"/>
        </w:rPr>
        <w:endnoteRef/>
      </w:r>
      <w:r>
        <w:t xml:space="preserve"> Minister for Education, </w:t>
      </w:r>
      <w:hyperlink r:id="rId303" w:history="1">
        <w:r w:rsidRPr="00816D4A">
          <w:rPr>
            <w:rStyle w:val="Hyperlink"/>
            <w:i/>
            <w:iCs/>
          </w:rPr>
          <w:t>Support for schools to prepare for disability inclusion</w:t>
        </w:r>
      </w:hyperlink>
      <w:r>
        <w:t xml:space="preserve"> (media release), 7 September 2022, accessed 14 August 2023.</w:t>
      </w:r>
    </w:p>
  </w:endnote>
  <w:endnote w:id="249">
    <w:p w14:paraId="327257F6" w14:textId="77777777" w:rsidR="00373ED9" w:rsidRPr="00EC4C3F" w:rsidRDefault="00373ED9" w:rsidP="00373ED9">
      <w:pPr>
        <w:pStyle w:val="EndnoteText"/>
      </w:pPr>
      <w:r w:rsidRPr="00EC4C3F">
        <w:rPr>
          <w:rStyle w:val="EndnoteReference"/>
        </w:rPr>
        <w:endnoteRef/>
      </w:r>
      <w:r w:rsidRPr="00EC4C3F">
        <w:t xml:space="preserve"> Victorian School Building Authority, </w:t>
      </w:r>
      <w:hyperlink r:id="rId304" w:history="1">
        <w:r w:rsidRPr="0028003B">
          <w:rPr>
            <w:rStyle w:val="Hyperlink"/>
            <w:i/>
            <w:iCs/>
          </w:rPr>
          <w:t>Building Quality Standards Handbook</w:t>
        </w:r>
      </w:hyperlink>
      <w:r w:rsidRPr="00EC4C3F">
        <w:t>, May 202</w:t>
      </w:r>
      <w:r>
        <w:t>3</w:t>
      </w:r>
      <w:r w:rsidRPr="00EC4C3F">
        <w:t>, p</w:t>
      </w:r>
      <w:r>
        <w:t>p</w:t>
      </w:r>
      <w:r w:rsidRPr="00EC4C3F">
        <w:t>. 24</w:t>
      </w:r>
      <w:r>
        <w:t>–26</w:t>
      </w:r>
      <w:r w:rsidRPr="00EC4C3F">
        <w:t xml:space="preserve">, </w:t>
      </w:r>
      <w:r>
        <w:t>accessed 14 August 2023.</w:t>
      </w:r>
    </w:p>
  </w:endnote>
  <w:endnote w:id="250">
    <w:p w14:paraId="67A53CED" w14:textId="77777777" w:rsidR="00373ED9" w:rsidRPr="00EC4C3F" w:rsidRDefault="00373ED9" w:rsidP="00373ED9">
      <w:pPr>
        <w:pStyle w:val="EndnoteText"/>
      </w:pPr>
      <w:r w:rsidRPr="00EC4C3F">
        <w:rPr>
          <w:rStyle w:val="EndnoteReference"/>
          <w:rFonts w:eastAsiaTheme="majorEastAsia"/>
        </w:rPr>
        <w:endnoteRef/>
      </w:r>
      <w:r w:rsidRPr="00EC4C3F">
        <w:t xml:space="preserve"> Department of Education, </w:t>
      </w:r>
      <w:hyperlink r:id="rId305" w:history="1">
        <w:r w:rsidRPr="00816D4A">
          <w:rPr>
            <w:rStyle w:val="Hyperlink"/>
            <w:i/>
            <w:iCs/>
          </w:rPr>
          <w:t>Victorian Government school site selection criteria guidance</w:t>
        </w:r>
      </w:hyperlink>
      <w:r w:rsidRPr="00EC4C3F">
        <w:t xml:space="preserve"> (website), </w:t>
      </w:r>
      <w:r>
        <w:t>24 November 2022, accessed 7 July 2023.</w:t>
      </w:r>
    </w:p>
  </w:endnote>
  <w:endnote w:id="251">
    <w:p w14:paraId="491F31A7" w14:textId="50D2CE09" w:rsidR="00373ED9" w:rsidRPr="00EC4C3F" w:rsidRDefault="00373ED9" w:rsidP="00373ED9">
      <w:pPr>
        <w:pStyle w:val="EndnoteText"/>
      </w:pPr>
      <w:r w:rsidRPr="00EC4C3F">
        <w:rPr>
          <w:rStyle w:val="EndnoteReference"/>
          <w:rFonts w:eastAsiaTheme="majorEastAsia"/>
        </w:rPr>
        <w:endnoteRef/>
      </w:r>
      <w:r w:rsidRPr="00EC4C3F">
        <w:t xml:space="preserve"> </w:t>
      </w:r>
      <w:r>
        <w:t xml:space="preserve">Victorian School Building Authority, </w:t>
      </w:r>
      <w:hyperlink r:id="rId306" w:history="1">
        <w:r w:rsidRPr="00816D4A">
          <w:rPr>
            <w:rStyle w:val="Hyperlink"/>
            <w:i/>
          </w:rPr>
          <w:t>Kindergartens at or next door to schools</w:t>
        </w:r>
      </w:hyperlink>
      <w:r>
        <w:t xml:space="preserve"> (website), 4 August 2023, accessed 14 August 2023.</w:t>
      </w:r>
    </w:p>
  </w:endnote>
  <w:endnote w:id="252">
    <w:p w14:paraId="4CC0C08A" w14:textId="240A0855" w:rsidR="00373ED9" w:rsidRDefault="00373ED9" w:rsidP="00373ED9">
      <w:pPr>
        <w:pStyle w:val="EndnoteText"/>
      </w:pPr>
      <w:r>
        <w:rPr>
          <w:rStyle w:val="EndnoteReference"/>
        </w:rPr>
        <w:endnoteRef/>
      </w:r>
      <w:r>
        <w:t xml:space="preserve"> Victorian School Building Authority, </w:t>
      </w:r>
      <w:hyperlink r:id="rId307" w:history="1">
        <w:r w:rsidRPr="00FF336B">
          <w:rPr>
            <w:rStyle w:val="Hyperlink"/>
            <w:i/>
            <w:iCs/>
          </w:rPr>
          <w:t>Kindergartens at or next door to schools</w:t>
        </w:r>
      </w:hyperlink>
      <w:r>
        <w:t xml:space="preserve"> (website), 4 August 2023, accessed 14 August 2023.</w:t>
      </w:r>
    </w:p>
  </w:endnote>
  <w:endnote w:id="253">
    <w:p w14:paraId="19A7450D" w14:textId="77777777" w:rsidR="00373ED9" w:rsidRDefault="00373ED9" w:rsidP="00373ED9">
      <w:pPr>
        <w:pStyle w:val="EndnoteText"/>
      </w:pPr>
      <w:r>
        <w:rPr>
          <w:rStyle w:val="EndnoteReference"/>
        </w:rPr>
        <w:endnoteRef/>
      </w:r>
      <w:r>
        <w:t xml:space="preserve"> Victorian School Building Authority, </w:t>
      </w:r>
      <w:hyperlink r:id="rId308" w:history="1">
        <w:r w:rsidRPr="00816D4A">
          <w:rPr>
            <w:rStyle w:val="Hyperlink"/>
            <w:i/>
          </w:rPr>
          <w:t>Share facilities fund</w:t>
        </w:r>
      </w:hyperlink>
      <w:r>
        <w:t xml:space="preserve"> (website), 25 August 2022, accessed 14 August 2023.</w:t>
      </w:r>
    </w:p>
  </w:endnote>
  <w:endnote w:id="254">
    <w:p w14:paraId="4110D22C" w14:textId="77777777" w:rsidR="00373ED9" w:rsidRDefault="00373ED9" w:rsidP="00373ED9">
      <w:pPr>
        <w:pStyle w:val="EndnoteText"/>
      </w:pPr>
      <w:r>
        <w:rPr>
          <w:rStyle w:val="EndnoteReference"/>
        </w:rPr>
        <w:endnoteRef/>
      </w:r>
      <w:r>
        <w:t xml:space="preserve"> Victorian School Building Authority, </w:t>
      </w:r>
      <w:hyperlink r:id="rId309" w:history="1">
        <w:r w:rsidRPr="00816D4A">
          <w:rPr>
            <w:rStyle w:val="Hyperlink"/>
            <w:i/>
          </w:rPr>
          <w:t>Melton Secondary College</w:t>
        </w:r>
      </w:hyperlink>
      <w:r>
        <w:t xml:space="preserve"> (website), 25 May 2023, accessed 7 July 2023.</w:t>
      </w:r>
    </w:p>
  </w:endnote>
  <w:endnote w:id="255">
    <w:p w14:paraId="3D5BC2A4" w14:textId="77777777" w:rsidR="00373ED9" w:rsidRDefault="00373ED9" w:rsidP="00373ED9">
      <w:pPr>
        <w:pStyle w:val="EndnoteText"/>
      </w:pPr>
      <w:r>
        <w:rPr>
          <w:rStyle w:val="EndnoteReference"/>
        </w:rPr>
        <w:endnoteRef/>
      </w:r>
      <w:r>
        <w:t xml:space="preserve"> Victorian School Building Authority, </w:t>
      </w:r>
      <w:hyperlink r:id="rId310" w:history="1">
        <w:r w:rsidRPr="004F2C1C">
          <w:rPr>
            <w:rStyle w:val="Hyperlink"/>
            <w:i/>
            <w:iCs/>
          </w:rPr>
          <w:t>Werribee Secondary College</w:t>
        </w:r>
      </w:hyperlink>
      <w:r>
        <w:t xml:space="preserve"> (website), 20 February 2023, accessed 14 August 2023.</w:t>
      </w:r>
    </w:p>
  </w:endnote>
  <w:endnote w:id="256">
    <w:p w14:paraId="0446F38F" w14:textId="77777777" w:rsidR="00373ED9" w:rsidRPr="00EC4C3F" w:rsidRDefault="00373ED9" w:rsidP="00373ED9">
      <w:pPr>
        <w:pStyle w:val="EndnoteText"/>
      </w:pPr>
      <w:r w:rsidRPr="00EC4C3F">
        <w:rPr>
          <w:rStyle w:val="EndnoteReference"/>
        </w:rPr>
        <w:endnoteRef/>
      </w:r>
      <w:r w:rsidRPr="00EC4C3F">
        <w:t xml:space="preserve"> Royal Far West, </w:t>
      </w:r>
      <w:hyperlink r:id="rId311" w:history="1">
        <w:r w:rsidRPr="00873A79">
          <w:rPr>
            <w:rStyle w:val="Hyperlink"/>
            <w:i/>
            <w:iCs/>
          </w:rPr>
          <w:t>The invisible children: the state of country children’s health and development in Australia</w:t>
        </w:r>
      </w:hyperlink>
      <w:r w:rsidRPr="00EC4C3F">
        <w:t>, 2017, p. 2,</w:t>
      </w:r>
      <w:r>
        <w:t xml:space="preserve"> accessed 14 August 2023.</w:t>
      </w:r>
    </w:p>
  </w:endnote>
  <w:endnote w:id="257">
    <w:p w14:paraId="30FA7098" w14:textId="77777777" w:rsidR="00373ED9" w:rsidRPr="00EC4C3F" w:rsidRDefault="00373ED9" w:rsidP="00373ED9">
      <w:pPr>
        <w:pStyle w:val="EndnoteText"/>
      </w:pPr>
      <w:r w:rsidRPr="00EC4C3F">
        <w:rPr>
          <w:rStyle w:val="EndnoteReference"/>
          <w:rFonts w:eastAsiaTheme="majorEastAsia"/>
        </w:rPr>
        <w:endnoteRef/>
      </w:r>
      <w:r w:rsidRPr="00EC4C3F">
        <w:t xml:space="preserve"> </w:t>
      </w:r>
      <w:r w:rsidRPr="002811F2">
        <w:rPr>
          <w:szCs w:val="15"/>
        </w:rPr>
        <w:t xml:space="preserve">Infrastructure Victoria, </w:t>
      </w:r>
      <w:hyperlink r:id="rId312" w:history="1">
        <w:r w:rsidRPr="002811F2">
          <w:rPr>
            <w:rStyle w:val="Hyperlink"/>
            <w:i/>
            <w:iCs/>
            <w:szCs w:val="15"/>
          </w:rPr>
          <w:t>Victoria’s infrastructure strategy 2021</w:t>
        </w:r>
        <w:r>
          <w:rPr>
            <w:rStyle w:val="Hyperlink"/>
            <w:i/>
            <w:iCs/>
            <w:szCs w:val="15"/>
          </w:rPr>
          <w:t>–</w:t>
        </w:r>
        <w:r w:rsidRPr="002811F2">
          <w:rPr>
            <w:rStyle w:val="Hyperlink"/>
            <w:i/>
            <w:iCs/>
            <w:szCs w:val="15"/>
          </w:rPr>
          <w:t>2051</w:t>
        </w:r>
      </w:hyperlink>
      <w:r w:rsidRPr="002811F2">
        <w:rPr>
          <w:szCs w:val="15"/>
        </w:rPr>
        <w:t>, 2021, p</w:t>
      </w:r>
      <w:r>
        <w:rPr>
          <w:szCs w:val="15"/>
        </w:rPr>
        <w:t>.</w:t>
      </w:r>
      <w:r w:rsidRPr="002811F2">
        <w:rPr>
          <w:szCs w:val="15"/>
        </w:rPr>
        <w:t xml:space="preserve"> </w:t>
      </w:r>
      <w:r>
        <w:rPr>
          <w:szCs w:val="15"/>
        </w:rPr>
        <w:t>237</w:t>
      </w:r>
      <w:r w:rsidRPr="002811F2">
        <w:rPr>
          <w:szCs w:val="15"/>
        </w:rPr>
        <w:t xml:space="preserve">, accessed </w:t>
      </w:r>
      <w:r>
        <w:rPr>
          <w:szCs w:val="15"/>
        </w:rPr>
        <w:t xml:space="preserve">14 August 2023. </w:t>
      </w:r>
    </w:p>
  </w:endnote>
  <w:endnote w:id="258">
    <w:p w14:paraId="12BE412D" w14:textId="77777777" w:rsidR="00373ED9" w:rsidRPr="00EC4C3F" w:rsidRDefault="00373ED9" w:rsidP="00373ED9">
      <w:pPr>
        <w:pStyle w:val="EndnoteText"/>
      </w:pPr>
      <w:r w:rsidRPr="00EC4C3F">
        <w:rPr>
          <w:rStyle w:val="EndnoteReference"/>
        </w:rPr>
        <w:endnoteRef/>
      </w:r>
      <w:r w:rsidRPr="00EC4C3F">
        <w:rPr>
          <w:i/>
          <w:iCs/>
        </w:rPr>
        <w:t xml:space="preserve"> </w:t>
      </w:r>
      <w:r w:rsidRPr="004A1190">
        <w:rPr>
          <w:szCs w:val="15"/>
        </w:rPr>
        <w:t xml:space="preserve">Department of Treasury and Finance, </w:t>
      </w:r>
      <w:hyperlink r:id="rId313" w:history="1">
        <w:r w:rsidRPr="004A1190">
          <w:rPr>
            <w:rStyle w:val="Hyperlink"/>
            <w:i/>
            <w:iCs/>
            <w:szCs w:val="15"/>
          </w:rPr>
          <w:t>Victorian infrastructure plan 2021</w:t>
        </w:r>
      </w:hyperlink>
      <w:r w:rsidRPr="004A1190">
        <w:rPr>
          <w:szCs w:val="15"/>
        </w:rPr>
        <w:t>, 2021, p</w:t>
      </w:r>
      <w:r>
        <w:rPr>
          <w:szCs w:val="15"/>
        </w:rPr>
        <w:t>. 47</w:t>
      </w:r>
      <w:r w:rsidRPr="004A1190">
        <w:rPr>
          <w:szCs w:val="15"/>
        </w:rPr>
        <w:t xml:space="preserve">, accessed </w:t>
      </w:r>
      <w:r>
        <w:rPr>
          <w:szCs w:val="15"/>
        </w:rPr>
        <w:t>14 August 2023.</w:t>
      </w:r>
    </w:p>
  </w:endnote>
  <w:endnote w:id="259">
    <w:p w14:paraId="27D7198A" w14:textId="77777777" w:rsidR="00373ED9" w:rsidRPr="008760F8" w:rsidRDefault="00373ED9" w:rsidP="00373ED9">
      <w:pPr>
        <w:pStyle w:val="EndnoteText"/>
        <w:rPr>
          <w:szCs w:val="15"/>
        </w:rPr>
      </w:pPr>
      <w:r>
        <w:rPr>
          <w:rStyle w:val="EndnoteReference"/>
        </w:rPr>
        <w:endnoteRef/>
      </w:r>
      <w:r>
        <w:t xml:space="preserve">  </w:t>
      </w:r>
      <w:r w:rsidRPr="008760F8">
        <w:rPr>
          <w:szCs w:val="15"/>
        </w:rPr>
        <w:t xml:space="preserve">Department of Education </w:t>
      </w:r>
      <w:r>
        <w:rPr>
          <w:szCs w:val="15"/>
        </w:rPr>
        <w:t>and Training,</w:t>
      </w:r>
      <w:r w:rsidRPr="008760F8">
        <w:rPr>
          <w:szCs w:val="15"/>
        </w:rPr>
        <w:t xml:space="preserve"> </w:t>
      </w:r>
      <w:hyperlink r:id="rId314" w:history="1">
        <w:r w:rsidRPr="00816D4A">
          <w:rPr>
            <w:rStyle w:val="Hyperlink"/>
            <w:i/>
          </w:rPr>
          <w:t>Department of Education and Training strategic plan 2022</w:t>
        </w:r>
        <w:r>
          <w:rPr>
            <w:rStyle w:val="Hyperlink"/>
            <w:i/>
          </w:rPr>
          <w:t>–</w:t>
        </w:r>
        <w:r w:rsidRPr="00816D4A">
          <w:rPr>
            <w:rStyle w:val="Hyperlink"/>
            <w:i/>
          </w:rPr>
          <w:t>26</w:t>
        </w:r>
      </w:hyperlink>
      <w:r>
        <w:rPr>
          <w:szCs w:val="15"/>
        </w:rPr>
        <w:t>, 2022, p. 12, accessed 2 July 2023.</w:t>
      </w:r>
    </w:p>
  </w:endnote>
  <w:endnote w:id="260">
    <w:p w14:paraId="01FB93D6" w14:textId="77777777" w:rsidR="00373ED9" w:rsidRPr="00734861" w:rsidRDefault="00373ED9" w:rsidP="00373ED9">
      <w:pPr>
        <w:pStyle w:val="EndnoteText"/>
        <w:rPr>
          <w:szCs w:val="15"/>
        </w:rPr>
      </w:pPr>
      <w:r w:rsidRPr="008760F8">
        <w:rPr>
          <w:rStyle w:val="EndnoteReference"/>
          <w:szCs w:val="15"/>
        </w:rPr>
        <w:endnoteRef/>
      </w:r>
      <w:r w:rsidRPr="008760F8">
        <w:rPr>
          <w:szCs w:val="15"/>
        </w:rPr>
        <w:t xml:space="preserve"> Department of Education</w:t>
      </w:r>
      <w:r>
        <w:rPr>
          <w:szCs w:val="15"/>
        </w:rPr>
        <w:t xml:space="preserve">, </w:t>
      </w:r>
      <w:hyperlink r:id="rId315" w:history="1">
        <w:r w:rsidRPr="00816D4A">
          <w:rPr>
            <w:rStyle w:val="Hyperlink"/>
            <w:i/>
          </w:rPr>
          <w:t>Digital learning in schools</w:t>
        </w:r>
      </w:hyperlink>
      <w:r>
        <w:rPr>
          <w:szCs w:val="15"/>
        </w:rPr>
        <w:t xml:space="preserve"> (website), </w:t>
      </w:r>
      <w:r w:rsidRPr="008760F8">
        <w:rPr>
          <w:szCs w:val="15"/>
        </w:rPr>
        <w:t>9 May 2023</w:t>
      </w:r>
      <w:r>
        <w:rPr>
          <w:szCs w:val="15"/>
        </w:rPr>
        <w:t>, accessed</w:t>
      </w:r>
      <w:r w:rsidRPr="008760F8">
        <w:rPr>
          <w:szCs w:val="15"/>
        </w:rPr>
        <w:t xml:space="preserve"> 7 July </w:t>
      </w:r>
      <w:r w:rsidRPr="00734861">
        <w:rPr>
          <w:szCs w:val="15"/>
        </w:rPr>
        <w:t>2023</w:t>
      </w:r>
      <w:r>
        <w:rPr>
          <w:szCs w:val="15"/>
        </w:rPr>
        <w:t>.</w:t>
      </w:r>
    </w:p>
  </w:endnote>
  <w:endnote w:id="261">
    <w:p w14:paraId="2B631DE9" w14:textId="77777777" w:rsidR="00373ED9" w:rsidRPr="001671D7" w:rsidRDefault="00373ED9" w:rsidP="00373ED9">
      <w:pPr>
        <w:pStyle w:val="EndnoteText"/>
        <w:rPr>
          <w:szCs w:val="15"/>
        </w:rPr>
      </w:pPr>
      <w:r w:rsidRPr="008760F8">
        <w:rPr>
          <w:rStyle w:val="EndnoteReference"/>
          <w:szCs w:val="15"/>
        </w:rPr>
        <w:endnoteRef/>
      </w:r>
      <w:r w:rsidRPr="008760F8">
        <w:rPr>
          <w:szCs w:val="15"/>
        </w:rPr>
        <w:t xml:space="preserve"> </w:t>
      </w:r>
      <w:r w:rsidRPr="00555047">
        <w:t xml:space="preserve">Department of Treasury and Finance, </w:t>
      </w:r>
      <w:hyperlink r:id="rId316" w:anchor="budget-paper-3-service-delivery" w:history="1">
        <w:r w:rsidRPr="004A1190">
          <w:rPr>
            <w:rStyle w:val="Hyperlink"/>
            <w:i/>
            <w:iCs/>
            <w:szCs w:val="15"/>
          </w:rPr>
          <w:t>Victorian Budget 2023</w:t>
        </w:r>
        <w:r>
          <w:rPr>
            <w:rStyle w:val="Hyperlink"/>
            <w:i/>
            <w:iCs/>
            <w:szCs w:val="15"/>
          </w:rPr>
          <w:t>–</w:t>
        </w:r>
        <w:r w:rsidRPr="004A1190">
          <w:rPr>
            <w:rStyle w:val="Hyperlink"/>
            <w:i/>
            <w:iCs/>
            <w:szCs w:val="15"/>
          </w:rPr>
          <w:t>24 – Budget Paper No. 3</w:t>
        </w:r>
      </w:hyperlink>
      <w:r w:rsidRPr="004A1190">
        <w:rPr>
          <w:szCs w:val="15"/>
        </w:rPr>
        <w:t>,</w:t>
      </w:r>
      <w:r w:rsidRPr="006967A4">
        <w:rPr>
          <w:szCs w:val="15"/>
        </w:rPr>
        <w:t xml:space="preserve"> 2022, p. </w:t>
      </w:r>
      <w:r>
        <w:rPr>
          <w:szCs w:val="15"/>
        </w:rPr>
        <w:t>12</w:t>
      </w:r>
      <w:r w:rsidRPr="006967A4">
        <w:rPr>
          <w:szCs w:val="15"/>
        </w:rPr>
        <w:t xml:space="preserve">, </w:t>
      </w:r>
      <w:r>
        <w:rPr>
          <w:szCs w:val="15"/>
        </w:rPr>
        <w:t>accessed 14 August 2023 (</w:t>
      </w:r>
      <w:hyperlink r:id="rId317" w:history="1">
        <w:r w:rsidRPr="009A206D">
          <w:rPr>
            <w:rStyle w:val="Hyperlink"/>
            <w:szCs w:val="15"/>
          </w:rPr>
          <w:t>https://s3.ap-southeast-2.amazonaws.com/Budget files202223.Budget .vic.gov.au/2022</w:t>
        </w:r>
        <w:r>
          <w:rPr>
            <w:rStyle w:val="Hyperlink"/>
            <w:szCs w:val="15"/>
          </w:rPr>
          <w:t>–</w:t>
        </w:r>
        <w:r w:rsidRPr="009A206D">
          <w:rPr>
            <w:rStyle w:val="Hyperlink"/>
            <w:szCs w:val="15"/>
          </w:rPr>
          <w:t>23+State+Budget +-+Service+Delivery.pdf</w:t>
        </w:r>
      </w:hyperlink>
      <w:r>
        <w:rPr>
          <w:szCs w:val="15"/>
        </w:rPr>
        <w:t xml:space="preserve">). </w:t>
      </w:r>
    </w:p>
  </w:endnote>
  <w:endnote w:id="262">
    <w:p w14:paraId="147F2AB9" w14:textId="77777777" w:rsidR="00373ED9" w:rsidRPr="00EC4C3F" w:rsidRDefault="00373ED9" w:rsidP="00373ED9">
      <w:pPr>
        <w:pStyle w:val="EndnoteText"/>
      </w:pPr>
      <w:r w:rsidRPr="001671D7">
        <w:rPr>
          <w:rStyle w:val="EndnoteReference"/>
          <w:szCs w:val="15"/>
        </w:rPr>
        <w:endnoteRef/>
      </w:r>
      <w:r w:rsidRPr="001671D7">
        <w:rPr>
          <w:szCs w:val="15"/>
        </w:rPr>
        <w:t xml:space="preserve"> </w:t>
      </w:r>
      <w:r w:rsidRPr="00B00A91">
        <w:rPr>
          <w:szCs w:val="15"/>
        </w:rPr>
        <w:t xml:space="preserve">Infrastructure Victoria, </w:t>
      </w:r>
      <w:hyperlink r:id="rId318" w:history="1">
        <w:r w:rsidRPr="00B00A91">
          <w:rPr>
            <w:rStyle w:val="Hyperlink"/>
            <w:i/>
            <w:iCs/>
            <w:szCs w:val="15"/>
          </w:rPr>
          <w:t>Victoria’s infrastructure strategy 2021</w:t>
        </w:r>
        <w:r>
          <w:rPr>
            <w:rStyle w:val="Hyperlink"/>
            <w:i/>
            <w:iCs/>
            <w:szCs w:val="15"/>
          </w:rPr>
          <w:t>–</w:t>
        </w:r>
        <w:r w:rsidRPr="00B00A91">
          <w:rPr>
            <w:rStyle w:val="Hyperlink"/>
            <w:i/>
            <w:iCs/>
            <w:szCs w:val="15"/>
          </w:rPr>
          <w:t>2051</w:t>
        </w:r>
      </w:hyperlink>
      <w:r w:rsidRPr="00B00A91">
        <w:rPr>
          <w:szCs w:val="15"/>
        </w:rPr>
        <w:t>, 2021, p. 2</w:t>
      </w:r>
      <w:r>
        <w:rPr>
          <w:szCs w:val="15"/>
        </w:rPr>
        <w:t>35</w:t>
      </w:r>
      <w:r w:rsidRPr="00B00A91">
        <w:rPr>
          <w:szCs w:val="15"/>
        </w:rPr>
        <w:t>, accessed 14 August 2023.</w:t>
      </w:r>
      <w:r w:rsidRPr="001671D7">
        <w:rPr>
          <w:szCs w:val="15"/>
        </w:rPr>
        <w:t xml:space="preserve"> </w:t>
      </w:r>
    </w:p>
  </w:endnote>
  <w:endnote w:id="263">
    <w:p w14:paraId="6D96B2BA" w14:textId="77777777" w:rsidR="00373ED9" w:rsidRDefault="00373ED9" w:rsidP="00373ED9">
      <w:pPr>
        <w:pStyle w:val="EndnoteText"/>
      </w:pPr>
      <w:r>
        <w:rPr>
          <w:rStyle w:val="EndnoteReference"/>
        </w:rPr>
        <w:endnoteRef/>
      </w:r>
      <w:r>
        <w:t xml:space="preserve"> Victorian Government, </w:t>
      </w:r>
      <w:hyperlink r:id="rId319" w:history="1">
        <w:r w:rsidRPr="00816D4A">
          <w:rPr>
            <w:rStyle w:val="Hyperlink"/>
            <w:i/>
            <w:iCs/>
          </w:rPr>
          <w:t>Office of TAFE coordination and delivery</w:t>
        </w:r>
      </w:hyperlink>
      <w:r>
        <w:t xml:space="preserve"> (website), 5 July 2023, accessed 9 July 2023.</w:t>
      </w:r>
    </w:p>
  </w:endnote>
  <w:endnote w:id="264">
    <w:p w14:paraId="49537A43" w14:textId="77777777" w:rsidR="00373ED9" w:rsidRPr="00F05DC5" w:rsidRDefault="00373ED9" w:rsidP="00373ED9">
      <w:pPr>
        <w:pStyle w:val="EndnoteText"/>
        <w:rPr>
          <w:szCs w:val="15"/>
        </w:rPr>
      </w:pPr>
      <w:r w:rsidRPr="00F05DC5">
        <w:rPr>
          <w:rStyle w:val="EndnoteReference"/>
          <w:szCs w:val="15"/>
        </w:rPr>
        <w:endnoteRef/>
      </w:r>
      <w:r w:rsidRPr="00F05DC5">
        <w:rPr>
          <w:szCs w:val="15"/>
        </w:rPr>
        <w:t xml:space="preserve"> Victorian Auditor General Office</w:t>
      </w:r>
      <w:r>
        <w:rPr>
          <w:szCs w:val="15"/>
        </w:rPr>
        <w:t>,</w:t>
      </w:r>
      <w:r w:rsidRPr="00F05DC5">
        <w:rPr>
          <w:szCs w:val="15"/>
        </w:rPr>
        <w:t xml:space="preserve"> </w:t>
      </w:r>
      <w:hyperlink r:id="rId320" w:history="1">
        <w:r w:rsidRPr="00CB5F84">
          <w:rPr>
            <w:rStyle w:val="Hyperlink"/>
            <w:i/>
            <w:iCs/>
            <w:szCs w:val="15"/>
          </w:rPr>
          <w:t>Results of 2021 Audits: Technical and Further Education Institutes</w:t>
        </w:r>
      </w:hyperlink>
      <w:r>
        <w:rPr>
          <w:szCs w:val="15"/>
        </w:rPr>
        <w:t>,</w:t>
      </w:r>
      <w:r w:rsidRPr="00F05DC5">
        <w:rPr>
          <w:szCs w:val="15"/>
        </w:rPr>
        <w:t xml:space="preserve"> </w:t>
      </w:r>
      <w:r>
        <w:rPr>
          <w:szCs w:val="15"/>
        </w:rPr>
        <w:t xml:space="preserve">8 </w:t>
      </w:r>
      <w:r w:rsidRPr="00F05DC5">
        <w:rPr>
          <w:szCs w:val="15"/>
        </w:rPr>
        <w:t>July 2022</w:t>
      </w:r>
      <w:r>
        <w:rPr>
          <w:szCs w:val="15"/>
        </w:rPr>
        <w:t>, accessed 14 August 2023.</w:t>
      </w:r>
    </w:p>
  </w:endnote>
  <w:endnote w:id="265">
    <w:p w14:paraId="22863D60" w14:textId="77777777" w:rsidR="00373ED9" w:rsidRPr="002F0FEA" w:rsidRDefault="00373ED9" w:rsidP="00373ED9">
      <w:pPr>
        <w:pStyle w:val="EndnoteText"/>
        <w:rPr>
          <w:rFonts w:cstheme="minorHAnsi"/>
          <w:szCs w:val="15"/>
        </w:rPr>
      </w:pPr>
      <w:r w:rsidRPr="002F0FEA">
        <w:rPr>
          <w:rStyle w:val="EndnoteReference"/>
          <w:rFonts w:eastAsiaTheme="majorEastAsia" w:cstheme="minorHAnsi"/>
          <w:szCs w:val="15"/>
        </w:rPr>
        <w:endnoteRef/>
      </w:r>
      <w:r w:rsidRPr="002F0FEA">
        <w:rPr>
          <w:rFonts w:cstheme="minorHAnsi"/>
          <w:szCs w:val="15"/>
        </w:rPr>
        <w:t xml:space="preserve"> Victorian Government, </w:t>
      </w:r>
      <w:hyperlink r:id="rId321" w:history="1">
        <w:r w:rsidRPr="00816D4A">
          <w:rPr>
            <w:rStyle w:val="Hyperlink"/>
            <w:rFonts w:cstheme="minorHAnsi"/>
            <w:i/>
            <w:iCs/>
            <w:szCs w:val="15"/>
          </w:rPr>
          <w:t>Find my local TAFE</w:t>
        </w:r>
      </w:hyperlink>
      <w:r w:rsidRPr="002F0FEA">
        <w:rPr>
          <w:rFonts w:cstheme="minorHAnsi"/>
          <w:szCs w:val="15"/>
        </w:rPr>
        <w:t>, accessed 8 December 2022.</w:t>
      </w:r>
    </w:p>
  </w:endnote>
  <w:endnote w:id="266">
    <w:p w14:paraId="12ED47F8" w14:textId="77777777" w:rsidR="00373ED9" w:rsidRDefault="00373ED9" w:rsidP="00373ED9">
      <w:pPr>
        <w:pStyle w:val="EndnoteText"/>
      </w:pPr>
      <w:r>
        <w:rPr>
          <w:rStyle w:val="EndnoteReference"/>
        </w:rPr>
        <w:endnoteRef/>
      </w:r>
      <w:r>
        <w:t xml:space="preserve"> </w:t>
      </w:r>
      <w:r w:rsidRPr="00F05DC5">
        <w:rPr>
          <w:szCs w:val="15"/>
        </w:rPr>
        <w:t>Department of Treasury and Finance</w:t>
      </w:r>
      <w:r w:rsidRPr="004A1190">
        <w:rPr>
          <w:szCs w:val="15"/>
        </w:rPr>
        <w:t>,</w:t>
      </w:r>
      <w:r w:rsidRPr="00F05DC5">
        <w:rPr>
          <w:szCs w:val="15"/>
        </w:rPr>
        <w:t xml:space="preserve"> </w:t>
      </w:r>
      <w:hyperlink r:id="rId322" w:anchor="budget-paper-3-service-delivery" w:history="1">
        <w:r w:rsidRPr="004A1190">
          <w:rPr>
            <w:rStyle w:val="Hyperlink"/>
            <w:i/>
            <w:iCs/>
            <w:szCs w:val="15"/>
          </w:rPr>
          <w:t>Victorian Budget 2023</w:t>
        </w:r>
        <w:r>
          <w:rPr>
            <w:rStyle w:val="Hyperlink"/>
            <w:i/>
            <w:iCs/>
            <w:szCs w:val="15"/>
          </w:rPr>
          <w:t>–</w:t>
        </w:r>
        <w:r w:rsidRPr="004A1190">
          <w:rPr>
            <w:rStyle w:val="Hyperlink"/>
            <w:i/>
            <w:iCs/>
            <w:szCs w:val="15"/>
          </w:rPr>
          <w:t>24 – Budget Paper No. 3</w:t>
        </w:r>
      </w:hyperlink>
      <w:r w:rsidRPr="004A1190">
        <w:rPr>
          <w:szCs w:val="15"/>
        </w:rPr>
        <w:t>, 2023, p</w:t>
      </w:r>
      <w:r>
        <w:rPr>
          <w:szCs w:val="15"/>
        </w:rPr>
        <w:t>.</w:t>
      </w:r>
      <w:r w:rsidRPr="00F05DC5" w:rsidDel="008C7EEE">
        <w:rPr>
          <w:szCs w:val="15"/>
        </w:rPr>
        <w:t xml:space="preserve"> </w:t>
      </w:r>
      <w:r>
        <w:rPr>
          <w:szCs w:val="15"/>
        </w:rPr>
        <w:t xml:space="preserve">259 </w:t>
      </w:r>
      <w:r w:rsidRPr="004A1190">
        <w:rPr>
          <w:szCs w:val="15"/>
        </w:rPr>
        <w:t>(</w:t>
      </w:r>
      <w:hyperlink r:id="rId323" w:history="1">
        <w:r w:rsidRPr="004A1190">
          <w:rPr>
            <w:rStyle w:val="Hyperlink"/>
            <w:szCs w:val="15"/>
          </w:rPr>
          <w:t>https://s3.ap-southeast-2.amazonaws.com/budgetfiles202324.budget.vic.gov.au/2023</w:t>
        </w:r>
        <w:r>
          <w:rPr>
            <w:rStyle w:val="Hyperlink"/>
            <w:szCs w:val="15"/>
          </w:rPr>
          <w:t>–</w:t>
        </w:r>
        <w:r w:rsidRPr="004A1190">
          <w:rPr>
            <w:rStyle w:val="Hyperlink"/>
            <w:szCs w:val="15"/>
          </w:rPr>
          <w:t>24+State+Budget+-+Service+Delivery.pdf</w:t>
        </w:r>
      </w:hyperlink>
      <w:r w:rsidRPr="004A1190">
        <w:rPr>
          <w:szCs w:val="15"/>
        </w:rPr>
        <w:t>)</w:t>
      </w:r>
      <w:r>
        <w:rPr>
          <w:szCs w:val="15"/>
        </w:rPr>
        <w:t>.</w:t>
      </w:r>
    </w:p>
  </w:endnote>
  <w:endnote w:id="267">
    <w:p w14:paraId="33EEC27F" w14:textId="77777777" w:rsidR="00373ED9" w:rsidRPr="00F05DC5" w:rsidRDefault="00373ED9" w:rsidP="00373ED9">
      <w:pPr>
        <w:pStyle w:val="EndnoteText"/>
        <w:rPr>
          <w:szCs w:val="15"/>
        </w:rPr>
      </w:pPr>
      <w:r w:rsidRPr="00F05DC5">
        <w:rPr>
          <w:rStyle w:val="EndnoteReference"/>
          <w:szCs w:val="15"/>
        </w:rPr>
        <w:endnoteRef/>
      </w:r>
      <w:r w:rsidRPr="00F05DC5">
        <w:rPr>
          <w:szCs w:val="15"/>
        </w:rPr>
        <w:t xml:space="preserve"> Department of Treasury and Finance, </w:t>
      </w:r>
      <w:hyperlink r:id="rId324" w:history="1">
        <w:r w:rsidRPr="00816D4A">
          <w:rPr>
            <w:rStyle w:val="Hyperlink"/>
            <w:i/>
          </w:rPr>
          <w:t>Departmental statements – Department of Education and Training output performance measures 2022</w:t>
        </w:r>
        <w:r>
          <w:rPr>
            <w:rStyle w:val="Hyperlink"/>
            <w:i/>
          </w:rPr>
          <w:t>–</w:t>
        </w:r>
        <w:r w:rsidRPr="00816D4A">
          <w:rPr>
            <w:rStyle w:val="Hyperlink"/>
            <w:i/>
          </w:rPr>
          <w:t>23</w:t>
        </w:r>
      </w:hyperlink>
      <w:r w:rsidRPr="00F05DC5">
        <w:rPr>
          <w:szCs w:val="15"/>
        </w:rPr>
        <w:t>,</w:t>
      </w:r>
      <w:r>
        <w:rPr>
          <w:szCs w:val="15"/>
        </w:rPr>
        <w:t xml:space="preserve"> 2 June 2023, </w:t>
      </w:r>
      <w:r w:rsidRPr="00F05DC5">
        <w:rPr>
          <w:szCs w:val="15"/>
        </w:rPr>
        <w:t>accessed 9 July 2023.</w:t>
      </w:r>
    </w:p>
  </w:endnote>
  <w:endnote w:id="268">
    <w:p w14:paraId="69A84DF6" w14:textId="77777777" w:rsidR="00373ED9" w:rsidRPr="00F05DC5" w:rsidRDefault="00373ED9" w:rsidP="00373ED9">
      <w:pPr>
        <w:pStyle w:val="EndnoteText"/>
        <w:rPr>
          <w:szCs w:val="15"/>
        </w:rPr>
      </w:pPr>
      <w:r w:rsidRPr="00F05DC5">
        <w:rPr>
          <w:rStyle w:val="EndnoteReference"/>
          <w:szCs w:val="15"/>
        </w:rPr>
        <w:endnoteRef/>
      </w:r>
      <w:r w:rsidRPr="00F05DC5">
        <w:rPr>
          <w:szCs w:val="15"/>
        </w:rPr>
        <w:t xml:space="preserve"> </w:t>
      </w:r>
      <w:r>
        <w:rPr>
          <w:szCs w:val="15"/>
        </w:rPr>
        <w:t xml:space="preserve">Minister for Training and Skills, </w:t>
      </w:r>
      <w:hyperlink r:id="rId325" w:history="1">
        <w:r w:rsidRPr="00816D4A">
          <w:rPr>
            <w:rStyle w:val="Hyperlink"/>
            <w:i/>
          </w:rPr>
          <w:t>Skills plan sets vital training and jobs roadmap</w:t>
        </w:r>
      </w:hyperlink>
      <w:r>
        <w:rPr>
          <w:szCs w:val="15"/>
        </w:rPr>
        <w:t xml:space="preserve"> (media release), 23 August 2022, accessed 14 August 2023.</w:t>
      </w:r>
    </w:p>
  </w:endnote>
  <w:endnote w:id="269">
    <w:p w14:paraId="78C3CFAC" w14:textId="77777777" w:rsidR="00373ED9" w:rsidRPr="00F05DC5" w:rsidRDefault="00373ED9" w:rsidP="00373ED9">
      <w:pPr>
        <w:pStyle w:val="EndnoteText"/>
        <w:rPr>
          <w:szCs w:val="15"/>
        </w:rPr>
      </w:pPr>
      <w:r w:rsidRPr="00F05DC5">
        <w:rPr>
          <w:rStyle w:val="EndnoteReference"/>
          <w:szCs w:val="15"/>
        </w:rPr>
        <w:endnoteRef/>
      </w:r>
      <w:r w:rsidRPr="00F05DC5">
        <w:rPr>
          <w:szCs w:val="15"/>
        </w:rPr>
        <w:t xml:space="preserve"> Department of Treasury and Finance</w:t>
      </w:r>
      <w:r w:rsidRPr="004A1190">
        <w:rPr>
          <w:szCs w:val="15"/>
        </w:rPr>
        <w:t>,</w:t>
      </w:r>
      <w:r w:rsidRPr="00F05DC5">
        <w:rPr>
          <w:szCs w:val="15"/>
        </w:rPr>
        <w:t xml:space="preserve"> </w:t>
      </w:r>
      <w:hyperlink r:id="rId326" w:anchor="budget-paper-3-service-delivery" w:history="1">
        <w:r w:rsidRPr="004A1190">
          <w:rPr>
            <w:rStyle w:val="Hyperlink"/>
            <w:i/>
            <w:iCs/>
            <w:szCs w:val="15"/>
          </w:rPr>
          <w:t>Victorian Budget 2023</w:t>
        </w:r>
        <w:r>
          <w:rPr>
            <w:rStyle w:val="Hyperlink"/>
            <w:i/>
            <w:iCs/>
            <w:szCs w:val="15"/>
          </w:rPr>
          <w:t>–</w:t>
        </w:r>
        <w:r w:rsidRPr="004A1190">
          <w:rPr>
            <w:rStyle w:val="Hyperlink"/>
            <w:i/>
            <w:iCs/>
            <w:szCs w:val="15"/>
          </w:rPr>
          <w:t>24 – Budget Paper No. 3</w:t>
        </w:r>
      </w:hyperlink>
      <w:r w:rsidRPr="004A1190">
        <w:rPr>
          <w:szCs w:val="15"/>
        </w:rPr>
        <w:t>, 2023, p</w:t>
      </w:r>
      <w:r>
        <w:rPr>
          <w:szCs w:val="15"/>
        </w:rPr>
        <w:t>.</w:t>
      </w:r>
      <w:r w:rsidRPr="00F05DC5" w:rsidDel="008C7EEE">
        <w:rPr>
          <w:szCs w:val="15"/>
        </w:rPr>
        <w:t xml:space="preserve"> </w:t>
      </w:r>
      <w:r w:rsidRPr="00F05DC5">
        <w:rPr>
          <w:szCs w:val="15"/>
        </w:rPr>
        <w:t>81</w:t>
      </w:r>
      <w:r>
        <w:rPr>
          <w:szCs w:val="15"/>
        </w:rPr>
        <w:t xml:space="preserve"> </w:t>
      </w:r>
      <w:r w:rsidRPr="004A1190">
        <w:rPr>
          <w:szCs w:val="15"/>
        </w:rPr>
        <w:t>(</w:t>
      </w:r>
      <w:hyperlink r:id="rId327" w:history="1">
        <w:r w:rsidRPr="004A1190">
          <w:rPr>
            <w:rStyle w:val="Hyperlink"/>
            <w:szCs w:val="15"/>
          </w:rPr>
          <w:t>https://s3.ap-southeast-2.amazonaws.com/budgetfiles202324.budget.vic.gov.au/2023</w:t>
        </w:r>
        <w:r>
          <w:rPr>
            <w:rStyle w:val="Hyperlink"/>
            <w:szCs w:val="15"/>
          </w:rPr>
          <w:t>–</w:t>
        </w:r>
        <w:r w:rsidRPr="004A1190">
          <w:rPr>
            <w:rStyle w:val="Hyperlink"/>
            <w:szCs w:val="15"/>
          </w:rPr>
          <w:t>24+State+Budget+-+Service+Delivery.pdf</w:t>
        </w:r>
      </w:hyperlink>
      <w:r w:rsidRPr="004A1190">
        <w:rPr>
          <w:szCs w:val="15"/>
        </w:rPr>
        <w:t>)</w:t>
      </w:r>
      <w:r>
        <w:rPr>
          <w:szCs w:val="15"/>
        </w:rPr>
        <w:t>.</w:t>
      </w:r>
    </w:p>
  </w:endnote>
  <w:endnote w:id="270">
    <w:p w14:paraId="0B02FC9D" w14:textId="77777777" w:rsidR="00373ED9" w:rsidRPr="00F05DC5" w:rsidRDefault="00373ED9" w:rsidP="00373ED9">
      <w:pPr>
        <w:pStyle w:val="EndnoteText"/>
        <w:rPr>
          <w:szCs w:val="15"/>
        </w:rPr>
      </w:pPr>
      <w:r w:rsidRPr="00F05DC5">
        <w:rPr>
          <w:rStyle w:val="EndnoteReference"/>
          <w:szCs w:val="15"/>
        </w:rPr>
        <w:endnoteRef/>
      </w:r>
      <w:r w:rsidRPr="00F05DC5">
        <w:rPr>
          <w:szCs w:val="15"/>
        </w:rPr>
        <w:t xml:space="preserve"> Department of Education and Training,</w:t>
      </w:r>
      <w:r>
        <w:rPr>
          <w:szCs w:val="15"/>
        </w:rPr>
        <w:t xml:space="preserve"> </w:t>
      </w:r>
      <w:hyperlink r:id="rId328" w:history="1">
        <w:r w:rsidRPr="004F4BA8">
          <w:rPr>
            <w:rStyle w:val="Hyperlink"/>
            <w:i/>
            <w:iCs/>
            <w:szCs w:val="15"/>
          </w:rPr>
          <w:t>Education and training climate change adaptation action plan 2022</w:t>
        </w:r>
        <w:r>
          <w:rPr>
            <w:rStyle w:val="Hyperlink"/>
            <w:i/>
            <w:iCs/>
            <w:szCs w:val="15"/>
          </w:rPr>
          <w:t>–</w:t>
        </w:r>
        <w:r w:rsidRPr="004F4BA8">
          <w:rPr>
            <w:rStyle w:val="Hyperlink"/>
            <w:i/>
            <w:iCs/>
            <w:szCs w:val="15"/>
          </w:rPr>
          <w:t>26</w:t>
        </w:r>
      </w:hyperlink>
      <w:r>
        <w:rPr>
          <w:szCs w:val="15"/>
        </w:rPr>
        <w:t>, 2022, accessed 14 August 2023.</w:t>
      </w:r>
    </w:p>
  </w:endnote>
  <w:endnote w:id="271">
    <w:p w14:paraId="0CA1C192" w14:textId="77777777" w:rsidR="00373ED9" w:rsidRPr="00F05DC5" w:rsidRDefault="00373ED9" w:rsidP="00373ED9">
      <w:pPr>
        <w:pStyle w:val="EndnoteText"/>
        <w:rPr>
          <w:szCs w:val="15"/>
        </w:rPr>
      </w:pPr>
      <w:r w:rsidRPr="00F05DC5">
        <w:rPr>
          <w:rStyle w:val="EndnoteReference"/>
          <w:szCs w:val="15"/>
        </w:rPr>
        <w:endnoteRef/>
      </w:r>
      <w:r w:rsidRPr="00F05DC5">
        <w:rPr>
          <w:szCs w:val="15"/>
        </w:rPr>
        <w:t xml:space="preserve"> </w:t>
      </w:r>
      <w:r>
        <w:rPr>
          <w:szCs w:val="15"/>
        </w:rPr>
        <w:t xml:space="preserve">Chisholm Institute, </w:t>
      </w:r>
      <w:hyperlink r:id="rId329" w:history="1">
        <w:r w:rsidRPr="0035538C">
          <w:rPr>
            <w:rStyle w:val="Hyperlink"/>
            <w:i/>
            <w:iCs/>
            <w:szCs w:val="15"/>
          </w:rPr>
          <w:t>Frankston redevelopment project (stage 2)</w:t>
        </w:r>
      </w:hyperlink>
      <w:r>
        <w:rPr>
          <w:szCs w:val="15"/>
        </w:rPr>
        <w:t xml:space="preserve"> (website), n.d., accessed 3 August 2023.</w:t>
      </w:r>
    </w:p>
  </w:endnote>
  <w:endnote w:id="272">
    <w:p w14:paraId="348BA9CC" w14:textId="77777777" w:rsidR="00373ED9" w:rsidRPr="00F05DC5" w:rsidRDefault="00373ED9" w:rsidP="00373ED9">
      <w:pPr>
        <w:pStyle w:val="EndnoteText"/>
        <w:rPr>
          <w:szCs w:val="15"/>
        </w:rPr>
      </w:pPr>
      <w:r w:rsidRPr="00F05DC5">
        <w:rPr>
          <w:rStyle w:val="EndnoteReference"/>
          <w:szCs w:val="15"/>
        </w:rPr>
        <w:endnoteRef/>
      </w:r>
      <w:r w:rsidRPr="00F05DC5">
        <w:rPr>
          <w:szCs w:val="15"/>
        </w:rPr>
        <w:t xml:space="preserve"> </w:t>
      </w:r>
      <w:r>
        <w:rPr>
          <w:szCs w:val="15"/>
        </w:rPr>
        <w:t xml:space="preserve">Minister for Training and Skills, </w:t>
      </w:r>
      <w:hyperlink r:id="rId330" w:history="1">
        <w:r w:rsidRPr="00F64FF5">
          <w:rPr>
            <w:rStyle w:val="Hyperlink"/>
            <w:i/>
            <w:iCs/>
            <w:szCs w:val="15"/>
          </w:rPr>
          <w:t>World-class facilities to transform Collingwood TAFE</w:t>
        </w:r>
      </w:hyperlink>
      <w:r>
        <w:rPr>
          <w:szCs w:val="15"/>
        </w:rPr>
        <w:t xml:space="preserve"> (media release), 20 October 2022, accessed 3 August 2023.</w:t>
      </w:r>
    </w:p>
  </w:endnote>
  <w:endnote w:id="273">
    <w:p w14:paraId="6CFDD3F1" w14:textId="77777777" w:rsidR="00373ED9" w:rsidRPr="00F05DC5" w:rsidRDefault="00373ED9" w:rsidP="00373ED9">
      <w:pPr>
        <w:pStyle w:val="EndnoteText"/>
        <w:rPr>
          <w:szCs w:val="15"/>
        </w:rPr>
      </w:pPr>
      <w:r w:rsidRPr="00F05DC5">
        <w:rPr>
          <w:rStyle w:val="EndnoteReference"/>
          <w:szCs w:val="15"/>
        </w:rPr>
        <w:endnoteRef/>
      </w:r>
      <w:r w:rsidRPr="00F05DC5">
        <w:rPr>
          <w:szCs w:val="15"/>
        </w:rPr>
        <w:t xml:space="preserve"> </w:t>
      </w:r>
      <w:r>
        <w:rPr>
          <w:szCs w:val="15"/>
        </w:rPr>
        <w:t xml:space="preserve">Minister for Training and Skills and Minister for Higher Education, </w:t>
      </w:r>
      <w:hyperlink r:id="rId331" w:history="1">
        <w:r w:rsidRPr="00172C1F">
          <w:rPr>
            <w:rStyle w:val="Hyperlink"/>
            <w:i/>
            <w:iCs/>
            <w:szCs w:val="15"/>
          </w:rPr>
          <w:t>Works to start on world-class Broadmeadows training centre</w:t>
        </w:r>
      </w:hyperlink>
      <w:r>
        <w:rPr>
          <w:szCs w:val="15"/>
        </w:rPr>
        <w:t xml:space="preserve"> (media release), 16 March 2023, accessed 3 August 2023.</w:t>
      </w:r>
    </w:p>
  </w:endnote>
  <w:endnote w:id="274">
    <w:p w14:paraId="60B8C6C6" w14:textId="77777777" w:rsidR="00373ED9" w:rsidRPr="00F05DC5" w:rsidRDefault="00373ED9" w:rsidP="00373ED9">
      <w:pPr>
        <w:pStyle w:val="EndnoteText"/>
        <w:rPr>
          <w:szCs w:val="15"/>
        </w:rPr>
      </w:pPr>
      <w:r w:rsidRPr="00F05DC5">
        <w:rPr>
          <w:rStyle w:val="EndnoteReference"/>
          <w:szCs w:val="15"/>
        </w:rPr>
        <w:endnoteRef/>
      </w:r>
      <w:r w:rsidRPr="00F05DC5">
        <w:rPr>
          <w:szCs w:val="15"/>
        </w:rPr>
        <w:t xml:space="preserve"> </w:t>
      </w:r>
      <w:r>
        <w:rPr>
          <w:szCs w:val="15"/>
        </w:rPr>
        <w:t xml:space="preserve">Minister for Training and Skills, </w:t>
      </w:r>
      <w:hyperlink r:id="rId332" w:history="1">
        <w:r w:rsidRPr="009B1C68">
          <w:rPr>
            <w:rStyle w:val="Hyperlink"/>
            <w:i/>
            <w:iCs/>
            <w:szCs w:val="15"/>
          </w:rPr>
          <w:t xml:space="preserve">Warrnambool </w:t>
        </w:r>
        <w:r w:rsidRPr="009B1C68">
          <w:rPr>
            <w:rStyle w:val="Hyperlink"/>
            <w:i/>
            <w:szCs w:val="15"/>
          </w:rPr>
          <w:t>library</w:t>
        </w:r>
        <w:r w:rsidRPr="009B1C68">
          <w:rPr>
            <w:rStyle w:val="Hyperlink"/>
            <w:i/>
            <w:iCs/>
            <w:szCs w:val="15"/>
          </w:rPr>
          <w:t xml:space="preserve"> </w:t>
        </w:r>
        <w:r w:rsidRPr="009B1C68">
          <w:rPr>
            <w:rStyle w:val="Hyperlink"/>
            <w:i/>
            <w:szCs w:val="15"/>
          </w:rPr>
          <w:t>and</w:t>
        </w:r>
        <w:r w:rsidRPr="009B1C68">
          <w:rPr>
            <w:rStyle w:val="Hyperlink"/>
            <w:i/>
            <w:iCs/>
            <w:szCs w:val="15"/>
          </w:rPr>
          <w:t xml:space="preserve"> </w:t>
        </w:r>
        <w:r w:rsidRPr="009B1C68">
          <w:rPr>
            <w:rStyle w:val="Hyperlink"/>
            <w:i/>
            <w:szCs w:val="15"/>
          </w:rPr>
          <w:t>learning</w:t>
        </w:r>
        <w:r w:rsidRPr="009B1C68">
          <w:rPr>
            <w:rStyle w:val="Hyperlink"/>
            <w:i/>
            <w:iCs/>
            <w:szCs w:val="15"/>
          </w:rPr>
          <w:t xml:space="preserve"> </w:t>
        </w:r>
        <w:r w:rsidRPr="009B1C68">
          <w:rPr>
            <w:rStyle w:val="Hyperlink"/>
            <w:i/>
            <w:szCs w:val="15"/>
          </w:rPr>
          <w:t>centre</w:t>
        </w:r>
        <w:r w:rsidRPr="009B1C68">
          <w:rPr>
            <w:rStyle w:val="Hyperlink"/>
            <w:i/>
            <w:iCs/>
            <w:szCs w:val="15"/>
          </w:rPr>
          <w:t xml:space="preserve"> </w:t>
        </w:r>
        <w:r w:rsidRPr="009B1C68">
          <w:rPr>
            <w:rStyle w:val="Hyperlink"/>
            <w:i/>
            <w:szCs w:val="15"/>
          </w:rPr>
          <w:t>opens</w:t>
        </w:r>
        <w:r w:rsidRPr="009B1C68">
          <w:rPr>
            <w:rStyle w:val="Hyperlink"/>
            <w:i/>
            <w:iCs/>
            <w:szCs w:val="15"/>
          </w:rPr>
          <w:t xml:space="preserve"> </w:t>
        </w:r>
        <w:r w:rsidRPr="009B1C68">
          <w:rPr>
            <w:rStyle w:val="Hyperlink"/>
            <w:i/>
            <w:szCs w:val="15"/>
          </w:rPr>
          <w:t>its</w:t>
        </w:r>
        <w:r w:rsidRPr="009B1C68">
          <w:rPr>
            <w:rStyle w:val="Hyperlink"/>
            <w:i/>
            <w:iCs/>
            <w:szCs w:val="15"/>
          </w:rPr>
          <w:t xml:space="preserve"> </w:t>
        </w:r>
        <w:r w:rsidRPr="009B1C68">
          <w:rPr>
            <w:rStyle w:val="Hyperlink"/>
            <w:i/>
            <w:szCs w:val="15"/>
          </w:rPr>
          <w:t>doors</w:t>
        </w:r>
      </w:hyperlink>
      <w:r>
        <w:rPr>
          <w:szCs w:val="15"/>
        </w:rPr>
        <w:t xml:space="preserve"> (media release), 21 October 2022, accessed 3 August 2023.</w:t>
      </w:r>
    </w:p>
  </w:endnote>
  <w:endnote w:id="275">
    <w:p w14:paraId="2BAE8E4B" w14:textId="77777777" w:rsidR="00373ED9" w:rsidRPr="00F05DC5" w:rsidRDefault="00373ED9" w:rsidP="00373ED9">
      <w:pPr>
        <w:pStyle w:val="EndnoteText"/>
        <w:rPr>
          <w:szCs w:val="15"/>
        </w:rPr>
      </w:pPr>
      <w:r w:rsidRPr="00F05DC5">
        <w:rPr>
          <w:rStyle w:val="EndnoteReference"/>
          <w:szCs w:val="15"/>
        </w:rPr>
        <w:endnoteRef/>
      </w:r>
      <w:r w:rsidRPr="00F05DC5">
        <w:rPr>
          <w:szCs w:val="15"/>
        </w:rPr>
        <w:t xml:space="preserve"> </w:t>
      </w:r>
      <w:r>
        <w:rPr>
          <w:szCs w:val="15"/>
        </w:rPr>
        <w:t xml:space="preserve">Parliamentary Secretary for Training and Skills, </w:t>
      </w:r>
      <w:hyperlink r:id="rId333" w:history="1">
        <w:r w:rsidRPr="00184FFD">
          <w:rPr>
            <w:rStyle w:val="Hyperlink"/>
            <w:i/>
            <w:iCs/>
            <w:szCs w:val="15"/>
          </w:rPr>
          <w:t>William Angliss Institute’s bun day delivers on tasty treats</w:t>
        </w:r>
      </w:hyperlink>
      <w:r>
        <w:rPr>
          <w:szCs w:val="15"/>
        </w:rPr>
        <w:t xml:space="preserve"> (media release), 5 April 2023, accessed 3 August 2023.</w:t>
      </w:r>
    </w:p>
  </w:endnote>
  <w:endnote w:id="276">
    <w:p w14:paraId="6295B075" w14:textId="35C09950" w:rsidR="00373ED9" w:rsidRDefault="00373ED9" w:rsidP="00373ED9">
      <w:pPr>
        <w:pStyle w:val="EndnoteText"/>
      </w:pPr>
      <w:r>
        <w:rPr>
          <w:rStyle w:val="EndnoteReference"/>
        </w:rPr>
        <w:endnoteRef/>
      </w:r>
      <w:r>
        <w:t xml:space="preserve"> </w:t>
      </w:r>
      <w:r>
        <w:rPr>
          <w:szCs w:val="15"/>
        </w:rPr>
        <w:t xml:space="preserve">Minister for Higher Education, </w:t>
      </w:r>
      <w:hyperlink r:id="rId334" w:history="1">
        <w:r w:rsidRPr="00240852">
          <w:rPr>
            <w:rStyle w:val="Hyperlink"/>
            <w:i/>
            <w:iCs/>
            <w:szCs w:val="15"/>
          </w:rPr>
          <w:t>Supporting Victorian Universities</w:t>
        </w:r>
      </w:hyperlink>
      <w:r>
        <w:rPr>
          <w:szCs w:val="15"/>
        </w:rPr>
        <w:t xml:space="preserve"> (media release), 19 May 2020, accessed 14 August 2023</w:t>
      </w:r>
      <w:r w:rsidR="00724004">
        <w:t>.</w:t>
      </w:r>
    </w:p>
  </w:endnote>
  <w:endnote w:id="277">
    <w:p w14:paraId="239F50D9" w14:textId="77777777" w:rsidR="00373ED9" w:rsidRPr="00F0023A" w:rsidRDefault="00373ED9" w:rsidP="00373ED9">
      <w:pPr>
        <w:pStyle w:val="EndnoteText"/>
        <w:rPr>
          <w:rFonts w:cstheme="minorHAnsi"/>
          <w:szCs w:val="15"/>
        </w:rPr>
      </w:pPr>
      <w:r w:rsidRPr="00F0023A">
        <w:rPr>
          <w:rStyle w:val="EndnoteReference"/>
          <w:rFonts w:cstheme="minorHAnsi"/>
          <w:szCs w:val="15"/>
        </w:rPr>
        <w:endnoteRef/>
      </w:r>
      <w:r w:rsidRPr="00F0023A">
        <w:rPr>
          <w:rFonts w:cstheme="minorHAnsi"/>
          <w:szCs w:val="15"/>
        </w:rPr>
        <w:t xml:space="preserve"> </w:t>
      </w:r>
      <w:r>
        <w:rPr>
          <w:rFonts w:cstheme="minorHAnsi"/>
          <w:szCs w:val="15"/>
        </w:rPr>
        <w:t xml:space="preserve">Minister for Training and Skills, </w:t>
      </w:r>
      <w:hyperlink r:id="rId335" w:history="1">
        <w:r w:rsidRPr="00411DC1">
          <w:rPr>
            <w:rStyle w:val="Hyperlink"/>
            <w:rFonts w:cstheme="minorHAnsi"/>
            <w:i/>
            <w:iCs/>
            <w:szCs w:val="15"/>
          </w:rPr>
          <w:t>Swabs away – wearable tech gives instant COVID check</w:t>
        </w:r>
      </w:hyperlink>
      <w:r>
        <w:rPr>
          <w:rFonts w:cstheme="minorHAnsi"/>
          <w:szCs w:val="15"/>
        </w:rPr>
        <w:t xml:space="preserve"> (media release), 15 August 2022, accessed 14 August 2023.</w:t>
      </w:r>
    </w:p>
  </w:endnote>
  <w:endnote w:id="278">
    <w:p w14:paraId="31ED4E3A" w14:textId="08CDFD1E" w:rsidR="00373ED9" w:rsidRDefault="00373ED9" w:rsidP="00373ED9">
      <w:pPr>
        <w:pStyle w:val="EndnoteText"/>
      </w:pPr>
      <w:r>
        <w:rPr>
          <w:rStyle w:val="EndnoteReference"/>
        </w:rPr>
        <w:endnoteRef/>
      </w:r>
      <w:r>
        <w:t xml:space="preserve">  Deloitte Access Economics, </w:t>
      </w:r>
      <w:hyperlink r:id="rId336" w:history="1">
        <w:r w:rsidRPr="00816D4A">
          <w:rPr>
            <w:rStyle w:val="Hyperlink"/>
            <w:i/>
            <w:iCs/>
          </w:rPr>
          <w:t>School quality in Australia: Exploring the drivers of student outcomes and the links to practice and schooling quality</w:t>
        </w:r>
      </w:hyperlink>
      <w:r>
        <w:t>, Prepared for the Australian Government Department of Education, December 2017, accessed 23 July 2023.</w:t>
      </w:r>
    </w:p>
  </w:endnote>
  <w:endnote w:id="279">
    <w:p w14:paraId="77DEE627" w14:textId="77777777" w:rsidR="00373ED9" w:rsidRPr="00B009F8" w:rsidRDefault="00373ED9" w:rsidP="00373ED9">
      <w:pPr>
        <w:pStyle w:val="EndnoteText"/>
        <w:rPr>
          <w:rFonts w:cstheme="minorHAnsi"/>
          <w:szCs w:val="15"/>
        </w:rPr>
      </w:pPr>
      <w:r>
        <w:rPr>
          <w:rStyle w:val="EndnoteReference"/>
        </w:rPr>
        <w:endnoteRef/>
      </w:r>
      <w:r>
        <w:t xml:space="preserve"> P </w:t>
      </w:r>
      <w:r>
        <w:rPr>
          <w:rStyle w:val="normaltextrun"/>
          <w:rFonts w:ascii="Calibri" w:hAnsi="Calibri" w:cs="Calibri"/>
          <w:color w:val="000000"/>
          <w:szCs w:val="15"/>
          <w:shd w:val="clear" w:color="auto" w:fill="FFFFFF"/>
        </w:rPr>
        <w:t xml:space="preserve">Barrett, F Davies, Y Zhang and L Barrett, </w:t>
      </w:r>
      <w:r w:rsidRPr="00816D4A">
        <w:rPr>
          <w:rStyle w:val="normaltextrun"/>
          <w:rFonts w:ascii="Calibri" w:hAnsi="Calibri" w:cs="Calibri"/>
          <w:i/>
          <w:iCs/>
          <w:color w:val="000000"/>
          <w:szCs w:val="15"/>
          <w:shd w:val="clear" w:color="auto" w:fill="FFFFFF"/>
        </w:rPr>
        <w:t>The Holistic Impact of Classroom Spaces on Learning in Specific Subjects</w:t>
      </w:r>
      <w:r>
        <w:rPr>
          <w:rStyle w:val="normaltextrun"/>
          <w:rFonts w:ascii="Calibri" w:hAnsi="Calibri" w:cs="Calibri"/>
          <w:color w:val="000000"/>
          <w:szCs w:val="15"/>
          <w:shd w:val="clear" w:color="auto" w:fill="FFFFFF"/>
        </w:rPr>
        <w:t>, </w:t>
      </w:r>
      <w:r>
        <w:rPr>
          <w:rStyle w:val="normaltextrun"/>
          <w:rFonts w:ascii="Calibri" w:hAnsi="Calibri" w:cs="Calibri"/>
          <w:i/>
          <w:iCs/>
          <w:color w:val="000000"/>
          <w:szCs w:val="15"/>
          <w:shd w:val="clear" w:color="auto" w:fill="FFFFFF"/>
        </w:rPr>
        <w:t xml:space="preserve">Environment and </w:t>
      </w:r>
      <w:r w:rsidRPr="00B009F8">
        <w:rPr>
          <w:rStyle w:val="normaltextrun"/>
          <w:rFonts w:cstheme="minorHAnsi"/>
          <w:i/>
          <w:iCs/>
          <w:color w:val="000000"/>
          <w:szCs w:val="15"/>
          <w:shd w:val="clear" w:color="auto" w:fill="FFFFFF"/>
        </w:rPr>
        <w:t>Behaviour</w:t>
      </w:r>
      <w:r w:rsidRPr="00B009F8">
        <w:rPr>
          <w:rStyle w:val="normaltextrun"/>
          <w:rFonts w:cstheme="minorHAnsi"/>
          <w:color w:val="000000"/>
          <w:szCs w:val="15"/>
          <w:shd w:val="clear" w:color="auto" w:fill="FFFFFF"/>
        </w:rPr>
        <w:t xml:space="preserve">, </w:t>
      </w:r>
      <w:r>
        <w:rPr>
          <w:rStyle w:val="normaltextrun"/>
          <w:rFonts w:cstheme="minorHAnsi"/>
          <w:color w:val="000000"/>
          <w:szCs w:val="15"/>
          <w:shd w:val="clear" w:color="auto" w:fill="FFFFFF"/>
        </w:rPr>
        <w:t xml:space="preserve">Vol 49(4), </w:t>
      </w:r>
      <w:r w:rsidRPr="00B009F8">
        <w:rPr>
          <w:rStyle w:val="normaltextrun"/>
          <w:rFonts w:cstheme="minorHAnsi"/>
          <w:color w:val="000000"/>
          <w:szCs w:val="15"/>
          <w:shd w:val="clear" w:color="auto" w:fill="FFFFFF"/>
        </w:rPr>
        <w:t>201</w:t>
      </w:r>
      <w:r>
        <w:rPr>
          <w:rStyle w:val="normaltextrun"/>
          <w:rFonts w:cstheme="minorHAnsi"/>
          <w:color w:val="000000"/>
          <w:szCs w:val="15"/>
          <w:shd w:val="clear" w:color="auto" w:fill="FFFFFF"/>
        </w:rPr>
        <w:t>7</w:t>
      </w:r>
      <w:r w:rsidRPr="00B009F8">
        <w:rPr>
          <w:rStyle w:val="normaltextrun"/>
          <w:rFonts w:cstheme="minorHAnsi"/>
          <w:color w:val="000000"/>
          <w:szCs w:val="15"/>
          <w:shd w:val="clear" w:color="auto" w:fill="FFFFFF"/>
        </w:rPr>
        <w:t xml:space="preserve">, pp. </w:t>
      </w:r>
      <w:r>
        <w:rPr>
          <w:rStyle w:val="normaltextrun"/>
          <w:rFonts w:cstheme="minorHAnsi"/>
          <w:color w:val="000000"/>
          <w:szCs w:val="15"/>
          <w:shd w:val="clear" w:color="auto" w:fill="FFFFFF"/>
        </w:rPr>
        <w:t xml:space="preserve">425–451, </w:t>
      </w:r>
      <w:hyperlink r:id="rId337" w:history="1">
        <w:r w:rsidRPr="00045703">
          <w:rPr>
            <w:rStyle w:val="Hyperlink"/>
            <w:rFonts w:cstheme="minorHAnsi"/>
            <w:szCs w:val="15"/>
            <w:shd w:val="clear" w:color="auto" w:fill="FFFFFF"/>
          </w:rPr>
          <w:t>https://doi.org/10.1177/0013916516648735</w:t>
        </w:r>
      </w:hyperlink>
      <w:r w:rsidRPr="00B009F8">
        <w:rPr>
          <w:rStyle w:val="normaltextrun"/>
          <w:rFonts w:cstheme="minorHAnsi"/>
          <w:color w:val="000000"/>
          <w:szCs w:val="15"/>
          <w:shd w:val="clear" w:color="auto" w:fill="FFFFFF"/>
        </w:rPr>
        <w:t>.</w:t>
      </w:r>
    </w:p>
  </w:endnote>
  <w:endnote w:id="280">
    <w:p w14:paraId="3D305344" w14:textId="77777777" w:rsidR="00373ED9" w:rsidRPr="00FC4EA2" w:rsidRDefault="00373ED9" w:rsidP="00373ED9">
      <w:pPr>
        <w:pStyle w:val="EndnoteText"/>
        <w:rPr>
          <w:szCs w:val="15"/>
        </w:rPr>
      </w:pPr>
      <w:r w:rsidRPr="00B009F8">
        <w:rPr>
          <w:rStyle w:val="EndnoteReference"/>
          <w:rFonts w:cstheme="minorHAnsi"/>
          <w:szCs w:val="15"/>
        </w:rPr>
        <w:endnoteRef/>
      </w:r>
      <w:r w:rsidRPr="00B009F8">
        <w:rPr>
          <w:rFonts w:cstheme="minorHAnsi"/>
          <w:szCs w:val="15"/>
        </w:rPr>
        <w:t xml:space="preserve"> </w:t>
      </w:r>
      <w:r>
        <w:rPr>
          <w:rFonts w:cstheme="minorHAnsi"/>
          <w:szCs w:val="15"/>
        </w:rPr>
        <w:t xml:space="preserve">A </w:t>
      </w:r>
      <w:r w:rsidRPr="00B009F8">
        <w:rPr>
          <w:rFonts w:cstheme="minorHAnsi"/>
          <w:szCs w:val="15"/>
        </w:rPr>
        <w:t>Belmonte,</w:t>
      </w:r>
      <w:r>
        <w:rPr>
          <w:rFonts w:cstheme="minorHAnsi"/>
          <w:szCs w:val="15"/>
        </w:rPr>
        <w:t xml:space="preserve"> V </w:t>
      </w:r>
      <w:r w:rsidRPr="00B009F8">
        <w:rPr>
          <w:rFonts w:cstheme="minorHAnsi"/>
          <w:szCs w:val="15"/>
        </w:rPr>
        <w:t xml:space="preserve">Bove, </w:t>
      </w:r>
      <w:r>
        <w:rPr>
          <w:rFonts w:cstheme="minorHAnsi"/>
          <w:szCs w:val="15"/>
        </w:rPr>
        <w:t xml:space="preserve">G </w:t>
      </w:r>
      <w:r w:rsidRPr="00B009F8">
        <w:rPr>
          <w:rFonts w:cstheme="minorHAnsi"/>
          <w:szCs w:val="15"/>
        </w:rPr>
        <w:t xml:space="preserve">D’Inverno and </w:t>
      </w:r>
      <w:r>
        <w:rPr>
          <w:rFonts w:cstheme="minorHAnsi"/>
          <w:szCs w:val="15"/>
        </w:rPr>
        <w:t xml:space="preserve">M </w:t>
      </w:r>
      <w:r w:rsidRPr="00B009F8">
        <w:rPr>
          <w:rFonts w:cstheme="minorHAnsi"/>
          <w:szCs w:val="15"/>
        </w:rPr>
        <w:t>Modica</w:t>
      </w:r>
      <w:r>
        <w:rPr>
          <w:rFonts w:cstheme="minorHAnsi"/>
          <w:szCs w:val="15"/>
        </w:rPr>
        <w:t>,</w:t>
      </w:r>
      <w:r w:rsidRPr="00B009F8">
        <w:rPr>
          <w:rFonts w:cstheme="minorHAnsi"/>
          <w:szCs w:val="15"/>
        </w:rPr>
        <w:t xml:space="preserve"> </w:t>
      </w:r>
      <w:r w:rsidRPr="00816D4A">
        <w:rPr>
          <w:rFonts w:cstheme="minorHAnsi"/>
          <w:i/>
          <w:iCs/>
          <w:szCs w:val="15"/>
        </w:rPr>
        <w:t>School infrastructure spending and educational outcomes: Evidence from the 2012 earthquake in Northern Italy</w:t>
      </w:r>
      <w:r>
        <w:rPr>
          <w:rFonts w:cstheme="minorHAnsi"/>
          <w:szCs w:val="15"/>
        </w:rPr>
        <w:t>,</w:t>
      </w:r>
      <w:r w:rsidRPr="00B009F8">
        <w:rPr>
          <w:rFonts w:cstheme="minorHAnsi"/>
          <w:szCs w:val="15"/>
        </w:rPr>
        <w:t xml:space="preserve"> </w:t>
      </w:r>
      <w:r w:rsidRPr="00B009F8">
        <w:rPr>
          <w:rFonts w:cstheme="minorHAnsi"/>
          <w:i/>
          <w:iCs/>
          <w:szCs w:val="15"/>
        </w:rPr>
        <w:t>Economics of Education Review</w:t>
      </w:r>
      <w:r w:rsidRPr="00816D4A">
        <w:rPr>
          <w:rFonts w:cstheme="minorHAnsi"/>
          <w:szCs w:val="15"/>
        </w:rPr>
        <w:t>, Vol 75</w:t>
      </w:r>
      <w:r w:rsidRPr="00674974">
        <w:rPr>
          <w:rFonts w:cstheme="minorHAnsi"/>
          <w:szCs w:val="15"/>
        </w:rPr>
        <w:t>,</w:t>
      </w:r>
      <w:r w:rsidRPr="00816D4A">
        <w:rPr>
          <w:rFonts w:cstheme="minorHAnsi"/>
          <w:szCs w:val="15"/>
        </w:rPr>
        <w:t xml:space="preserve"> </w:t>
      </w:r>
      <w:r w:rsidRPr="00B009F8">
        <w:rPr>
          <w:rFonts w:cstheme="minorHAnsi"/>
          <w:szCs w:val="15"/>
        </w:rPr>
        <w:t>2020</w:t>
      </w:r>
      <w:r>
        <w:rPr>
          <w:rFonts w:cstheme="minorHAnsi"/>
          <w:szCs w:val="15"/>
        </w:rPr>
        <w:t xml:space="preserve">, </w:t>
      </w:r>
      <w:hyperlink r:id="rId338" w:history="1">
        <w:r w:rsidRPr="00045703">
          <w:rPr>
            <w:rStyle w:val="Hyperlink"/>
            <w:rFonts w:cstheme="minorHAnsi"/>
            <w:szCs w:val="15"/>
          </w:rPr>
          <w:t>https://doi.org/10.1016/j.econedurev.2019.101951</w:t>
        </w:r>
      </w:hyperlink>
      <w:r>
        <w:rPr>
          <w:rFonts w:cstheme="minorHAnsi"/>
          <w:szCs w:val="15"/>
        </w:rPr>
        <w:t>.</w:t>
      </w:r>
    </w:p>
  </w:endnote>
  <w:endnote w:id="281">
    <w:p w14:paraId="01F71D2A" w14:textId="77777777" w:rsidR="00373ED9" w:rsidRPr="00DB580A" w:rsidRDefault="00373ED9" w:rsidP="00373ED9">
      <w:pPr>
        <w:spacing w:before="84" w:after="84" w:line="190" w:lineRule="atLeast"/>
        <w:rPr>
          <w:sz w:val="15"/>
          <w:szCs w:val="15"/>
        </w:rPr>
      </w:pPr>
      <w:r w:rsidRPr="00DB580A">
        <w:rPr>
          <w:rStyle w:val="EndnoteReference"/>
          <w:sz w:val="15"/>
          <w:szCs w:val="15"/>
        </w:rPr>
        <w:endnoteRef/>
      </w:r>
      <w:r w:rsidRPr="00DB580A">
        <w:rPr>
          <w:sz w:val="15"/>
          <w:szCs w:val="15"/>
        </w:rPr>
        <w:t xml:space="preserve"> </w:t>
      </w:r>
      <w:r w:rsidRPr="00DB580A">
        <w:rPr>
          <w:rFonts w:cs="Calibri"/>
          <w:sz w:val="15"/>
          <w:szCs w:val="15"/>
        </w:rPr>
        <w:t xml:space="preserve">Department of Education, </w:t>
      </w:r>
      <w:hyperlink r:id="rId339" w:history="1">
        <w:r w:rsidRPr="00DB580A">
          <w:rPr>
            <w:rStyle w:val="Hyperlink"/>
            <w:i/>
            <w:sz w:val="15"/>
            <w:szCs w:val="15"/>
          </w:rPr>
          <w:t>School operations: asset management planning – school upgrades</w:t>
        </w:r>
      </w:hyperlink>
      <w:r w:rsidRPr="00DB580A">
        <w:rPr>
          <w:rFonts w:cs="Calibri"/>
          <w:sz w:val="15"/>
          <w:szCs w:val="15"/>
        </w:rPr>
        <w:t xml:space="preserve"> (website), 22</w:t>
      </w:r>
      <w:r w:rsidRPr="00DB580A" w:rsidDel="009B54EC">
        <w:rPr>
          <w:rFonts w:cs="Calibri"/>
          <w:sz w:val="15"/>
          <w:szCs w:val="15"/>
        </w:rPr>
        <w:t xml:space="preserve"> </w:t>
      </w:r>
      <w:r w:rsidRPr="00DB580A">
        <w:rPr>
          <w:rFonts w:cs="Calibri"/>
          <w:sz w:val="15"/>
          <w:szCs w:val="15"/>
        </w:rPr>
        <w:t>May 2023,</w:t>
      </w:r>
      <w:r w:rsidRPr="00DB580A" w:rsidDel="00951D50">
        <w:rPr>
          <w:rFonts w:cs="Calibri"/>
          <w:sz w:val="15"/>
          <w:szCs w:val="15"/>
        </w:rPr>
        <w:t xml:space="preserve"> </w:t>
      </w:r>
      <w:r w:rsidRPr="00DB580A">
        <w:rPr>
          <w:rFonts w:cs="Calibri"/>
          <w:sz w:val="15"/>
          <w:szCs w:val="15"/>
        </w:rPr>
        <w:t xml:space="preserve">accessed 2 July 2023. </w:t>
      </w:r>
    </w:p>
  </w:endnote>
  <w:endnote w:id="282">
    <w:p w14:paraId="00269659" w14:textId="77777777" w:rsidR="00373ED9" w:rsidRDefault="00373ED9" w:rsidP="00373ED9">
      <w:pPr>
        <w:pStyle w:val="EndnoteText"/>
      </w:pPr>
      <w:r w:rsidRPr="00FC4EA2">
        <w:rPr>
          <w:rStyle w:val="EndnoteReference"/>
          <w:szCs w:val="15"/>
        </w:rPr>
        <w:endnoteRef/>
      </w:r>
      <w:r w:rsidRPr="00FC4EA2">
        <w:rPr>
          <w:szCs w:val="15"/>
        </w:rPr>
        <w:t xml:space="preserve"> </w:t>
      </w:r>
      <w:r w:rsidRPr="00F05DC5">
        <w:rPr>
          <w:szCs w:val="15"/>
        </w:rPr>
        <w:t>Department of Treasury and Finance</w:t>
      </w:r>
      <w:r w:rsidRPr="004A1190">
        <w:rPr>
          <w:szCs w:val="15"/>
        </w:rPr>
        <w:t>,</w:t>
      </w:r>
      <w:r w:rsidRPr="00F05DC5">
        <w:rPr>
          <w:szCs w:val="15"/>
        </w:rPr>
        <w:t xml:space="preserve"> </w:t>
      </w:r>
      <w:hyperlink r:id="rId340" w:anchor="budget-paper-3-service-delivery" w:history="1">
        <w:r w:rsidRPr="004A1190">
          <w:rPr>
            <w:rStyle w:val="Hyperlink"/>
            <w:i/>
            <w:iCs/>
            <w:szCs w:val="15"/>
          </w:rPr>
          <w:t>Victorian Budget 2023</w:t>
        </w:r>
        <w:r>
          <w:rPr>
            <w:rStyle w:val="Hyperlink"/>
            <w:i/>
            <w:iCs/>
            <w:szCs w:val="15"/>
          </w:rPr>
          <w:t>–</w:t>
        </w:r>
        <w:r w:rsidRPr="004A1190">
          <w:rPr>
            <w:rStyle w:val="Hyperlink"/>
            <w:i/>
            <w:iCs/>
            <w:szCs w:val="15"/>
          </w:rPr>
          <w:t>24 – Budget Paper No. 3</w:t>
        </w:r>
      </w:hyperlink>
      <w:r w:rsidRPr="004A1190">
        <w:rPr>
          <w:szCs w:val="15"/>
        </w:rPr>
        <w:t>, 2023, p</w:t>
      </w:r>
      <w:r>
        <w:rPr>
          <w:szCs w:val="15"/>
        </w:rPr>
        <w:t>.</w:t>
      </w:r>
      <w:r w:rsidRPr="00F05DC5" w:rsidDel="008C7EEE">
        <w:rPr>
          <w:szCs w:val="15"/>
        </w:rPr>
        <w:t xml:space="preserve"> </w:t>
      </w:r>
      <w:r>
        <w:rPr>
          <w:szCs w:val="15"/>
        </w:rPr>
        <w:t xml:space="preserve">20, accessed 14 August 2023 </w:t>
      </w:r>
      <w:r w:rsidRPr="004A1190">
        <w:rPr>
          <w:szCs w:val="15"/>
        </w:rPr>
        <w:t>(</w:t>
      </w:r>
      <w:hyperlink r:id="rId341" w:history="1">
        <w:r w:rsidRPr="004A1190">
          <w:rPr>
            <w:rStyle w:val="Hyperlink"/>
            <w:szCs w:val="15"/>
          </w:rPr>
          <w:t>https://s3.ap-southeast-2.amazonaws.com/budgetfiles202324.budget.vic.gov.au/2023</w:t>
        </w:r>
        <w:r>
          <w:rPr>
            <w:rStyle w:val="Hyperlink"/>
            <w:szCs w:val="15"/>
          </w:rPr>
          <w:t>–</w:t>
        </w:r>
        <w:r w:rsidRPr="004A1190">
          <w:rPr>
            <w:rStyle w:val="Hyperlink"/>
            <w:szCs w:val="15"/>
          </w:rPr>
          <w:t>24+State+Budget+-+Service+Delivery.pdf</w:t>
        </w:r>
      </w:hyperlink>
      <w:r w:rsidRPr="004A1190">
        <w:rPr>
          <w:szCs w:val="15"/>
        </w:rPr>
        <w:t>)</w:t>
      </w:r>
      <w:r>
        <w:rPr>
          <w:szCs w:val="15"/>
        </w:rPr>
        <w:t>.</w:t>
      </w:r>
    </w:p>
  </w:endnote>
  <w:endnote w:id="283">
    <w:p w14:paraId="63628FC0" w14:textId="77777777" w:rsidR="00373ED9" w:rsidRDefault="00373ED9" w:rsidP="00373ED9">
      <w:pPr>
        <w:pStyle w:val="EndnoteText"/>
      </w:pPr>
      <w:r>
        <w:rPr>
          <w:rStyle w:val="EndnoteReference"/>
        </w:rPr>
        <w:endnoteRef/>
      </w:r>
      <w:r>
        <w:t xml:space="preserve"> </w:t>
      </w:r>
      <w:r w:rsidRPr="00F05DC5">
        <w:rPr>
          <w:szCs w:val="15"/>
        </w:rPr>
        <w:t>Department of Treasury and Finance</w:t>
      </w:r>
      <w:r w:rsidRPr="004A1190">
        <w:rPr>
          <w:szCs w:val="15"/>
        </w:rPr>
        <w:t>,</w:t>
      </w:r>
      <w:r w:rsidRPr="00F05DC5">
        <w:rPr>
          <w:szCs w:val="15"/>
        </w:rPr>
        <w:t xml:space="preserve"> </w:t>
      </w:r>
      <w:hyperlink r:id="rId342" w:anchor="budget-paper-3-service-delivery" w:history="1">
        <w:r w:rsidRPr="004A1190">
          <w:rPr>
            <w:rStyle w:val="Hyperlink"/>
            <w:i/>
            <w:iCs/>
            <w:szCs w:val="15"/>
          </w:rPr>
          <w:t>Victorian Budget 2023</w:t>
        </w:r>
        <w:r>
          <w:rPr>
            <w:rStyle w:val="Hyperlink"/>
            <w:i/>
            <w:iCs/>
            <w:szCs w:val="15"/>
          </w:rPr>
          <w:t>–</w:t>
        </w:r>
        <w:r w:rsidRPr="004A1190">
          <w:rPr>
            <w:rStyle w:val="Hyperlink"/>
            <w:i/>
            <w:iCs/>
            <w:szCs w:val="15"/>
          </w:rPr>
          <w:t>24 – Budget Paper No. 3</w:t>
        </w:r>
      </w:hyperlink>
      <w:r w:rsidRPr="004A1190">
        <w:rPr>
          <w:szCs w:val="15"/>
        </w:rPr>
        <w:t>, 2023, p</w:t>
      </w:r>
      <w:r>
        <w:rPr>
          <w:szCs w:val="15"/>
        </w:rPr>
        <w:t>.</w:t>
      </w:r>
      <w:r w:rsidRPr="00F05DC5" w:rsidDel="008C7EEE">
        <w:rPr>
          <w:szCs w:val="15"/>
        </w:rPr>
        <w:t xml:space="preserve"> </w:t>
      </w:r>
      <w:r>
        <w:rPr>
          <w:szCs w:val="15"/>
        </w:rPr>
        <w:t xml:space="preserve">25, accessed 14 August 2023 </w:t>
      </w:r>
      <w:r w:rsidRPr="004A1190">
        <w:rPr>
          <w:szCs w:val="15"/>
        </w:rPr>
        <w:t>(</w:t>
      </w:r>
      <w:hyperlink r:id="rId343" w:history="1">
        <w:r w:rsidRPr="004A1190">
          <w:rPr>
            <w:rStyle w:val="Hyperlink"/>
            <w:szCs w:val="15"/>
          </w:rPr>
          <w:t>https://s3.ap-southeast-2.amazonaws.com/budgetfiles202324.budget.vic.gov.au/2023</w:t>
        </w:r>
        <w:r>
          <w:rPr>
            <w:rStyle w:val="Hyperlink"/>
            <w:szCs w:val="15"/>
          </w:rPr>
          <w:t>–</w:t>
        </w:r>
        <w:r w:rsidRPr="004A1190">
          <w:rPr>
            <w:rStyle w:val="Hyperlink"/>
            <w:szCs w:val="15"/>
          </w:rPr>
          <w:t>24+State+Budget+-+Service+Delivery.pdf</w:t>
        </w:r>
      </w:hyperlink>
      <w:r w:rsidRPr="004A1190">
        <w:rPr>
          <w:szCs w:val="15"/>
        </w:rPr>
        <w:t>)</w:t>
      </w:r>
      <w:r>
        <w:rPr>
          <w:szCs w:val="15"/>
        </w:rPr>
        <w:t>.</w:t>
      </w:r>
    </w:p>
  </w:endnote>
  <w:endnote w:id="284">
    <w:p w14:paraId="5731AB29" w14:textId="77777777" w:rsidR="00373ED9" w:rsidRDefault="00373ED9" w:rsidP="00373ED9">
      <w:pPr>
        <w:pStyle w:val="EndnoteText"/>
      </w:pPr>
      <w:r>
        <w:rPr>
          <w:rStyle w:val="EndnoteReference"/>
        </w:rPr>
        <w:endnoteRef/>
      </w:r>
      <w:r>
        <w:t xml:space="preserve"> </w:t>
      </w:r>
      <w:r w:rsidRPr="00F05DC5">
        <w:rPr>
          <w:szCs w:val="15"/>
        </w:rPr>
        <w:t>Department of Treasury and Finance</w:t>
      </w:r>
      <w:r w:rsidRPr="004A1190">
        <w:rPr>
          <w:szCs w:val="15"/>
        </w:rPr>
        <w:t>,</w:t>
      </w:r>
      <w:r w:rsidRPr="00F05DC5">
        <w:rPr>
          <w:szCs w:val="15"/>
        </w:rPr>
        <w:t xml:space="preserve"> </w:t>
      </w:r>
      <w:hyperlink r:id="rId344" w:anchor="budget-paper-3-service-delivery" w:history="1">
        <w:r w:rsidRPr="004A1190">
          <w:rPr>
            <w:rStyle w:val="Hyperlink"/>
            <w:i/>
            <w:iCs/>
            <w:szCs w:val="15"/>
          </w:rPr>
          <w:t>Victorian Budget 2023</w:t>
        </w:r>
        <w:r>
          <w:rPr>
            <w:rStyle w:val="Hyperlink"/>
            <w:i/>
            <w:iCs/>
            <w:szCs w:val="15"/>
          </w:rPr>
          <w:t>–</w:t>
        </w:r>
        <w:r w:rsidRPr="004A1190">
          <w:rPr>
            <w:rStyle w:val="Hyperlink"/>
            <w:i/>
            <w:iCs/>
            <w:szCs w:val="15"/>
          </w:rPr>
          <w:t>24 – Budget Paper No. 3</w:t>
        </w:r>
      </w:hyperlink>
      <w:r w:rsidRPr="004A1190">
        <w:rPr>
          <w:szCs w:val="15"/>
        </w:rPr>
        <w:t>, 2023, p</w:t>
      </w:r>
      <w:r>
        <w:rPr>
          <w:szCs w:val="15"/>
        </w:rPr>
        <w:t>.</w:t>
      </w:r>
      <w:r w:rsidRPr="00F05DC5" w:rsidDel="008C7EEE">
        <w:rPr>
          <w:szCs w:val="15"/>
        </w:rPr>
        <w:t xml:space="preserve"> </w:t>
      </w:r>
      <w:r>
        <w:rPr>
          <w:szCs w:val="15"/>
        </w:rPr>
        <w:t xml:space="preserve">26, accessed 14 August 2023 </w:t>
      </w:r>
      <w:r w:rsidRPr="004A1190">
        <w:rPr>
          <w:szCs w:val="15"/>
        </w:rPr>
        <w:t>(</w:t>
      </w:r>
      <w:hyperlink r:id="rId345" w:history="1">
        <w:r w:rsidRPr="004A1190">
          <w:rPr>
            <w:rStyle w:val="Hyperlink"/>
            <w:szCs w:val="15"/>
          </w:rPr>
          <w:t>https://s3.ap-southeast-2.amazonaws.com/budgetfiles202324.budget.vic.gov.au/2023</w:t>
        </w:r>
        <w:r>
          <w:rPr>
            <w:rStyle w:val="Hyperlink"/>
            <w:szCs w:val="15"/>
          </w:rPr>
          <w:t>–</w:t>
        </w:r>
        <w:r w:rsidRPr="004A1190">
          <w:rPr>
            <w:rStyle w:val="Hyperlink"/>
            <w:szCs w:val="15"/>
          </w:rPr>
          <w:t>24+State+Budget+-+Service+Delivery.pdf</w:t>
        </w:r>
      </w:hyperlink>
      <w:r w:rsidRPr="004A1190">
        <w:rPr>
          <w:szCs w:val="15"/>
        </w:rPr>
        <w:t>)</w:t>
      </w:r>
      <w:r>
        <w:rPr>
          <w:szCs w:val="15"/>
        </w:rPr>
        <w:t>.</w:t>
      </w:r>
    </w:p>
  </w:endnote>
  <w:endnote w:id="285">
    <w:p w14:paraId="27801B7D" w14:textId="77777777" w:rsidR="00373ED9" w:rsidRDefault="00373ED9" w:rsidP="00373ED9">
      <w:pPr>
        <w:pStyle w:val="EndnoteText"/>
      </w:pPr>
      <w:r>
        <w:rPr>
          <w:rStyle w:val="EndnoteReference"/>
        </w:rPr>
        <w:endnoteRef/>
      </w:r>
      <w:r>
        <w:t xml:space="preserve"> </w:t>
      </w:r>
      <w:r w:rsidRPr="00F05DC5">
        <w:rPr>
          <w:szCs w:val="15"/>
        </w:rPr>
        <w:t>Department of Treasury and Finance</w:t>
      </w:r>
      <w:r w:rsidRPr="004A1190">
        <w:rPr>
          <w:szCs w:val="15"/>
        </w:rPr>
        <w:t>,</w:t>
      </w:r>
      <w:r w:rsidRPr="00F05DC5">
        <w:rPr>
          <w:szCs w:val="15"/>
        </w:rPr>
        <w:t xml:space="preserve"> </w:t>
      </w:r>
      <w:hyperlink r:id="rId346" w:anchor="budget-paper-3-service-delivery" w:history="1">
        <w:r w:rsidRPr="004A1190">
          <w:rPr>
            <w:rStyle w:val="Hyperlink"/>
            <w:i/>
            <w:iCs/>
            <w:szCs w:val="15"/>
          </w:rPr>
          <w:t>Victorian Budget 2023</w:t>
        </w:r>
        <w:r>
          <w:rPr>
            <w:rStyle w:val="Hyperlink"/>
            <w:i/>
            <w:iCs/>
            <w:szCs w:val="15"/>
          </w:rPr>
          <w:t>–</w:t>
        </w:r>
        <w:r w:rsidRPr="004A1190">
          <w:rPr>
            <w:rStyle w:val="Hyperlink"/>
            <w:i/>
            <w:iCs/>
            <w:szCs w:val="15"/>
          </w:rPr>
          <w:t>24 – Budget Paper No. 3</w:t>
        </w:r>
      </w:hyperlink>
      <w:r w:rsidRPr="004A1190">
        <w:rPr>
          <w:szCs w:val="15"/>
        </w:rPr>
        <w:t>, 2023, p</w:t>
      </w:r>
      <w:r>
        <w:rPr>
          <w:szCs w:val="15"/>
        </w:rPr>
        <w:t>.</w:t>
      </w:r>
      <w:r w:rsidRPr="00F05DC5" w:rsidDel="008C7EEE">
        <w:rPr>
          <w:szCs w:val="15"/>
        </w:rPr>
        <w:t xml:space="preserve"> </w:t>
      </w:r>
      <w:r>
        <w:rPr>
          <w:szCs w:val="15"/>
        </w:rPr>
        <w:t xml:space="preserve">22, accessed 14 August 2023 </w:t>
      </w:r>
      <w:r w:rsidRPr="004A1190">
        <w:rPr>
          <w:szCs w:val="15"/>
        </w:rPr>
        <w:t>(</w:t>
      </w:r>
      <w:hyperlink r:id="rId347" w:history="1">
        <w:r w:rsidRPr="004A1190">
          <w:rPr>
            <w:rStyle w:val="Hyperlink"/>
            <w:szCs w:val="15"/>
          </w:rPr>
          <w:t>https://s3.ap-southeast-2.amazonaws.com/budgetfiles202324.budget.vic.gov.au/2023</w:t>
        </w:r>
        <w:r>
          <w:rPr>
            <w:rStyle w:val="Hyperlink"/>
            <w:szCs w:val="15"/>
          </w:rPr>
          <w:t>–</w:t>
        </w:r>
        <w:r w:rsidRPr="004A1190">
          <w:rPr>
            <w:rStyle w:val="Hyperlink"/>
            <w:szCs w:val="15"/>
          </w:rPr>
          <w:t>24+State+Budget+-+Service+Delivery.pdf</w:t>
        </w:r>
      </w:hyperlink>
      <w:r w:rsidRPr="004A1190">
        <w:rPr>
          <w:szCs w:val="15"/>
        </w:rPr>
        <w:t>)</w:t>
      </w:r>
      <w:r>
        <w:rPr>
          <w:szCs w:val="15"/>
        </w:rPr>
        <w:t>.</w:t>
      </w:r>
    </w:p>
  </w:endnote>
  <w:endnote w:id="286">
    <w:p w14:paraId="78AB4AD8" w14:textId="77777777" w:rsidR="00373ED9" w:rsidRDefault="00373ED9" w:rsidP="00373ED9">
      <w:pPr>
        <w:pStyle w:val="EndnoteText"/>
      </w:pPr>
      <w:r>
        <w:rPr>
          <w:rStyle w:val="EndnoteReference"/>
        </w:rPr>
        <w:endnoteRef/>
      </w:r>
      <w:r>
        <w:t xml:space="preserve">  </w:t>
      </w:r>
      <w:r w:rsidRPr="00CF1599">
        <w:rPr>
          <w:szCs w:val="15"/>
        </w:rPr>
        <w:t>Department of Education</w:t>
      </w:r>
      <w:r>
        <w:rPr>
          <w:szCs w:val="15"/>
        </w:rPr>
        <w:t>,</w:t>
      </w:r>
      <w:r w:rsidRPr="00CF1599">
        <w:rPr>
          <w:szCs w:val="15"/>
        </w:rPr>
        <w:t xml:space="preserve"> </w:t>
      </w:r>
      <w:hyperlink r:id="rId348" w:history="1">
        <w:r w:rsidRPr="00816D4A">
          <w:rPr>
            <w:rStyle w:val="Hyperlink"/>
            <w:i/>
          </w:rPr>
          <w:t>School operations: school maintenance plans and rolling facilities evaluations</w:t>
        </w:r>
      </w:hyperlink>
      <w:r>
        <w:rPr>
          <w:szCs w:val="15"/>
        </w:rPr>
        <w:t xml:space="preserve"> (website), 27 January 2023, accessed 4 July 2023.</w:t>
      </w:r>
    </w:p>
  </w:endnote>
  <w:endnote w:id="287">
    <w:p w14:paraId="5E6348C3" w14:textId="77777777" w:rsidR="00373ED9" w:rsidRDefault="00373ED9" w:rsidP="00373ED9">
      <w:pPr>
        <w:pStyle w:val="EndnoteText"/>
      </w:pPr>
      <w:r>
        <w:rPr>
          <w:rStyle w:val="EndnoteReference"/>
        </w:rPr>
        <w:endnoteRef/>
      </w:r>
      <w:r>
        <w:t xml:space="preserve"> </w:t>
      </w:r>
      <w:r w:rsidRPr="00F05DC5">
        <w:rPr>
          <w:szCs w:val="15"/>
        </w:rPr>
        <w:t>Department of Treasury and Finance</w:t>
      </w:r>
      <w:r w:rsidRPr="004A1190">
        <w:rPr>
          <w:szCs w:val="15"/>
        </w:rPr>
        <w:t>,</w:t>
      </w:r>
      <w:r w:rsidRPr="00F05DC5">
        <w:rPr>
          <w:szCs w:val="15"/>
        </w:rPr>
        <w:t xml:space="preserve"> </w:t>
      </w:r>
      <w:hyperlink r:id="rId349" w:anchor="budget-paper-3-service-delivery" w:history="1">
        <w:r w:rsidRPr="004A1190">
          <w:rPr>
            <w:rStyle w:val="Hyperlink"/>
            <w:i/>
            <w:iCs/>
            <w:szCs w:val="15"/>
          </w:rPr>
          <w:t>Victorian Budget 2023</w:t>
        </w:r>
        <w:r>
          <w:rPr>
            <w:rStyle w:val="Hyperlink"/>
            <w:i/>
            <w:iCs/>
            <w:szCs w:val="15"/>
          </w:rPr>
          <w:t>–</w:t>
        </w:r>
        <w:r w:rsidRPr="004A1190">
          <w:rPr>
            <w:rStyle w:val="Hyperlink"/>
            <w:i/>
            <w:iCs/>
            <w:szCs w:val="15"/>
          </w:rPr>
          <w:t>24 – Budget Paper No. 3</w:t>
        </w:r>
      </w:hyperlink>
      <w:bookmarkStart w:id="70" w:name="_Hlk141108338"/>
      <w:r w:rsidRPr="004A1190">
        <w:rPr>
          <w:szCs w:val="15"/>
        </w:rPr>
        <w:t>, 2023, p</w:t>
      </w:r>
      <w:r>
        <w:rPr>
          <w:szCs w:val="15"/>
        </w:rPr>
        <w:t>.</w:t>
      </w:r>
      <w:r w:rsidRPr="00F05DC5" w:rsidDel="008C7EEE">
        <w:rPr>
          <w:szCs w:val="15"/>
        </w:rPr>
        <w:t xml:space="preserve"> </w:t>
      </w:r>
      <w:r>
        <w:rPr>
          <w:szCs w:val="15"/>
        </w:rPr>
        <w:t xml:space="preserve">11, accessed 14 August 2023 </w:t>
      </w:r>
      <w:r w:rsidRPr="004A1190">
        <w:rPr>
          <w:szCs w:val="15"/>
        </w:rPr>
        <w:t>(</w:t>
      </w:r>
      <w:hyperlink r:id="rId350" w:history="1">
        <w:r w:rsidRPr="004A1190">
          <w:rPr>
            <w:rStyle w:val="Hyperlink"/>
            <w:szCs w:val="15"/>
          </w:rPr>
          <w:t>https://s3.ap-southeast-2.amazonaws.com/budgetfiles202324.budget.vic.gov.au/2023</w:t>
        </w:r>
        <w:r>
          <w:rPr>
            <w:rStyle w:val="Hyperlink"/>
            <w:szCs w:val="15"/>
          </w:rPr>
          <w:t>–</w:t>
        </w:r>
        <w:r w:rsidRPr="004A1190">
          <w:rPr>
            <w:rStyle w:val="Hyperlink"/>
            <w:szCs w:val="15"/>
          </w:rPr>
          <w:t>24+State+Budget+-+Service+Delivery.pdf</w:t>
        </w:r>
      </w:hyperlink>
      <w:r w:rsidRPr="004A1190">
        <w:rPr>
          <w:szCs w:val="15"/>
        </w:rPr>
        <w:t>)</w:t>
      </w:r>
      <w:r>
        <w:rPr>
          <w:szCs w:val="15"/>
        </w:rPr>
        <w:t>.</w:t>
      </w:r>
      <w:bookmarkEnd w:id="70"/>
      <w:r>
        <w:rPr>
          <w:color w:val="0000FF" w:themeColor="hyperlink"/>
          <w:u w:val="single"/>
        </w:rPr>
        <w:t xml:space="preserve"> </w:t>
      </w:r>
    </w:p>
  </w:endnote>
  <w:endnote w:id="288">
    <w:p w14:paraId="21EB4A44" w14:textId="77777777" w:rsidR="00373ED9" w:rsidRPr="00822986" w:rsidRDefault="00373ED9" w:rsidP="00373ED9">
      <w:pPr>
        <w:pStyle w:val="CommentText"/>
        <w:spacing w:before="84" w:after="84" w:line="190" w:lineRule="atLeast"/>
        <w:ind w:left="340" w:hanging="340"/>
        <w:rPr>
          <w:sz w:val="15"/>
          <w:szCs w:val="15"/>
        </w:rPr>
      </w:pPr>
      <w:r w:rsidRPr="00822986">
        <w:rPr>
          <w:rStyle w:val="EndnoteReference"/>
          <w:sz w:val="15"/>
          <w:szCs w:val="15"/>
        </w:rPr>
        <w:endnoteRef/>
      </w:r>
      <w:r w:rsidRPr="00822986">
        <w:rPr>
          <w:sz w:val="15"/>
          <w:szCs w:val="15"/>
        </w:rPr>
        <w:t xml:space="preserve"> Department of Education and Training</w:t>
      </w:r>
      <w:r>
        <w:rPr>
          <w:sz w:val="15"/>
          <w:szCs w:val="15"/>
        </w:rPr>
        <w:t>,</w:t>
      </w:r>
      <w:r w:rsidRPr="00822986">
        <w:rPr>
          <w:sz w:val="15"/>
          <w:szCs w:val="15"/>
        </w:rPr>
        <w:t xml:space="preserve"> </w:t>
      </w:r>
      <w:r>
        <w:rPr>
          <w:i/>
          <w:sz w:val="15"/>
          <w:szCs w:val="15"/>
        </w:rPr>
        <w:t xml:space="preserve"> </w:t>
      </w:r>
      <w:hyperlink r:id="rId351" w:history="1">
        <w:r w:rsidRPr="00723BAA">
          <w:rPr>
            <w:rStyle w:val="Hyperlink"/>
            <w:i/>
            <w:iCs/>
            <w:sz w:val="15"/>
            <w:szCs w:val="15"/>
          </w:rPr>
          <w:t>Department of Education and Training strategic plan 2022</w:t>
        </w:r>
        <w:r>
          <w:rPr>
            <w:rStyle w:val="Hyperlink"/>
            <w:i/>
            <w:iCs/>
            <w:sz w:val="15"/>
            <w:szCs w:val="15"/>
          </w:rPr>
          <w:t>–</w:t>
        </w:r>
        <w:r w:rsidRPr="00723BAA">
          <w:rPr>
            <w:rStyle w:val="Hyperlink"/>
            <w:i/>
            <w:iCs/>
            <w:sz w:val="15"/>
            <w:szCs w:val="15"/>
          </w:rPr>
          <w:t>26</w:t>
        </w:r>
      </w:hyperlink>
      <w:r>
        <w:rPr>
          <w:sz w:val="15"/>
          <w:szCs w:val="15"/>
        </w:rPr>
        <w:t>,</w:t>
      </w:r>
      <w:r w:rsidRPr="00822986" w:rsidDel="006973B1">
        <w:rPr>
          <w:sz w:val="15"/>
          <w:szCs w:val="15"/>
        </w:rPr>
        <w:t xml:space="preserve"> </w:t>
      </w:r>
      <w:r w:rsidRPr="00822986">
        <w:rPr>
          <w:sz w:val="15"/>
          <w:szCs w:val="15"/>
        </w:rPr>
        <w:t>August 2022,</w:t>
      </w:r>
      <w:r w:rsidRPr="00822986" w:rsidDel="006973B1">
        <w:rPr>
          <w:sz w:val="15"/>
          <w:szCs w:val="15"/>
        </w:rPr>
        <w:t xml:space="preserve"> </w:t>
      </w:r>
      <w:r>
        <w:rPr>
          <w:sz w:val="15"/>
          <w:szCs w:val="15"/>
        </w:rPr>
        <w:t xml:space="preserve">accessed </w:t>
      </w:r>
      <w:r w:rsidRPr="00822986">
        <w:rPr>
          <w:sz w:val="15"/>
          <w:szCs w:val="15"/>
        </w:rPr>
        <w:t>2 July 2023</w:t>
      </w:r>
      <w:r>
        <w:rPr>
          <w:sz w:val="15"/>
          <w:szCs w:val="15"/>
        </w:rPr>
        <w:t>.</w:t>
      </w:r>
    </w:p>
  </w:endnote>
  <w:endnote w:id="289">
    <w:p w14:paraId="5A8CDBFB" w14:textId="77777777" w:rsidR="00373ED9" w:rsidRDefault="00373ED9" w:rsidP="00373ED9">
      <w:pPr>
        <w:pStyle w:val="EndnoteText"/>
      </w:pPr>
      <w:r>
        <w:rPr>
          <w:rStyle w:val="EndnoteReference"/>
        </w:rPr>
        <w:endnoteRef/>
      </w:r>
      <w:r>
        <w:t xml:space="preserve"> </w:t>
      </w:r>
      <w:r w:rsidRPr="00F05DC5">
        <w:rPr>
          <w:szCs w:val="15"/>
        </w:rPr>
        <w:t>Department of Treasury and Finance</w:t>
      </w:r>
      <w:r w:rsidRPr="004A1190">
        <w:rPr>
          <w:szCs w:val="15"/>
        </w:rPr>
        <w:t>,</w:t>
      </w:r>
      <w:r w:rsidRPr="00F05DC5">
        <w:rPr>
          <w:szCs w:val="15"/>
        </w:rPr>
        <w:t xml:space="preserve"> </w:t>
      </w:r>
      <w:hyperlink r:id="rId352" w:anchor="budget-paper-3-service-delivery" w:history="1">
        <w:r w:rsidRPr="004A1190">
          <w:rPr>
            <w:rStyle w:val="Hyperlink"/>
            <w:i/>
            <w:iCs/>
            <w:szCs w:val="15"/>
          </w:rPr>
          <w:t>Victorian Budget 2023</w:t>
        </w:r>
        <w:r>
          <w:rPr>
            <w:rStyle w:val="Hyperlink"/>
            <w:i/>
            <w:iCs/>
            <w:szCs w:val="15"/>
          </w:rPr>
          <w:t>–</w:t>
        </w:r>
        <w:r w:rsidRPr="004A1190">
          <w:rPr>
            <w:rStyle w:val="Hyperlink"/>
            <w:i/>
            <w:iCs/>
            <w:szCs w:val="15"/>
          </w:rPr>
          <w:t>24 – Budget Paper No. 3</w:t>
        </w:r>
      </w:hyperlink>
      <w:bookmarkStart w:id="71" w:name="_Hlk139380705"/>
      <w:r w:rsidRPr="004A1190">
        <w:rPr>
          <w:szCs w:val="15"/>
        </w:rPr>
        <w:t>, 2023, p</w:t>
      </w:r>
      <w:r>
        <w:rPr>
          <w:szCs w:val="15"/>
        </w:rPr>
        <w:t>.</w:t>
      </w:r>
      <w:r w:rsidRPr="00F05DC5" w:rsidDel="008C7EEE">
        <w:rPr>
          <w:szCs w:val="15"/>
        </w:rPr>
        <w:t xml:space="preserve"> </w:t>
      </w:r>
      <w:r>
        <w:rPr>
          <w:szCs w:val="15"/>
        </w:rPr>
        <w:t xml:space="preserve">22, accessed 14 August 2023 </w:t>
      </w:r>
      <w:r w:rsidRPr="004A1190">
        <w:rPr>
          <w:szCs w:val="15"/>
        </w:rPr>
        <w:t>(</w:t>
      </w:r>
      <w:hyperlink r:id="rId353" w:history="1">
        <w:r w:rsidRPr="004A1190">
          <w:rPr>
            <w:rStyle w:val="Hyperlink"/>
            <w:szCs w:val="15"/>
          </w:rPr>
          <w:t>https://s3.ap-southeast-2.amazonaws.com/budgetfiles202324.budget.vic.gov.au/2023</w:t>
        </w:r>
        <w:r>
          <w:rPr>
            <w:rStyle w:val="Hyperlink"/>
            <w:szCs w:val="15"/>
          </w:rPr>
          <w:t>–</w:t>
        </w:r>
        <w:r w:rsidRPr="004A1190">
          <w:rPr>
            <w:rStyle w:val="Hyperlink"/>
            <w:szCs w:val="15"/>
          </w:rPr>
          <w:t>24+State+Budget+-+Service+Delivery.pdf</w:t>
        </w:r>
      </w:hyperlink>
      <w:r w:rsidRPr="004A1190">
        <w:rPr>
          <w:szCs w:val="15"/>
        </w:rPr>
        <w:t>)</w:t>
      </w:r>
      <w:r>
        <w:rPr>
          <w:szCs w:val="15"/>
        </w:rPr>
        <w:t>.</w:t>
      </w:r>
      <w:bookmarkEnd w:id="71"/>
      <w:r>
        <w:rPr>
          <w:color w:val="0000FF" w:themeColor="hyperlink"/>
          <w:u w:val="single"/>
        </w:rPr>
        <w:t xml:space="preserve"> </w:t>
      </w:r>
    </w:p>
  </w:endnote>
  <w:endnote w:id="290">
    <w:p w14:paraId="68E01EBF" w14:textId="77777777" w:rsidR="00373ED9" w:rsidRDefault="00373ED9" w:rsidP="00373ED9">
      <w:pPr>
        <w:pStyle w:val="EndnoteText"/>
      </w:pPr>
      <w:r>
        <w:rPr>
          <w:rStyle w:val="EndnoteReference"/>
        </w:rPr>
        <w:endnoteRef/>
      </w:r>
      <w:r>
        <w:t xml:space="preserve"> </w:t>
      </w:r>
      <w:r w:rsidRPr="00F05DC5">
        <w:rPr>
          <w:szCs w:val="15"/>
        </w:rPr>
        <w:t>Department of Treasury and Finance</w:t>
      </w:r>
      <w:r w:rsidRPr="004A1190">
        <w:rPr>
          <w:szCs w:val="15"/>
        </w:rPr>
        <w:t>,</w:t>
      </w:r>
      <w:r w:rsidRPr="00F05DC5">
        <w:rPr>
          <w:szCs w:val="15"/>
        </w:rPr>
        <w:t xml:space="preserve"> </w:t>
      </w:r>
      <w:hyperlink r:id="rId354" w:anchor="budget-paper-3-service-delivery" w:history="1">
        <w:r w:rsidRPr="004A1190">
          <w:rPr>
            <w:rStyle w:val="Hyperlink"/>
            <w:i/>
            <w:iCs/>
            <w:szCs w:val="15"/>
          </w:rPr>
          <w:t>Victorian Budget 2023</w:t>
        </w:r>
        <w:r>
          <w:rPr>
            <w:rStyle w:val="Hyperlink"/>
            <w:i/>
            <w:iCs/>
            <w:szCs w:val="15"/>
          </w:rPr>
          <w:t>–</w:t>
        </w:r>
        <w:r w:rsidRPr="004A1190">
          <w:rPr>
            <w:rStyle w:val="Hyperlink"/>
            <w:i/>
            <w:iCs/>
            <w:szCs w:val="15"/>
          </w:rPr>
          <w:t>24 – Budget Paper No. 3</w:t>
        </w:r>
      </w:hyperlink>
      <w:r w:rsidRPr="004A1190">
        <w:rPr>
          <w:szCs w:val="15"/>
        </w:rPr>
        <w:t>, 2023, p</w:t>
      </w:r>
      <w:r>
        <w:rPr>
          <w:szCs w:val="15"/>
        </w:rPr>
        <w:t>.</w:t>
      </w:r>
      <w:r w:rsidRPr="00F05DC5" w:rsidDel="008C7EEE">
        <w:rPr>
          <w:szCs w:val="15"/>
        </w:rPr>
        <w:t xml:space="preserve"> </w:t>
      </w:r>
      <w:r>
        <w:rPr>
          <w:szCs w:val="15"/>
        </w:rPr>
        <w:t xml:space="preserve">22, accessed 14 August 2023 </w:t>
      </w:r>
      <w:r w:rsidRPr="004A1190">
        <w:rPr>
          <w:szCs w:val="15"/>
        </w:rPr>
        <w:t>(</w:t>
      </w:r>
      <w:hyperlink r:id="rId355" w:history="1">
        <w:r w:rsidRPr="004A1190">
          <w:rPr>
            <w:rStyle w:val="Hyperlink"/>
            <w:szCs w:val="15"/>
          </w:rPr>
          <w:t>https://s3.ap-southeast-2.amazonaws.com/budgetfiles202324.budget.vic.gov.au/2023</w:t>
        </w:r>
        <w:r>
          <w:rPr>
            <w:rStyle w:val="Hyperlink"/>
            <w:szCs w:val="15"/>
          </w:rPr>
          <w:t>–</w:t>
        </w:r>
        <w:r w:rsidRPr="004A1190">
          <w:rPr>
            <w:rStyle w:val="Hyperlink"/>
            <w:szCs w:val="15"/>
          </w:rPr>
          <w:t>24+State+Budget+-+Service+Delivery.pdf</w:t>
        </w:r>
      </w:hyperlink>
      <w:r w:rsidRPr="004A1190">
        <w:rPr>
          <w:szCs w:val="15"/>
        </w:rPr>
        <w:t>)</w:t>
      </w:r>
      <w:r>
        <w:rPr>
          <w:szCs w:val="15"/>
        </w:rPr>
        <w:t>.</w:t>
      </w:r>
    </w:p>
  </w:endnote>
  <w:endnote w:id="291">
    <w:p w14:paraId="79087B2C" w14:textId="7EE6CCF1" w:rsidR="00373ED9" w:rsidRPr="00B935B6" w:rsidRDefault="00373ED9" w:rsidP="00373ED9">
      <w:pPr>
        <w:pStyle w:val="CommentText"/>
        <w:spacing w:before="84" w:after="84"/>
        <w:rPr>
          <w:sz w:val="15"/>
          <w:szCs w:val="15"/>
        </w:rPr>
      </w:pPr>
      <w:r w:rsidRPr="004D7DE3">
        <w:rPr>
          <w:rStyle w:val="EndnoteReference"/>
          <w:sz w:val="15"/>
          <w:szCs w:val="15"/>
        </w:rPr>
        <w:endnoteRef/>
      </w:r>
      <w:r w:rsidRPr="00111737" w:rsidDel="00111737">
        <w:rPr>
          <w:sz w:val="15"/>
          <w:szCs w:val="15"/>
        </w:rPr>
        <w:t xml:space="preserve"> </w:t>
      </w:r>
      <w:r w:rsidRPr="00816D4A">
        <w:rPr>
          <w:rStyle w:val="EndnoteReference"/>
          <w:sz w:val="15"/>
          <w:szCs w:val="15"/>
        </w:rPr>
        <w:t xml:space="preserve">Department of Education and Training, </w:t>
      </w:r>
      <w:hyperlink r:id="rId356" w:history="1">
        <w:r w:rsidRPr="001D2923">
          <w:rPr>
            <w:rStyle w:val="Hyperlink"/>
            <w:i/>
            <w:sz w:val="15"/>
            <w:szCs w:val="15"/>
          </w:rPr>
          <w:t>Summary statistics for Victorian schools 2022</w:t>
        </w:r>
      </w:hyperlink>
      <w:r w:rsidR="00C72DE3">
        <w:rPr>
          <w:i/>
          <w:sz w:val="15"/>
          <w:szCs w:val="15"/>
        </w:rPr>
        <w:t>,</w:t>
      </w:r>
      <w:r w:rsidRPr="00816D4A">
        <w:rPr>
          <w:rStyle w:val="EndnoteReference"/>
          <w:sz w:val="15"/>
          <w:szCs w:val="15"/>
        </w:rPr>
        <w:t xml:space="preserve"> </w:t>
      </w:r>
      <w:r w:rsidRPr="00816D4A">
        <w:rPr>
          <w:sz w:val="15"/>
          <w:szCs w:val="15"/>
        </w:rPr>
        <w:t xml:space="preserve">July </w:t>
      </w:r>
      <w:r w:rsidRPr="00816D4A">
        <w:rPr>
          <w:rStyle w:val="EndnoteReference"/>
          <w:sz w:val="15"/>
          <w:szCs w:val="15"/>
        </w:rPr>
        <w:t>2022</w:t>
      </w:r>
      <w:r w:rsidRPr="00816D4A">
        <w:rPr>
          <w:sz w:val="15"/>
          <w:szCs w:val="15"/>
        </w:rPr>
        <w:t>, accessed 14 August 2023.</w:t>
      </w:r>
      <w:r w:rsidRPr="00846CEB">
        <w:rPr>
          <w:sz w:val="15"/>
          <w:szCs w:val="15"/>
        </w:rPr>
        <w:t xml:space="preserve"> </w:t>
      </w:r>
    </w:p>
  </w:endnote>
  <w:endnote w:id="292">
    <w:p w14:paraId="556A3581" w14:textId="77777777" w:rsidR="00373ED9" w:rsidRDefault="00373ED9" w:rsidP="00373ED9">
      <w:pPr>
        <w:pStyle w:val="EndnoteText"/>
      </w:pPr>
      <w:r>
        <w:rPr>
          <w:rStyle w:val="EndnoteReference"/>
        </w:rPr>
        <w:endnoteRef/>
      </w:r>
      <w:r>
        <w:t xml:space="preserve"> </w:t>
      </w:r>
      <w:r w:rsidRPr="00F05DC5">
        <w:rPr>
          <w:szCs w:val="15"/>
        </w:rPr>
        <w:t>Department of Treasury and Finance</w:t>
      </w:r>
      <w:r w:rsidRPr="004A1190">
        <w:rPr>
          <w:szCs w:val="15"/>
        </w:rPr>
        <w:t>,</w:t>
      </w:r>
      <w:r w:rsidRPr="00F05DC5">
        <w:rPr>
          <w:szCs w:val="15"/>
        </w:rPr>
        <w:t xml:space="preserve"> </w:t>
      </w:r>
      <w:hyperlink r:id="rId357" w:anchor="budget-paper-3-service-delivery" w:history="1">
        <w:r w:rsidRPr="004A1190">
          <w:rPr>
            <w:rStyle w:val="Hyperlink"/>
            <w:i/>
            <w:iCs/>
            <w:szCs w:val="15"/>
          </w:rPr>
          <w:t>Victorian Budget 2023</w:t>
        </w:r>
        <w:r>
          <w:rPr>
            <w:rStyle w:val="Hyperlink"/>
            <w:i/>
            <w:iCs/>
            <w:szCs w:val="15"/>
          </w:rPr>
          <w:t>–</w:t>
        </w:r>
        <w:r w:rsidRPr="004A1190">
          <w:rPr>
            <w:rStyle w:val="Hyperlink"/>
            <w:i/>
            <w:iCs/>
            <w:szCs w:val="15"/>
          </w:rPr>
          <w:t>24 – Budget Paper No. 3</w:t>
        </w:r>
      </w:hyperlink>
      <w:r w:rsidRPr="004A1190">
        <w:rPr>
          <w:szCs w:val="15"/>
        </w:rPr>
        <w:t>, 2023, p</w:t>
      </w:r>
      <w:r>
        <w:rPr>
          <w:szCs w:val="15"/>
        </w:rPr>
        <w:t>.</w:t>
      </w:r>
      <w:r w:rsidRPr="00F05DC5" w:rsidDel="008C7EEE">
        <w:rPr>
          <w:szCs w:val="15"/>
        </w:rPr>
        <w:t xml:space="preserve"> </w:t>
      </w:r>
      <w:r>
        <w:rPr>
          <w:szCs w:val="15"/>
        </w:rPr>
        <w:t xml:space="preserve">11, accessed 14 August 2023 </w:t>
      </w:r>
      <w:r w:rsidRPr="004A1190">
        <w:rPr>
          <w:szCs w:val="15"/>
        </w:rPr>
        <w:t>(</w:t>
      </w:r>
      <w:hyperlink r:id="rId358" w:history="1">
        <w:r w:rsidRPr="004A1190">
          <w:rPr>
            <w:rStyle w:val="Hyperlink"/>
            <w:szCs w:val="15"/>
          </w:rPr>
          <w:t>https://s3.ap-southeast-2.amazonaws.com/budgetfiles202324.budget.vic.gov.au/2023</w:t>
        </w:r>
        <w:r>
          <w:rPr>
            <w:rStyle w:val="Hyperlink"/>
            <w:szCs w:val="15"/>
          </w:rPr>
          <w:t>–</w:t>
        </w:r>
        <w:r w:rsidRPr="004A1190">
          <w:rPr>
            <w:rStyle w:val="Hyperlink"/>
            <w:szCs w:val="15"/>
          </w:rPr>
          <w:t>24+State+Budget+-+Service+Delivery.pdf</w:t>
        </w:r>
      </w:hyperlink>
      <w:r w:rsidRPr="004A1190">
        <w:rPr>
          <w:szCs w:val="15"/>
        </w:rPr>
        <w:t>)</w:t>
      </w:r>
      <w:r>
        <w:rPr>
          <w:szCs w:val="15"/>
        </w:rPr>
        <w:t>.</w:t>
      </w:r>
      <w:r>
        <w:rPr>
          <w:color w:val="0000FF" w:themeColor="hyperlink"/>
          <w:u w:val="single"/>
        </w:rPr>
        <w:t xml:space="preserve"> </w:t>
      </w:r>
    </w:p>
  </w:endnote>
  <w:endnote w:id="293">
    <w:p w14:paraId="66936CB4" w14:textId="77777777" w:rsidR="00373ED9" w:rsidRDefault="00373ED9" w:rsidP="00373ED9">
      <w:pPr>
        <w:pStyle w:val="EndnoteText"/>
      </w:pPr>
      <w:r>
        <w:rPr>
          <w:rStyle w:val="EndnoteReference"/>
        </w:rPr>
        <w:endnoteRef/>
      </w:r>
      <w:r>
        <w:t xml:space="preserve"> Premier of Victoria, </w:t>
      </w:r>
      <w:hyperlink r:id="rId359" w:history="1">
        <w:r w:rsidRPr="00816D4A">
          <w:rPr>
            <w:rStyle w:val="Hyperlink"/>
            <w:i/>
          </w:rPr>
          <w:t>Best start, best life: early childhood education that works</w:t>
        </w:r>
      </w:hyperlink>
      <w:r>
        <w:t xml:space="preserve"> (media release), 16 June 2022, accessed 14 August 2023.</w:t>
      </w:r>
    </w:p>
  </w:endnote>
  <w:endnote w:id="294">
    <w:p w14:paraId="40BE233C" w14:textId="77777777" w:rsidR="00373ED9" w:rsidRDefault="00373ED9" w:rsidP="00373ED9">
      <w:pPr>
        <w:pStyle w:val="EndnoteText"/>
      </w:pPr>
      <w:r>
        <w:rPr>
          <w:rStyle w:val="EndnoteReference"/>
        </w:rPr>
        <w:endnoteRef/>
      </w:r>
      <w:r>
        <w:t xml:space="preserve"> </w:t>
      </w:r>
      <w:r w:rsidRPr="00822986">
        <w:rPr>
          <w:szCs w:val="15"/>
        </w:rPr>
        <w:t>Department of Education and Training</w:t>
      </w:r>
      <w:r>
        <w:rPr>
          <w:szCs w:val="15"/>
        </w:rPr>
        <w:t xml:space="preserve">, </w:t>
      </w:r>
      <w:r>
        <w:rPr>
          <w:i/>
          <w:iCs/>
          <w:szCs w:val="15"/>
        </w:rPr>
        <w:t xml:space="preserve"> </w:t>
      </w:r>
      <w:hyperlink r:id="rId360" w:history="1">
        <w:r w:rsidRPr="00723BAA">
          <w:rPr>
            <w:rStyle w:val="Hyperlink"/>
            <w:i/>
            <w:iCs/>
            <w:szCs w:val="15"/>
          </w:rPr>
          <w:t>Department of Education and Training strategic plan 2022</w:t>
        </w:r>
        <w:r>
          <w:rPr>
            <w:rStyle w:val="Hyperlink"/>
            <w:i/>
            <w:iCs/>
            <w:szCs w:val="15"/>
          </w:rPr>
          <w:t>–</w:t>
        </w:r>
        <w:r w:rsidRPr="00723BAA">
          <w:rPr>
            <w:rStyle w:val="Hyperlink"/>
            <w:i/>
            <w:iCs/>
            <w:szCs w:val="15"/>
          </w:rPr>
          <w:t>26</w:t>
        </w:r>
      </w:hyperlink>
      <w:r>
        <w:rPr>
          <w:szCs w:val="15"/>
        </w:rPr>
        <w:t>,</w:t>
      </w:r>
      <w:r w:rsidRPr="00822986">
        <w:rPr>
          <w:szCs w:val="15"/>
        </w:rPr>
        <w:t xml:space="preserve"> August 2022, </w:t>
      </w:r>
      <w:r>
        <w:rPr>
          <w:szCs w:val="15"/>
        </w:rPr>
        <w:t xml:space="preserve">p. 17, accessed </w:t>
      </w:r>
      <w:r w:rsidRPr="00822986">
        <w:rPr>
          <w:szCs w:val="15"/>
        </w:rPr>
        <w:t>2 July 2023</w:t>
      </w:r>
      <w:r>
        <w:rPr>
          <w:szCs w:val="15"/>
        </w:rPr>
        <w:t>.</w:t>
      </w:r>
    </w:p>
  </w:endnote>
  <w:endnote w:id="295">
    <w:p w14:paraId="595A9993" w14:textId="77777777" w:rsidR="00373ED9" w:rsidRDefault="00373ED9" w:rsidP="00373ED9">
      <w:pPr>
        <w:pStyle w:val="EndnoteText"/>
      </w:pPr>
      <w:r>
        <w:rPr>
          <w:rStyle w:val="EndnoteReference"/>
        </w:rPr>
        <w:endnoteRef/>
      </w:r>
      <w:r>
        <w:t xml:space="preserve"> </w:t>
      </w:r>
      <w:r w:rsidRPr="005A5D25">
        <w:t>Department of Education and Training</w:t>
      </w:r>
      <w:r>
        <w:t xml:space="preserve">, </w:t>
      </w:r>
      <w:hyperlink r:id="rId361" w:history="1">
        <w:r>
          <w:rPr>
            <w:rStyle w:val="Hyperlink"/>
            <w:i/>
            <w:iCs/>
          </w:rPr>
          <w:t>Department of Education and Training strategic plan 2022–26</w:t>
        </w:r>
      </w:hyperlink>
      <w:r>
        <w:t xml:space="preserve">, </w:t>
      </w:r>
      <w:r w:rsidRPr="00A56EC5">
        <w:t>2022, Page 18</w:t>
      </w:r>
      <w:r>
        <w:t>, accessed 2</w:t>
      </w:r>
      <w:r w:rsidRPr="00A56EC5">
        <w:t xml:space="preserve"> July 2023</w:t>
      </w:r>
      <w:r>
        <w:t>.</w:t>
      </w:r>
    </w:p>
  </w:endnote>
  <w:endnote w:id="296">
    <w:p w14:paraId="03C28202" w14:textId="77777777" w:rsidR="00373ED9" w:rsidRPr="00136575" w:rsidRDefault="00373ED9" w:rsidP="00373ED9">
      <w:pPr>
        <w:pStyle w:val="EndnoteText"/>
      </w:pPr>
      <w:r>
        <w:rPr>
          <w:rStyle w:val="EndnoteReference"/>
        </w:rPr>
        <w:endnoteRef/>
      </w:r>
      <w:r>
        <w:t xml:space="preserve"> Victorian Government, </w:t>
      </w:r>
      <w:hyperlink r:id="rId362" w:history="1">
        <w:r w:rsidRPr="00330EBE">
          <w:rPr>
            <w:rStyle w:val="Hyperlink"/>
            <w:i/>
            <w:iCs/>
          </w:rPr>
          <w:t>Best Start Best Life: Sending your child to kinder</w:t>
        </w:r>
      </w:hyperlink>
      <w:r>
        <w:t xml:space="preserve"> (website), 16 August 2023, accessed 17 August 2023.</w:t>
      </w:r>
    </w:p>
  </w:endnote>
  <w:endnote w:id="297">
    <w:p w14:paraId="580245E4" w14:textId="77777777" w:rsidR="00373ED9" w:rsidRDefault="00373ED9" w:rsidP="00373ED9">
      <w:pPr>
        <w:pStyle w:val="EndnoteText"/>
      </w:pPr>
      <w:r>
        <w:rPr>
          <w:rStyle w:val="EndnoteReference"/>
        </w:rPr>
        <w:endnoteRef/>
      </w:r>
      <w:r>
        <w:t xml:space="preserve"> This figure includes asset funding announced for </w:t>
      </w:r>
      <w:r w:rsidRPr="00091AA8">
        <w:rPr>
          <w:i/>
          <w:iCs/>
        </w:rPr>
        <w:t>Best Start, Best Life</w:t>
      </w:r>
      <w:r>
        <w:t xml:space="preserve">, </w:t>
      </w:r>
      <w:r w:rsidRPr="00091AA8">
        <w:rPr>
          <w:i/>
          <w:iCs/>
        </w:rPr>
        <w:t>Best Start, Best Life: Infrastructure</w:t>
      </w:r>
      <w:r>
        <w:t xml:space="preserve"> and </w:t>
      </w:r>
      <w:r w:rsidRPr="00091AA8">
        <w:rPr>
          <w:i/>
          <w:iCs/>
        </w:rPr>
        <w:t>Three-Year-Old Kinder</w:t>
      </w:r>
      <w:r>
        <w:t xml:space="preserve">. </w:t>
      </w:r>
      <w:r w:rsidRPr="00CB31B1">
        <w:rPr>
          <w:rFonts w:cstheme="minorHAnsi"/>
          <w:szCs w:val="15"/>
        </w:rPr>
        <w:t>Department of Treasury and Finance,</w:t>
      </w:r>
      <w:r>
        <w:rPr>
          <w:rFonts w:cstheme="minorHAnsi"/>
          <w:szCs w:val="15"/>
        </w:rPr>
        <w:t xml:space="preserve"> </w:t>
      </w:r>
      <w:hyperlink r:id="rId363" w:history="1">
        <w:r w:rsidRPr="00EF14EE">
          <w:rPr>
            <w:rStyle w:val="Hyperlink"/>
            <w:rFonts w:cstheme="minorHAnsi"/>
            <w:i/>
            <w:iCs/>
            <w:szCs w:val="15"/>
          </w:rPr>
          <w:t>2022 Victorian Economic and Fiscal Update</w:t>
        </w:r>
      </w:hyperlink>
      <w:r>
        <w:rPr>
          <w:rFonts w:cstheme="minorHAnsi"/>
          <w:szCs w:val="15"/>
        </w:rPr>
        <w:t>, 2022, p. 82</w:t>
      </w:r>
      <w:r w:rsidRPr="004A1190">
        <w:rPr>
          <w:szCs w:val="15"/>
        </w:rPr>
        <w:t xml:space="preserve">, accessed </w:t>
      </w:r>
      <w:r>
        <w:rPr>
          <w:szCs w:val="15"/>
        </w:rPr>
        <w:t xml:space="preserve">10 August 2023; </w:t>
      </w:r>
      <w:r w:rsidRPr="00FC4EA2">
        <w:rPr>
          <w:szCs w:val="15"/>
        </w:rPr>
        <w:t xml:space="preserve">Department of Treasury and Finance, </w:t>
      </w:r>
      <w:hyperlink r:id="rId364" w:anchor="budget-paper-3-service-delivery" w:history="1">
        <w:r w:rsidRPr="004A1190">
          <w:rPr>
            <w:rStyle w:val="Hyperlink"/>
            <w:i/>
            <w:iCs/>
            <w:szCs w:val="15"/>
          </w:rPr>
          <w:t>Victorian Budget 2023</w:t>
        </w:r>
        <w:r>
          <w:rPr>
            <w:rStyle w:val="Hyperlink"/>
            <w:i/>
            <w:iCs/>
            <w:szCs w:val="15"/>
          </w:rPr>
          <w:t>–</w:t>
        </w:r>
        <w:r w:rsidRPr="004A1190">
          <w:rPr>
            <w:rStyle w:val="Hyperlink"/>
            <w:i/>
            <w:iCs/>
            <w:szCs w:val="15"/>
          </w:rPr>
          <w:t>24 – Budget Paper No. 3</w:t>
        </w:r>
      </w:hyperlink>
      <w:r w:rsidRPr="00FC4EA2">
        <w:rPr>
          <w:szCs w:val="15"/>
        </w:rPr>
        <w:t xml:space="preserve">, p. </w:t>
      </w:r>
      <w:r>
        <w:rPr>
          <w:szCs w:val="15"/>
        </w:rPr>
        <w:t>22, accessed 10 August 2023 (</w:t>
      </w:r>
      <w:hyperlink r:id="rId365" w:history="1">
        <w:r w:rsidRPr="008F6069">
          <w:rPr>
            <w:color w:val="0000FF" w:themeColor="hyperlink"/>
            <w:u w:val="single"/>
          </w:rPr>
          <w:t>https://s3.ap-southeast-2.amazonaws.com/</w:t>
        </w:r>
        <w:r>
          <w:rPr>
            <w:color w:val="0000FF" w:themeColor="hyperlink"/>
            <w:u w:val="single"/>
          </w:rPr>
          <w:t xml:space="preserve">Budget </w:t>
        </w:r>
        <w:r w:rsidRPr="008F6069">
          <w:rPr>
            <w:color w:val="0000FF" w:themeColor="hyperlink"/>
            <w:u w:val="single"/>
          </w:rPr>
          <w:t>files202324.</w:t>
        </w:r>
        <w:r>
          <w:rPr>
            <w:color w:val="0000FF" w:themeColor="hyperlink"/>
            <w:u w:val="single"/>
          </w:rPr>
          <w:t xml:space="preserve">Budget </w:t>
        </w:r>
        <w:r w:rsidRPr="008F6069">
          <w:rPr>
            <w:color w:val="0000FF" w:themeColor="hyperlink"/>
            <w:u w:val="single"/>
          </w:rPr>
          <w:t>.vic.gov.au/2023</w:t>
        </w:r>
        <w:r>
          <w:rPr>
            <w:color w:val="0000FF" w:themeColor="hyperlink"/>
            <w:u w:val="single"/>
          </w:rPr>
          <w:t>–</w:t>
        </w:r>
        <w:r w:rsidRPr="008F6069">
          <w:rPr>
            <w:color w:val="0000FF" w:themeColor="hyperlink"/>
            <w:u w:val="single"/>
          </w:rPr>
          <w:t>24+State+</w:t>
        </w:r>
        <w:r>
          <w:rPr>
            <w:color w:val="0000FF" w:themeColor="hyperlink"/>
            <w:u w:val="single"/>
          </w:rPr>
          <w:t xml:space="preserve">Budget </w:t>
        </w:r>
        <w:r w:rsidRPr="008F6069">
          <w:rPr>
            <w:color w:val="0000FF" w:themeColor="hyperlink"/>
            <w:u w:val="single"/>
          </w:rPr>
          <w:t>+-+Service+Delivery.pdf</w:t>
        </w:r>
      </w:hyperlink>
      <w:r w:rsidRPr="004A1190">
        <w:rPr>
          <w:szCs w:val="15"/>
        </w:rPr>
        <w:t>)</w:t>
      </w:r>
      <w:r>
        <w:rPr>
          <w:szCs w:val="15"/>
        </w:rPr>
        <w:t>.</w:t>
      </w:r>
    </w:p>
  </w:endnote>
  <w:endnote w:id="298">
    <w:p w14:paraId="6A401A63" w14:textId="77777777" w:rsidR="00373ED9" w:rsidRDefault="00373ED9" w:rsidP="00373ED9">
      <w:pPr>
        <w:pStyle w:val="EndnoteText"/>
      </w:pPr>
      <w:r>
        <w:rPr>
          <w:rStyle w:val="EndnoteReference"/>
        </w:rPr>
        <w:endnoteRef/>
      </w:r>
      <w:r>
        <w:t xml:space="preserve"> Victorian Schools Building Authority</w:t>
      </w:r>
      <w:r>
        <w:rPr>
          <w:szCs w:val="15"/>
        </w:rPr>
        <w:t xml:space="preserve">, </w:t>
      </w:r>
      <w:hyperlink r:id="rId366" w:history="1">
        <w:r w:rsidRPr="00731507">
          <w:rPr>
            <w:rStyle w:val="Hyperlink"/>
            <w:i/>
            <w:iCs/>
            <w:szCs w:val="15"/>
          </w:rPr>
          <w:t>Big budget investment in school and kindergarten buildings</w:t>
        </w:r>
      </w:hyperlink>
      <w:r>
        <w:rPr>
          <w:szCs w:val="15"/>
        </w:rPr>
        <w:t xml:space="preserve"> (website), 24 May 2023, accessed 6 July 2023.</w:t>
      </w:r>
    </w:p>
  </w:endnote>
  <w:endnote w:id="299">
    <w:p w14:paraId="38412AA5" w14:textId="77777777" w:rsidR="00373ED9" w:rsidRDefault="00373ED9" w:rsidP="00373ED9">
      <w:pPr>
        <w:pStyle w:val="EndnoteText"/>
      </w:pPr>
      <w:r w:rsidRPr="00170544">
        <w:rPr>
          <w:rStyle w:val="EndnoteReference"/>
          <w:szCs w:val="15"/>
        </w:rPr>
        <w:endnoteRef/>
      </w:r>
      <w:r w:rsidRPr="00170544">
        <w:rPr>
          <w:szCs w:val="15"/>
        </w:rPr>
        <w:t xml:space="preserve"> </w:t>
      </w:r>
      <w:r>
        <w:t>Victorian Schools Building Authority</w:t>
      </w:r>
      <w:r>
        <w:rPr>
          <w:szCs w:val="15"/>
        </w:rPr>
        <w:t xml:space="preserve">, </w:t>
      </w:r>
      <w:hyperlink r:id="rId367" w:history="1">
        <w:r w:rsidRPr="00731507">
          <w:rPr>
            <w:rStyle w:val="Hyperlink"/>
            <w:i/>
            <w:iCs/>
            <w:szCs w:val="15"/>
          </w:rPr>
          <w:t>Big budget investment in school and kindergarten buildings</w:t>
        </w:r>
      </w:hyperlink>
      <w:r>
        <w:rPr>
          <w:szCs w:val="15"/>
        </w:rPr>
        <w:t xml:space="preserve"> (website), 24 May 2023, accessed 6 July 2023.</w:t>
      </w:r>
    </w:p>
  </w:endnote>
  <w:endnote w:id="300">
    <w:p w14:paraId="370DDE40" w14:textId="77777777" w:rsidR="00373ED9" w:rsidRPr="0008394C" w:rsidRDefault="00373ED9" w:rsidP="00373ED9">
      <w:pPr>
        <w:pStyle w:val="EndnoteText"/>
      </w:pPr>
      <w:r>
        <w:rPr>
          <w:rStyle w:val="EndnoteReference"/>
        </w:rPr>
        <w:endnoteRef/>
      </w:r>
      <w:r>
        <w:t xml:space="preserve"> Victorian School Building Authority, </w:t>
      </w:r>
      <w:hyperlink r:id="rId368" w:history="1">
        <w:r w:rsidRPr="00C80F9B">
          <w:rPr>
            <w:rStyle w:val="Hyperlink"/>
            <w:i/>
            <w:iCs/>
          </w:rPr>
          <w:t>Building Blocks Grants – improvement</w:t>
        </w:r>
      </w:hyperlink>
      <w:r>
        <w:t xml:space="preserve"> (website), 25 July 2023, accessed 9 August 2023.</w:t>
      </w:r>
    </w:p>
  </w:endnote>
  <w:endnote w:id="301">
    <w:p w14:paraId="2A13FCB7" w14:textId="77777777" w:rsidR="00373ED9" w:rsidRDefault="00373ED9" w:rsidP="00373ED9">
      <w:pPr>
        <w:pStyle w:val="EndnoteText"/>
      </w:pPr>
      <w:r>
        <w:rPr>
          <w:rStyle w:val="EndnoteReference"/>
        </w:rPr>
        <w:endnoteRef/>
      </w:r>
      <w:r>
        <w:t xml:space="preserve"> </w:t>
      </w:r>
      <w:r w:rsidRPr="00F05DC5">
        <w:rPr>
          <w:szCs w:val="15"/>
        </w:rPr>
        <w:t>Department of Treasury and Finance</w:t>
      </w:r>
      <w:r w:rsidRPr="004A1190">
        <w:rPr>
          <w:szCs w:val="15"/>
        </w:rPr>
        <w:t>,</w:t>
      </w:r>
      <w:r w:rsidRPr="00F05DC5">
        <w:rPr>
          <w:szCs w:val="15"/>
        </w:rPr>
        <w:t xml:space="preserve"> </w:t>
      </w:r>
      <w:hyperlink r:id="rId369" w:anchor="budget-paper-3-service-delivery" w:history="1">
        <w:r w:rsidRPr="004A1190">
          <w:rPr>
            <w:rStyle w:val="Hyperlink"/>
            <w:i/>
            <w:iCs/>
            <w:szCs w:val="15"/>
          </w:rPr>
          <w:t>Victorian Budget 2023</w:t>
        </w:r>
        <w:r>
          <w:rPr>
            <w:rStyle w:val="Hyperlink"/>
            <w:i/>
            <w:iCs/>
            <w:szCs w:val="15"/>
          </w:rPr>
          <w:t>–</w:t>
        </w:r>
        <w:r w:rsidRPr="004A1190">
          <w:rPr>
            <w:rStyle w:val="Hyperlink"/>
            <w:i/>
            <w:iCs/>
            <w:szCs w:val="15"/>
          </w:rPr>
          <w:t>24 – Budget Paper No. 3</w:t>
        </w:r>
      </w:hyperlink>
      <w:r w:rsidRPr="004A1190">
        <w:rPr>
          <w:szCs w:val="15"/>
        </w:rPr>
        <w:t>, 2023, p</w:t>
      </w:r>
      <w:r>
        <w:rPr>
          <w:szCs w:val="15"/>
        </w:rPr>
        <w:t>.</w:t>
      </w:r>
      <w:r w:rsidRPr="00F05DC5" w:rsidDel="008C7EEE">
        <w:rPr>
          <w:szCs w:val="15"/>
        </w:rPr>
        <w:t xml:space="preserve"> </w:t>
      </w:r>
      <w:r>
        <w:rPr>
          <w:szCs w:val="15"/>
        </w:rPr>
        <w:t xml:space="preserve">11, accessed 14 August 2023 </w:t>
      </w:r>
      <w:r w:rsidRPr="004A1190">
        <w:rPr>
          <w:szCs w:val="15"/>
        </w:rPr>
        <w:t>(</w:t>
      </w:r>
      <w:hyperlink r:id="rId370" w:history="1">
        <w:r w:rsidRPr="004A1190">
          <w:rPr>
            <w:rStyle w:val="Hyperlink"/>
            <w:szCs w:val="15"/>
          </w:rPr>
          <w:t>https://s3.ap-southeast-2.amazonaws.com/budgetfiles202324.budget.vic.gov.au/2023</w:t>
        </w:r>
        <w:r>
          <w:rPr>
            <w:rStyle w:val="Hyperlink"/>
            <w:szCs w:val="15"/>
          </w:rPr>
          <w:t>–</w:t>
        </w:r>
        <w:r w:rsidRPr="004A1190">
          <w:rPr>
            <w:rStyle w:val="Hyperlink"/>
            <w:szCs w:val="15"/>
          </w:rPr>
          <w:t>24+State+Budget+-+Service+Delivery.pdf</w:t>
        </w:r>
      </w:hyperlink>
      <w:r w:rsidRPr="004A1190">
        <w:rPr>
          <w:szCs w:val="15"/>
        </w:rPr>
        <w:t>)</w:t>
      </w:r>
      <w:r>
        <w:rPr>
          <w:szCs w:val="15"/>
        </w:rPr>
        <w:t>.</w:t>
      </w:r>
    </w:p>
  </w:endnote>
  <w:endnote w:id="302">
    <w:p w14:paraId="5BD2CC8C" w14:textId="77777777" w:rsidR="00373ED9" w:rsidRDefault="00373ED9" w:rsidP="00373ED9">
      <w:pPr>
        <w:pStyle w:val="EndnoteText"/>
      </w:pPr>
      <w:r>
        <w:rPr>
          <w:rStyle w:val="EndnoteReference"/>
        </w:rPr>
        <w:endnoteRef/>
      </w:r>
      <w:r>
        <w:t xml:space="preserve"> Victorian School Building Authority, </w:t>
      </w:r>
      <w:hyperlink r:id="rId371" w:history="1">
        <w:r w:rsidRPr="00C80F9B">
          <w:rPr>
            <w:rStyle w:val="Hyperlink"/>
            <w:i/>
            <w:iCs/>
          </w:rPr>
          <w:t xml:space="preserve">Building Blocks Grants – </w:t>
        </w:r>
        <w:r>
          <w:rPr>
            <w:rStyle w:val="Hyperlink"/>
            <w:i/>
            <w:iCs/>
          </w:rPr>
          <w:t>capacity building</w:t>
        </w:r>
      </w:hyperlink>
      <w:r>
        <w:t xml:space="preserve"> (website), 8 August 2023, accessed 9 August 2023.</w:t>
      </w:r>
    </w:p>
  </w:endnote>
  <w:endnote w:id="303">
    <w:p w14:paraId="40FE0F6B" w14:textId="77051C00" w:rsidR="00373ED9" w:rsidRDefault="00373ED9" w:rsidP="00373ED9">
      <w:pPr>
        <w:pStyle w:val="EndnoteText"/>
      </w:pPr>
      <w:r>
        <w:rPr>
          <w:rStyle w:val="EndnoteReference"/>
        </w:rPr>
        <w:endnoteRef/>
      </w:r>
      <w:r>
        <w:t xml:space="preserve"> Essential Services Commission, </w:t>
      </w:r>
      <w:hyperlink r:id="rId372" w:anchor="tabs-container2" w:history="1">
        <w:r w:rsidRPr="00E668D0">
          <w:rPr>
            <w:rStyle w:val="Hyperlink"/>
            <w:i/>
            <w:iCs/>
          </w:rPr>
          <w:t>Victorian energy market report: June 2023</w:t>
        </w:r>
      </w:hyperlink>
      <w:r>
        <w:t>, 2023, p.14, accessed 3 July 2023.</w:t>
      </w:r>
    </w:p>
  </w:endnote>
  <w:endnote w:id="304">
    <w:p w14:paraId="6DA25FAC" w14:textId="77777777" w:rsidR="00373ED9" w:rsidRPr="00287A7D" w:rsidRDefault="00373ED9" w:rsidP="00373ED9">
      <w:pPr>
        <w:pStyle w:val="EndnoteText"/>
      </w:pPr>
      <w:r>
        <w:rPr>
          <w:rStyle w:val="EndnoteReference"/>
        </w:rPr>
        <w:endnoteRef/>
      </w:r>
      <w:r>
        <w:t xml:space="preserve"> Essential Services Commission, </w:t>
      </w:r>
      <w:hyperlink r:id="rId373" w:history="1">
        <w:r w:rsidRPr="00287A7D">
          <w:rPr>
            <w:rStyle w:val="Hyperlink"/>
            <w:i/>
            <w:iCs/>
          </w:rPr>
          <w:t>Payment difficulty framework implementation review 2021</w:t>
        </w:r>
      </w:hyperlink>
      <w:r>
        <w:t>, ESC website, n.d., accessed 24 July 2023.</w:t>
      </w:r>
    </w:p>
  </w:endnote>
  <w:endnote w:id="305">
    <w:p w14:paraId="093D4798" w14:textId="64989ADC" w:rsidR="00373ED9" w:rsidRDefault="00373ED9" w:rsidP="00373ED9">
      <w:pPr>
        <w:pStyle w:val="EndnoteText"/>
      </w:pPr>
      <w:r>
        <w:rPr>
          <w:rStyle w:val="EndnoteReference"/>
        </w:rPr>
        <w:endnoteRef/>
      </w:r>
      <w:r>
        <w:t xml:space="preserve"> Essential Services Commission, </w:t>
      </w:r>
      <w:hyperlink r:id="rId374" w:anchor="tabs-container2" w:history="1">
        <w:r w:rsidRPr="000754E5">
          <w:rPr>
            <w:rStyle w:val="Hyperlink"/>
            <w:i/>
            <w:iCs/>
          </w:rPr>
          <w:t>Victorian energy market report: March 2023</w:t>
        </w:r>
      </w:hyperlink>
      <w:r>
        <w:t>, 2023, p.23, accessed 3 July 2023.</w:t>
      </w:r>
    </w:p>
  </w:endnote>
  <w:endnote w:id="306">
    <w:p w14:paraId="0EF03A4F" w14:textId="42F97181" w:rsidR="00373ED9" w:rsidRDefault="00373ED9" w:rsidP="00373ED9">
      <w:pPr>
        <w:pStyle w:val="EndnoteText"/>
      </w:pPr>
      <w:r>
        <w:rPr>
          <w:rStyle w:val="EndnoteReference"/>
        </w:rPr>
        <w:endnoteRef/>
      </w:r>
      <w:r>
        <w:t xml:space="preserve"> Essential Services Commission, </w:t>
      </w:r>
      <w:hyperlink r:id="rId375" w:anchor="tabs-container2" w:history="1">
        <w:r w:rsidRPr="003C3465">
          <w:rPr>
            <w:rStyle w:val="Hyperlink"/>
            <w:i/>
            <w:iCs/>
          </w:rPr>
          <w:t>Victorian energy market report: March 2023</w:t>
        </w:r>
      </w:hyperlink>
      <w:r>
        <w:t>, 2023, p.23, accessed 3 July 2023.</w:t>
      </w:r>
    </w:p>
  </w:endnote>
  <w:endnote w:id="307">
    <w:p w14:paraId="30F9A2FF" w14:textId="77777777" w:rsidR="00373ED9" w:rsidRDefault="00373ED9" w:rsidP="00373ED9">
      <w:pPr>
        <w:pStyle w:val="EndnoteText"/>
      </w:pPr>
      <w:r>
        <w:rPr>
          <w:rStyle w:val="EndnoteReference"/>
        </w:rPr>
        <w:endnoteRef/>
      </w:r>
      <w:r>
        <w:t xml:space="preserve"> Premier of Victoria, </w:t>
      </w:r>
      <w:hyperlink r:id="rId376" w:history="1">
        <w:r w:rsidRPr="00F020D7">
          <w:rPr>
            <w:rStyle w:val="Hyperlink"/>
            <w:i/>
            <w:iCs/>
          </w:rPr>
          <w:t>Helping low-income households stay comfy and save money</w:t>
        </w:r>
      </w:hyperlink>
      <w:r>
        <w:t xml:space="preserve"> (media release), 1 August 2021, accessed 3 July 2023.</w:t>
      </w:r>
    </w:p>
  </w:endnote>
  <w:endnote w:id="308">
    <w:p w14:paraId="73EED03F" w14:textId="77777777" w:rsidR="00373ED9" w:rsidRDefault="00373ED9" w:rsidP="00373ED9">
      <w:pPr>
        <w:pStyle w:val="EndnoteText"/>
      </w:pPr>
      <w:r>
        <w:rPr>
          <w:rStyle w:val="EndnoteReference"/>
        </w:rPr>
        <w:endnoteRef/>
      </w:r>
      <w:r>
        <w:t xml:space="preserve"> Premier of Victoria, </w:t>
      </w:r>
      <w:hyperlink r:id="rId377" w:history="1">
        <w:r w:rsidRPr="00F020D7">
          <w:rPr>
            <w:rStyle w:val="Hyperlink"/>
            <w:i/>
            <w:iCs/>
          </w:rPr>
          <w:t>Helping low-income households stay comfy and save money</w:t>
        </w:r>
      </w:hyperlink>
      <w:r>
        <w:t xml:space="preserve"> (media release), 1 August 2021, accessed 3 July 2023.</w:t>
      </w:r>
    </w:p>
  </w:endnote>
  <w:endnote w:id="309">
    <w:p w14:paraId="2BB80942" w14:textId="77777777" w:rsidR="00373ED9" w:rsidRDefault="00373ED9" w:rsidP="00373ED9">
      <w:pPr>
        <w:pStyle w:val="EndnoteText"/>
      </w:pPr>
      <w:r>
        <w:rPr>
          <w:rStyle w:val="EndnoteReference"/>
        </w:rPr>
        <w:endnoteRef/>
      </w:r>
      <w:r>
        <w:t xml:space="preserve"> Department of Energy, Environment and Climate Action, </w:t>
      </w:r>
      <w:hyperlink r:id="rId378" w:history="1">
        <w:r w:rsidRPr="00F020D7">
          <w:rPr>
            <w:rStyle w:val="Hyperlink"/>
            <w:i/>
            <w:iCs/>
          </w:rPr>
          <w:t>Victorian energy upgrades for households</w:t>
        </w:r>
      </w:hyperlink>
      <w:r>
        <w:t xml:space="preserve"> (website), n.d., accessed 11 July 2023.</w:t>
      </w:r>
    </w:p>
  </w:endnote>
  <w:endnote w:id="310">
    <w:p w14:paraId="4E47F2EE" w14:textId="77777777" w:rsidR="00373ED9" w:rsidRDefault="00373ED9" w:rsidP="00373ED9">
      <w:pPr>
        <w:pStyle w:val="EndnoteText"/>
      </w:pPr>
      <w:r>
        <w:rPr>
          <w:rStyle w:val="EndnoteReference"/>
        </w:rPr>
        <w:endnoteRef/>
      </w:r>
      <w:r>
        <w:t xml:space="preserve"> Department of Energy, Environment and Climate Action, </w:t>
      </w:r>
      <w:hyperlink r:id="rId379" w:history="1">
        <w:r w:rsidRPr="00F020D7">
          <w:rPr>
            <w:rStyle w:val="Hyperlink"/>
            <w:i/>
            <w:iCs/>
          </w:rPr>
          <w:t>Victorian energy upgrades for households</w:t>
        </w:r>
      </w:hyperlink>
      <w:r>
        <w:t xml:space="preserve"> (website), n.d., accessed 11 July 2023.</w:t>
      </w:r>
    </w:p>
  </w:endnote>
  <w:endnote w:id="311">
    <w:p w14:paraId="393F7904" w14:textId="77777777" w:rsidR="00373ED9" w:rsidRPr="006A6DE7" w:rsidRDefault="00373ED9" w:rsidP="00373ED9">
      <w:pPr>
        <w:pStyle w:val="EndnoteText"/>
      </w:pPr>
      <w:r>
        <w:rPr>
          <w:rStyle w:val="EndnoteReference"/>
        </w:rPr>
        <w:endnoteRef/>
      </w:r>
      <w:r>
        <w:t xml:space="preserve"> Department of Families, Fairness and Housing, </w:t>
      </w:r>
      <w:hyperlink r:id="rId380" w:history="1">
        <w:r w:rsidRPr="00F020D7">
          <w:rPr>
            <w:rStyle w:val="Hyperlink"/>
            <w:i/>
            <w:iCs/>
          </w:rPr>
          <w:t>Energy efficiency in social housing</w:t>
        </w:r>
      </w:hyperlink>
      <w:r>
        <w:t xml:space="preserve"> (website), n.d., accessed 3 </w:t>
      </w:r>
      <w:r w:rsidRPr="006A6DE7">
        <w:t>July 2023</w:t>
      </w:r>
      <w:r>
        <w:t>.</w:t>
      </w:r>
    </w:p>
  </w:endnote>
  <w:endnote w:id="312">
    <w:p w14:paraId="53125F26" w14:textId="77777777" w:rsidR="00373ED9" w:rsidRPr="006B4708" w:rsidRDefault="00373ED9" w:rsidP="00373ED9">
      <w:pPr>
        <w:pStyle w:val="EndnoteText"/>
        <w:rPr>
          <w:highlight w:val="yellow"/>
        </w:rPr>
      </w:pPr>
      <w:r w:rsidRPr="006A6DE7">
        <w:rPr>
          <w:rStyle w:val="EndnoteReference"/>
        </w:rPr>
        <w:endnoteRef/>
      </w:r>
      <w:r w:rsidRPr="006A6DE7">
        <w:t xml:space="preserve"> </w:t>
      </w:r>
      <w:r w:rsidRPr="00F05DC5">
        <w:rPr>
          <w:szCs w:val="15"/>
        </w:rPr>
        <w:t>Department of Treasury and Finance</w:t>
      </w:r>
      <w:r w:rsidRPr="004A1190">
        <w:rPr>
          <w:szCs w:val="15"/>
        </w:rPr>
        <w:t>,</w:t>
      </w:r>
      <w:r w:rsidRPr="00F05DC5">
        <w:rPr>
          <w:szCs w:val="15"/>
        </w:rPr>
        <w:t xml:space="preserve"> </w:t>
      </w:r>
      <w:hyperlink r:id="rId381" w:anchor="budget-paper-3-service-delivery" w:history="1">
        <w:r w:rsidRPr="004A1190">
          <w:rPr>
            <w:rStyle w:val="Hyperlink"/>
            <w:i/>
            <w:iCs/>
            <w:szCs w:val="15"/>
          </w:rPr>
          <w:t>Victorian Budget 2023</w:t>
        </w:r>
        <w:r>
          <w:rPr>
            <w:rStyle w:val="Hyperlink"/>
            <w:i/>
            <w:iCs/>
            <w:szCs w:val="15"/>
          </w:rPr>
          <w:t>–</w:t>
        </w:r>
        <w:r w:rsidRPr="004A1190">
          <w:rPr>
            <w:rStyle w:val="Hyperlink"/>
            <w:i/>
            <w:iCs/>
            <w:szCs w:val="15"/>
          </w:rPr>
          <w:t>24 – Budget Paper No. 3</w:t>
        </w:r>
      </w:hyperlink>
      <w:r w:rsidRPr="004A1190">
        <w:rPr>
          <w:szCs w:val="15"/>
        </w:rPr>
        <w:t>, 2023, p</w:t>
      </w:r>
      <w:r>
        <w:rPr>
          <w:szCs w:val="15"/>
        </w:rPr>
        <w:t>p.</w:t>
      </w:r>
      <w:r w:rsidRPr="00F05DC5" w:rsidDel="008C7EEE">
        <w:rPr>
          <w:szCs w:val="15"/>
        </w:rPr>
        <w:t xml:space="preserve"> </w:t>
      </w:r>
      <w:r>
        <w:rPr>
          <w:szCs w:val="15"/>
        </w:rPr>
        <w:t xml:space="preserve">28, 33, accessed 3 July 2023 </w:t>
      </w:r>
      <w:r w:rsidRPr="004A1190">
        <w:rPr>
          <w:szCs w:val="15"/>
        </w:rPr>
        <w:t>(</w:t>
      </w:r>
      <w:hyperlink r:id="rId382" w:history="1">
        <w:r w:rsidRPr="004A1190">
          <w:rPr>
            <w:rStyle w:val="Hyperlink"/>
            <w:szCs w:val="15"/>
          </w:rPr>
          <w:t>https://s3.ap-southeast-2.amazonaws.com/budgetfiles202324.budget.vic.gov.au/2023</w:t>
        </w:r>
        <w:r>
          <w:rPr>
            <w:rStyle w:val="Hyperlink"/>
            <w:szCs w:val="15"/>
          </w:rPr>
          <w:t>–</w:t>
        </w:r>
        <w:r w:rsidRPr="004A1190">
          <w:rPr>
            <w:rStyle w:val="Hyperlink"/>
            <w:szCs w:val="15"/>
          </w:rPr>
          <w:t>24+State+Budget+-+Service+Delivery.pdf</w:t>
        </w:r>
      </w:hyperlink>
      <w:r w:rsidRPr="004A1190">
        <w:rPr>
          <w:szCs w:val="15"/>
        </w:rPr>
        <w:t>)</w:t>
      </w:r>
      <w:r>
        <w:rPr>
          <w:szCs w:val="15"/>
        </w:rPr>
        <w:t>.</w:t>
      </w:r>
    </w:p>
  </w:endnote>
  <w:endnote w:id="313">
    <w:p w14:paraId="02D926B3" w14:textId="77777777" w:rsidR="00373ED9" w:rsidRDefault="00373ED9" w:rsidP="00373ED9">
      <w:pPr>
        <w:pStyle w:val="EndnoteText"/>
      </w:pPr>
      <w:r>
        <w:rPr>
          <w:rStyle w:val="EndnoteReference"/>
        </w:rPr>
        <w:endnoteRef/>
      </w:r>
      <w:r>
        <w:t xml:space="preserve"> Department of Energy, Environment and Climate Action,</w:t>
      </w:r>
      <w:hyperlink r:id="rId383" w:history="1">
        <w:r w:rsidRPr="00565268">
          <w:rPr>
            <w:rStyle w:val="Hyperlink"/>
          </w:rPr>
          <w:t xml:space="preserve"> </w:t>
        </w:r>
        <w:r w:rsidRPr="00770FCC">
          <w:rPr>
            <w:rStyle w:val="Hyperlink"/>
            <w:i/>
            <w:iCs/>
          </w:rPr>
          <w:t>Energy assistance program</w:t>
        </w:r>
      </w:hyperlink>
      <w:r>
        <w:t xml:space="preserve"> (website), n.d., accessed 3 July 2023.</w:t>
      </w:r>
    </w:p>
  </w:endnote>
  <w:endnote w:id="314">
    <w:p w14:paraId="5FAE5819" w14:textId="77777777" w:rsidR="00373ED9" w:rsidRDefault="00373ED9" w:rsidP="00373ED9">
      <w:pPr>
        <w:pStyle w:val="EndnoteText"/>
      </w:pPr>
      <w:r>
        <w:rPr>
          <w:rStyle w:val="EndnoteReference"/>
        </w:rPr>
        <w:endnoteRef/>
      </w:r>
      <w:r>
        <w:t xml:space="preserve"> Department of Climate Change, Energy, the Environment and Water, </w:t>
      </w:r>
      <w:hyperlink r:id="rId384" w:history="1">
        <w:r w:rsidRPr="00770FCC">
          <w:rPr>
            <w:rStyle w:val="Hyperlink"/>
            <w:i/>
            <w:iCs/>
          </w:rPr>
          <w:t>Solar battery rebate</w:t>
        </w:r>
      </w:hyperlink>
      <w:r>
        <w:t xml:space="preserve"> (website), n.d., accessed 5 July 2023.</w:t>
      </w:r>
    </w:p>
  </w:endnote>
  <w:endnote w:id="315">
    <w:p w14:paraId="3E76A455" w14:textId="77777777" w:rsidR="00373ED9" w:rsidRDefault="00373ED9" w:rsidP="00373ED9">
      <w:pPr>
        <w:pStyle w:val="EndnoteText"/>
      </w:pPr>
      <w:r>
        <w:rPr>
          <w:rStyle w:val="EndnoteReference"/>
        </w:rPr>
        <w:endnoteRef/>
      </w:r>
      <w:r>
        <w:t xml:space="preserve"> Solar Victoria, </w:t>
      </w:r>
      <w:hyperlink r:id="rId385" w:history="1">
        <w:r w:rsidRPr="00770FCC">
          <w:rPr>
            <w:rStyle w:val="Hyperlink"/>
            <w:i/>
            <w:iCs/>
          </w:rPr>
          <w:t>Solar for business program</w:t>
        </w:r>
      </w:hyperlink>
      <w:r>
        <w:t xml:space="preserve"> (website), n.d., accessed 3 June 2023.</w:t>
      </w:r>
    </w:p>
  </w:endnote>
  <w:endnote w:id="316">
    <w:p w14:paraId="688B14E9" w14:textId="77777777" w:rsidR="00373ED9" w:rsidRDefault="00373ED9" w:rsidP="00373ED9">
      <w:pPr>
        <w:pStyle w:val="EndnoteText"/>
      </w:pPr>
      <w:r>
        <w:rPr>
          <w:rStyle w:val="EndnoteReference"/>
        </w:rPr>
        <w:endnoteRef/>
      </w:r>
      <w:r>
        <w:t xml:space="preserve"> </w:t>
      </w:r>
      <w:r w:rsidRPr="00F05DC5">
        <w:rPr>
          <w:szCs w:val="15"/>
        </w:rPr>
        <w:t>Department of Treasury and Finance</w:t>
      </w:r>
      <w:r w:rsidRPr="004A1190">
        <w:rPr>
          <w:szCs w:val="15"/>
        </w:rPr>
        <w:t>,</w:t>
      </w:r>
      <w:r w:rsidRPr="00F05DC5">
        <w:rPr>
          <w:szCs w:val="15"/>
        </w:rPr>
        <w:t xml:space="preserve"> </w:t>
      </w:r>
      <w:hyperlink r:id="rId386" w:anchor="budget-paper-3-service-delivery" w:history="1">
        <w:r w:rsidRPr="004A1190">
          <w:rPr>
            <w:rStyle w:val="Hyperlink"/>
            <w:i/>
            <w:iCs/>
            <w:szCs w:val="15"/>
          </w:rPr>
          <w:t>Victorian Budget 2023</w:t>
        </w:r>
        <w:r>
          <w:rPr>
            <w:rStyle w:val="Hyperlink"/>
            <w:i/>
            <w:iCs/>
            <w:szCs w:val="15"/>
          </w:rPr>
          <w:t>–</w:t>
        </w:r>
        <w:r w:rsidRPr="004A1190">
          <w:rPr>
            <w:rStyle w:val="Hyperlink"/>
            <w:i/>
            <w:iCs/>
            <w:szCs w:val="15"/>
          </w:rPr>
          <w:t>24 – Budget Paper No. 3</w:t>
        </w:r>
      </w:hyperlink>
      <w:r w:rsidRPr="004A1190">
        <w:rPr>
          <w:szCs w:val="15"/>
        </w:rPr>
        <w:t>, 2023, p</w:t>
      </w:r>
      <w:r>
        <w:rPr>
          <w:szCs w:val="15"/>
        </w:rPr>
        <w:t>p.</w:t>
      </w:r>
      <w:r w:rsidRPr="00F05DC5" w:rsidDel="008C7EEE">
        <w:rPr>
          <w:szCs w:val="15"/>
        </w:rPr>
        <w:t xml:space="preserve"> </w:t>
      </w:r>
      <w:r>
        <w:rPr>
          <w:szCs w:val="15"/>
        </w:rPr>
        <w:t xml:space="preserve">29, 38, accessed 3 July 2023 </w:t>
      </w:r>
      <w:r w:rsidRPr="004A1190">
        <w:rPr>
          <w:szCs w:val="15"/>
        </w:rPr>
        <w:t>(</w:t>
      </w:r>
      <w:hyperlink r:id="rId387" w:history="1">
        <w:r w:rsidRPr="004A1190">
          <w:rPr>
            <w:rStyle w:val="Hyperlink"/>
            <w:szCs w:val="15"/>
          </w:rPr>
          <w:t>https://s3.ap-southeast-2.amazonaws.com/budgetfiles202324.budget.vic.gov.au/2023</w:t>
        </w:r>
        <w:r>
          <w:rPr>
            <w:rStyle w:val="Hyperlink"/>
            <w:szCs w:val="15"/>
          </w:rPr>
          <w:t>–</w:t>
        </w:r>
        <w:r w:rsidRPr="004A1190">
          <w:rPr>
            <w:rStyle w:val="Hyperlink"/>
            <w:szCs w:val="15"/>
          </w:rPr>
          <w:t>24+State+Budget+-+Service+Delivery.pdf</w:t>
        </w:r>
      </w:hyperlink>
      <w:r w:rsidRPr="004A1190">
        <w:rPr>
          <w:szCs w:val="15"/>
        </w:rPr>
        <w:t>)</w:t>
      </w:r>
      <w:r>
        <w:rPr>
          <w:szCs w:val="15"/>
        </w:rPr>
        <w:t>.</w:t>
      </w:r>
    </w:p>
  </w:endnote>
  <w:endnote w:id="317">
    <w:p w14:paraId="3AAE2C26" w14:textId="77777777" w:rsidR="00373ED9" w:rsidRDefault="00373ED9" w:rsidP="00373ED9">
      <w:pPr>
        <w:pStyle w:val="EndnoteText"/>
      </w:pPr>
      <w:r>
        <w:rPr>
          <w:rStyle w:val="EndnoteReference"/>
        </w:rPr>
        <w:endnoteRef/>
      </w:r>
      <w:r>
        <w:t xml:space="preserve"> Solar Victoria, </w:t>
      </w:r>
      <w:hyperlink r:id="rId388" w:history="1">
        <w:r w:rsidRPr="006A6DE7">
          <w:rPr>
            <w:rStyle w:val="Hyperlink"/>
            <w:i/>
            <w:iCs/>
          </w:rPr>
          <w:t>Solar panel (PV) rebate</w:t>
        </w:r>
      </w:hyperlink>
      <w:r>
        <w:t>, Solar Victoria website, n.d., accessed 5 July 2023.</w:t>
      </w:r>
    </w:p>
  </w:endnote>
  <w:endnote w:id="318">
    <w:p w14:paraId="46E09129" w14:textId="77777777" w:rsidR="00373ED9" w:rsidRDefault="00373ED9" w:rsidP="00373ED9">
      <w:pPr>
        <w:pStyle w:val="EndnoteText"/>
      </w:pPr>
      <w:r>
        <w:rPr>
          <w:rStyle w:val="EndnoteReference"/>
        </w:rPr>
        <w:endnoteRef/>
      </w:r>
      <w:r>
        <w:t xml:space="preserve"> Solar Victoria, </w:t>
      </w:r>
      <w:hyperlink r:id="rId389" w:history="1">
        <w:r w:rsidRPr="006A6DE7">
          <w:rPr>
            <w:rStyle w:val="Hyperlink"/>
            <w:i/>
            <w:iCs/>
          </w:rPr>
          <w:t>Hot water rebate</w:t>
        </w:r>
      </w:hyperlink>
      <w:r>
        <w:t>, Solar Victoria website, n.d., accessed 5 July 2023.</w:t>
      </w:r>
    </w:p>
  </w:endnote>
  <w:endnote w:id="319">
    <w:p w14:paraId="302DA631" w14:textId="77777777" w:rsidR="00373ED9" w:rsidRDefault="00373ED9" w:rsidP="00373ED9">
      <w:pPr>
        <w:pStyle w:val="EndnoteText"/>
      </w:pPr>
      <w:r>
        <w:rPr>
          <w:rStyle w:val="EndnoteReference"/>
        </w:rPr>
        <w:endnoteRef/>
      </w:r>
      <w:r>
        <w:t xml:space="preserve"> Solar Victoria, </w:t>
      </w:r>
      <w:hyperlink r:id="rId390" w:history="1">
        <w:r w:rsidRPr="006A6DE7">
          <w:rPr>
            <w:rStyle w:val="Hyperlink"/>
            <w:i/>
            <w:iCs/>
          </w:rPr>
          <w:t>Zero emissions vehicle (ZEV) subsidy</w:t>
        </w:r>
      </w:hyperlink>
      <w:r>
        <w:t>, Solar Victoria website, n.d., accessed 3 July 2023.</w:t>
      </w:r>
    </w:p>
  </w:endnote>
  <w:endnote w:id="320">
    <w:p w14:paraId="624D6689" w14:textId="77777777" w:rsidR="00373ED9" w:rsidRDefault="00373ED9" w:rsidP="00373ED9">
      <w:pPr>
        <w:pStyle w:val="EndnoteText"/>
      </w:pPr>
      <w:r>
        <w:rPr>
          <w:rStyle w:val="EndnoteReference"/>
        </w:rPr>
        <w:endnoteRef/>
      </w:r>
      <w:r>
        <w:t xml:space="preserve"> Department of Energy, Environment and Climate Action, </w:t>
      </w:r>
      <w:hyperlink r:id="rId391" w:history="1">
        <w:r w:rsidRPr="006A6DE7">
          <w:rPr>
            <w:rStyle w:val="Hyperlink"/>
            <w:i/>
            <w:iCs/>
          </w:rPr>
          <w:t>Zero emissions vehicles</w:t>
        </w:r>
      </w:hyperlink>
      <w:r>
        <w:t xml:space="preserve"> (website), n.d., accessed 3 July 2023.</w:t>
      </w:r>
    </w:p>
  </w:endnote>
  <w:endnote w:id="321">
    <w:p w14:paraId="4E639393" w14:textId="77777777" w:rsidR="00373ED9" w:rsidRDefault="00373ED9" w:rsidP="00373ED9">
      <w:pPr>
        <w:pStyle w:val="EndnoteText"/>
      </w:pPr>
      <w:r>
        <w:rPr>
          <w:rStyle w:val="EndnoteReference"/>
        </w:rPr>
        <w:endnoteRef/>
      </w:r>
      <w:r>
        <w:t xml:space="preserve"> Premier of Victoria, </w:t>
      </w:r>
      <w:hyperlink r:id="rId392" w:history="1">
        <w:r w:rsidRPr="0099258B">
          <w:rPr>
            <w:rStyle w:val="Hyperlink"/>
            <w:i/>
            <w:iCs/>
          </w:rPr>
          <w:t>Ban delivers cheaper energy and more choice</w:t>
        </w:r>
      </w:hyperlink>
      <w:r>
        <w:t xml:space="preserve"> (media release), 25 July 2022, accessed 3 July 2023.</w:t>
      </w:r>
    </w:p>
  </w:endnote>
  <w:endnote w:id="322">
    <w:p w14:paraId="5D214744" w14:textId="77777777" w:rsidR="00373ED9" w:rsidRDefault="00373ED9" w:rsidP="00373ED9">
      <w:pPr>
        <w:pStyle w:val="EndnoteText"/>
      </w:pPr>
      <w:r>
        <w:rPr>
          <w:rStyle w:val="EndnoteReference"/>
        </w:rPr>
        <w:endnoteRef/>
      </w:r>
      <w:r>
        <w:t xml:space="preserve"> Premier of Victoria, </w:t>
      </w:r>
      <w:hyperlink r:id="rId393" w:history="1">
        <w:r w:rsidRPr="0099258B">
          <w:rPr>
            <w:rStyle w:val="Hyperlink"/>
            <w:i/>
            <w:iCs/>
          </w:rPr>
          <w:t>Ban delivers cheaper energy and more choice</w:t>
        </w:r>
      </w:hyperlink>
      <w:r>
        <w:t xml:space="preserve"> (media release), 25 July 2022, accessed 3 July 2023.</w:t>
      </w:r>
    </w:p>
  </w:endnote>
  <w:endnote w:id="323">
    <w:p w14:paraId="60B7E5E0" w14:textId="77777777" w:rsidR="00373ED9" w:rsidRDefault="00373ED9" w:rsidP="00373ED9">
      <w:pPr>
        <w:pStyle w:val="EndnoteText"/>
      </w:pPr>
      <w:r>
        <w:rPr>
          <w:rStyle w:val="EndnoteReference"/>
        </w:rPr>
        <w:endnoteRef/>
      </w:r>
      <w:r>
        <w:t xml:space="preserve"> Premier of Victoria, </w:t>
      </w:r>
      <w:hyperlink r:id="rId394" w:history="1">
        <w:r w:rsidRPr="0099258B">
          <w:rPr>
            <w:rStyle w:val="Hyperlink"/>
            <w:i/>
            <w:iCs/>
          </w:rPr>
          <w:t>Ban delivers cheaper energy and more choice</w:t>
        </w:r>
      </w:hyperlink>
      <w:r>
        <w:t xml:space="preserve"> (media release), 25 July 2022, accessed 3 July 2023.</w:t>
      </w:r>
    </w:p>
  </w:endnote>
  <w:endnote w:id="324">
    <w:p w14:paraId="09FAAAFB" w14:textId="72503788" w:rsidR="00373ED9" w:rsidRDefault="00373ED9" w:rsidP="00373ED9">
      <w:pPr>
        <w:pStyle w:val="EndnoteText"/>
      </w:pPr>
      <w:r>
        <w:rPr>
          <w:rStyle w:val="EndnoteReference"/>
        </w:rPr>
        <w:endnoteRef/>
      </w:r>
      <w:r>
        <w:t xml:space="preserve"> Infrastructure Victoria, </w:t>
      </w:r>
      <w:hyperlink r:id="rId395" w:history="1">
        <w:r w:rsidRPr="0099258B">
          <w:rPr>
            <w:rStyle w:val="Hyperlink"/>
            <w:i/>
            <w:iCs/>
          </w:rPr>
          <w:t>Victoria’s infrastructure strategy 2021</w:t>
        </w:r>
        <w:r>
          <w:rPr>
            <w:rStyle w:val="Hyperlink"/>
            <w:i/>
            <w:iCs/>
          </w:rPr>
          <w:t>–</w:t>
        </w:r>
        <w:r w:rsidRPr="0099258B">
          <w:rPr>
            <w:rStyle w:val="Hyperlink"/>
            <w:i/>
            <w:iCs/>
          </w:rPr>
          <w:t>2051</w:t>
        </w:r>
      </w:hyperlink>
      <w:r>
        <w:t>, 2021, p.50, accessed 3 July 2023.</w:t>
      </w:r>
    </w:p>
  </w:endnote>
  <w:endnote w:id="325">
    <w:p w14:paraId="707E022C" w14:textId="46471890" w:rsidR="00373ED9" w:rsidRDefault="00373ED9" w:rsidP="00373ED9">
      <w:pPr>
        <w:pStyle w:val="EndnoteText"/>
      </w:pPr>
      <w:r>
        <w:rPr>
          <w:rStyle w:val="EndnoteReference"/>
        </w:rPr>
        <w:endnoteRef/>
      </w:r>
      <w:r>
        <w:t xml:space="preserve"> Infrastructure Victoria, </w:t>
      </w:r>
      <w:hyperlink r:id="rId396" w:history="1">
        <w:r w:rsidRPr="0099258B">
          <w:rPr>
            <w:rStyle w:val="Hyperlink"/>
            <w:i/>
            <w:iCs/>
          </w:rPr>
          <w:t>Victoria’s infrastructure strategy 2021</w:t>
        </w:r>
        <w:r>
          <w:rPr>
            <w:rStyle w:val="Hyperlink"/>
            <w:i/>
            <w:iCs/>
          </w:rPr>
          <w:t>–</w:t>
        </w:r>
        <w:r w:rsidRPr="0099258B">
          <w:rPr>
            <w:rStyle w:val="Hyperlink"/>
            <w:i/>
            <w:iCs/>
          </w:rPr>
          <w:t>2051</w:t>
        </w:r>
      </w:hyperlink>
      <w:r>
        <w:t>, 2021, p.241, accessed 3 July 2023.</w:t>
      </w:r>
    </w:p>
  </w:endnote>
  <w:endnote w:id="326">
    <w:p w14:paraId="2D264B85" w14:textId="77777777" w:rsidR="00373ED9" w:rsidRDefault="00373ED9" w:rsidP="00373ED9">
      <w:pPr>
        <w:pStyle w:val="EndnoteText"/>
      </w:pPr>
      <w:r>
        <w:rPr>
          <w:rStyle w:val="EndnoteReference"/>
        </w:rPr>
        <w:endnoteRef/>
      </w:r>
      <w:r>
        <w:t xml:space="preserve"> Infrastructure Victoria, </w:t>
      </w:r>
      <w:hyperlink r:id="rId397" w:history="1">
        <w:r>
          <w:rPr>
            <w:rStyle w:val="Hyperlink"/>
            <w:i/>
            <w:iCs/>
          </w:rPr>
          <w:t>Towards 2050: gas infrastructure in a net-zero emissions economy</w:t>
        </w:r>
      </w:hyperlink>
      <w:r>
        <w:t>, 2021, p.34, accessed 3 July 2023.</w:t>
      </w:r>
    </w:p>
  </w:endnote>
  <w:endnote w:id="327">
    <w:p w14:paraId="312BF89F" w14:textId="77777777" w:rsidR="00373ED9" w:rsidRDefault="00373ED9" w:rsidP="00373ED9">
      <w:pPr>
        <w:pStyle w:val="EndnoteText"/>
      </w:pPr>
      <w:r>
        <w:rPr>
          <w:rStyle w:val="EndnoteReference"/>
        </w:rPr>
        <w:endnoteRef/>
      </w:r>
      <w:r>
        <w:t xml:space="preserve"> Infrastructure Victoria, </w:t>
      </w:r>
      <w:hyperlink r:id="rId398" w:history="1">
        <w:r>
          <w:rPr>
            <w:rStyle w:val="Hyperlink"/>
            <w:i/>
            <w:iCs/>
          </w:rPr>
          <w:t>Towards 2050: gas infrastructure in a net-zero emissions economy</w:t>
        </w:r>
      </w:hyperlink>
      <w:r>
        <w:t>, 2021, p.38, accessed 3 July 2023.</w:t>
      </w:r>
    </w:p>
  </w:endnote>
  <w:endnote w:id="328">
    <w:p w14:paraId="7EEDB44A" w14:textId="77777777" w:rsidR="00373ED9" w:rsidRDefault="00373ED9" w:rsidP="00373ED9">
      <w:pPr>
        <w:pStyle w:val="EndnoteText"/>
      </w:pPr>
      <w:r>
        <w:rPr>
          <w:rStyle w:val="EndnoteReference"/>
        </w:rPr>
        <w:endnoteRef/>
      </w:r>
      <w:r>
        <w:t xml:space="preserve"> Premier of Victoria, </w:t>
      </w:r>
      <w:hyperlink r:id="rId399" w:history="1">
        <w:r w:rsidRPr="000266E1">
          <w:rPr>
            <w:rStyle w:val="Hyperlink"/>
            <w:i/>
            <w:iCs/>
          </w:rPr>
          <w:t>Empowering communities with neighbourhood batteries</w:t>
        </w:r>
      </w:hyperlink>
      <w:r>
        <w:t xml:space="preserve"> (media release), 26 February 2023, accessed 3 July 2023.</w:t>
      </w:r>
    </w:p>
  </w:endnote>
  <w:endnote w:id="329">
    <w:p w14:paraId="002A747F" w14:textId="77777777" w:rsidR="00373ED9" w:rsidRDefault="00373ED9" w:rsidP="00373ED9">
      <w:pPr>
        <w:pStyle w:val="EndnoteText"/>
      </w:pPr>
      <w:r>
        <w:rPr>
          <w:rStyle w:val="EndnoteReference"/>
        </w:rPr>
        <w:endnoteRef/>
      </w:r>
      <w:r>
        <w:t xml:space="preserve"> Premier of Victoria, </w:t>
      </w:r>
      <w:hyperlink r:id="rId400" w:history="1">
        <w:r w:rsidRPr="000266E1">
          <w:rPr>
            <w:rStyle w:val="Hyperlink"/>
            <w:i/>
            <w:iCs/>
          </w:rPr>
          <w:t>Empowering communities with neighbourhood batteries</w:t>
        </w:r>
      </w:hyperlink>
      <w:r>
        <w:t xml:space="preserve"> (media release), 26 February 2023, accessed 3 July 2023.</w:t>
      </w:r>
    </w:p>
  </w:endnote>
  <w:endnote w:id="330">
    <w:p w14:paraId="77C3D81E" w14:textId="77777777" w:rsidR="00373ED9" w:rsidRDefault="00373ED9" w:rsidP="00373ED9">
      <w:pPr>
        <w:pStyle w:val="EndnoteText"/>
      </w:pPr>
      <w:r>
        <w:rPr>
          <w:rStyle w:val="EndnoteReference"/>
        </w:rPr>
        <w:endnoteRef/>
      </w:r>
      <w:r>
        <w:rPr>
          <w:rStyle w:val="normaltextrun"/>
          <w:rFonts w:ascii="Calibri" w:hAnsi="Calibri" w:cs="Calibri"/>
          <w:color w:val="000000"/>
        </w:rPr>
        <w:t xml:space="preserve"> </w:t>
      </w:r>
      <w:r w:rsidRPr="00F05DC5">
        <w:rPr>
          <w:szCs w:val="15"/>
        </w:rPr>
        <w:t>Department of Treasury and Finance</w:t>
      </w:r>
      <w:r w:rsidRPr="004A1190">
        <w:rPr>
          <w:szCs w:val="15"/>
        </w:rPr>
        <w:t>,</w:t>
      </w:r>
      <w:r w:rsidRPr="00F05DC5">
        <w:rPr>
          <w:szCs w:val="15"/>
        </w:rPr>
        <w:t xml:space="preserve"> </w:t>
      </w:r>
      <w:hyperlink r:id="rId401" w:anchor="budget-paper-3-service-delivery" w:history="1">
        <w:r w:rsidRPr="004A1190">
          <w:rPr>
            <w:rStyle w:val="Hyperlink"/>
            <w:i/>
            <w:iCs/>
            <w:szCs w:val="15"/>
          </w:rPr>
          <w:t>Victorian Budget 2023</w:t>
        </w:r>
        <w:r>
          <w:rPr>
            <w:rStyle w:val="Hyperlink"/>
            <w:i/>
            <w:iCs/>
            <w:szCs w:val="15"/>
          </w:rPr>
          <w:t>–</w:t>
        </w:r>
        <w:r w:rsidRPr="004A1190">
          <w:rPr>
            <w:rStyle w:val="Hyperlink"/>
            <w:i/>
            <w:iCs/>
            <w:szCs w:val="15"/>
          </w:rPr>
          <w:t>24 – Budget Paper No. 3</w:t>
        </w:r>
      </w:hyperlink>
      <w:r w:rsidRPr="004A1190">
        <w:rPr>
          <w:szCs w:val="15"/>
        </w:rPr>
        <w:t>, 2023, p</w:t>
      </w:r>
      <w:r>
        <w:rPr>
          <w:szCs w:val="15"/>
        </w:rPr>
        <w:t>p.</w:t>
      </w:r>
      <w:r w:rsidRPr="00F05DC5" w:rsidDel="008C7EEE">
        <w:rPr>
          <w:szCs w:val="15"/>
        </w:rPr>
        <w:t xml:space="preserve"> </w:t>
      </w:r>
      <w:r>
        <w:rPr>
          <w:szCs w:val="15"/>
        </w:rPr>
        <w:t xml:space="preserve">28, 33, accessed 3 July 2023 </w:t>
      </w:r>
      <w:r w:rsidRPr="004A1190">
        <w:rPr>
          <w:szCs w:val="15"/>
        </w:rPr>
        <w:t>(</w:t>
      </w:r>
      <w:hyperlink r:id="rId402" w:history="1">
        <w:r w:rsidRPr="004A1190">
          <w:rPr>
            <w:rStyle w:val="Hyperlink"/>
            <w:szCs w:val="15"/>
          </w:rPr>
          <w:t>https://s3.ap-southeast-2.amazonaws.com/budgetfiles202324.budget.vic.gov.au/2023</w:t>
        </w:r>
        <w:r>
          <w:rPr>
            <w:rStyle w:val="Hyperlink"/>
            <w:szCs w:val="15"/>
          </w:rPr>
          <w:t>–</w:t>
        </w:r>
        <w:r w:rsidRPr="004A1190">
          <w:rPr>
            <w:rStyle w:val="Hyperlink"/>
            <w:szCs w:val="15"/>
          </w:rPr>
          <w:t>24+State+Budget+-+Service+Delivery.pdf</w:t>
        </w:r>
      </w:hyperlink>
      <w:r w:rsidRPr="004A1190">
        <w:rPr>
          <w:szCs w:val="15"/>
        </w:rPr>
        <w:t>)</w:t>
      </w:r>
      <w:r>
        <w:rPr>
          <w:szCs w:val="15"/>
        </w:rPr>
        <w:t>.</w:t>
      </w:r>
    </w:p>
  </w:endnote>
  <w:endnote w:id="331">
    <w:p w14:paraId="2F46E8A4" w14:textId="77777777" w:rsidR="00373ED9" w:rsidRDefault="00373ED9" w:rsidP="00373ED9">
      <w:pPr>
        <w:pStyle w:val="EndnoteText"/>
      </w:pPr>
      <w:r>
        <w:rPr>
          <w:rStyle w:val="EndnoteReference"/>
        </w:rPr>
        <w:endnoteRef/>
      </w:r>
      <w:r w:rsidRPr="003F04EA">
        <w:t xml:space="preserve"> Victorian Legislation</w:t>
      </w:r>
      <w:hyperlink r:id="rId403" w:history="1">
        <w:r w:rsidRPr="003F04EA">
          <w:rPr>
            <w:rStyle w:val="Hyperlink"/>
          </w:rPr>
          <w:t xml:space="preserve">, </w:t>
        </w:r>
        <w:r w:rsidRPr="003F04EA">
          <w:rPr>
            <w:rStyle w:val="Hyperlink"/>
            <w:i/>
            <w:iCs/>
          </w:rPr>
          <w:t>Energy Legislation Amendment (Electricity Outage Emergency Response and Other Matters) Bill 2023</w:t>
        </w:r>
      </w:hyperlink>
      <w:r w:rsidRPr="003F04EA">
        <w:t>, Victorian Legislation website, n.d., accessed 13 July 2023</w:t>
      </w:r>
      <w:r>
        <w:t>.</w:t>
      </w:r>
    </w:p>
  </w:endnote>
  <w:endnote w:id="332">
    <w:p w14:paraId="4E57B976" w14:textId="77777777" w:rsidR="00373ED9" w:rsidRPr="002A7AC8" w:rsidRDefault="00373ED9" w:rsidP="00373ED9">
      <w:pPr>
        <w:pStyle w:val="EndnoteText"/>
        <w:rPr>
          <w:iCs/>
        </w:rPr>
      </w:pPr>
      <w:r w:rsidRPr="00547B39">
        <w:rPr>
          <w:rStyle w:val="EndnoteReference"/>
        </w:rPr>
        <w:endnoteRef/>
      </w:r>
      <w:r w:rsidRPr="00547B39">
        <w:t xml:space="preserve"> Department of Energy, Environment and Climate Action, </w:t>
      </w:r>
      <w:hyperlink r:id="rId404" w:history="1">
        <w:r w:rsidRPr="00547B39">
          <w:rPr>
            <w:rStyle w:val="Hyperlink"/>
            <w:i/>
            <w:iCs/>
          </w:rPr>
          <w:t>Electricity distribution network resilience review</w:t>
        </w:r>
      </w:hyperlink>
      <w:r w:rsidRPr="00547B39">
        <w:rPr>
          <w:iCs/>
        </w:rPr>
        <w:t xml:space="preserve"> </w:t>
      </w:r>
      <w:r>
        <w:rPr>
          <w:iCs/>
        </w:rPr>
        <w:t>(</w:t>
      </w:r>
      <w:r w:rsidRPr="00547B39">
        <w:rPr>
          <w:iCs/>
        </w:rPr>
        <w:t>website</w:t>
      </w:r>
      <w:r>
        <w:rPr>
          <w:iCs/>
        </w:rPr>
        <w:t>), n.d., accessed 3 July 2023.</w:t>
      </w:r>
    </w:p>
  </w:endnote>
  <w:endnote w:id="333">
    <w:p w14:paraId="1672D490" w14:textId="77777777" w:rsidR="00373ED9" w:rsidRDefault="00373ED9" w:rsidP="00373ED9">
      <w:pPr>
        <w:pStyle w:val="EndnoteText"/>
      </w:pPr>
      <w:r>
        <w:rPr>
          <w:rStyle w:val="EndnoteReference"/>
        </w:rPr>
        <w:endnoteRef/>
      </w:r>
      <w:r>
        <w:t xml:space="preserve"> Engage Victoria, </w:t>
      </w:r>
      <w:hyperlink r:id="rId405" w:history="1">
        <w:r w:rsidRPr="007E6FD3">
          <w:rPr>
            <w:rStyle w:val="Hyperlink"/>
            <w:i/>
            <w:iCs/>
          </w:rPr>
          <w:t>Victoria’s emergency backstop mechanism for rooftop solar</w:t>
        </w:r>
      </w:hyperlink>
      <w:r>
        <w:t xml:space="preserve"> (website), n.d., accessed 3 July 2023.</w:t>
      </w:r>
    </w:p>
  </w:endnote>
  <w:endnote w:id="334">
    <w:p w14:paraId="4E5152FB" w14:textId="77777777" w:rsidR="00373ED9" w:rsidRDefault="00373ED9" w:rsidP="00373ED9">
      <w:pPr>
        <w:pStyle w:val="EndnoteText"/>
      </w:pPr>
      <w:r>
        <w:rPr>
          <w:rStyle w:val="EndnoteReference"/>
        </w:rPr>
        <w:endnoteRef/>
      </w:r>
      <w:r>
        <w:t xml:space="preserve"> Engage Victoria, </w:t>
      </w:r>
      <w:hyperlink r:id="rId406" w:history="1">
        <w:r w:rsidRPr="00DB7B87">
          <w:rPr>
            <w:rStyle w:val="Hyperlink"/>
            <w:i/>
            <w:iCs/>
          </w:rPr>
          <w:t>Victoria’s emergency backstop mechanism for rooftop solar</w:t>
        </w:r>
      </w:hyperlink>
      <w:r>
        <w:t xml:space="preserve"> (website), n.d., accessed 3 July 2023.</w:t>
      </w:r>
    </w:p>
  </w:endnote>
  <w:endnote w:id="335">
    <w:p w14:paraId="20E949A4" w14:textId="77777777" w:rsidR="00373ED9" w:rsidRDefault="00373ED9" w:rsidP="00373ED9">
      <w:pPr>
        <w:pStyle w:val="EndnoteText"/>
      </w:pPr>
      <w:r>
        <w:rPr>
          <w:rStyle w:val="EndnoteReference"/>
        </w:rPr>
        <w:endnoteRef/>
      </w:r>
      <w:r>
        <w:t xml:space="preserve"> Department of Energy, Environment and Climate Action, </w:t>
      </w:r>
      <w:hyperlink r:id="rId407" w:history="1">
        <w:r w:rsidRPr="00112130">
          <w:rPr>
            <w:rStyle w:val="Hyperlink"/>
            <w:i/>
            <w:iCs/>
          </w:rPr>
          <w:t>Victoria’s emergency backstop mechanism for solar</w:t>
        </w:r>
      </w:hyperlink>
      <w:r>
        <w:t xml:space="preserve"> (website), n.d., accessed 3 July 2023.</w:t>
      </w:r>
    </w:p>
  </w:endnote>
  <w:endnote w:id="336">
    <w:p w14:paraId="30BAE5FB" w14:textId="77777777" w:rsidR="00373ED9" w:rsidRDefault="00373ED9" w:rsidP="00373ED9">
      <w:pPr>
        <w:pStyle w:val="EndnoteText"/>
      </w:pPr>
      <w:r>
        <w:rPr>
          <w:rStyle w:val="EndnoteReference"/>
        </w:rPr>
        <w:endnoteRef/>
      </w:r>
      <w:r>
        <w:t xml:space="preserve"> Department of Environment, Land, Water and Planning, </w:t>
      </w:r>
      <w:hyperlink r:id="rId408" w:history="1">
        <w:r w:rsidRPr="00112130">
          <w:rPr>
            <w:rStyle w:val="Hyperlink"/>
            <w:i/>
            <w:iCs/>
          </w:rPr>
          <w:t>Annual report 2021</w:t>
        </w:r>
        <w:r>
          <w:rPr>
            <w:rStyle w:val="Hyperlink"/>
            <w:i/>
            <w:iCs/>
          </w:rPr>
          <w:t>–</w:t>
        </w:r>
        <w:r w:rsidRPr="00112130">
          <w:rPr>
            <w:rStyle w:val="Hyperlink"/>
            <w:i/>
            <w:iCs/>
          </w:rPr>
          <w:t>22</w:t>
        </w:r>
      </w:hyperlink>
      <w:r>
        <w:t>, 2022, p.50, accessed 3 July 2023.</w:t>
      </w:r>
    </w:p>
  </w:endnote>
  <w:endnote w:id="337">
    <w:p w14:paraId="0D159A04" w14:textId="77777777" w:rsidR="00373ED9" w:rsidRDefault="00373ED9" w:rsidP="00373ED9">
      <w:pPr>
        <w:pStyle w:val="EndnoteText"/>
      </w:pPr>
      <w:r>
        <w:rPr>
          <w:rStyle w:val="EndnoteReference"/>
        </w:rPr>
        <w:endnoteRef/>
      </w:r>
      <w:r>
        <w:t xml:space="preserve"> </w:t>
      </w:r>
      <w:r w:rsidRPr="00F05DC5">
        <w:rPr>
          <w:szCs w:val="15"/>
        </w:rPr>
        <w:t>Department of Treasury and Finance</w:t>
      </w:r>
      <w:r w:rsidRPr="004A1190">
        <w:rPr>
          <w:szCs w:val="15"/>
        </w:rPr>
        <w:t>,</w:t>
      </w:r>
      <w:r w:rsidRPr="00F05DC5">
        <w:rPr>
          <w:szCs w:val="15"/>
        </w:rPr>
        <w:t xml:space="preserve"> </w:t>
      </w:r>
      <w:hyperlink r:id="rId409" w:anchor="budget-paper-3-service-delivery" w:history="1">
        <w:r w:rsidRPr="004A1190">
          <w:rPr>
            <w:rStyle w:val="Hyperlink"/>
            <w:i/>
            <w:iCs/>
            <w:szCs w:val="15"/>
          </w:rPr>
          <w:t>Victorian Budget 2023</w:t>
        </w:r>
        <w:r>
          <w:rPr>
            <w:rStyle w:val="Hyperlink"/>
            <w:i/>
            <w:iCs/>
            <w:szCs w:val="15"/>
          </w:rPr>
          <w:t>–</w:t>
        </w:r>
        <w:r w:rsidRPr="004A1190">
          <w:rPr>
            <w:rStyle w:val="Hyperlink"/>
            <w:i/>
            <w:iCs/>
            <w:szCs w:val="15"/>
          </w:rPr>
          <w:t>24 – Budget Paper No. 3</w:t>
        </w:r>
      </w:hyperlink>
      <w:r w:rsidRPr="004A1190">
        <w:rPr>
          <w:szCs w:val="15"/>
        </w:rPr>
        <w:t>, 2023, p</w:t>
      </w:r>
      <w:r>
        <w:rPr>
          <w:szCs w:val="15"/>
        </w:rPr>
        <w:t>p.</w:t>
      </w:r>
      <w:r w:rsidRPr="00F05DC5" w:rsidDel="008C7EEE">
        <w:rPr>
          <w:szCs w:val="15"/>
        </w:rPr>
        <w:t xml:space="preserve"> </w:t>
      </w:r>
      <w:r>
        <w:rPr>
          <w:szCs w:val="15"/>
        </w:rPr>
        <w:t xml:space="preserve">28, 33, accessed 3 July 2023 </w:t>
      </w:r>
      <w:r w:rsidRPr="004A1190">
        <w:rPr>
          <w:szCs w:val="15"/>
        </w:rPr>
        <w:t>(</w:t>
      </w:r>
      <w:hyperlink r:id="rId410" w:history="1">
        <w:r w:rsidRPr="004A1190">
          <w:rPr>
            <w:rStyle w:val="Hyperlink"/>
            <w:szCs w:val="15"/>
          </w:rPr>
          <w:t>https://s3.ap-southeast-2.amazonaws.com/budgetfiles202324.budget.vic.gov.au/2023</w:t>
        </w:r>
        <w:r>
          <w:rPr>
            <w:rStyle w:val="Hyperlink"/>
            <w:szCs w:val="15"/>
          </w:rPr>
          <w:t>–</w:t>
        </w:r>
        <w:r w:rsidRPr="004A1190">
          <w:rPr>
            <w:rStyle w:val="Hyperlink"/>
            <w:szCs w:val="15"/>
          </w:rPr>
          <w:t>24+State+Budget+-+Service+Delivery.pdf</w:t>
        </w:r>
      </w:hyperlink>
      <w:r w:rsidRPr="004A1190">
        <w:rPr>
          <w:szCs w:val="15"/>
        </w:rPr>
        <w:t>)</w:t>
      </w:r>
      <w:r>
        <w:rPr>
          <w:szCs w:val="15"/>
        </w:rPr>
        <w:t>.</w:t>
      </w:r>
    </w:p>
  </w:endnote>
  <w:endnote w:id="338">
    <w:p w14:paraId="10C2380A" w14:textId="77777777" w:rsidR="00373ED9" w:rsidRDefault="00373ED9" w:rsidP="00373ED9">
      <w:pPr>
        <w:pStyle w:val="EndnoteText"/>
      </w:pPr>
      <w:r>
        <w:rPr>
          <w:rStyle w:val="EndnoteReference"/>
        </w:rPr>
        <w:endnoteRef/>
      </w:r>
      <w:r>
        <w:t xml:space="preserve"> </w:t>
      </w:r>
      <w:r w:rsidRPr="00F05DC5">
        <w:rPr>
          <w:szCs w:val="15"/>
        </w:rPr>
        <w:t>Department of Treasury and Finance</w:t>
      </w:r>
      <w:r w:rsidRPr="004A1190">
        <w:rPr>
          <w:szCs w:val="15"/>
        </w:rPr>
        <w:t>,</w:t>
      </w:r>
      <w:r w:rsidRPr="00F05DC5">
        <w:rPr>
          <w:szCs w:val="15"/>
        </w:rPr>
        <w:t xml:space="preserve"> </w:t>
      </w:r>
      <w:hyperlink r:id="rId411" w:anchor="budget-paper-3-service-delivery" w:history="1">
        <w:r w:rsidRPr="004A1190">
          <w:rPr>
            <w:rStyle w:val="Hyperlink"/>
            <w:i/>
            <w:iCs/>
            <w:szCs w:val="15"/>
          </w:rPr>
          <w:t>Victorian Budget 2023</w:t>
        </w:r>
        <w:r>
          <w:rPr>
            <w:rStyle w:val="Hyperlink"/>
            <w:i/>
            <w:iCs/>
            <w:szCs w:val="15"/>
          </w:rPr>
          <w:t>–</w:t>
        </w:r>
        <w:r w:rsidRPr="004A1190">
          <w:rPr>
            <w:rStyle w:val="Hyperlink"/>
            <w:i/>
            <w:iCs/>
            <w:szCs w:val="15"/>
          </w:rPr>
          <w:t>24 – Budget Paper No. 3</w:t>
        </w:r>
      </w:hyperlink>
      <w:r w:rsidRPr="004A1190">
        <w:rPr>
          <w:szCs w:val="15"/>
        </w:rPr>
        <w:t>, 2023, p</w:t>
      </w:r>
      <w:r>
        <w:rPr>
          <w:szCs w:val="15"/>
        </w:rPr>
        <w:t>p.</w:t>
      </w:r>
      <w:r w:rsidRPr="00F05DC5" w:rsidDel="008C7EEE">
        <w:rPr>
          <w:szCs w:val="15"/>
        </w:rPr>
        <w:t xml:space="preserve"> </w:t>
      </w:r>
      <w:r>
        <w:rPr>
          <w:szCs w:val="15"/>
        </w:rPr>
        <w:t xml:space="preserve">28, 33, accessed 3 July 2023 </w:t>
      </w:r>
      <w:r w:rsidRPr="004A1190">
        <w:rPr>
          <w:szCs w:val="15"/>
        </w:rPr>
        <w:t>(</w:t>
      </w:r>
      <w:hyperlink r:id="rId412" w:history="1">
        <w:r w:rsidRPr="004A1190">
          <w:rPr>
            <w:rStyle w:val="Hyperlink"/>
            <w:szCs w:val="15"/>
          </w:rPr>
          <w:t>https://s3.ap-southeast-2.amazonaws.com/budgetfiles202324.budget.vic.gov.au/2023</w:t>
        </w:r>
        <w:r>
          <w:rPr>
            <w:rStyle w:val="Hyperlink"/>
            <w:szCs w:val="15"/>
          </w:rPr>
          <w:t>–</w:t>
        </w:r>
        <w:r w:rsidRPr="004A1190">
          <w:rPr>
            <w:rStyle w:val="Hyperlink"/>
            <w:szCs w:val="15"/>
          </w:rPr>
          <w:t>24+State+Budget+-+Service+Delivery.pdf</w:t>
        </w:r>
      </w:hyperlink>
      <w:r w:rsidRPr="004A1190">
        <w:rPr>
          <w:szCs w:val="15"/>
        </w:rPr>
        <w:t>)</w:t>
      </w:r>
      <w:r>
        <w:rPr>
          <w:szCs w:val="15"/>
        </w:rPr>
        <w:t>.</w:t>
      </w:r>
    </w:p>
  </w:endnote>
  <w:endnote w:id="339">
    <w:p w14:paraId="05EC8E09" w14:textId="77777777" w:rsidR="00373ED9" w:rsidRDefault="00373ED9" w:rsidP="00373ED9">
      <w:pPr>
        <w:pStyle w:val="EndnoteText"/>
      </w:pPr>
      <w:r>
        <w:rPr>
          <w:rStyle w:val="EndnoteReference"/>
        </w:rPr>
        <w:endnoteRef/>
      </w:r>
      <w:r>
        <w:t xml:space="preserve"> Premier of Victoria, </w:t>
      </w:r>
      <w:hyperlink r:id="rId413" w:history="1">
        <w:r w:rsidRPr="00D47419">
          <w:rPr>
            <w:rStyle w:val="Hyperlink"/>
            <w:i/>
            <w:iCs/>
          </w:rPr>
          <w:t>Doing what matters: bringing back the SEC</w:t>
        </w:r>
      </w:hyperlink>
      <w:r>
        <w:t xml:space="preserve"> (media release), 23 May 2023, accessed 3 July 2023.</w:t>
      </w:r>
    </w:p>
  </w:endnote>
  <w:endnote w:id="340">
    <w:p w14:paraId="5F119DCC" w14:textId="77777777" w:rsidR="00373ED9" w:rsidRDefault="00373ED9" w:rsidP="00373ED9">
      <w:pPr>
        <w:pStyle w:val="EndnoteText"/>
      </w:pPr>
      <w:r>
        <w:rPr>
          <w:rStyle w:val="EndnoteReference"/>
        </w:rPr>
        <w:endnoteRef/>
      </w:r>
      <w:r>
        <w:t xml:space="preserve"> Victorian Government, </w:t>
      </w:r>
      <w:hyperlink r:id="rId414" w:history="1">
        <w:r w:rsidRPr="00D47419">
          <w:rPr>
            <w:rStyle w:val="Hyperlink"/>
            <w:i/>
            <w:iCs/>
          </w:rPr>
          <w:t>Energy jobs and skills forum</w:t>
        </w:r>
      </w:hyperlink>
      <w:r>
        <w:t xml:space="preserve"> (website), n.d., accessed 13 July 2023.</w:t>
      </w:r>
    </w:p>
  </w:endnote>
  <w:endnote w:id="341">
    <w:p w14:paraId="41DF9398" w14:textId="77777777" w:rsidR="00373ED9" w:rsidRPr="00AB2440" w:rsidRDefault="00373ED9" w:rsidP="00373ED9">
      <w:pPr>
        <w:pStyle w:val="EndnoteText"/>
        <w:rPr>
          <w:rStyle w:val="Hyperlink"/>
          <w:color w:val="auto"/>
        </w:rPr>
      </w:pPr>
      <w:r>
        <w:rPr>
          <w:rStyle w:val="EndnoteReference"/>
        </w:rPr>
        <w:endnoteRef/>
      </w:r>
      <w:r>
        <w:t xml:space="preserve"> Department of Energy, Environment and Climate Action, </w:t>
      </w:r>
      <w:hyperlink r:id="rId415" w:history="1">
        <w:r w:rsidRPr="00AB2440">
          <w:rPr>
            <w:rStyle w:val="Hyperlink"/>
            <w:i/>
            <w:iCs/>
          </w:rPr>
          <w:t>Victorian renewable energy and storage targets</w:t>
        </w:r>
      </w:hyperlink>
      <w:r w:rsidRPr="00AB2440">
        <w:rPr>
          <w:rStyle w:val="Hyperlink"/>
          <w:color w:val="auto"/>
        </w:rPr>
        <w:t xml:space="preserve"> </w:t>
      </w:r>
      <w:r>
        <w:rPr>
          <w:rStyle w:val="Hyperlink"/>
          <w:color w:val="auto"/>
        </w:rPr>
        <w:t>(</w:t>
      </w:r>
      <w:r w:rsidRPr="00AB2440">
        <w:rPr>
          <w:rStyle w:val="Hyperlink"/>
          <w:color w:val="auto"/>
        </w:rPr>
        <w:t>website</w:t>
      </w:r>
      <w:r>
        <w:rPr>
          <w:rStyle w:val="Hyperlink"/>
          <w:color w:val="auto"/>
        </w:rPr>
        <w:t>)</w:t>
      </w:r>
      <w:r w:rsidRPr="00AB2440">
        <w:rPr>
          <w:rStyle w:val="Hyperlink"/>
          <w:color w:val="auto"/>
        </w:rPr>
        <w:t>, n.d, accessed 3 July 2023</w:t>
      </w:r>
      <w:r>
        <w:rPr>
          <w:rStyle w:val="Hyperlink"/>
          <w:color w:val="auto"/>
        </w:rPr>
        <w:t>.</w:t>
      </w:r>
    </w:p>
  </w:endnote>
  <w:endnote w:id="342">
    <w:p w14:paraId="392E0B0E" w14:textId="77777777" w:rsidR="00373ED9" w:rsidRPr="00AB2440" w:rsidRDefault="00373ED9" w:rsidP="00373ED9">
      <w:pPr>
        <w:pStyle w:val="EndnoteText"/>
        <w:rPr>
          <w:rStyle w:val="Hyperlink"/>
          <w:color w:val="auto"/>
        </w:rPr>
      </w:pPr>
      <w:r w:rsidRPr="00AB2440">
        <w:rPr>
          <w:rStyle w:val="EndnoteReference"/>
        </w:rPr>
        <w:endnoteRef/>
      </w:r>
      <w:r w:rsidRPr="00AB2440">
        <w:t xml:space="preserve"> Department of Energy, Environment and Climate Action, </w:t>
      </w:r>
      <w:hyperlink r:id="rId416" w:history="1">
        <w:r w:rsidRPr="00AB2440">
          <w:rPr>
            <w:rStyle w:val="Hyperlink"/>
            <w:i/>
            <w:iCs/>
          </w:rPr>
          <w:t>Victorian renewable energy and storage targets</w:t>
        </w:r>
      </w:hyperlink>
      <w:r w:rsidRPr="00AB2440">
        <w:rPr>
          <w:rStyle w:val="Hyperlink"/>
        </w:rPr>
        <w:t xml:space="preserve"> </w:t>
      </w:r>
      <w:r>
        <w:rPr>
          <w:rStyle w:val="Hyperlink"/>
          <w:color w:val="auto"/>
        </w:rPr>
        <w:t>(</w:t>
      </w:r>
      <w:r w:rsidRPr="00AB2440">
        <w:rPr>
          <w:rStyle w:val="Hyperlink"/>
          <w:color w:val="auto"/>
        </w:rPr>
        <w:t>website</w:t>
      </w:r>
      <w:r>
        <w:rPr>
          <w:rStyle w:val="Hyperlink"/>
          <w:color w:val="auto"/>
        </w:rPr>
        <w:t>)</w:t>
      </w:r>
      <w:r w:rsidRPr="00AB2440">
        <w:rPr>
          <w:rStyle w:val="Hyperlink"/>
          <w:color w:val="auto"/>
        </w:rPr>
        <w:t>, n.d, accessed 3 July 2023</w:t>
      </w:r>
      <w:r>
        <w:rPr>
          <w:rStyle w:val="Hyperlink"/>
          <w:color w:val="auto"/>
        </w:rPr>
        <w:t>.</w:t>
      </w:r>
    </w:p>
  </w:endnote>
  <w:endnote w:id="343">
    <w:p w14:paraId="366AF3F3" w14:textId="77777777" w:rsidR="00373ED9" w:rsidRPr="00AB2440" w:rsidRDefault="00373ED9" w:rsidP="00373ED9">
      <w:pPr>
        <w:pStyle w:val="EndnoteText"/>
        <w:rPr>
          <w:rStyle w:val="Hyperlink"/>
          <w:color w:val="auto"/>
        </w:rPr>
      </w:pPr>
      <w:r w:rsidRPr="00AB2440">
        <w:rPr>
          <w:rStyle w:val="EndnoteReference"/>
        </w:rPr>
        <w:endnoteRef/>
      </w:r>
      <w:r w:rsidRPr="00AB2440">
        <w:t xml:space="preserve"> Department of Energy, Environment and Climate Action, </w:t>
      </w:r>
      <w:hyperlink r:id="rId417" w:history="1">
        <w:r w:rsidRPr="00AB2440">
          <w:rPr>
            <w:rStyle w:val="Hyperlink"/>
            <w:i/>
            <w:iCs/>
          </w:rPr>
          <w:t>Victorian renewable energy and storage targets</w:t>
        </w:r>
      </w:hyperlink>
      <w:r w:rsidRPr="00AB2440">
        <w:rPr>
          <w:rStyle w:val="Hyperlink"/>
          <w:color w:val="auto"/>
        </w:rPr>
        <w:t xml:space="preserve"> </w:t>
      </w:r>
      <w:r>
        <w:rPr>
          <w:rStyle w:val="Hyperlink"/>
          <w:color w:val="auto"/>
        </w:rPr>
        <w:t>(</w:t>
      </w:r>
      <w:r w:rsidRPr="00AB2440">
        <w:rPr>
          <w:rStyle w:val="Hyperlink"/>
          <w:color w:val="auto"/>
        </w:rPr>
        <w:t>website</w:t>
      </w:r>
      <w:r>
        <w:rPr>
          <w:rStyle w:val="Hyperlink"/>
          <w:color w:val="auto"/>
        </w:rPr>
        <w:t>)</w:t>
      </w:r>
      <w:r w:rsidRPr="00AB2440">
        <w:rPr>
          <w:rStyle w:val="Hyperlink"/>
          <w:color w:val="auto"/>
        </w:rPr>
        <w:t>, n.d, accessed 3 July 2023</w:t>
      </w:r>
      <w:r>
        <w:rPr>
          <w:rStyle w:val="Hyperlink"/>
          <w:color w:val="auto"/>
        </w:rPr>
        <w:t>.</w:t>
      </w:r>
    </w:p>
  </w:endnote>
  <w:endnote w:id="344">
    <w:p w14:paraId="401D7F47" w14:textId="77777777" w:rsidR="00373ED9" w:rsidRDefault="00373ED9" w:rsidP="00373ED9">
      <w:pPr>
        <w:pStyle w:val="EndnoteText"/>
      </w:pPr>
      <w:r>
        <w:rPr>
          <w:rStyle w:val="EndnoteReference"/>
        </w:rPr>
        <w:endnoteRef/>
      </w:r>
      <w:r>
        <w:t xml:space="preserve"> Premier of Victoria, </w:t>
      </w:r>
      <w:hyperlink r:id="rId418" w:history="1">
        <w:r w:rsidRPr="00D47419">
          <w:rPr>
            <w:rStyle w:val="Hyperlink"/>
            <w:i/>
            <w:iCs/>
          </w:rPr>
          <w:t>Australia’s biggest renewable energy storage targets</w:t>
        </w:r>
      </w:hyperlink>
      <w:r>
        <w:t xml:space="preserve"> (media release), 27 September 2022, accessed 3 July 2023.</w:t>
      </w:r>
    </w:p>
  </w:endnote>
  <w:endnote w:id="345">
    <w:p w14:paraId="46A8A401" w14:textId="77777777" w:rsidR="00373ED9" w:rsidRDefault="00373ED9" w:rsidP="00373ED9">
      <w:pPr>
        <w:pStyle w:val="EndnoteText"/>
      </w:pPr>
      <w:r>
        <w:rPr>
          <w:rStyle w:val="EndnoteReference"/>
        </w:rPr>
        <w:endnoteRef/>
      </w:r>
      <w:r>
        <w:t xml:space="preserve"> Premier of Victoria, </w:t>
      </w:r>
      <w:hyperlink r:id="rId419" w:history="1">
        <w:r w:rsidRPr="00D47419">
          <w:rPr>
            <w:rStyle w:val="Hyperlink"/>
            <w:i/>
            <w:iCs/>
          </w:rPr>
          <w:t>Australia’s biggest renewable energy storage targets</w:t>
        </w:r>
      </w:hyperlink>
      <w:r>
        <w:t xml:space="preserve"> (media release), 27 September 2022, accessed 3 July 2023.</w:t>
      </w:r>
    </w:p>
  </w:endnote>
  <w:endnote w:id="346">
    <w:p w14:paraId="4EA892B4" w14:textId="77777777" w:rsidR="00373ED9" w:rsidRDefault="00373ED9" w:rsidP="00373ED9">
      <w:pPr>
        <w:pStyle w:val="EndnoteText"/>
      </w:pPr>
      <w:r>
        <w:rPr>
          <w:rStyle w:val="EndnoteReference"/>
        </w:rPr>
        <w:endnoteRef/>
      </w:r>
      <w:r>
        <w:t xml:space="preserve"> Engage Victoria, </w:t>
      </w:r>
      <w:hyperlink r:id="rId420" w:history="1">
        <w:r w:rsidRPr="00D47419">
          <w:rPr>
            <w:rStyle w:val="Hyperlink"/>
            <w:i/>
            <w:iCs/>
          </w:rPr>
          <w:t>Victorian transmission investment framework final design</w:t>
        </w:r>
      </w:hyperlink>
      <w:r>
        <w:t xml:space="preserve"> (website), n.d., accessed 3 July 2023.</w:t>
      </w:r>
    </w:p>
  </w:endnote>
  <w:endnote w:id="347">
    <w:p w14:paraId="3410E326" w14:textId="77777777" w:rsidR="00373ED9" w:rsidRDefault="00373ED9" w:rsidP="00373ED9">
      <w:pPr>
        <w:pStyle w:val="EndnoteText"/>
      </w:pPr>
      <w:r>
        <w:rPr>
          <w:rStyle w:val="EndnoteReference"/>
        </w:rPr>
        <w:endnoteRef/>
      </w:r>
      <w:r>
        <w:t xml:space="preserve"> Engage Victoria, </w:t>
      </w:r>
      <w:hyperlink r:id="rId421" w:history="1">
        <w:r w:rsidRPr="00D47419">
          <w:rPr>
            <w:rStyle w:val="Hyperlink"/>
            <w:i/>
            <w:iCs/>
          </w:rPr>
          <w:t>Victorian transmission investment framework final design</w:t>
        </w:r>
      </w:hyperlink>
      <w:r>
        <w:t xml:space="preserve"> (website), n.d., accessed 3 July 2023.</w:t>
      </w:r>
    </w:p>
  </w:endnote>
  <w:endnote w:id="348">
    <w:p w14:paraId="06E707E4" w14:textId="77777777" w:rsidR="00373ED9" w:rsidRDefault="00373ED9" w:rsidP="00373ED9">
      <w:pPr>
        <w:pStyle w:val="EndnoteText"/>
      </w:pPr>
      <w:r>
        <w:rPr>
          <w:rStyle w:val="EndnoteReference"/>
        </w:rPr>
        <w:endnoteRef/>
      </w:r>
      <w:r>
        <w:t xml:space="preserve"> </w:t>
      </w:r>
      <w:r w:rsidRPr="00F05DC5">
        <w:rPr>
          <w:szCs w:val="15"/>
        </w:rPr>
        <w:t>Department of Treasury and Finance</w:t>
      </w:r>
      <w:r w:rsidRPr="004A1190">
        <w:rPr>
          <w:szCs w:val="15"/>
        </w:rPr>
        <w:t>,</w:t>
      </w:r>
      <w:r w:rsidRPr="00F05DC5">
        <w:rPr>
          <w:szCs w:val="15"/>
        </w:rPr>
        <w:t xml:space="preserve"> </w:t>
      </w:r>
      <w:hyperlink r:id="rId422" w:anchor="budget-paper-3-service-delivery" w:history="1">
        <w:r w:rsidRPr="004A1190">
          <w:rPr>
            <w:rStyle w:val="Hyperlink"/>
            <w:i/>
            <w:iCs/>
            <w:szCs w:val="15"/>
          </w:rPr>
          <w:t>Victorian Budget 2023</w:t>
        </w:r>
        <w:r>
          <w:rPr>
            <w:rStyle w:val="Hyperlink"/>
            <w:i/>
            <w:iCs/>
            <w:szCs w:val="15"/>
          </w:rPr>
          <w:t>–</w:t>
        </w:r>
        <w:r w:rsidRPr="004A1190">
          <w:rPr>
            <w:rStyle w:val="Hyperlink"/>
            <w:i/>
            <w:iCs/>
            <w:szCs w:val="15"/>
          </w:rPr>
          <w:t>24 – Budget Paper No. 3</w:t>
        </w:r>
      </w:hyperlink>
      <w:r w:rsidRPr="004A1190">
        <w:rPr>
          <w:szCs w:val="15"/>
        </w:rPr>
        <w:t>, 2023, p</w:t>
      </w:r>
      <w:r>
        <w:rPr>
          <w:szCs w:val="15"/>
        </w:rPr>
        <w:t>p.</w:t>
      </w:r>
      <w:r w:rsidRPr="00F05DC5" w:rsidDel="008C7EEE">
        <w:rPr>
          <w:szCs w:val="15"/>
        </w:rPr>
        <w:t xml:space="preserve"> </w:t>
      </w:r>
      <w:r>
        <w:rPr>
          <w:szCs w:val="15"/>
        </w:rPr>
        <w:t xml:space="preserve">28, 34, accessed 3 July 2023 </w:t>
      </w:r>
      <w:r w:rsidRPr="004A1190">
        <w:rPr>
          <w:szCs w:val="15"/>
        </w:rPr>
        <w:t>(</w:t>
      </w:r>
      <w:hyperlink r:id="rId423" w:history="1">
        <w:r w:rsidRPr="004A1190">
          <w:rPr>
            <w:rStyle w:val="Hyperlink"/>
            <w:szCs w:val="15"/>
          </w:rPr>
          <w:t>https://s3.ap-southeast-2.amazonaws.com/budgetfiles202324.budget.vic.gov.au/2023</w:t>
        </w:r>
        <w:r>
          <w:rPr>
            <w:rStyle w:val="Hyperlink"/>
            <w:szCs w:val="15"/>
          </w:rPr>
          <w:t>–</w:t>
        </w:r>
        <w:r w:rsidRPr="004A1190">
          <w:rPr>
            <w:rStyle w:val="Hyperlink"/>
            <w:szCs w:val="15"/>
          </w:rPr>
          <w:t>24+State+Budget+-+Service+Delivery.pdf</w:t>
        </w:r>
      </w:hyperlink>
      <w:r w:rsidRPr="004A1190">
        <w:rPr>
          <w:szCs w:val="15"/>
        </w:rPr>
        <w:t>)</w:t>
      </w:r>
      <w:r>
        <w:rPr>
          <w:szCs w:val="15"/>
        </w:rPr>
        <w:t>.</w:t>
      </w:r>
    </w:p>
  </w:endnote>
  <w:endnote w:id="349">
    <w:p w14:paraId="68267C8F" w14:textId="77777777" w:rsidR="00373ED9" w:rsidRDefault="00373ED9" w:rsidP="00373ED9">
      <w:pPr>
        <w:pStyle w:val="EndnoteText"/>
      </w:pPr>
      <w:r>
        <w:rPr>
          <w:rStyle w:val="EndnoteReference"/>
        </w:rPr>
        <w:endnoteRef/>
      </w:r>
      <w:r>
        <w:t xml:space="preserve"> Engage Victoria, </w:t>
      </w:r>
      <w:hyperlink r:id="rId424" w:history="1">
        <w:r w:rsidRPr="007137EA">
          <w:rPr>
            <w:rStyle w:val="Hyperlink"/>
            <w:i/>
            <w:iCs/>
          </w:rPr>
          <w:t>Victoria’s offshore wind policy directions paper</w:t>
        </w:r>
      </w:hyperlink>
      <w:r>
        <w:t xml:space="preserve"> (website), n.d., accessed 3 July 2023</w:t>
      </w:r>
    </w:p>
  </w:endnote>
  <w:endnote w:id="350">
    <w:p w14:paraId="278565C6" w14:textId="77777777" w:rsidR="00373ED9" w:rsidRDefault="00373ED9" w:rsidP="00373ED9">
      <w:pPr>
        <w:pStyle w:val="EndnoteText"/>
      </w:pPr>
      <w:r>
        <w:rPr>
          <w:rStyle w:val="EndnoteReference"/>
        </w:rPr>
        <w:endnoteRef/>
      </w:r>
      <w:r>
        <w:t xml:space="preserve"> Engage Victoria, </w:t>
      </w:r>
      <w:hyperlink r:id="rId425" w:history="1">
        <w:r w:rsidRPr="007137EA">
          <w:rPr>
            <w:rStyle w:val="Hyperlink"/>
            <w:i/>
            <w:iCs/>
          </w:rPr>
          <w:t>Victoria’s offshore wind policy directions paper</w:t>
        </w:r>
      </w:hyperlink>
      <w:r>
        <w:t xml:space="preserve"> (website), n.d., accessed 3 July 2023</w:t>
      </w:r>
    </w:p>
  </w:endnote>
  <w:endnote w:id="351">
    <w:p w14:paraId="439E1F04" w14:textId="77777777" w:rsidR="00373ED9" w:rsidRDefault="00373ED9" w:rsidP="00373ED9">
      <w:pPr>
        <w:pStyle w:val="EndnoteText"/>
      </w:pPr>
      <w:r>
        <w:rPr>
          <w:rStyle w:val="EndnoteReference"/>
        </w:rPr>
        <w:endnoteRef/>
      </w:r>
      <w:r>
        <w:t xml:space="preserve"> </w:t>
      </w:r>
      <w:r w:rsidRPr="00F05DC5">
        <w:rPr>
          <w:szCs w:val="15"/>
        </w:rPr>
        <w:t>Department of Treasury and Finance</w:t>
      </w:r>
      <w:r w:rsidRPr="004A1190">
        <w:rPr>
          <w:szCs w:val="15"/>
        </w:rPr>
        <w:t>,</w:t>
      </w:r>
      <w:r w:rsidRPr="00F05DC5">
        <w:rPr>
          <w:szCs w:val="15"/>
        </w:rPr>
        <w:t xml:space="preserve"> </w:t>
      </w:r>
      <w:hyperlink r:id="rId426" w:anchor="budget-paper-3-service-delivery" w:history="1">
        <w:r w:rsidRPr="004A1190">
          <w:rPr>
            <w:rStyle w:val="Hyperlink"/>
            <w:i/>
            <w:iCs/>
            <w:szCs w:val="15"/>
          </w:rPr>
          <w:t>Victorian Budget 2023</w:t>
        </w:r>
        <w:r>
          <w:rPr>
            <w:rStyle w:val="Hyperlink"/>
            <w:i/>
            <w:iCs/>
            <w:szCs w:val="15"/>
          </w:rPr>
          <w:t>–</w:t>
        </w:r>
        <w:r w:rsidRPr="004A1190">
          <w:rPr>
            <w:rStyle w:val="Hyperlink"/>
            <w:i/>
            <w:iCs/>
            <w:szCs w:val="15"/>
          </w:rPr>
          <w:t>24 – Budget Paper No. 3</w:t>
        </w:r>
      </w:hyperlink>
      <w:r w:rsidRPr="004A1190">
        <w:rPr>
          <w:szCs w:val="15"/>
        </w:rPr>
        <w:t>, 2023, p</w:t>
      </w:r>
      <w:r>
        <w:rPr>
          <w:szCs w:val="15"/>
        </w:rPr>
        <w:t>p.</w:t>
      </w:r>
      <w:r w:rsidRPr="00F05DC5" w:rsidDel="008C7EEE">
        <w:rPr>
          <w:szCs w:val="15"/>
        </w:rPr>
        <w:t xml:space="preserve"> </w:t>
      </w:r>
      <w:r>
        <w:rPr>
          <w:szCs w:val="15"/>
        </w:rPr>
        <w:t xml:space="preserve">96, 99, accessed 3 July 2023 </w:t>
      </w:r>
      <w:r w:rsidRPr="004A1190">
        <w:rPr>
          <w:szCs w:val="15"/>
        </w:rPr>
        <w:t>(</w:t>
      </w:r>
      <w:hyperlink r:id="rId427" w:history="1">
        <w:r w:rsidRPr="004A1190">
          <w:rPr>
            <w:rStyle w:val="Hyperlink"/>
            <w:szCs w:val="15"/>
          </w:rPr>
          <w:t>https://s3.ap-southeast-2.amazonaws.com/budgetfiles202324.budget.vic.gov.au/2023</w:t>
        </w:r>
        <w:r>
          <w:rPr>
            <w:rStyle w:val="Hyperlink"/>
            <w:szCs w:val="15"/>
          </w:rPr>
          <w:t>–</w:t>
        </w:r>
        <w:r w:rsidRPr="004A1190">
          <w:rPr>
            <w:rStyle w:val="Hyperlink"/>
            <w:szCs w:val="15"/>
          </w:rPr>
          <w:t>24+State+Budget+-+Service+Delivery.pdf</w:t>
        </w:r>
      </w:hyperlink>
      <w:r w:rsidRPr="004A1190">
        <w:rPr>
          <w:szCs w:val="15"/>
        </w:rPr>
        <w:t>)</w:t>
      </w:r>
      <w:r>
        <w:rPr>
          <w:szCs w:val="15"/>
        </w:rPr>
        <w:t>.</w:t>
      </w:r>
    </w:p>
  </w:endnote>
  <w:endnote w:id="352">
    <w:p w14:paraId="2418BE3D" w14:textId="77777777" w:rsidR="00373ED9" w:rsidRDefault="00373ED9" w:rsidP="00373ED9">
      <w:pPr>
        <w:pStyle w:val="EndnoteText"/>
      </w:pPr>
      <w:r>
        <w:rPr>
          <w:rStyle w:val="EndnoteReference"/>
        </w:rPr>
        <w:endnoteRef/>
      </w:r>
      <w:r>
        <w:t xml:space="preserve"> Prime Minister of Australia, </w:t>
      </w:r>
      <w:hyperlink r:id="rId428" w:history="1">
        <w:r w:rsidRPr="00F83353">
          <w:rPr>
            <w:rStyle w:val="Hyperlink"/>
            <w:i/>
            <w:iCs/>
          </w:rPr>
          <w:t>Rewiring the nation to supercharge Victorian renewables</w:t>
        </w:r>
      </w:hyperlink>
      <w:r>
        <w:t xml:space="preserve"> (media release), 19 October 2022, accessed 13 July 2023.</w:t>
      </w:r>
    </w:p>
  </w:endnote>
  <w:endnote w:id="353">
    <w:p w14:paraId="6446DF35" w14:textId="77777777" w:rsidR="00373ED9" w:rsidRDefault="00373ED9" w:rsidP="00373ED9">
      <w:pPr>
        <w:pStyle w:val="EndnoteText"/>
      </w:pPr>
      <w:r>
        <w:rPr>
          <w:rStyle w:val="EndnoteReference"/>
        </w:rPr>
        <w:endnoteRef/>
      </w:r>
      <w:r>
        <w:t xml:space="preserve"> Prime Minister of Australia, </w:t>
      </w:r>
      <w:hyperlink r:id="rId429" w:history="1">
        <w:r w:rsidRPr="00F83353">
          <w:rPr>
            <w:rStyle w:val="Hyperlink"/>
            <w:i/>
            <w:iCs/>
          </w:rPr>
          <w:t>Rewiring the nation to supercharge Victorian renewables</w:t>
        </w:r>
      </w:hyperlink>
      <w:r>
        <w:t xml:space="preserve"> (media release), 19 October 2022, accessed 13 July 2023.</w:t>
      </w:r>
    </w:p>
  </w:endnote>
  <w:endnote w:id="354">
    <w:p w14:paraId="0DEDE52D" w14:textId="693E2033" w:rsidR="00373ED9" w:rsidRDefault="00373ED9" w:rsidP="00373ED9">
      <w:pPr>
        <w:pStyle w:val="EndnoteText"/>
      </w:pPr>
      <w:r>
        <w:rPr>
          <w:rStyle w:val="EndnoteReference"/>
        </w:rPr>
        <w:endnoteRef/>
      </w:r>
      <w:r>
        <w:t xml:space="preserve"> </w:t>
      </w:r>
      <w:r w:rsidR="006B1D30" w:rsidRPr="006B1D30">
        <w:rPr>
          <w:rFonts w:ascii="Calibri" w:eastAsiaTheme="minorHAnsi" w:hAnsi="Calibri" w:cs="Calibri"/>
          <w:color w:val="000000"/>
          <w:szCs w:val="15"/>
          <w:lang w:val="en-GB"/>
        </w:rPr>
        <w:t>Department of Energy, Environment and Climate Action</w:t>
      </w:r>
      <w:r>
        <w:t xml:space="preserve">, </w:t>
      </w:r>
      <w:hyperlink r:id="rId430" w:history="1">
        <w:r w:rsidRPr="006F0343">
          <w:rPr>
            <w:rStyle w:val="Hyperlink"/>
            <w:i/>
            <w:iCs/>
          </w:rPr>
          <w:t>Victoria’s gas substitution roadmap</w:t>
        </w:r>
      </w:hyperlink>
      <w:r>
        <w:t xml:space="preserve"> (website), n.d., accessed 3 July 2023.</w:t>
      </w:r>
    </w:p>
  </w:endnote>
  <w:endnote w:id="355">
    <w:p w14:paraId="7A7D988E" w14:textId="77777777" w:rsidR="00373ED9" w:rsidRDefault="00373ED9" w:rsidP="00373ED9">
      <w:pPr>
        <w:pStyle w:val="EndnoteText"/>
      </w:pPr>
      <w:r>
        <w:rPr>
          <w:rStyle w:val="EndnoteReference"/>
        </w:rPr>
        <w:endnoteRef/>
      </w:r>
      <w:r>
        <w:t xml:space="preserve"> Premier of Victoria, </w:t>
      </w:r>
      <w:hyperlink r:id="rId431" w:history="1">
        <w:r w:rsidRPr="006F0343">
          <w:rPr>
            <w:rStyle w:val="Hyperlink"/>
            <w:i/>
            <w:iCs/>
          </w:rPr>
          <w:t>Gas roadmap drives down energy bill and emissions</w:t>
        </w:r>
      </w:hyperlink>
      <w:r>
        <w:t xml:space="preserve"> (media release), 1 July 2022, accessed 13 July 2023.</w:t>
      </w:r>
    </w:p>
  </w:endnote>
  <w:endnote w:id="356">
    <w:p w14:paraId="3F527C0B" w14:textId="77777777" w:rsidR="00373ED9" w:rsidRDefault="00373ED9" w:rsidP="00373ED9">
      <w:pPr>
        <w:pStyle w:val="EndnoteText"/>
      </w:pPr>
      <w:r>
        <w:rPr>
          <w:rStyle w:val="EndnoteReference"/>
        </w:rPr>
        <w:endnoteRef/>
      </w:r>
      <w:r>
        <w:t xml:space="preserve"> Department of Energy, Environment and Climate Action, </w:t>
      </w:r>
      <w:hyperlink r:id="rId432" w:history="1">
        <w:r w:rsidRPr="007137EA">
          <w:rPr>
            <w:rStyle w:val="Hyperlink"/>
            <w:i/>
            <w:iCs/>
          </w:rPr>
          <w:t>Victoria’s Gas Substitution Roadmap</w:t>
        </w:r>
      </w:hyperlink>
      <w:r>
        <w:t xml:space="preserve"> (website), n.d., accessed 13 July 2023.</w:t>
      </w:r>
    </w:p>
  </w:endnote>
  <w:endnote w:id="357">
    <w:p w14:paraId="5A6D8098" w14:textId="77777777" w:rsidR="00373ED9" w:rsidRPr="007137EA" w:rsidRDefault="00373ED9" w:rsidP="00373ED9">
      <w:pPr>
        <w:pStyle w:val="EndnoteText"/>
      </w:pPr>
      <w:r>
        <w:rPr>
          <w:rStyle w:val="EndnoteReference"/>
        </w:rPr>
        <w:endnoteRef/>
      </w:r>
      <w:r>
        <w:t xml:space="preserve"> </w:t>
      </w:r>
      <w:r w:rsidRPr="00F05DC5">
        <w:rPr>
          <w:szCs w:val="15"/>
        </w:rPr>
        <w:t>Department of Treasury and Finance</w:t>
      </w:r>
      <w:r w:rsidRPr="004A1190">
        <w:rPr>
          <w:szCs w:val="15"/>
        </w:rPr>
        <w:t>,</w:t>
      </w:r>
      <w:r w:rsidRPr="00F05DC5">
        <w:rPr>
          <w:szCs w:val="15"/>
        </w:rPr>
        <w:t xml:space="preserve"> </w:t>
      </w:r>
      <w:hyperlink r:id="rId433" w:anchor="budget-paper-3-service-delivery" w:history="1">
        <w:r w:rsidRPr="004A1190">
          <w:rPr>
            <w:rStyle w:val="Hyperlink"/>
            <w:i/>
            <w:iCs/>
            <w:szCs w:val="15"/>
          </w:rPr>
          <w:t>Victorian Budget 2023</w:t>
        </w:r>
        <w:r>
          <w:rPr>
            <w:rStyle w:val="Hyperlink"/>
            <w:i/>
            <w:iCs/>
            <w:szCs w:val="15"/>
          </w:rPr>
          <w:t>–</w:t>
        </w:r>
        <w:r w:rsidRPr="004A1190">
          <w:rPr>
            <w:rStyle w:val="Hyperlink"/>
            <w:i/>
            <w:iCs/>
            <w:szCs w:val="15"/>
          </w:rPr>
          <w:t>24 – Budget Paper No. 3</w:t>
        </w:r>
      </w:hyperlink>
      <w:r w:rsidRPr="004A1190">
        <w:rPr>
          <w:szCs w:val="15"/>
        </w:rPr>
        <w:t>, 2023, p</w:t>
      </w:r>
      <w:r>
        <w:rPr>
          <w:szCs w:val="15"/>
        </w:rPr>
        <w:t>p.</w:t>
      </w:r>
      <w:r w:rsidRPr="00F05DC5" w:rsidDel="008C7EEE">
        <w:rPr>
          <w:szCs w:val="15"/>
        </w:rPr>
        <w:t xml:space="preserve"> </w:t>
      </w:r>
      <w:r>
        <w:rPr>
          <w:szCs w:val="15"/>
        </w:rPr>
        <w:t xml:space="preserve">28, 33, accessed 3 July 2023 </w:t>
      </w:r>
      <w:r w:rsidRPr="004A1190">
        <w:rPr>
          <w:szCs w:val="15"/>
        </w:rPr>
        <w:t>(</w:t>
      </w:r>
      <w:hyperlink r:id="rId434" w:history="1">
        <w:r w:rsidRPr="004A1190">
          <w:rPr>
            <w:rStyle w:val="Hyperlink"/>
            <w:szCs w:val="15"/>
          </w:rPr>
          <w:t>https://s3.ap-southeast-2.amazonaws.com/budgetfiles202324.budget.vic.gov.au/2023</w:t>
        </w:r>
        <w:r>
          <w:rPr>
            <w:rStyle w:val="Hyperlink"/>
            <w:szCs w:val="15"/>
          </w:rPr>
          <w:t>–</w:t>
        </w:r>
        <w:r w:rsidRPr="004A1190">
          <w:rPr>
            <w:rStyle w:val="Hyperlink"/>
            <w:szCs w:val="15"/>
          </w:rPr>
          <w:t>24+State+Budget+-+Service+Delivery.pdf</w:t>
        </w:r>
      </w:hyperlink>
      <w:r w:rsidRPr="004A1190">
        <w:rPr>
          <w:szCs w:val="15"/>
        </w:rPr>
        <w:t>)</w:t>
      </w:r>
      <w:r>
        <w:rPr>
          <w:szCs w:val="15"/>
        </w:rPr>
        <w:t>.</w:t>
      </w:r>
    </w:p>
  </w:endnote>
  <w:endnote w:id="358">
    <w:p w14:paraId="35EB35D0" w14:textId="77777777" w:rsidR="00373ED9" w:rsidRDefault="00373ED9" w:rsidP="00373ED9">
      <w:pPr>
        <w:pStyle w:val="EndnoteText"/>
      </w:pPr>
      <w:r>
        <w:rPr>
          <w:rStyle w:val="EndnoteReference"/>
        </w:rPr>
        <w:endnoteRef/>
      </w:r>
      <w:r>
        <w:t xml:space="preserve"> Infrastructure Victoria,</w:t>
      </w:r>
      <w:r w:rsidRPr="00F83353">
        <w:rPr>
          <w:i/>
          <w:iCs/>
        </w:rPr>
        <w:t xml:space="preserve"> </w:t>
      </w:r>
      <w:hyperlink r:id="rId435" w:history="1">
        <w:r w:rsidRPr="00F83353">
          <w:rPr>
            <w:rStyle w:val="Hyperlink"/>
            <w:i/>
            <w:iCs/>
          </w:rPr>
          <w:t>Towards 2050: gas infrastructure in a net-zero emissions economy</w:t>
        </w:r>
      </w:hyperlink>
      <w:r>
        <w:t>, 2021, pp. 16–29, accessed 17 August 2023.</w:t>
      </w:r>
    </w:p>
  </w:endnote>
  <w:endnote w:id="359">
    <w:p w14:paraId="1B7C4A4D" w14:textId="668E384E" w:rsidR="00373ED9" w:rsidRDefault="00373ED9" w:rsidP="00373ED9">
      <w:pPr>
        <w:pStyle w:val="EndnoteText"/>
      </w:pPr>
      <w:r>
        <w:rPr>
          <w:rStyle w:val="EndnoteReference"/>
        </w:rPr>
        <w:endnoteRef/>
      </w:r>
      <w:r>
        <w:t xml:space="preserve"> Infrastructure Victoria, </w:t>
      </w:r>
      <w:hyperlink r:id="rId436" w:history="1">
        <w:r w:rsidRPr="00597874">
          <w:rPr>
            <w:rStyle w:val="Hyperlink"/>
            <w:i/>
          </w:rPr>
          <w:t>Victoria’s infrastructure strategy 2021</w:t>
        </w:r>
        <w:r>
          <w:rPr>
            <w:rStyle w:val="Hyperlink"/>
            <w:i/>
          </w:rPr>
          <w:t>–</w:t>
        </w:r>
        <w:r w:rsidRPr="00597874">
          <w:rPr>
            <w:rStyle w:val="Hyperlink"/>
            <w:i/>
          </w:rPr>
          <w:t>2051</w:t>
        </w:r>
      </w:hyperlink>
      <w:r>
        <w:t>, 2021, p</w:t>
      </w:r>
      <w:r w:rsidRPr="00597874">
        <w:t>.</w:t>
      </w:r>
      <w:r>
        <w:t xml:space="preserve"> 200, accessed 29 June 2023.</w:t>
      </w:r>
    </w:p>
  </w:endnote>
  <w:endnote w:id="360">
    <w:p w14:paraId="0A3B285E" w14:textId="77777777" w:rsidR="00373ED9" w:rsidRDefault="00373ED9" w:rsidP="00373ED9">
      <w:pPr>
        <w:pStyle w:val="EndnoteText"/>
      </w:pPr>
      <w:r>
        <w:rPr>
          <w:rStyle w:val="EndnoteReference"/>
        </w:rPr>
        <w:endnoteRef/>
      </w:r>
      <w:r>
        <w:t xml:space="preserve"> Department of Climate Change, Energy, the Environment and Water,</w:t>
      </w:r>
      <w:r w:rsidRPr="009971F0">
        <w:rPr>
          <w:i/>
        </w:rPr>
        <w:t xml:space="preserve"> </w:t>
      </w:r>
      <w:hyperlink r:id="rId437" w:history="1">
        <w:r w:rsidRPr="009971F0">
          <w:rPr>
            <w:rStyle w:val="Hyperlink"/>
            <w:i/>
          </w:rPr>
          <w:t>Introduced and invasive species</w:t>
        </w:r>
      </w:hyperlink>
      <w:r>
        <w:t>, 2021, accessed 30 June 2023.</w:t>
      </w:r>
    </w:p>
  </w:endnote>
  <w:endnote w:id="361">
    <w:p w14:paraId="1A886110" w14:textId="74ACE4EA" w:rsidR="00373ED9" w:rsidRDefault="00373ED9" w:rsidP="00373ED9">
      <w:pPr>
        <w:pStyle w:val="EndnoteText"/>
      </w:pPr>
      <w:r>
        <w:rPr>
          <w:rStyle w:val="EndnoteReference"/>
        </w:rPr>
        <w:endnoteRef/>
      </w:r>
      <w:r>
        <w:t xml:space="preserve"> Infrastructure Victoria, </w:t>
      </w:r>
      <w:hyperlink r:id="rId438" w:history="1">
        <w:r w:rsidRPr="00597874">
          <w:rPr>
            <w:rStyle w:val="Hyperlink"/>
            <w:i/>
          </w:rPr>
          <w:t>Victoria’s infrastructure strategy 2021</w:t>
        </w:r>
        <w:r>
          <w:rPr>
            <w:rStyle w:val="Hyperlink"/>
            <w:i/>
          </w:rPr>
          <w:t>–</w:t>
        </w:r>
        <w:r w:rsidRPr="00597874">
          <w:rPr>
            <w:rStyle w:val="Hyperlink"/>
            <w:i/>
          </w:rPr>
          <w:t>2051</w:t>
        </w:r>
      </w:hyperlink>
      <w:r>
        <w:t>, August 2021, p</w:t>
      </w:r>
      <w:r w:rsidRPr="00597874">
        <w:t>.</w:t>
      </w:r>
      <w:r>
        <w:t xml:space="preserve"> 156, accessed 29 June 2023.</w:t>
      </w:r>
    </w:p>
  </w:endnote>
  <w:endnote w:id="362">
    <w:p w14:paraId="7D005E27" w14:textId="77777777" w:rsidR="00373ED9" w:rsidRDefault="00373ED9" w:rsidP="00373ED9">
      <w:pPr>
        <w:pStyle w:val="EndnoteText"/>
      </w:pPr>
      <w:r>
        <w:rPr>
          <w:rStyle w:val="EndnoteReference"/>
        </w:rPr>
        <w:endnoteRef/>
      </w:r>
      <w:r>
        <w:t xml:space="preserve"> Australian Broadcasting Corporation, </w:t>
      </w:r>
      <w:hyperlink r:id="rId439" w:history="1">
        <w:r w:rsidRPr="00BE2457">
          <w:rPr>
            <w:rStyle w:val="Hyperlink"/>
            <w:i/>
          </w:rPr>
          <w:t>‘Tunnel of love’ belo</w:t>
        </w:r>
        <w:bookmarkStart w:id="80" w:name="_Hlt142922804"/>
        <w:bookmarkStart w:id="81" w:name="_Hlt142922805"/>
        <w:r w:rsidRPr="00BE2457">
          <w:rPr>
            <w:rStyle w:val="Hyperlink"/>
            <w:i/>
          </w:rPr>
          <w:t>w</w:t>
        </w:r>
        <w:bookmarkEnd w:id="80"/>
        <w:bookmarkEnd w:id="81"/>
        <w:r w:rsidRPr="00BE2457">
          <w:rPr>
            <w:rStyle w:val="Hyperlink"/>
            <w:i/>
          </w:rPr>
          <w:t xml:space="preserve"> bust alpine road helping endangered pygmy possum bridge romantic divide</w:t>
        </w:r>
      </w:hyperlink>
      <w:r w:rsidRPr="00597874">
        <w:t>,</w:t>
      </w:r>
      <w:r>
        <w:t xml:space="preserve"> 30 November 2019, accessed 30 June 2023.</w:t>
      </w:r>
    </w:p>
  </w:endnote>
  <w:endnote w:id="363">
    <w:p w14:paraId="1228F8FB" w14:textId="77777777" w:rsidR="00373ED9" w:rsidRDefault="00373ED9" w:rsidP="00373ED9">
      <w:pPr>
        <w:pStyle w:val="EndnoteText"/>
      </w:pPr>
      <w:r>
        <w:rPr>
          <w:rStyle w:val="EndnoteReference"/>
        </w:rPr>
        <w:endnoteRef/>
      </w:r>
      <w:r>
        <w:t xml:space="preserve"> Australian Broadcasting Corporation, </w:t>
      </w:r>
      <w:hyperlink r:id="rId440" w:history="1">
        <w:r w:rsidRPr="00BE2457">
          <w:rPr>
            <w:rStyle w:val="Hyperlink"/>
            <w:i/>
          </w:rPr>
          <w:t>‘Tunnel of love’ below bust alpine road helping endangered pygmy possum bridge romantic divid</w:t>
        </w:r>
        <w:r>
          <w:rPr>
            <w:rStyle w:val="Hyperlink"/>
            <w:i/>
          </w:rPr>
          <w:t>e</w:t>
        </w:r>
      </w:hyperlink>
      <w:r w:rsidRPr="00597874">
        <w:t>,</w:t>
      </w:r>
      <w:r>
        <w:t xml:space="preserve"> 30 November 2019, accessed 30 June 2023.</w:t>
      </w:r>
    </w:p>
  </w:endnote>
  <w:endnote w:id="364">
    <w:p w14:paraId="48E45D92" w14:textId="77777777" w:rsidR="00373ED9" w:rsidRDefault="00373ED9" w:rsidP="00373ED9">
      <w:pPr>
        <w:pStyle w:val="EndnoteText"/>
      </w:pPr>
      <w:r>
        <w:rPr>
          <w:rStyle w:val="EndnoteReference"/>
        </w:rPr>
        <w:endnoteRef/>
      </w:r>
      <w:r>
        <w:t xml:space="preserve"> Environmental Protection Agency, </w:t>
      </w:r>
      <w:hyperlink r:id="rId441" w:history="1">
        <w:r w:rsidRPr="00BE2457">
          <w:rPr>
            <w:rStyle w:val="Hyperlink"/>
            <w:i/>
          </w:rPr>
          <w:t>Types of stormwater pollution</w:t>
        </w:r>
      </w:hyperlink>
      <w:r>
        <w:t xml:space="preserve"> (website), n.d., accessed 17 July 2023.</w:t>
      </w:r>
    </w:p>
  </w:endnote>
  <w:endnote w:id="365">
    <w:p w14:paraId="7BE68034" w14:textId="77777777" w:rsidR="00373ED9" w:rsidRDefault="00373ED9" w:rsidP="00373ED9">
      <w:pPr>
        <w:pStyle w:val="EndnoteText"/>
      </w:pPr>
      <w:r>
        <w:rPr>
          <w:rStyle w:val="EndnoteReference"/>
        </w:rPr>
        <w:endnoteRef/>
      </w:r>
      <w:r>
        <w:t xml:space="preserve"> VicRoads, </w:t>
      </w:r>
      <w:hyperlink r:id="rId442" w:history="1">
        <w:r w:rsidRPr="00597874">
          <w:rPr>
            <w:rStyle w:val="Hyperlink"/>
            <w:i/>
          </w:rPr>
          <w:t>Fauna sensitive road design guidelines</w:t>
        </w:r>
        <w:r w:rsidRPr="00B51919">
          <w:rPr>
            <w:rStyle w:val="Hyperlink"/>
          </w:rPr>
          <w:t xml:space="preserve"> [PDF 6,924 KB]</w:t>
        </w:r>
      </w:hyperlink>
      <w:r>
        <w:t>, 2012, p.11, accessed 30 June 2023.</w:t>
      </w:r>
    </w:p>
  </w:endnote>
  <w:endnote w:id="366">
    <w:p w14:paraId="54D146BF" w14:textId="77777777" w:rsidR="00373ED9" w:rsidRPr="00597874" w:rsidRDefault="00373ED9" w:rsidP="00373ED9">
      <w:pPr>
        <w:pStyle w:val="EndnoteText"/>
      </w:pPr>
      <w:r w:rsidRPr="00597874">
        <w:rPr>
          <w:rStyle w:val="EndnoteReference"/>
        </w:rPr>
        <w:endnoteRef/>
      </w:r>
      <w:r w:rsidRPr="00597874">
        <w:t xml:space="preserve"> </w:t>
      </w:r>
      <w:r w:rsidRPr="00F05DC5">
        <w:rPr>
          <w:szCs w:val="15"/>
        </w:rPr>
        <w:t>Department of Treasury and Finance</w:t>
      </w:r>
      <w:r w:rsidRPr="004A1190">
        <w:rPr>
          <w:szCs w:val="15"/>
        </w:rPr>
        <w:t>,</w:t>
      </w:r>
      <w:r w:rsidRPr="00F05DC5">
        <w:rPr>
          <w:szCs w:val="15"/>
        </w:rPr>
        <w:t xml:space="preserve"> </w:t>
      </w:r>
      <w:hyperlink r:id="rId443" w:anchor="budget-paper-3-service-delivery" w:history="1">
        <w:r w:rsidRPr="004A1190">
          <w:rPr>
            <w:rStyle w:val="Hyperlink"/>
            <w:i/>
            <w:iCs/>
            <w:szCs w:val="15"/>
          </w:rPr>
          <w:t>Victorian Budget 2023</w:t>
        </w:r>
        <w:r>
          <w:rPr>
            <w:rStyle w:val="Hyperlink"/>
            <w:i/>
            <w:iCs/>
            <w:szCs w:val="15"/>
          </w:rPr>
          <w:t>–</w:t>
        </w:r>
        <w:r w:rsidRPr="004A1190">
          <w:rPr>
            <w:rStyle w:val="Hyperlink"/>
            <w:i/>
            <w:iCs/>
            <w:szCs w:val="15"/>
          </w:rPr>
          <w:t>24 – Budget Paper No. 3</w:t>
        </w:r>
      </w:hyperlink>
      <w:r w:rsidRPr="004A1190">
        <w:rPr>
          <w:szCs w:val="15"/>
        </w:rPr>
        <w:t>, 2023, p</w:t>
      </w:r>
      <w:r>
        <w:rPr>
          <w:szCs w:val="15"/>
        </w:rPr>
        <w:t>.</w:t>
      </w:r>
      <w:r w:rsidRPr="00F05DC5" w:rsidDel="008C7EEE">
        <w:rPr>
          <w:szCs w:val="15"/>
        </w:rPr>
        <w:t xml:space="preserve"> </w:t>
      </w:r>
      <w:r>
        <w:rPr>
          <w:szCs w:val="15"/>
        </w:rPr>
        <w:t xml:space="preserve">150, accessed 17 July 2023 </w:t>
      </w:r>
      <w:r w:rsidRPr="004A1190">
        <w:rPr>
          <w:szCs w:val="15"/>
        </w:rPr>
        <w:t>(</w:t>
      </w:r>
      <w:hyperlink r:id="rId444" w:history="1">
        <w:r w:rsidRPr="004A1190">
          <w:rPr>
            <w:rStyle w:val="Hyperlink"/>
            <w:szCs w:val="15"/>
          </w:rPr>
          <w:t>https://s3.ap-southeast-2.amazonaws.com/budgetfiles202324.budget.vic.gov.au/2023</w:t>
        </w:r>
        <w:r>
          <w:rPr>
            <w:rStyle w:val="Hyperlink"/>
            <w:szCs w:val="15"/>
          </w:rPr>
          <w:t>–</w:t>
        </w:r>
        <w:r w:rsidRPr="004A1190">
          <w:rPr>
            <w:rStyle w:val="Hyperlink"/>
            <w:szCs w:val="15"/>
          </w:rPr>
          <w:t>24+State+Budget+-+Service+Delivery.pdf</w:t>
        </w:r>
      </w:hyperlink>
      <w:r w:rsidRPr="004A1190">
        <w:rPr>
          <w:szCs w:val="15"/>
        </w:rPr>
        <w:t>)</w:t>
      </w:r>
      <w:r>
        <w:rPr>
          <w:szCs w:val="15"/>
        </w:rPr>
        <w:t>.</w:t>
      </w:r>
    </w:p>
  </w:endnote>
  <w:endnote w:id="367">
    <w:p w14:paraId="7B93F0F7" w14:textId="77777777" w:rsidR="00373ED9" w:rsidRPr="00597874" w:rsidRDefault="00373ED9" w:rsidP="00373ED9">
      <w:pPr>
        <w:pStyle w:val="EndnoteText"/>
      </w:pPr>
      <w:r w:rsidRPr="00597874">
        <w:rPr>
          <w:rStyle w:val="EndnoteReference"/>
        </w:rPr>
        <w:endnoteRef/>
      </w:r>
      <w:r w:rsidRPr="00597874">
        <w:t xml:space="preserve"> </w:t>
      </w:r>
      <w:r w:rsidRPr="00F05DC5">
        <w:rPr>
          <w:szCs w:val="15"/>
        </w:rPr>
        <w:t>Department of Treasury and Finance</w:t>
      </w:r>
      <w:r w:rsidRPr="004A1190">
        <w:rPr>
          <w:szCs w:val="15"/>
        </w:rPr>
        <w:t>,</w:t>
      </w:r>
      <w:r w:rsidRPr="00F05DC5">
        <w:rPr>
          <w:szCs w:val="15"/>
        </w:rPr>
        <w:t xml:space="preserve"> </w:t>
      </w:r>
      <w:hyperlink r:id="rId445" w:anchor="budget-paper-3-service-delivery" w:history="1">
        <w:r w:rsidRPr="004A1190">
          <w:rPr>
            <w:rStyle w:val="Hyperlink"/>
            <w:i/>
            <w:iCs/>
            <w:szCs w:val="15"/>
          </w:rPr>
          <w:t>Victorian Budget 2023</w:t>
        </w:r>
        <w:r>
          <w:rPr>
            <w:rStyle w:val="Hyperlink"/>
            <w:i/>
            <w:iCs/>
            <w:szCs w:val="15"/>
          </w:rPr>
          <w:t>–</w:t>
        </w:r>
        <w:r w:rsidRPr="004A1190">
          <w:rPr>
            <w:rStyle w:val="Hyperlink"/>
            <w:i/>
            <w:iCs/>
            <w:szCs w:val="15"/>
          </w:rPr>
          <w:t>24 – Budget Paper No. 3</w:t>
        </w:r>
      </w:hyperlink>
      <w:r w:rsidRPr="004A1190">
        <w:rPr>
          <w:szCs w:val="15"/>
        </w:rPr>
        <w:t>, 2023, p</w:t>
      </w:r>
      <w:r>
        <w:rPr>
          <w:szCs w:val="15"/>
        </w:rPr>
        <w:t>.</w:t>
      </w:r>
      <w:r w:rsidRPr="00F05DC5" w:rsidDel="008C7EEE">
        <w:rPr>
          <w:szCs w:val="15"/>
        </w:rPr>
        <w:t xml:space="preserve"> </w:t>
      </w:r>
      <w:r>
        <w:rPr>
          <w:szCs w:val="15"/>
        </w:rPr>
        <w:t xml:space="preserve">150, accessed 17 July 2023 </w:t>
      </w:r>
      <w:r w:rsidRPr="004A1190">
        <w:rPr>
          <w:szCs w:val="15"/>
        </w:rPr>
        <w:t>(</w:t>
      </w:r>
      <w:hyperlink r:id="rId446" w:history="1">
        <w:r w:rsidRPr="004A1190">
          <w:rPr>
            <w:rStyle w:val="Hyperlink"/>
            <w:szCs w:val="15"/>
          </w:rPr>
          <w:t>https://s3.ap-southeast-2.amazonaws.com/budgetfiles202324.budget.vic.gov.au/2023</w:t>
        </w:r>
        <w:r>
          <w:rPr>
            <w:rStyle w:val="Hyperlink"/>
            <w:szCs w:val="15"/>
          </w:rPr>
          <w:t>–</w:t>
        </w:r>
        <w:r w:rsidRPr="004A1190">
          <w:rPr>
            <w:rStyle w:val="Hyperlink"/>
            <w:szCs w:val="15"/>
          </w:rPr>
          <w:t>24+State+Budget+-+Service+Delivery.pdf</w:t>
        </w:r>
      </w:hyperlink>
      <w:r w:rsidRPr="004A1190">
        <w:rPr>
          <w:szCs w:val="15"/>
        </w:rPr>
        <w:t>)</w:t>
      </w:r>
      <w:r>
        <w:rPr>
          <w:szCs w:val="15"/>
        </w:rPr>
        <w:t>.</w:t>
      </w:r>
    </w:p>
  </w:endnote>
  <w:endnote w:id="368">
    <w:p w14:paraId="75901CED" w14:textId="77777777" w:rsidR="00373ED9" w:rsidRPr="00597874" w:rsidRDefault="00373ED9" w:rsidP="00373ED9">
      <w:pPr>
        <w:pStyle w:val="EndnoteText"/>
      </w:pPr>
      <w:r w:rsidRPr="00597874">
        <w:rPr>
          <w:rStyle w:val="EndnoteReference"/>
        </w:rPr>
        <w:endnoteRef/>
      </w:r>
      <w:r w:rsidRPr="00597874">
        <w:t xml:space="preserve"> </w:t>
      </w:r>
      <w:r w:rsidRPr="00F05DC5">
        <w:rPr>
          <w:szCs w:val="15"/>
        </w:rPr>
        <w:t>Department of Treasury and Finance</w:t>
      </w:r>
      <w:r w:rsidRPr="004A1190">
        <w:rPr>
          <w:szCs w:val="15"/>
        </w:rPr>
        <w:t>,</w:t>
      </w:r>
      <w:r w:rsidRPr="00F05DC5">
        <w:rPr>
          <w:szCs w:val="15"/>
        </w:rPr>
        <w:t xml:space="preserve"> </w:t>
      </w:r>
      <w:hyperlink r:id="rId447" w:anchor="budget-paper-3-service-delivery" w:history="1">
        <w:r w:rsidRPr="004A1190">
          <w:rPr>
            <w:rStyle w:val="Hyperlink"/>
            <w:i/>
            <w:iCs/>
            <w:szCs w:val="15"/>
          </w:rPr>
          <w:t>Victorian Budget 2023</w:t>
        </w:r>
        <w:r>
          <w:rPr>
            <w:rStyle w:val="Hyperlink"/>
            <w:i/>
            <w:iCs/>
            <w:szCs w:val="15"/>
          </w:rPr>
          <w:t>–</w:t>
        </w:r>
        <w:r w:rsidRPr="004A1190">
          <w:rPr>
            <w:rStyle w:val="Hyperlink"/>
            <w:i/>
            <w:iCs/>
            <w:szCs w:val="15"/>
          </w:rPr>
          <w:t>24 – Budget Paper No. 3</w:t>
        </w:r>
      </w:hyperlink>
      <w:r w:rsidRPr="004A1190">
        <w:rPr>
          <w:szCs w:val="15"/>
        </w:rPr>
        <w:t>, 2023, p</w:t>
      </w:r>
      <w:r>
        <w:rPr>
          <w:szCs w:val="15"/>
        </w:rPr>
        <w:t>.</w:t>
      </w:r>
      <w:r w:rsidRPr="00F05DC5" w:rsidDel="008C7EEE">
        <w:rPr>
          <w:szCs w:val="15"/>
        </w:rPr>
        <w:t xml:space="preserve"> </w:t>
      </w:r>
      <w:r>
        <w:rPr>
          <w:szCs w:val="15"/>
        </w:rPr>
        <w:t xml:space="preserve">151, accessed 17 July 2023 </w:t>
      </w:r>
      <w:r w:rsidRPr="004A1190">
        <w:rPr>
          <w:szCs w:val="15"/>
        </w:rPr>
        <w:t>(</w:t>
      </w:r>
      <w:hyperlink r:id="rId448" w:history="1">
        <w:r w:rsidRPr="004A1190">
          <w:rPr>
            <w:rStyle w:val="Hyperlink"/>
            <w:szCs w:val="15"/>
          </w:rPr>
          <w:t>https://s3.ap-southeast-2.amazonaws.com/budgetfiles202324.budget.vic.gov.au/2023</w:t>
        </w:r>
        <w:r>
          <w:rPr>
            <w:rStyle w:val="Hyperlink"/>
            <w:szCs w:val="15"/>
          </w:rPr>
          <w:t>–</w:t>
        </w:r>
        <w:r w:rsidRPr="004A1190">
          <w:rPr>
            <w:rStyle w:val="Hyperlink"/>
            <w:szCs w:val="15"/>
          </w:rPr>
          <w:t>24+State+Budget+-+Service+Delivery.pdf</w:t>
        </w:r>
      </w:hyperlink>
      <w:r w:rsidRPr="004A1190">
        <w:rPr>
          <w:szCs w:val="15"/>
        </w:rPr>
        <w:t>)</w:t>
      </w:r>
      <w:r>
        <w:rPr>
          <w:szCs w:val="15"/>
        </w:rPr>
        <w:t>.</w:t>
      </w:r>
    </w:p>
  </w:endnote>
  <w:endnote w:id="369">
    <w:p w14:paraId="34B2B133" w14:textId="77777777" w:rsidR="00373ED9" w:rsidRPr="00597874" w:rsidRDefault="00373ED9" w:rsidP="00373ED9">
      <w:pPr>
        <w:pStyle w:val="EndnoteText"/>
      </w:pPr>
      <w:r w:rsidRPr="00597874">
        <w:rPr>
          <w:rStyle w:val="EndnoteReference"/>
        </w:rPr>
        <w:endnoteRef/>
      </w:r>
      <w:r w:rsidRPr="00597874">
        <w:rPr>
          <w:rStyle w:val="normaltextrun"/>
          <w:rFonts w:ascii="Calibri" w:hAnsi="Calibri" w:cs="Calibri"/>
          <w:color w:val="000000"/>
          <w:shd w:val="clear" w:color="auto" w:fill="FFFFFF"/>
        </w:rPr>
        <w:t xml:space="preserve"> </w:t>
      </w:r>
      <w:r w:rsidRPr="00F05DC5">
        <w:rPr>
          <w:szCs w:val="15"/>
        </w:rPr>
        <w:t>Department of Treasury and Finance</w:t>
      </w:r>
      <w:r w:rsidRPr="004A1190">
        <w:rPr>
          <w:szCs w:val="15"/>
        </w:rPr>
        <w:t>,</w:t>
      </w:r>
      <w:r w:rsidRPr="00F05DC5">
        <w:rPr>
          <w:szCs w:val="15"/>
        </w:rPr>
        <w:t xml:space="preserve"> </w:t>
      </w:r>
      <w:hyperlink r:id="rId449" w:anchor="budget-paper-3-service-delivery" w:history="1">
        <w:r w:rsidRPr="004A1190">
          <w:rPr>
            <w:rStyle w:val="Hyperlink"/>
            <w:i/>
            <w:iCs/>
            <w:szCs w:val="15"/>
          </w:rPr>
          <w:t>Victorian Budget 2023</w:t>
        </w:r>
        <w:r>
          <w:rPr>
            <w:rStyle w:val="Hyperlink"/>
            <w:i/>
            <w:iCs/>
            <w:szCs w:val="15"/>
          </w:rPr>
          <w:t>–</w:t>
        </w:r>
        <w:r w:rsidRPr="004A1190">
          <w:rPr>
            <w:rStyle w:val="Hyperlink"/>
            <w:i/>
            <w:iCs/>
            <w:szCs w:val="15"/>
          </w:rPr>
          <w:t>24 – Budget Paper No. 3</w:t>
        </w:r>
      </w:hyperlink>
      <w:r w:rsidRPr="004A1190">
        <w:rPr>
          <w:szCs w:val="15"/>
        </w:rPr>
        <w:t>, 2023, p</w:t>
      </w:r>
      <w:r>
        <w:rPr>
          <w:szCs w:val="15"/>
        </w:rPr>
        <w:t>.</w:t>
      </w:r>
      <w:r w:rsidRPr="00F05DC5" w:rsidDel="008C7EEE">
        <w:rPr>
          <w:szCs w:val="15"/>
        </w:rPr>
        <w:t xml:space="preserve"> </w:t>
      </w:r>
      <w:r>
        <w:rPr>
          <w:szCs w:val="15"/>
        </w:rPr>
        <w:t xml:space="preserve">151, accessed 17 July 2023 </w:t>
      </w:r>
      <w:r w:rsidRPr="004A1190">
        <w:rPr>
          <w:szCs w:val="15"/>
        </w:rPr>
        <w:t>(</w:t>
      </w:r>
      <w:hyperlink r:id="rId450" w:history="1">
        <w:r w:rsidRPr="004A1190">
          <w:rPr>
            <w:rStyle w:val="Hyperlink"/>
            <w:szCs w:val="15"/>
          </w:rPr>
          <w:t>https://s3.ap-southeast-2.amazonaws.com/budgetfiles202324.budget.vic.gov.au/2023</w:t>
        </w:r>
        <w:r>
          <w:rPr>
            <w:rStyle w:val="Hyperlink"/>
            <w:szCs w:val="15"/>
          </w:rPr>
          <w:t>–</w:t>
        </w:r>
        <w:r w:rsidRPr="004A1190">
          <w:rPr>
            <w:rStyle w:val="Hyperlink"/>
            <w:szCs w:val="15"/>
          </w:rPr>
          <w:t>24+State+Budget+-+Service+Delivery.pdf</w:t>
        </w:r>
      </w:hyperlink>
      <w:r w:rsidRPr="004A1190">
        <w:rPr>
          <w:szCs w:val="15"/>
        </w:rPr>
        <w:t>)</w:t>
      </w:r>
      <w:r>
        <w:rPr>
          <w:szCs w:val="15"/>
        </w:rPr>
        <w:t>.</w:t>
      </w:r>
    </w:p>
  </w:endnote>
  <w:endnote w:id="370">
    <w:p w14:paraId="4644CA2B" w14:textId="77777777" w:rsidR="00373ED9" w:rsidRPr="00597874" w:rsidRDefault="00373ED9" w:rsidP="00373ED9">
      <w:pPr>
        <w:pStyle w:val="EndnoteText"/>
      </w:pPr>
      <w:r w:rsidRPr="00597874">
        <w:rPr>
          <w:rStyle w:val="EndnoteReference"/>
        </w:rPr>
        <w:endnoteRef/>
      </w:r>
      <w:r w:rsidRPr="00597874">
        <w:rPr>
          <w:rStyle w:val="normaltextrun"/>
          <w:rFonts w:ascii="Calibri" w:hAnsi="Calibri" w:cs="Calibri"/>
          <w:color w:val="000000"/>
          <w:shd w:val="clear" w:color="auto" w:fill="FFFFFF"/>
        </w:rPr>
        <w:t xml:space="preserve"> </w:t>
      </w:r>
      <w:r w:rsidRPr="00F05DC5">
        <w:rPr>
          <w:szCs w:val="15"/>
        </w:rPr>
        <w:t>Department of Treasury and Finance</w:t>
      </w:r>
      <w:r w:rsidRPr="004A1190">
        <w:rPr>
          <w:szCs w:val="15"/>
        </w:rPr>
        <w:t>,</w:t>
      </w:r>
      <w:r w:rsidRPr="00F05DC5">
        <w:rPr>
          <w:szCs w:val="15"/>
        </w:rPr>
        <w:t xml:space="preserve"> </w:t>
      </w:r>
      <w:hyperlink r:id="rId451" w:anchor="budget-paper-3-service-delivery" w:history="1">
        <w:r w:rsidRPr="004A1190">
          <w:rPr>
            <w:rStyle w:val="Hyperlink"/>
            <w:i/>
            <w:iCs/>
            <w:szCs w:val="15"/>
          </w:rPr>
          <w:t>Victorian Budget 2023</w:t>
        </w:r>
        <w:r>
          <w:rPr>
            <w:rStyle w:val="Hyperlink"/>
            <w:i/>
            <w:iCs/>
            <w:szCs w:val="15"/>
          </w:rPr>
          <w:t>–</w:t>
        </w:r>
        <w:r w:rsidRPr="004A1190">
          <w:rPr>
            <w:rStyle w:val="Hyperlink"/>
            <w:i/>
            <w:iCs/>
            <w:szCs w:val="15"/>
          </w:rPr>
          <w:t>24 – Budget Paper No. 3</w:t>
        </w:r>
      </w:hyperlink>
      <w:r w:rsidRPr="004A1190">
        <w:rPr>
          <w:szCs w:val="15"/>
        </w:rPr>
        <w:t>, 2023, p</w:t>
      </w:r>
      <w:r>
        <w:rPr>
          <w:szCs w:val="15"/>
        </w:rPr>
        <w:t>.</w:t>
      </w:r>
      <w:r w:rsidRPr="00F05DC5" w:rsidDel="008C7EEE">
        <w:rPr>
          <w:szCs w:val="15"/>
        </w:rPr>
        <w:t xml:space="preserve"> </w:t>
      </w:r>
      <w:r>
        <w:rPr>
          <w:szCs w:val="15"/>
        </w:rPr>
        <w:t xml:space="preserve">151, accessed 17 July 2023 </w:t>
      </w:r>
      <w:r w:rsidRPr="004A1190">
        <w:rPr>
          <w:szCs w:val="15"/>
        </w:rPr>
        <w:t>(</w:t>
      </w:r>
      <w:hyperlink r:id="rId452" w:history="1">
        <w:r w:rsidRPr="004A1190">
          <w:rPr>
            <w:rStyle w:val="Hyperlink"/>
            <w:szCs w:val="15"/>
          </w:rPr>
          <w:t>https://s3.ap-southeast-2.amazonaws.com/budgetfiles202324.budget.vic.gov.au/2023</w:t>
        </w:r>
        <w:r>
          <w:rPr>
            <w:rStyle w:val="Hyperlink"/>
            <w:szCs w:val="15"/>
          </w:rPr>
          <w:t>–</w:t>
        </w:r>
        <w:r w:rsidRPr="004A1190">
          <w:rPr>
            <w:rStyle w:val="Hyperlink"/>
            <w:szCs w:val="15"/>
          </w:rPr>
          <w:t>24+State+Budget+-+Service+Delivery.pdf</w:t>
        </w:r>
      </w:hyperlink>
      <w:r w:rsidRPr="004A1190">
        <w:rPr>
          <w:szCs w:val="15"/>
        </w:rPr>
        <w:t>)</w:t>
      </w:r>
      <w:r>
        <w:rPr>
          <w:szCs w:val="15"/>
        </w:rPr>
        <w:t>.</w:t>
      </w:r>
    </w:p>
  </w:endnote>
  <w:endnote w:id="371">
    <w:p w14:paraId="580CA8E3" w14:textId="77777777" w:rsidR="00373ED9" w:rsidRPr="00597874" w:rsidRDefault="00373ED9" w:rsidP="00373ED9">
      <w:pPr>
        <w:pStyle w:val="EndnoteText"/>
        <w:rPr>
          <w:b/>
        </w:rPr>
      </w:pPr>
      <w:r w:rsidRPr="00597874">
        <w:rPr>
          <w:rStyle w:val="EndnoteReference"/>
        </w:rPr>
        <w:endnoteRef/>
      </w:r>
      <w:r w:rsidRPr="00597874">
        <w:rPr>
          <w:rStyle w:val="normaltextrun"/>
          <w:rFonts w:ascii="Calibri" w:hAnsi="Calibri" w:cs="Calibri"/>
          <w:color w:val="000000"/>
          <w:shd w:val="clear" w:color="auto" w:fill="FFFFFF"/>
        </w:rPr>
        <w:t xml:space="preserve"> </w:t>
      </w:r>
      <w:r w:rsidRPr="00F05DC5">
        <w:rPr>
          <w:szCs w:val="15"/>
        </w:rPr>
        <w:t>Department of Treasury and Finance</w:t>
      </w:r>
      <w:r w:rsidRPr="004A1190">
        <w:rPr>
          <w:szCs w:val="15"/>
        </w:rPr>
        <w:t>,</w:t>
      </w:r>
      <w:r w:rsidRPr="00F05DC5">
        <w:rPr>
          <w:szCs w:val="15"/>
        </w:rPr>
        <w:t xml:space="preserve"> </w:t>
      </w:r>
      <w:hyperlink r:id="rId453" w:anchor="budget-paper-3-service-delivery" w:history="1">
        <w:r w:rsidRPr="004A1190">
          <w:rPr>
            <w:rStyle w:val="Hyperlink"/>
            <w:i/>
            <w:iCs/>
            <w:szCs w:val="15"/>
          </w:rPr>
          <w:t>Victorian Budget 2023</w:t>
        </w:r>
        <w:r>
          <w:rPr>
            <w:rStyle w:val="Hyperlink"/>
            <w:i/>
            <w:iCs/>
            <w:szCs w:val="15"/>
          </w:rPr>
          <w:t>–</w:t>
        </w:r>
        <w:r w:rsidRPr="004A1190">
          <w:rPr>
            <w:rStyle w:val="Hyperlink"/>
            <w:i/>
            <w:iCs/>
            <w:szCs w:val="15"/>
          </w:rPr>
          <w:t>24 – Budget Paper No. 3</w:t>
        </w:r>
      </w:hyperlink>
      <w:r w:rsidRPr="004A1190">
        <w:rPr>
          <w:szCs w:val="15"/>
        </w:rPr>
        <w:t>, 2023, p</w:t>
      </w:r>
      <w:r>
        <w:rPr>
          <w:szCs w:val="15"/>
        </w:rPr>
        <w:t>.</w:t>
      </w:r>
      <w:r w:rsidRPr="00F05DC5" w:rsidDel="008C7EEE">
        <w:rPr>
          <w:szCs w:val="15"/>
        </w:rPr>
        <w:t xml:space="preserve"> </w:t>
      </w:r>
      <w:r>
        <w:rPr>
          <w:szCs w:val="15"/>
        </w:rPr>
        <w:t xml:space="preserve">34, accessed 17 July 2023 </w:t>
      </w:r>
      <w:r w:rsidRPr="004A1190">
        <w:rPr>
          <w:szCs w:val="15"/>
        </w:rPr>
        <w:t>(</w:t>
      </w:r>
      <w:hyperlink r:id="rId454" w:history="1">
        <w:r w:rsidRPr="004A1190">
          <w:rPr>
            <w:rStyle w:val="Hyperlink"/>
            <w:szCs w:val="15"/>
          </w:rPr>
          <w:t>https://s3.ap-southeast-2.amazonaws.com/budgetfiles202324.budget.vic.gov.au/2023</w:t>
        </w:r>
        <w:r>
          <w:rPr>
            <w:rStyle w:val="Hyperlink"/>
            <w:szCs w:val="15"/>
          </w:rPr>
          <w:t>–</w:t>
        </w:r>
        <w:r w:rsidRPr="004A1190">
          <w:rPr>
            <w:rStyle w:val="Hyperlink"/>
            <w:szCs w:val="15"/>
          </w:rPr>
          <w:t>24+State+Budget+-+Service+Delivery.pdf</w:t>
        </w:r>
      </w:hyperlink>
      <w:r w:rsidRPr="004A1190">
        <w:rPr>
          <w:szCs w:val="15"/>
        </w:rPr>
        <w:t>)</w:t>
      </w:r>
      <w:r>
        <w:rPr>
          <w:szCs w:val="15"/>
        </w:rPr>
        <w:t>.</w:t>
      </w:r>
    </w:p>
  </w:endnote>
  <w:endnote w:id="372">
    <w:p w14:paraId="78B8016D" w14:textId="77777777" w:rsidR="00373ED9" w:rsidRPr="00597874" w:rsidRDefault="00373ED9" w:rsidP="00373ED9">
      <w:pPr>
        <w:pStyle w:val="EndnoteText"/>
      </w:pPr>
      <w:r w:rsidRPr="00597874">
        <w:rPr>
          <w:rStyle w:val="EndnoteReference"/>
        </w:rPr>
        <w:endnoteRef/>
      </w:r>
      <w:r w:rsidRPr="00597874">
        <w:t xml:space="preserve"> </w:t>
      </w:r>
      <w:r w:rsidRPr="00F05DC5">
        <w:rPr>
          <w:szCs w:val="15"/>
        </w:rPr>
        <w:t>Department of Treasury and Finance</w:t>
      </w:r>
      <w:r w:rsidRPr="004A1190">
        <w:rPr>
          <w:szCs w:val="15"/>
        </w:rPr>
        <w:t>,</w:t>
      </w:r>
      <w:r w:rsidRPr="00F05DC5">
        <w:rPr>
          <w:szCs w:val="15"/>
        </w:rPr>
        <w:t xml:space="preserve"> </w:t>
      </w:r>
      <w:hyperlink r:id="rId455" w:anchor="budget-paper-3-service-delivery" w:history="1">
        <w:r w:rsidRPr="004A1190">
          <w:rPr>
            <w:rStyle w:val="Hyperlink"/>
            <w:i/>
            <w:iCs/>
            <w:szCs w:val="15"/>
          </w:rPr>
          <w:t>Victorian Budget 2023</w:t>
        </w:r>
        <w:r>
          <w:rPr>
            <w:rStyle w:val="Hyperlink"/>
            <w:i/>
            <w:iCs/>
            <w:szCs w:val="15"/>
          </w:rPr>
          <w:t>–</w:t>
        </w:r>
        <w:r w:rsidRPr="004A1190">
          <w:rPr>
            <w:rStyle w:val="Hyperlink"/>
            <w:i/>
            <w:iCs/>
            <w:szCs w:val="15"/>
          </w:rPr>
          <w:t>24 – Budget Paper No. 3</w:t>
        </w:r>
      </w:hyperlink>
      <w:r w:rsidRPr="004A1190">
        <w:rPr>
          <w:szCs w:val="15"/>
        </w:rPr>
        <w:t>, 2023, p</w:t>
      </w:r>
      <w:r>
        <w:rPr>
          <w:szCs w:val="15"/>
        </w:rPr>
        <w:t>.</w:t>
      </w:r>
      <w:r w:rsidRPr="00F05DC5" w:rsidDel="008C7EEE">
        <w:rPr>
          <w:szCs w:val="15"/>
        </w:rPr>
        <w:t xml:space="preserve"> </w:t>
      </w:r>
      <w:r>
        <w:rPr>
          <w:szCs w:val="15"/>
        </w:rPr>
        <w:t xml:space="preserve">34, accessed 17 July 2023 </w:t>
      </w:r>
      <w:r w:rsidRPr="004A1190">
        <w:rPr>
          <w:szCs w:val="15"/>
        </w:rPr>
        <w:t>(</w:t>
      </w:r>
      <w:hyperlink r:id="rId456" w:history="1">
        <w:r w:rsidRPr="004A1190">
          <w:rPr>
            <w:rStyle w:val="Hyperlink"/>
            <w:szCs w:val="15"/>
          </w:rPr>
          <w:t>https://s3.ap-southeast-2.amazonaws.com/budgetfiles202324.budget.vic.gov.au/2023</w:t>
        </w:r>
        <w:r>
          <w:rPr>
            <w:rStyle w:val="Hyperlink"/>
            <w:szCs w:val="15"/>
          </w:rPr>
          <w:t>–</w:t>
        </w:r>
        <w:r w:rsidRPr="004A1190">
          <w:rPr>
            <w:rStyle w:val="Hyperlink"/>
            <w:szCs w:val="15"/>
          </w:rPr>
          <w:t>24+State+Budget+-+Service+Delivery.pdf</w:t>
        </w:r>
      </w:hyperlink>
      <w:r w:rsidRPr="004A1190">
        <w:rPr>
          <w:szCs w:val="15"/>
        </w:rPr>
        <w:t>)</w:t>
      </w:r>
      <w:r>
        <w:rPr>
          <w:szCs w:val="15"/>
        </w:rPr>
        <w:t>.</w:t>
      </w:r>
    </w:p>
  </w:endnote>
  <w:endnote w:id="373">
    <w:p w14:paraId="461BA131" w14:textId="77777777" w:rsidR="00373ED9" w:rsidRPr="00597874" w:rsidRDefault="00373ED9" w:rsidP="00373ED9">
      <w:pPr>
        <w:pStyle w:val="EndnoteText"/>
      </w:pPr>
      <w:r w:rsidRPr="00597874">
        <w:rPr>
          <w:rStyle w:val="EndnoteReference"/>
        </w:rPr>
        <w:endnoteRef/>
      </w:r>
      <w:r w:rsidRPr="00597874">
        <w:rPr>
          <w:rStyle w:val="normaltextrun"/>
          <w:rFonts w:ascii="Calibri" w:hAnsi="Calibri" w:cs="Calibri"/>
          <w:color w:val="000000"/>
          <w:shd w:val="clear" w:color="auto" w:fill="FFFFFF"/>
        </w:rPr>
        <w:t xml:space="preserve"> </w:t>
      </w:r>
      <w:r w:rsidRPr="00F05DC5">
        <w:rPr>
          <w:szCs w:val="15"/>
        </w:rPr>
        <w:t>Department of Treasury and Finance</w:t>
      </w:r>
      <w:r w:rsidRPr="004A1190">
        <w:rPr>
          <w:szCs w:val="15"/>
        </w:rPr>
        <w:t>,</w:t>
      </w:r>
      <w:r w:rsidRPr="00F05DC5">
        <w:rPr>
          <w:szCs w:val="15"/>
        </w:rPr>
        <w:t xml:space="preserve"> </w:t>
      </w:r>
      <w:hyperlink r:id="rId457" w:anchor="budget-paper-3-service-delivery" w:history="1">
        <w:r w:rsidRPr="004A1190">
          <w:rPr>
            <w:rStyle w:val="Hyperlink"/>
            <w:i/>
            <w:iCs/>
            <w:szCs w:val="15"/>
          </w:rPr>
          <w:t>Victorian Budget 2023</w:t>
        </w:r>
        <w:r>
          <w:rPr>
            <w:rStyle w:val="Hyperlink"/>
            <w:i/>
            <w:iCs/>
            <w:szCs w:val="15"/>
          </w:rPr>
          <w:t>–</w:t>
        </w:r>
        <w:r w:rsidRPr="004A1190">
          <w:rPr>
            <w:rStyle w:val="Hyperlink"/>
            <w:i/>
            <w:iCs/>
            <w:szCs w:val="15"/>
          </w:rPr>
          <w:t>24 – Budget Paper No. 3</w:t>
        </w:r>
      </w:hyperlink>
      <w:r w:rsidRPr="004A1190">
        <w:rPr>
          <w:szCs w:val="15"/>
        </w:rPr>
        <w:t xml:space="preserve">, 2023, </w:t>
      </w:r>
      <w:r>
        <w:rPr>
          <w:szCs w:val="15"/>
        </w:rPr>
        <w:t>p</w:t>
      </w:r>
      <w:r w:rsidRPr="004A1190">
        <w:rPr>
          <w:szCs w:val="15"/>
        </w:rPr>
        <w:t>p</w:t>
      </w:r>
      <w:r>
        <w:rPr>
          <w:szCs w:val="15"/>
        </w:rPr>
        <w:t>.</w:t>
      </w:r>
      <w:r w:rsidRPr="00F05DC5" w:rsidDel="008C7EEE">
        <w:rPr>
          <w:szCs w:val="15"/>
        </w:rPr>
        <w:t xml:space="preserve"> </w:t>
      </w:r>
      <w:r>
        <w:rPr>
          <w:szCs w:val="15"/>
        </w:rPr>
        <w:t xml:space="preserve">28, 35, accessed 17 July 2023 </w:t>
      </w:r>
      <w:r w:rsidRPr="004A1190">
        <w:rPr>
          <w:szCs w:val="15"/>
        </w:rPr>
        <w:t>(</w:t>
      </w:r>
      <w:hyperlink r:id="rId458" w:history="1">
        <w:r w:rsidRPr="004A1190">
          <w:rPr>
            <w:rStyle w:val="Hyperlink"/>
            <w:szCs w:val="15"/>
          </w:rPr>
          <w:t>https://s3.ap-southeast-2.amazonaws.com/budgetfiles202324.budget.vic.gov.au/2023</w:t>
        </w:r>
        <w:r>
          <w:rPr>
            <w:rStyle w:val="Hyperlink"/>
            <w:szCs w:val="15"/>
          </w:rPr>
          <w:t>–</w:t>
        </w:r>
        <w:r w:rsidRPr="004A1190">
          <w:rPr>
            <w:rStyle w:val="Hyperlink"/>
            <w:szCs w:val="15"/>
          </w:rPr>
          <w:t>24+State+Budget+-+Service+Delivery.pdf</w:t>
        </w:r>
      </w:hyperlink>
      <w:r w:rsidRPr="004A1190">
        <w:rPr>
          <w:szCs w:val="15"/>
        </w:rPr>
        <w:t>)</w:t>
      </w:r>
      <w:r>
        <w:rPr>
          <w:szCs w:val="15"/>
        </w:rPr>
        <w:t>.</w:t>
      </w:r>
    </w:p>
  </w:endnote>
  <w:endnote w:id="374">
    <w:p w14:paraId="2D03B28A" w14:textId="77777777" w:rsidR="00373ED9" w:rsidRDefault="00373ED9" w:rsidP="00373ED9">
      <w:pPr>
        <w:pStyle w:val="EndnoteText"/>
      </w:pPr>
      <w:r w:rsidRPr="00597874">
        <w:rPr>
          <w:rStyle w:val="EndnoteReference"/>
        </w:rPr>
        <w:endnoteRef/>
      </w:r>
      <w:r w:rsidRPr="00597874">
        <w:rPr>
          <w:rStyle w:val="normaltextrun"/>
          <w:rFonts w:ascii="Calibri" w:hAnsi="Calibri" w:cs="Calibri"/>
          <w:color w:val="000000"/>
          <w:shd w:val="clear" w:color="auto" w:fill="FFFFFF"/>
        </w:rPr>
        <w:t xml:space="preserve"> </w:t>
      </w:r>
      <w:r w:rsidRPr="00F05DC5">
        <w:rPr>
          <w:szCs w:val="15"/>
        </w:rPr>
        <w:t>Department of Treasury and Finance</w:t>
      </w:r>
      <w:r w:rsidRPr="004A1190">
        <w:rPr>
          <w:szCs w:val="15"/>
        </w:rPr>
        <w:t>,</w:t>
      </w:r>
      <w:r w:rsidRPr="00F05DC5">
        <w:rPr>
          <w:szCs w:val="15"/>
        </w:rPr>
        <w:t xml:space="preserve"> </w:t>
      </w:r>
      <w:hyperlink r:id="rId459" w:anchor="budget-paper-3-service-delivery" w:history="1">
        <w:r w:rsidRPr="004A1190">
          <w:rPr>
            <w:rStyle w:val="Hyperlink"/>
            <w:i/>
            <w:iCs/>
            <w:szCs w:val="15"/>
          </w:rPr>
          <w:t>Victorian Budget 2023</w:t>
        </w:r>
        <w:r>
          <w:rPr>
            <w:rStyle w:val="Hyperlink"/>
            <w:i/>
            <w:iCs/>
            <w:szCs w:val="15"/>
          </w:rPr>
          <w:t>–</w:t>
        </w:r>
        <w:r w:rsidRPr="004A1190">
          <w:rPr>
            <w:rStyle w:val="Hyperlink"/>
            <w:i/>
            <w:iCs/>
            <w:szCs w:val="15"/>
          </w:rPr>
          <w:t>24 – Budget Paper No. 3</w:t>
        </w:r>
      </w:hyperlink>
      <w:r w:rsidRPr="004A1190">
        <w:rPr>
          <w:szCs w:val="15"/>
        </w:rPr>
        <w:t xml:space="preserve">, 2023, </w:t>
      </w:r>
      <w:r>
        <w:rPr>
          <w:szCs w:val="15"/>
        </w:rPr>
        <w:t>p</w:t>
      </w:r>
      <w:r w:rsidRPr="004A1190">
        <w:rPr>
          <w:szCs w:val="15"/>
        </w:rPr>
        <w:t>p</w:t>
      </w:r>
      <w:r>
        <w:rPr>
          <w:szCs w:val="15"/>
        </w:rPr>
        <w:t>.</w:t>
      </w:r>
      <w:r w:rsidRPr="00F05DC5" w:rsidDel="008C7EEE">
        <w:rPr>
          <w:szCs w:val="15"/>
        </w:rPr>
        <w:t xml:space="preserve"> </w:t>
      </w:r>
      <w:r>
        <w:rPr>
          <w:szCs w:val="15"/>
        </w:rPr>
        <w:t xml:space="preserve">28, 34, accessed 17 July 2023 </w:t>
      </w:r>
      <w:r w:rsidRPr="004A1190">
        <w:rPr>
          <w:szCs w:val="15"/>
        </w:rPr>
        <w:t>(</w:t>
      </w:r>
      <w:hyperlink r:id="rId460" w:history="1">
        <w:r w:rsidRPr="004A1190">
          <w:rPr>
            <w:rStyle w:val="Hyperlink"/>
            <w:szCs w:val="15"/>
          </w:rPr>
          <w:t>https://s3.ap-southeast-2.amazonaws.com/budgetfiles202324.budget.vic.gov.au/2023</w:t>
        </w:r>
        <w:r>
          <w:rPr>
            <w:rStyle w:val="Hyperlink"/>
            <w:szCs w:val="15"/>
          </w:rPr>
          <w:t>–</w:t>
        </w:r>
        <w:r w:rsidRPr="004A1190">
          <w:rPr>
            <w:rStyle w:val="Hyperlink"/>
            <w:szCs w:val="15"/>
          </w:rPr>
          <w:t>24+State+Budget+-+Service+Delivery.pdf</w:t>
        </w:r>
      </w:hyperlink>
      <w:r w:rsidRPr="004A1190">
        <w:rPr>
          <w:szCs w:val="15"/>
        </w:rPr>
        <w:t>)</w:t>
      </w:r>
      <w:r>
        <w:rPr>
          <w:szCs w:val="15"/>
        </w:rPr>
        <w:t>.</w:t>
      </w:r>
    </w:p>
  </w:endnote>
  <w:endnote w:id="375">
    <w:p w14:paraId="01E51487" w14:textId="77777777" w:rsidR="00373ED9" w:rsidRDefault="00373ED9" w:rsidP="00373ED9">
      <w:pPr>
        <w:pStyle w:val="EndnoteText"/>
      </w:pPr>
      <w:r>
        <w:rPr>
          <w:rStyle w:val="EndnoteReference"/>
        </w:rPr>
        <w:endnoteRef/>
      </w:r>
      <w:r>
        <w:t xml:space="preserve"> Victorian Government, </w:t>
      </w:r>
      <w:hyperlink r:id="rId461" w:history="1">
        <w:r w:rsidRPr="00BE2457">
          <w:rPr>
            <w:rStyle w:val="Hyperlink"/>
            <w:i/>
          </w:rPr>
          <w:t>Victoria’s state emblems</w:t>
        </w:r>
      </w:hyperlink>
      <w:r>
        <w:t xml:space="preserve"> (website), 27 March 2023, accessed 30 June 2023,</w:t>
      </w:r>
    </w:p>
  </w:endnote>
  <w:endnote w:id="376">
    <w:p w14:paraId="4C5141F4" w14:textId="77777777" w:rsidR="00373ED9" w:rsidRDefault="00373ED9" w:rsidP="00373ED9">
      <w:pPr>
        <w:pStyle w:val="EndnoteText"/>
      </w:pPr>
      <w:r>
        <w:rPr>
          <w:rStyle w:val="EndnoteReference"/>
        </w:rPr>
        <w:endnoteRef/>
      </w:r>
      <w:r>
        <w:t xml:space="preserve"> Department of Energy, Environment and Climate Action, </w:t>
      </w:r>
      <w:hyperlink r:id="rId462" w:history="1">
        <w:r w:rsidRPr="00BE2457">
          <w:rPr>
            <w:rStyle w:val="Hyperlink"/>
            <w:i/>
          </w:rPr>
          <w:t>Faunal emblem program</w:t>
        </w:r>
      </w:hyperlink>
      <w:r>
        <w:t xml:space="preserve"> (website), 19 April 2023, accessed 30 June 2023.</w:t>
      </w:r>
    </w:p>
  </w:endnote>
  <w:endnote w:id="377">
    <w:p w14:paraId="645C0F59" w14:textId="7468616B" w:rsidR="00373ED9" w:rsidRDefault="00373ED9" w:rsidP="00373ED9">
      <w:pPr>
        <w:pStyle w:val="EndnoteText"/>
      </w:pPr>
      <w:r>
        <w:rPr>
          <w:rStyle w:val="EndnoteReference"/>
        </w:rPr>
        <w:endnoteRef/>
      </w:r>
      <w:r>
        <w:t xml:space="preserve"> Infrastructure Victoria,</w:t>
      </w:r>
      <w:r w:rsidRPr="00597874">
        <w:rPr>
          <w:i/>
        </w:rPr>
        <w:t xml:space="preserve"> </w:t>
      </w:r>
      <w:hyperlink r:id="rId463" w:history="1">
        <w:r w:rsidRPr="00597874">
          <w:rPr>
            <w:rStyle w:val="Hyperlink"/>
            <w:i/>
          </w:rPr>
          <w:t>Victoria’s infrastructure strategy 2021</w:t>
        </w:r>
        <w:r>
          <w:rPr>
            <w:rStyle w:val="Hyperlink"/>
            <w:i/>
          </w:rPr>
          <w:t>–</w:t>
        </w:r>
        <w:r w:rsidRPr="00597874">
          <w:rPr>
            <w:rStyle w:val="Hyperlink"/>
            <w:i/>
          </w:rPr>
          <w:t>2051</w:t>
        </w:r>
      </w:hyperlink>
      <w:r>
        <w:t>, 2021, p</w:t>
      </w:r>
      <w:r w:rsidRPr="00597874">
        <w:t>.</w:t>
      </w:r>
      <w:r>
        <w:t>118, accessed 29 June 2023.</w:t>
      </w:r>
    </w:p>
  </w:endnote>
  <w:endnote w:id="378">
    <w:p w14:paraId="3AC5B4C8" w14:textId="77777777" w:rsidR="00373ED9" w:rsidRDefault="00373ED9" w:rsidP="00373ED9">
      <w:pPr>
        <w:pStyle w:val="EndnoteText"/>
      </w:pPr>
      <w:r>
        <w:rPr>
          <w:rStyle w:val="EndnoteReference"/>
        </w:rPr>
        <w:endnoteRef/>
      </w:r>
      <w:r>
        <w:t xml:space="preserve"> Green Adelaide, </w:t>
      </w:r>
      <w:hyperlink r:id="rId464" w:history="1">
        <w:r w:rsidRPr="00BE2457">
          <w:rPr>
            <w:rStyle w:val="Hyperlink"/>
            <w:i/>
          </w:rPr>
          <w:t>Everything you need to know about a new biodiversity corridor in Adelaide’s south</w:t>
        </w:r>
      </w:hyperlink>
      <w:r>
        <w:t xml:space="preserve"> (website), 14 October 2022, accessed 30 June 2023.</w:t>
      </w:r>
    </w:p>
  </w:endnote>
  <w:endnote w:id="379">
    <w:p w14:paraId="4DB52244" w14:textId="497D198F" w:rsidR="00373ED9" w:rsidRDefault="00373ED9" w:rsidP="00373ED9">
      <w:pPr>
        <w:pStyle w:val="EndnoteText"/>
      </w:pPr>
      <w:r>
        <w:rPr>
          <w:rStyle w:val="EndnoteReference"/>
        </w:rPr>
        <w:endnoteRef/>
      </w:r>
      <w:r>
        <w:t xml:space="preserve"> Infrastructure Victoria, </w:t>
      </w:r>
      <w:hyperlink r:id="rId465" w:history="1">
        <w:r w:rsidRPr="00597874">
          <w:rPr>
            <w:rStyle w:val="Hyperlink"/>
            <w:i/>
          </w:rPr>
          <w:t>Victoria’s infrastructure strategy 2021</w:t>
        </w:r>
        <w:r>
          <w:rPr>
            <w:rStyle w:val="Hyperlink"/>
            <w:i/>
          </w:rPr>
          <w:t>–</w:t>
        </w:r>
        <w:r w:rsidRPr="00597874">
          <w:rPr>
            <w:rStyle w:val="Hyperlink"/>
            <w:i/>
          </w:rPr>
          <w:t>2051</w:t>
        </w:r>
      </w:hyperlink>
      <w:r>
        <w:t>, 2021, p</w:t>
      </w:r>
      <w:r w:rsidRPr="00597874">
        <w:t>.</w:t>
      </w:r>
      <w:r>
        <w:t>118, accessed 29 June 2023.</w:t>
      </w:r>
    </w:p>
  </w:endnote>
  <w:endnote w:id="380">
    <w:p w14:paraId="38F05ABA" w14:textId="77777777" w:rsidR="00373ED9" w:rsidRDefault="00373ED9" w:rsidP="00373ED9">
      <w:pPr>
        <w:pStyle w:val="EndnoteText"/>
      </w:pPr>
      <w:r>
        <w:rPr>
          <w:rStyle w:val="EndnoteReference"/>
        </w:rPr>
        <w:endnoteRef/>
      </w:r>
      <w:r>
        <w:t xml:space="preserve"> Department of Energy, Environment and Climate Action, </w:t>
      </w:r>
      <w:hyperlink r:id="rId466" w:history="1">
        <w:r w:rsidRPr="00BE2457">
          <w:rPr>
            <w:rStyle w:val="Hyperlink"/>
            <w:i/>
          </w:rPr>
          <w:t>Local parks</w:t>
        </w:r>
      </w:hyperlink>
      <w:r>
        <w:t xml:space="preserve"> (website), n.d., accessed 30 June 2023.</w:t>
      </w:r>
    </w:p>
  </w:endnote>
  <w:endnote w:id="381">
    <w:p w14:paraId="77D56B1B" w14:textId="4B5C0CBD" w:rsidR="00373ED9" w:rsidRDefault="00373ED9" w:rsidP="00373ED9">
      <w:pPr>
        <w:pStyle w:val="EndnoteText"/>
      </w:pPr>
      <w:r>
        <w:rPr>
          <w:rStyle w:val="EndnoteReference"/>
        </w:rPr>
        <w:endnoteRef/>
      </w:r>
      <w:r>
        <w:t xml:space="preserve"> Infrastructure Victoria, </w:t>
      </w:r>
      <w:hyperlink r:id="rId467" w:history="1">
        <w:r w:rsidRPr="00597874">
          <w:rPr>
            <w:rStyle w:val="Hyperlink"/>
            <w:i/>
          </w:rPr>
          <w:t>Victoria’s infrastructure strategy 2021</w:t>
        </w:r>
        <w:r>
          <w:rPr>
            <w:rStyle w:val="Hyperlink"/>
            <w:i/>
          </w:rPr>
          <w:t>–</w:t>
        </w:r>
        <w:r w:rsidRPr="00597874">
          <w:rPr>
            <w:rStyle w:val="Hyperlink"/>
            <w:i/>
          </w:rPr>
          <w:t>2051</w:t>
        </w:r>
      </w:hyperlink>
      <w:r>
        <w:t>, 2021, p</w:t>
      </w:r>
      <w:r w:rsidRPr="00597874">
        <w:t>.</w:t>
      </w:r>
      <w:r>
        <w:t>118, accessed 29 June 2023.</w:t>
      </w:r>
    </w:p>
  </w:endnote>
  <w:endnote w:id="382">
    <w:p w14:paraId="517AED55" w14:textId="74A02161" w:rsidR="00373ED9" w:rsidRDefault="00373ED9" w:rsidP="00373ED9">
      <w:pPr>
        <w:pStyle w:val="EndnoteText"/>
      </w:pPr>
      <w:r>
        <w:rPr>
          <w:rStyle w:val="EndnoteReference"/>
        </w:rPr>
        <w:endnoteRef/>
      </w:r>
      <w:r>
        <w:t xml:space="preserve"> Infrastructure Victoria,</w:t>
      </w:r>
      <w:r w:rsidRPr="00597874">
        <w:rPr>
          <w:i/>
        </w:rPr>
        <w:t xml:space="preserve"> </w:t>
      </w:r>
      <w:hyperlink r:id="rId468" w:history="1">
        <w:r w:rsidRPr="00597874">
          <w:rPr>
            <w:rStyle w:val="Hyperlink"/>
            <w:i/>
          </w:rPr>
          <w:t>Victoria’s infrastructure strategy 2021</w:t>
        </w:r>
        <w:r>
          <w:rPr>
            <w:rStyle w:val="Hyperlink"/>
            <w:i/>
          </w:rPr>
          <w:t>–</w:t>
        </w:r>
        <w:r w:rsidRPr="00597874">
          <w:rPr>
            <w:rStyle w:val="Hyperlink"/>
            <w:i/>
          </w:rPr>
          <w:t>2051</w:t>
        </w:r>
      </w:hyperlink>
      <w:r>
        <w:t>, 2021, p</w:t>
      </w:r>
      <w:r w:rsidRPr="00597874">
        <w:t>.</w:t>
      </w:r>
      <w:r>
        <w:t>211, accessed 29 June 2023.</w:t>
      </w:r>
    </w:p>
  </w:endnote>
  <w:endnote w:id="383">
    <w:p w14:paraId="73EFBFC0" w14:textId="77777777" w:rsidR="00373ED9" w:rsidRDefault="00373ED9" w:rsidP="00373ED9">
      <w:pPr>
        <w:pStyle w:val="EndnoteText"/>
      </w:pPr>
      <w:r w:rsidRPr="50D395B3">
        <w:rPr>
          <w:rStyle w:val="EndnoteReference"/>
        </w:rPr>
        <w:endnoteRef/>
      </w:r>
      <w:r>
        <w:t xml:space="preserve"> Parks Victoria, </w:t>
      </w:r>
      <w:hyperlink r:id="rId469" w:history="1">
        <w:r>
          <w:rPr>
            <w:rStyle w:val="Hyperlink"/>
            <w:i/>
          </w:rPr>
          <w:t>About us</w:t>
        </w:r>
      </w:hyperlink>
      <w:r>
        <w:t xml:space="preserve"> (website), n.d., accessed 30 June 2023.</w:t>
      </w:r>
    </w:p>
  </w:endnote>
  <w:endnote w:id="384">
    <w:p w14:paraId="4F9C1BD7" w14:textId="77777777" w:rsidR="00373ED9" w:rsidRDefault="00373ED9" w:rsidP="00373ED9">
      <w:pPr>
        <w:pStyle w:val="EndnoteText"/>
      </w:pPr>
      <w:r>
        <w:rPr>
          <w:rStyle w:val="EndnoteReference"/>
        </w:rPr>
        <w:endnoteRef/>
      </w:r>
      <w:r w:rsidRPr="00597874">
        <w:t xml:space="preserve"> </w:t>
      </w:r>
      <w:r w:rsidRPr="00F05DC5">
        <w:rPr>
          <w:szCs w:val="15"/>
        </w:rPr>
        <w:t>Department of Treasury and Finance</w:t>
      </w:r>
      <w:r w:rsidRPr="004A1190">
        <w:rPr>
          <w:szCs w:val="15"/>
        </w:rPr>
        <w:t>,</w:t>
      </w:r>
      <w:r w:rsidRPr="00F05DC5">
        <w:rPr>
          <w:szCs w:val="15"/>
        </w:rPr>
        <w:t xml:space="preserve"> </w:t>
      </w:r>
      <w:hyperlink r:id="rId470" w:anchor="budget-paper-3-service-delivery" w:history="1">
        <w:r w:rsidRPr="004A1190">
          <w:rPr>
            <w:rStyle w:val="Hyperlink"/>
            <w:i/>
            <w:iCs/>
            <w:szCs w:val="15"/>
          </w:rPr>
          <w:t>Victorian Budget 2023</w:t>
        </w:r>
        <w:r>
          <w:rPr>
            <w:rStyle w:val="Hyperlink"/>
            <w:i/>
            <w:iCs/>
            <w:szCs w:val="15"/>
          </w:rPr>
          <w:t>–</w:t>
        </w:r>
        <w:r w:rsidRPr="004A1190">
          <w:rPr>
            <w:rStyle w:val="Hyperlink"/>
            <w:i/>
            <w:iCs/>
            <w:szCs w:val="15"/>
          </w:rPr>
          <w:t>24 – Budget Paper No. 3</w:t>
        </w:r>
      </w:hyperlink>
      <w:r w:rsidRPr="004A1190">
        <w:rPr>
          <w:szCs w:val="15"/>
        </w:rPr>
        <w:t>, 2023, p</w:t>
      </w:r>
      <w:r>
        <w:rPr>
          <w:szCs w:val="15"/>
        </w:rPr>
        <w:t>.</w:t>
      </w:r>
      <w:r w:rsidRPr="00F05DC5" w:rsidDel="008C7EEE">
        <w:rPr>
          <w:szCs w:val="15"/>
        </w:rPr>
        <w:t xml:space="preserve"> </w:t>
      </w:r>
      <w:r>
        <w:rPr>
          <w:szCs w:val="15"/>
        </w:rPr>
        <w:t xml:space="preserve">161, accessed 17 July 2023 </w:t>
      </w:r>
      <w:r w:rsidRPr="004A1190">
        <w:rPr>
          <w:szCs w:val="15"/>
        </w:rPr>
        <w:t>(</w:t>
      </w:r>
      <w:hyperlink r:id="rId471" w:history="1">
        <w:r w:rsidRPr="004A1190">
          <w:rPr>
            <w:rStyle w:val="Hyperlink"/>
            <w:szCs w:val="15"/>
          </w:rPr>
          <w:t>https://s3.ap-southeast-2.amazonaws.com/budgetfiles202324.budget.vic.gov.au/2023</w:t>
        </w:r>
        <w:r>
          <w:rPr>
            <w:rStyle w:val="Hyperlink"/>
            <w:szCs w:val="15"/>
          </w:rPr>
          <w:t>–</w:t>
        </w:r>
        <w:r w:rsidRPr="004A1190">
          <w:rPr>
            <w:rStyle w:val="Hyperlink"/>
            <w:szCs w:val="15"/>
          </w:rPr>
          <w:t>24+State+Budget+-+Service+Delivery.pdf</w:t>
        </w:r>
      </w:hyperlink>
      <w:r w:rsidRPr="004A1190">
        <w:rPr>
          <w:szCs w:val="15"/>
        </w:rPr>
        <w:t>)</w:t>
      </w:r>
      <w:r>
        <w:rPr>
          <w:szCs w:val="15"/>
        </w:rPr>
        <w:t>.</w:t>
      </w:r>
    </w:p>
  </w:endnote>
  <w:endnote w:id="385">
    <w:p w14:paraId="32E4E0F2" w14:textId="77777777" w:rsidR="00373ED9" w:rsidRDefault="00373ED9" w:rsidP="00373ED9">
      <w:pPr>
        <w:pStyle w:val="EndnoteText"/>
      </w:pPr>
      <w:r w:rsidRPr="50D395B3">
        <w:rPr>
          <w:rStyle w:val="EndnoteReference"/>
        </w:rPr>
        <w:endnoteRef/>
      </w:r>
      <w:r>
        <w:t xml:space="preserve"> Parks Victoria, </w:t>
      </w:r>
      <w:hyperlink r:id="rId472" w:history="1">
        <w:r>
          <w:rPr>
            <w:rStyle w:val="Hyperlink"/>
            <w:i/>
          </w:rPr>
          <w:t>About us</w:t>
        </w:r>
      </w:hyperlink>
      <w:r>
        <w:t xml:space="preserve"> (website), n.d., accessed 30 June 2023.</w:t>
      </w:r>
    </w:p>
  </w:endnote>
  <w:endnote w:id="386">
    <w:p w14:paraId="11967597" w14:textId="77777777" w:rsidR="00373ED9" w:rsidRDefault="00373ED9" w:rsidP="00373ED9">
      <w:pPr>
        <w:pStyle w:val="EndnoteText"/>
      </w:pPr>
      <w:r>
        <w:rPr>
          <w:rStyle w:val="EndnoteReference"/>
        </w:rPr>
        <w:endnoteRef/>
      </w:r>
      <w:r w:rsidRPr="00597874">
        <w:t xml:space="preserve"> </w:t>
      </w:r>
      <w:r w:rsidRPr="00F05DC5">
        <w:rPr>
          <w:szCs w:val="15"/>
        </w:rPr>
        <w:t>Department of Treasury and Finance</w:t>
      </w:r>
      <w:r w:rsidRPr="004A1190">
        <w:rPr>
          <w:szCs w:val="15"/>
        </w:rPr>
        <w:t>,</w:t>
      </w:r>
      <w:r w:rsidRPr="00F05DC5">
        <w:rPr>
          <w:szCs w:val="15"/>
        </w:rPr>
        <w:t xml:space="preserve"> </w:t>
      </w:r>
      <w:hyperlink r:id="rId473" w:anchor="budget-paper-3-service-delivery" w:history="1">
        <w:r w:rsidRPr="004A1190">
          <w:rPr>
            <w:rStyle w:val="Hyperlink"/>
            <w:i/>
            <w:iCs/>
            <w:szCs w:val="15"/>
          </w:rPr>
          <w:t>Victorian Budget 2023</w:t>
        </w:r>
        <w:r>
          <w:rPr>
            <w:rStyle w:val="Hyperlink"/>
            <w:i/>
            <w:iCs/>
            <w:szCs w:val="15"/>
          </w:rPr>
          <w:t>–</w:t>
        </w:r>
        <w:r w:rsidRPr="004A1190">
          <w:rPr>
            <w:rStyle w:val="Hyperlink"/>
            <w:i/>
            <w:iCs/>
            <w:szCs w:val="15"/>
          </w:rPr>
          <w:t>24 – Budget Paper No. 3</w:t>
        </w:r>
      </w:hyperlink>
      <w:r w:rsidRPr="004A1190">
        <w:rPr>
          <w:szCs w:val="15"/>
        </w:rPr>
        <w:t>, 2023, p</w:t>
      </w:r>
      <w:r>
        <w:rPr>
          <w:szCs w:val="15"/>
        </w:rPr>
        <w:t>.</w:t>
      </w:r>
      <w:r w:rsidRPr="00F05DC5" w:rsidDel="008C7EEE">
        <w:rPr>
          <w:szCs w:val="15"/>
        </w:rPr>
        <w:t xml:space="preserve"> </w:t>
      </w:r>
      <w:r>
        <w:rPr>
          <w:szCs w:val="15"/>
        </w:rPr>
        <w:t xml:space="preserve">161, accessed 17 July 2023 </w:t>
      </w:r>
      <w:r w:rsidRPr="004A1190">
        <w:rPr>
          <w:szCs w:val="15"/>
        </w:rPr>
        <w:t>(</w:t>
      </w:r>
      <w:hyperlink r:id="rId474" w:history="1">
        <w:r w:rsidRPr="004A1190">
          <w:rPr>
            <w:rStyle w:val="Hyperlink"/>
            <w:szCs w:val="15"/>
          </w:rPr>
          <w:t>https://s3.ap-southeast-2.amazonaws.com/budgetfiles202324.budget.vic.gov.au/2023</w:t>
        </w:r>
        <w:r>
          <w:rPr>
            <w:rStyle w:val="Hyperlink"/>
            <w:szCs w:val="15"/>
          </w:rPr>
          <w:t>–</w:t>
        </w:r>
        <w:r w:rsidRPr="004A1190">
          <w:rPr>
            <w:rStyle w:val="Hyperlink"/>
            <w:szCs w:val="15"/>
          </w:rPr>
          <w:t>24+State+Budget+-+Service+Delivery.pdf</w:t>
        </w:r>
      </w:hyperlink>
      <w:r w:rsidRPr="004A1190">
        <w:rPr>
          <w:szCs w:val="15"/>
        </w:rPr>
        <w:t>)</w:t>
      </w:r>
      <w:r>
        <w:rPr>
          <w:szCs w:val="15"/>
        </w:rPr>
        <w:t>.</w:t>
      </w:r>
    </w:p>
  </w:endnote>
  <w:endnote w:id="387">
    <w:p w14:paraId="5429D4E1" w14:textId="77777777" w:rsidR="00373ED9" w:rsidRDefault="00373ED9" w:rsidP="00373ED9">
      <w:pPr>
        <w:pStyle w:val="EndnoteText"/>
      </w:pPr>
      <w:r>
        <w:rPr>
          <w:rStyle w:val="EndnoteReference"/>
        </w:rPr>
        <w:endnoteRef/>
      </w:r>
      <w:r w:rsidRPr="00597874">
        <w:t xml:space="preserve"> </w:t>
      </w:r>
      <w:r w:rsidRPr="00F05DC5">
        <w:rPr>
          <w:szCs w:val="15"/>
        </w:rPr>
        <w:t>Department of Treasury and Finance</w:t>
      </w:r>
      <w:r w:rsidRPr="004A1190">
        <w:rPr>
          <w:szCs w:val="15"/>
        </w:rPr>
        <w:t>,</w:t>
      </w:r>
      <w:r w:rsidRPr="00F05DC5">
        <w:rPr>
          <w:szCs w:val="15"/>
        </w:rPr>
        <w:t xml:space="preserve"> </w:t>
      </w:r>
      <w:hyperlink r:id="rId475" w:anchor="budget-paper-3-service-delivery" w:history="1">
        <w:r w:rsidRPr="004A1190">
          <w:rPr>
            <w:rStyle w:val="Hyperlink"/>
            <w:i/>
            <w:iCs/>
            <w:szCs w:val="15"/>
          </w:rPr>
          <w:t>Victorian Budget 2023</w:t>
        </w:r>
        <w:r>
          <w:rPr>
            <w:rStyle w:val="Hyperlink"/>
            <w:i/>
            <w:iCs/>
            <w:szCs w:val="15"/>
          </w:rPr>
          <w:t>–</w:t>
        </w:r>
        <w:r w:rsidRPr="004A1190">
          <w:rPr>
            <w:rStyle w:val="Hyperlink"/>
            <w:i/>
            <w:iCs/>
            <w:szCs w:val="15"/>
          </w:rPr>
          <w:t>24 – Budget Paper No. 3</w:t>
        </w:r>
      </w:hyperlink>
      <w:r w:rsidRPr="004A1190">
        <w:rPr>
          <w:szCs w:val="15"/>
        </w:rPr>
        <w:t>, 2023, p</w:t>
      </w:r>
      <w:r>
        <w:rPr>
          <w:szCs w:val="15"/>
        </w:rPr>
        <w:t>p.</w:t>
      </w:r>
      <w:r w:rsidRPr="00F05DC5" w:rsidDel="008C7EEE">
        <w:rPr>
          <w:szCs w:val="15"/>
        </w:rPr>
        <w:t xml:space="preserve"> </w:t>
      </w:r>
      <w:r>
        <w:rPr>
          <w:szCs w:val="15"/>
        </w:rPr>
        <w:t xml:space="preserve">29, 37, accessed 17 July 2023 </w:t>
      </w:r>
      <w:r w:rsidRPr="004A1190">
        <w:rPr>
          <w:szCs w:val="15"/>
        </w:rPr>
        <w:t>(</w:t>
      </w:r>
      <w:hyperlink r:id="rId476" w:history="1">
        <w:r w:rsidRPr="004A1190">
          <w:rPr>
            <w:rStyle w:val="Hyperlink"/>
            <w:szCs w:val="15"/>
          </w:rPr>
          <w:t>https://s3.ap-southeast-2.amazonaws.com/budgetfiles202324.budget.vic.gov.au/2023</w:t>
        </w:r>
        <w:r>
          <w:rPr>
            <w:rStyle w:val="Hyperlink"/>
            <w:szCs w:val="15"/>
          </w:rPr>
          <w:t>–</w:t>
        </w:r>
        <w:r w:rsidRPr="004A1190">
          <w:rPr>
            <w:rStyle w:val="Hyperlink"/>
            <w:szCs w:val="15"/>
          </w:rPr>
          <w:t>24+State+Budget+-+Service+Delivery.pdf</w:t>
        </w:r>
      </w:hyperlink>
      <w:r w:rsidRPr="004A1190">
        <w:rPr>
          <w:szCs w:val="15"/>
        </w:rPr>
        <w:t>)</w:t>
      </w:r>
      <w:r>
        <w:rPr>
          <w:szCs w:val="15"/>
        </w:rPr>
        <w:t>.</w:t>
      </w:r>
    </w:p>
  </w:endnote>
  <w:endnote w:id="388">
    <w:p w14:paraId="63D8B053" w14:textId="77777777" w:rsidR="00373ED9" w:rsidRDefault="00373ED9" w:rsidP="00373ED9">
      <w:pPr>
        <w:pStyle w:val="EndnoteText"/>
      </w:pPr>
      <w:r>
        <w:rPr>
          <w:rStyle w:val="EndnoteReference"/>
        </w:rPr>
        <w:endnoteRef/>
      </w:r>
      <w:r>
        <w:rPr>
          <w:rStyle w:val="normaltextrun"/>
          <w:rFonts w:ascii="Calibri" w:hAnsi="Calibri" w:cs="Calibri"/>
          <w:color w:val="000000"/>
          <w:shd w:val="clear" w:color="auto" w:fill="FFFFFF"/>
        </w:rPr>
        <w:t xml:space="preserve"> </w:t>
      </w:r>
      <w:r w:rsidRPr="00F05DC5">
        <w:rPr>
          <w:szCs w:val="15"/>
        </w:rPr>
        <w:t>Department of Treasury and Finance</w:t>
      </w:r>
      <w:r w:rsidRPr="004A1190">
        <w:rPr>
          <w:szCs w:val="15"/>
        </w:rPr>
        <w:t>,</w:t>
      </w:r>
      <w:r w:rsidRPr="00F05DC5">
        <w:rPr>
          <w:szCs w:val="15"/>
        </w:rPr>
        <w:t xml:space="preserve"> </w:t>
      </w:r>
      <w:hyperlink r:id="rId477" w:anchor="budget-paper-3-service-delivery" w:history="1">
        <w:r w:rsidRPr="004A1190">
          <w:rPr>
            <w:rStyle w:val="Hyperlink"/>
            <w:i/>
            <w:iCs/>
            <w:szCs w:val="15"/>
          </w:rPr>
          <w:t>Victorian Budget 2023</w:t>
        </w:r>
        <w:r>
          <w:rPr>
            <w:rStyle w:val="Hyperlink"/>
            <w:i/>
            <w:iCs/>
            <w:szCs w:val="15"/>
          </w:rPr>
          <w:t>–</w:t>
        </w:r>
        <w:r w:rsidRPr="004A1190">
          <w:rPr>
            <w:rStyle w:val="Hyperlink"/>
            <w:i/>
            <w:iCs/>
            <w:szCs w:val="15"/>
          </w:rPr>
          <w:t>24 – Budget Paper No. 3</w:t>
        </w:r>
      </w:hyperlink>
      <w:r w:rsidRPr="004A1190">
        <w:rPr>
          <w:szCs w:val="15"/>
        </w:rPr>
        <w:t>, 2023, p</w:t>
      </w:r>
      <w:r>
        <w:rPr>
          <w:szCs w:val="15"/>
        </w:rPr>
        <w:t>p.</w:t>
      </w:r>
      <w:r w:rsidRPr="00F05DC5" w:rsidDel="008C7EEE">
        <w:rPr>
          <w:szCs w:val="15"/>
        </w:rPr>
        <w:t xml:space="preserve"> </w:t>
      </w:r>
      <w:r>
        <w:rPr>
          <w:szCs w:val="15"/>
        </w:rPr>
        <w:t xml:space="preserve">29, 36, accessed 17 July 2023 </w:t>
      </w:r>
      <w:r w:rsidRPr="004A1190">
        <w:rPr>
          <w:szCs w:val="15"/>
        </w:rPr>
        <w:t>(</w:t>
      </w:r>
      <w:hyperlink r:id="rId478" w:history="1">
        <w:r w:rsidRPr="004A1190">
          <w:rPr>
            <w:rStyle w:val="Hyperlink"/>
            <w:szCs w:val="15"/>
          </w:rPr>
          <w:t>https://s3.ap-southeast-2.amazonaws.com/budgetfiles202324.budget.vic.gov.au/2023</w:t>
        </w:r>
        <w:r>
          <w:rPr>
            <w:rStyle w:val="Hyperlink"/>
            <w:szCs w:val="15"/>
          </w:rPr>
          <w:t>–</w:t>
        </w:r>
        <w:r w:rsidRPr="004A1190">
          <w:rPr>
            <w:rStyle w:val="Hyperlink"/>
            <w:szCs w:val="15"/>
          </w:rPr>
          <w:t>24+State+Budget+-+Service+Delivery.pdf</w:t>
        </w:r>
      </w:hyperlink>
      <w:r w:rsidRPr="004A1190">
        <w:rPr>
          <w:szCs w:val="15"/>
        </w:rPr>
        <w:t>)</w:t>
      </w:r>
      <w:r>
        <w:rPr>
          <w:szCs w:val="15"/>
        </w:rPr>
        <w:t>.</w:t>
      </w:r>
    </w:p>
  </w:endnote>
  <w:endnote w:id="389">
    <w:p w14:paraId="0AF15246" w14:textId="75A051B8" w:rsidR="00373ED9" w:rsidRDefault="00373ED9" w:rsidP="00373ED9">
      <w:pPr>
        <w:pStyle w:val="EndnoteText"/>
      </w:pPr>
      <w:r>
        <w:rPr>
          <w:rStyle w:val="EndnoteReference"/>
        </w:rPr>
        <w:endnoteRef/>
      </w:r>
      <w:r>
        <w:t xml:space="preserve"> Parks Victoria, </w:t>
      </w:r>
      <w:hyperlink r:id="rId479" w:history="1">
        <w:r w:rsidRPr="00597874">
          <w:rPr>
            <w:rStyle w:val="Hyperlink"/>
            <w:i/>
          </w:rPr>
          <w:t>Three new parks for Melbourne’s growing communities</w:t>
        </w:r>
      </w:hyperlink>
      <w:r w:rsidRPr="00597874">
        <w:t xml:space="preserve"> (media release),</w:t>
      </w:r>
      <w:r>
        <w:t xml:space="preserve"> 31 May 2023, accessed 30 June 2023.</w:t>
      </w:r>
    </w:p>
  </w:endnote>
  <w:endnote w:id="390">
    <w:p w14:paraId="66EDED0B" w14:textId="4CBFE501" w:rsidR="00373ED9" w:rsidRDefault="00373ED9" w:rsidP="00373ED9">
      <w:pPr>
        <w:pStyle w:val="EndnoteText"/>
      </w:pPr>
      <w:r>
        <w:rPr>
          <w:rStyle w:val="EndnoteReference"/>
        </w:rPr>
        <w:endnoteRef/>
      </w:r>
      <w:r>
        <w:t xml:space="preserve"> Parks Victoria, </w:t>
      </w:r>
      <w:hyperlink r:id="rId480" w:history="1">
        <w:r w:rsidRPr="00597874">
          <w:rPr>
            <w:rStyle w:val="Hyperlink"/>
            <w:i/>
          </w:rPr>
          <w:t>Three new parks for Melbourne’s growing communities</w:t>
        </w:r>
      </w:hyperlink>
      <w:r w:rsidR="0017268B">
        <w:rPr>
          <w:rStyle w:val="Hyperlink"/>
        </w:rPr>
        <w:t xml:space="preserve"> </w:t>
      </w:r>
      <w:r w:rsidRPr="00597874">
        <w:t>(media release),</w:t>
      </w:r>
      <w:r>
        <w:t xml:space="preserve"> 31 May 2023, accessed 30 June 2023.</w:t>
      </w:r>
    </w:p>
  </w:endnote>
  <w:endnote w:id="391">
    <w:p w14:paraId="50AB9FE1" w14:textId="77777777" w:rsidR="00373ED9" w:rsidRPr="001902A4" w:rsidRDefault="00373ED9" w:rsidP="00373ED9">
      <w:pPr>
        <w:pStyle w:val="EndnoteText"/>
      </w:pPr>
      <w:r>
        <w:rPr>
          <w:rStyle w:val="EndnoteReference"/>
          <w:rFonts w:eastAsiaTheme="majorEastAsia"/>
        </w:rPr>
        <w:endnoteRef/>
      </w:r>
      <w:r>
        <w:t xml:space="preserve"> Parliament of Victoria, </w:t>
      </w:r>
      <w:hyperlink r:id="rId481" w:history="1">
        <w:r w:rsidRPr="001902A4">
          <w:rPr>
            <w:rStyle w:val="Hyperlink"/>
            <w:i/>
            <w:iCs/>
          </w:rPr>
          <w:t>2023</w:t>
        </w:r>
        <w:r>
          <w:rPr>
            <w:rStyle w:val="Hyperlink"/>
            <w:i/>
            <w:iCs/>
          </w:rPr>
          <w:t>–</w:t>
        </w:r>
        <w:r w:rsidRPr="001902A4">
          <w:rPr>
            <w:rStyle w:val="Hyperlink"/>
            <w:i/>
            <w:iCs/>
          </w:rPr>
          <w:t>24 Budget estimates questionnaire Department of Energy, Environment and Climate Action</w:t>
        </w:r>
      </w:hyperlink>
      <w:r>
        <w:t xml:space="preserve">, 2023, p.97, accessed 31 July 2023. </w:t>
      </w:r>
    </w:p>
  </w:endnote>
  <w:endnote w:id="392">
    <w:p w14:paraId="63214F41" w14:textId="77777777" w:rsidR="00373ED9" w:rsidRPr="001902A4" w:rsidRDefault="00373ED9" w:rsidP="00373ED9">
      <w:pPr>
        <w:pStyle w:val="EndnoteText"/>
      </w:pPr>
      <w:r>
        <w:rPr>
          <w:rStyle w:val="EndnoteReference"/>
          <w:rFonts w:eastAsiaTheme="majorEastAsia"/>
        </w:rPr>
        <w:endnoteRef/>
      </w:r>
      <w:r>
        <w:t xml:space="preserve"> Parliament of Victoria, </w:t>
      </w:r>
      <w:hyperlink r:id="rId482" w:history="1">
        <w:r w:rsidRPr="001902A4">
          <w:rPr>
            <w:rStyle w:val="Hyperlink"/>
            <w:i/>
            <w:iCs/>
          </w:rPr>
          <w:t>2023</w:t>
        </w:r>
        <w:r>
          <w:rPr>
            <w:rStyle w:val="Hyperlink"/>
            <w:i/>
            <w:iCs/>
          </w:rPr>
          <w:t>–</w:t>
        </w:r>
        <w:r w:rsidRPr="001902A4">
          <w:rPr>
            <w:rStyle w:val="Hyperlink"/>
            <w:i/>
            <w:iCs/>
          </w:rPr>
          <w:t>24 Budget estimates questionnaire Department of Energy, Environment and Climate Action</w:t>
        </w:r>
      </w:hyperlink>
      <w:r>
        <w:t>, 2023, p.22, accessed 31 July 2023.</w:t>
      </w:r>
    </w:p>
  </w:endnote>
  <w:endnote w:id="393">
    <w:p w14:paraId="0FEA6C9F" w14:textId="77777777" w:rsidR="00373ED9" w:rsidRPr="001902A4" w:rsidRDefault="00373ED9" w:rsidP="00373ED9">
      <w:pPr>
        <w:pStyle w:val="EndnoteText"/>
      </w:pPr>
      <w:r>
        <w:rPr>
          <w:rStyle w:val="EndnoteReference"/>
          <w:rFonts w:eastAsiaTheme="majorEastAsia"/>
        </w:rPr>
        <w:endnoteRef/>
      </w:r>
      <w:r>
        <w:t xml:space="preserve"> Department of Energy, Environment and Climate Action, </w:t>
      </w:r>
      <w:hyperlink r:id="rId483" w:history="1">
        <w:r w:rsidRPr="001902A4">
          <w:rPr>
            <w:rStyle w:val="Hyperlink"/>
            <w:i/>
            <w:iCs/>
          </w:rPr>
          <w:t>Sandbelt Parklands</w:t>
        </w:r>
      </w:hyperlink>
      <w:r>
        <w:t xml:space="preserve"> (website), n.d., accessed 31 July 2023.</w:t>
      </w:r>
    </w:p>
  </w:endnote>
  <w:endnote w:id="394">
    <w:p w14:paraId="2F55DAD7" w14:textId="77777777" w:rsidR="00373ED9" w:rsidRDefault="00373ED9" w:rsidP="00373ED9">
      <w:pPr>
        <w:pStyle w:val="EndnoteText"/>
      </w:pPr>
      <w:r>
        <w:rPr>
          <w:rStyle w:val="EndnoteReference"/>
        </w:rPr>
        <w:endnoteRef/>
      </w:r>
      <w:r>
        <w:t xml:space="preserve"> Department of Energy, Environment and Climate Action,</w:t>
      </w:r>
      <w:r w:rsidRPr="00BE2457">
        <w:rPr>
          <w:i/>
        </w:rPr>
        <w:t xml:space="preserve"> </w:t>
      </w:r>
      <w:hyperlink r:id="rId484" w:history="1">
        <w:r w:rsidRPr="00BE2457">
          <w:rPr>
            <w:rStyle w:val="Hyperlink"/>
            <w:i/>
          </w:rPr>
          <w:t>Victoria’s great outdoors</w:t>
        </w:r>
      </w:hyperlink>
      <w:r>
        <w:t xml:space="preserve"> (website), n.d., accessed 30 June 2023.</w:t>
      </w:r>
    </w:p>
  </w:endnote>
  <w:endnote w:id="395">
    <w:p w14:paraId="0BB94419" w14:textId="77777777" w:rsidR="00373ED9" w:rsidRDefault="00373ED9" w:rsidP="00373ED9">
      <w:pPr>
        <w:pStyle w:val="EndnoteText"/>
      </w:pPr>
      <w:r>
        <w:rPr>
          <w:rStyle w:val="EndnoteReference"/>
        </w:rPr>
        <w:endnoteRef/>
      </w:r>
      <w:r w:rsidRPr="00597874">
        <w:t xml:space="preserve"> </w:t>
      </w:r>
      <w:r w:rsidRPr="00F05DC5">
        <w:rPr>
          <w:szCs w:val="15"/>
        </w:rPr>
        <w:t>Department of Treasury and Finance</w:t>
      </w:r>
      <w:r w:rsidRPr="004A1190">
        <w:rPr>
          <w:szCs w:val="15"/>
        </w:rPr>
        <w:t>,</w:t>
      </w:r>
      <w:r w:rsidRPr="00F05DC5">
        <w:rPr>
          <w:szCs w:val="15"/>
        </w:rPr>
        <w:t xml:space="preserve"> </w:t>
      </w:r>
      <w:hyperlink r:id="rId485" w:anchor="budget-paper-3-service-delivery" w:history="1">
        <w:r w:rsidRPr="004A1190">
          <w:rPr>
            <w:rStyle w:val="Hyperlink"/>
            <w:i/>
            <w:iCs/>
            <w:szCs w:val="15"/>
          </w:rPr>
          <w:t>Victorian Budget 2023</w:t>
        </w:r>
        <w:r>
          <w:rPr>
            <w:rStyle w:val="Hyperlink"/>
            <w:i/>
            <w:iCs/>
            <w:szCs w:val="15"/>
          </w:rPr>
          <w:t>–</w:t>
        </w:r>
        <w:r w:rsidRPr="004A1190">
          <w:rPr>
            <w:rStyle w:val="Hyperlink"/>
            <w:i/>
            <w:iCs/>
            <w:szCs w:val="15"/>
          </w:rPr>
          <w:t>24 – Budget Paper No. 3</w:t>
        </w:r>
      </w:hyperlink>
      <w:r w:rsidRPr="004A1190">
        <w:rPr>
          <w:szCs w:val="15"/>
        </w:rPr>
        <w:t>, 2023, p</w:t>
      </w:r>
      <w:r>
        <w:rPr>
          <w:szCs w:val="15"/>
        </w:rPr>
        <w:t>.</w:t>
      </w:r>
      <w:r w:rsidRPr="00F05DC5" w:rsidDel="008C7EEE">
        <w:rPr>
          <w:szCs w:val="15"/>
        </w:rPr>
        <w:t xml:space="preserve"> </w:t>
      </w:r>
      <w:r>
        <w:rPr>
          <w:szCs w:val="15"/>
        </w:rPr>
        <w:t xml:space="preserve">39, accessed 17 July 2023 </w:t>
      </w:r>
      <w:r w:rsidRPr="004A1190">
        <w:rPr>
          <w:szCs w:val="15"/>
        </w:rPr>
        <w:t>(</w:t>
      </w:r>
      <w:hyperlink r:id="rId486" w:history="1">
        <w:r w:rsidRPr="004A1190">
          <w:rPr>
            <w:rStyle w:val="Hyperlink"/>
            <w:szCs w:val="15"/>
          </w:rPr>
          <w:t>https://s3.ap-southeast-2.amazonaws.com/budgetfiles202324.budget.vic.gov.au/2023</w:t>
        </w:r>
        <w:r>
          <w:rPr>
            <w:rStyle w:val="Hyperlink"/>
            <w:szCs w:val="15"/>
          </w:rPr>
          <w:t>–</w:t>
        </w:r>
        <w:r w:rsidRPr="004A1190">
          <w:rPr>
            <w:rStyle w:val="Hyperlink"/>
            <w:szCs w:val="15"/>
          </w:rPr>
          <w:t>24+State+Budget+-+Service+Delivery.pdf</w:t>
        </w:r>
      </w:hyperlink>
      <w:r w:rsidRPr="004A1190">
        <w:rPr>
          <w:szCs w:val="15"/>
        </w:rPr>
        <w:t>)</w:t>
      </w:r>
      <w:r>
        <w:rPr>
          <w:szCs w:val="15"/>
        </w:rPr>
        <w:t>.</w:t>
      </w:r>
    </w:p>
  </w:endnote>
  <w:endnote w:id="396">
    <w:p w14:paraId="5D762C53" w14:textId="77777777" w:rsidR="00373ED9" w:rsidRDefault="00373ED9" w:rsidP="00373ED9">
      <w:pPr>
        <w:pStyle w:val="EndnoteText"/>
      </w:pPr>
      <w:r>
        <w:rPr>
          <w:rStyle w:val="EndnoteReference"/>
        </w:rPr>
        <w:endnoteRef/>
      </w:r>
      <w:r>
        <w:t xml:space="preserve"> Minister for Environment, </w:t>
      </w:r>
      <w:hyperlink r:id="rId487" w:history="1">
        <w:r w:rsidRPr="00597874">
          <w:rPr>
            <w:rStyle w:val="Hyperlink"/>
            <w:i/>
          </w:rPr>
          <w:t>More upgraded campgrounds across Victoria in time for Easter</w:t>
        </w:r>
      </w:hyperlink>
      <w:r>
        <w:t xml:space="preserve"> (</w:t>
      </w:r>
      <w:r w:rsidRPr="00597874">
        <w:t>media release),</w:t>
      </w:r>
      <w:r>
        <w:t xml:space="preserve"> 6 April 2023, accessed 30 June 2023.</w:t>
      </w:r>
    </w:p>
  </w:endnote>
  <w:endnote w:id="397">
    <w:p w14:paraId="198F63AA" w14:textId="77777777" w:rsidR="00373ED9" w:rsidRDefault="00373ED9" w:rsidP="00373ED9">
      <w:pPr>
        <w:pStyle w:val="EndnoteText"/>
      </w:pPr>
      <w:r>
        <w:rPr>
          <w:rStyle w:val="EndnoteReference"/>
        </w:rPr>
        <w:endnoteRef/>
      </w:r>
      <w:r>
        <w:t xml:space="preserve"> Minister for Environment, </w:t>
      </w:r>
      <w:hyperlink r:id="rId488" w:history="1">
        <w:r w:rsidRPr="00597874">
          <w:rPr>
            <w:rStyle w:val="Hyperlink"/>
            <w:i/>
          </w:rPr>
          <w:t>More upgraded campgrounds across Victoria in time for Easter</w:t>
        </w:r>
      </w:hyperlink>
      <w:r>
        <w:t xml:space="preserve"> (</w:t>
      </w:r>
      <w:r w:rsidRPr="00597874">
        <w:t>media release),</w:t>
      </w:r>
      <w:r>
        <w:t xml:space="preserve"> 6 April 2023, accessed 30 June 2023.</w:t>
      </w:r>
    </w:p>
  </w:endnote>
  <w:endnote w:id="398">
    <w:p w14:paraId="2CEF3FBC" w14:textId="77777777" w:rsidR="00373ED9" w:rsidRDefault="00373ED9" w:rsidP="00373ED9">
      <w:pPr>
        <w:pStyle w:val="EndnoteText"/>
      </w:pPr>
      <w:r>
        <w:rPr>
          <w:rStyle w:val="EndnoteReference"/>
        </w:rPr>
        <w:endnoteRef/>
      </w:r>
      <w:r>
        <w:t xml:space="preserve"> Minister for Environment, </w:t>
      </w:r>
      <w:hyperlink r:id="rId489" w:history="1">
        <w:r w:rsidRPr="00597874">
          <w:rPr>
            <w:rStyle w:val="Hyperlink"/>
            <w:i/>
          </w:rPr>
          <w:t>Major milestone for Werribee Open Range Zoo expansion</w:t>
        </w:r>
      </w:hyperlink>
      <w:r>
        <w:t xml:space="preserve"> (</w:t>
      </w:r>
      <w:r w:rsidRPr="00597874">
        <w:t>media release),</w:t>
      </w:r>
      <w:r>
        <w:t xml:space="preserve"> 24 March 2023, accessed 30 June 2023.</w:t>
      </w:r>
    </w:p>
  </w:endnote>
  <w:endnote w:id="399">
    <w:p w14:paraId="716CD401" w14:textId="77777777" w:rsidR="00373ED9" w:rsidRDefault="00373ED9" w:rsidP="00373ED9">
      <w:pPr>
        <w:pStyle w:val="EndnoteText"/>
      </w:pPr>
      <w:r>
        <w:rPr>
          <w:rStyle w:val="EndnoteReference"/>
        </w:rPr>
        <w:endnoteRef/>
      </w:r>
      <w:r>
        <w:t xml:space="preserve"> Minister for Environment, </w:t>
      </w:r>
      <w:hyperlink r:id="rId490" w:history="1">
        <w:r w:rsidRPr="00597874">
          <w:rPr>
            <w:rStyle w:val="Hyperlink"/>
            <w:i/>
          </w:rPr>
          <w:t>Major milestone for Werribee Open Range Zoo expansion</w:t>
        </w:r>
      </w:hyperlink>
      <w:r>
        <w:t xml:space="preserve"> (</w:t>
      </w:r>
      <w:r w:rsidRPr="00597874">
        <w:t>media release),</w:t>
      </w:r>
      <w:r>
        <w:t xml:space="preserve"> 24 March 2023, accessed 30 June 2023.</w:t>
      </w:r>
    </w:p>
  </w:endnote>
  <w:endnote w:id="400">
    <w:p w14:paraId="770E19DB" w14:textId="77777777" w:rsidR="00373ED9" w:rsidRDefault="00373ED9" w:rsidP="00373ED9">
      <w:pPr>
        <w:pStyle w:val="EndnoteText"/>
      </w:pPr>
      <w:r>
        <w:rPr>
          <w:rStyle w:val="EndnoteReference"/>
        </w:rPr>
        <w:endnoteRef/>
      </w:r>
      <w:r>
        <w:t xml:space="preserve"> Minister for Environment, </w:t>
      </w:r>
      <w:hyperlink r:id="rId491" w:history="1">
        <w:r w:rsidRPr="00597874">
          <w:rPr>
            <w:rStyle w:val="Hyperlink"/>
            <w:i/>
          </w:rPr>
          <w:t>Major milestone for Werribee Open Range Zoo expansion</w:t>
        </w:r>
      </w:hyperlink>
      <w:r>
        <w:t xml:space="preserve"> (</w:t>
      </w:r>
      <w:r w:rsidRPr="00597874">
        <w:t>media release),</w:t>
      </w:r>
      <w:r>
        <w:t xml:space="preserve"> 24 March 2023, accessed 30 June 2023.</w:t>
      </w:r>
    </w:p>
  </w:endnote>
  <w:endnote w:id="401">
    <w:p w14:paraId="7302CB2F" w14:textId="77777777" w:rsidR="00373ED9" w:rsidRDefault="00373ED9" w:rsidP="00373ED9">
      <w:pPr>
        <w:pStyle w:val="EndnoteText"/>
      </w:pPr>
      <w:r>
        <w:rPr>
          <w:rStyle w:val="EndnoteReference"/>
        </w:rPr>
        <w:endnoteRef/>
      </w:r>
      <w:r>
        <w:t xml:space="preserve"> Department of Energy, Environment and Climate Action, </w:t>
      </w:r>
      <w:hyperlink r:id="rId492" w:history="1">
        <w:r w:rsidRPr="00BE2457">
          <w:rPr>
            <w:rStyle w:val="Hyperlink"/>
            <w:i/>
          </w:rPr>
          <w:t>Alpine resorts</w:t>
        </w:r>
      </w:hyperlink>
      <w:r>
        <w:t xml:space="preserve"> (website), n.d., accessed 30 June 2023.</w:t>
      </w:r>
    </w:p>
  </w:endnote>
  <w:endnote w:id="402">
    <w:p w14:paraId="4D39C82E" w14:textId="77777777" w:rsidR="00373ED9" w:rsidRDefault="00373ED9" w:rsidP="00373ED9">
      <w:pPr>
        <w:pStyle w:val="EndnoteText"/>
      </w:pPr>
      <w:r>
        <w:rPr>
          <w:rStyle w:val="EndnoteReference"/>
        </w:rPr>
        <w:endnoteRef/>
      </w:r>
      <w:r>
        <w:t xml:space="preserve"> Premier of Victoria, </w:t>
      </w:r>
      <w:hyperlink r:id="rId493" w:history="1">
        <w:r w:rsidRPr="00597874">
          <w:rPr>
            <w:rStyle w:val="Hyperlink"/>
            <w:i/>
          </w:rPr>
          <w:t>New direction for Victoria’s billion dollar industry</w:t>
        </w:r>
      </w:hyperlink>
      <w:r w:rsidRPr="00597874">
        <w:t xml:space="preserve"> (media release),</w:t>
      </w:r>
      <w:r>
        <w:t xml:space="preserve"> 22 March 2021, accessed 30 June 2023.</w:t>
      </w:r>
    </w:p>
  </w:endnote>
  <w:endnote w:id="403">
    <w:p w14:paraId="3CC15B29" w14:textId="77777777" w:rsidR="00373ED9" w:rsidRDefault="00373ED9" w:rsidP="00373ED9">
      <w:pPr>
        <w:pStyle w:val="EndnoteText"/>
      </w:pPr>
      <w:r>
        <w:rPr>
          <w:rStyle w:val="EndnoteReference"/>
        </w:rPr>
        <w:endnoteRef/>
      </w:r>
      <w:r>
        <w:t xml:space="preserve"> Minister for Energy, Environment and Climate Change, </w:t>
      </w:r>
      <w:hyperlink r:id="rId494" w:history="1">
        <w:r w:rsidRPr="00597874">
          <w:rPr>
            <w:rStyle w:val="Hyperlink"/>
            <w:i/>
          </w:rPr>
          <w:t>New direction for Victoria’s billion dollar industry</w:t>
        </w:r>
      </w:hyperlink>
      <w:r w:rsidRPr="00597874">
        <w:rPr>
          <w:rStyle w:val="Hyperlink"/>
        </w:rPr>
        <w:t xml:space="preserve"> </w:t>
      </w:r>
      <w:r w:rsidRPr="00597874">
        <w:t>(media release),</w:t>
      </w:r>
      <w:r>
        <w:t xml:space="preserve"> 22 March 2021, accessed 30 June 2023.</w:t>
      </w:r>
    </w:p>
  </w:endnote>
  <w:endnote w:id="404">
    <w:p w14:paraId="60D3148D" w14:textId="77777777" w:rsidR="00373ED9" w:rsidRDefault="00373ED9" w:rsidP="00373ED9">
      <w:pPr>
        <w:pStyle w:val="EndnoteText"/>
      </w:pPr>
      <w:r>
        <w:rPr>
          <w:rStyle w:val="EndnoteReference"/>
        </w:rPr>
        <w:endnoteRef/>
      </w:r>
      <w:r>
        <w:rPr>
          <w:szCs w:val="15"/>
        </w:rPr>
        <w:t xml:space="preserve"> </w:t>
      </w:r>
      <w:r w:rsidRPr="00F05DC5">
        <w:rPr>
          <w:szCs w:val="15"/>
        </w:rPr>
        <w:t>Department of Treasury and Finance</w:t>
      </w:r>
      <w:r w:rsidRPr="004A1190">
        <w:rPr>
          <w:szCs w:val="15"/>
        </w:rPr>
        <w:t>,</w:t>
      </w:r>
      <w:r w:rsidRPr="00F05DC5">
        <w:rPr>
          <w:szCs w:val="15"/>
        </w:rPr>
        <w:t xml:space="preserve"> </w:t>
      </w:r>
      <w:hyperlink r:id="rId495" w:anchor="budget-paper-3-service-delivery" w:history="1">
        <w:r w:rsidRPr="004A1190">
          <w:rPr>
            <w:rStyle w:val="Hyperlink"/>
            <w:i/>
            <w:iCs/>
            <w:szCs w:val="15"/>
          </w:rPr>
          <w:t>Victorian Budget 2023</w:t>
        </w:r>
        <w:r>
          <w:rPr>
            <w:rStyle w:val="Hyperlink"/>
            <w:i/>
            <w:iCs/>
            <w:szCs w:val="15"/>
          </w:rPr>
          <w:t>–</w:t>
        </w:r>
        <w:r w:rsidRPr="004A1190">
          <w:rPr>
            <w:rStyle w:val="Hyperlink"/>
            <w:i/>
            <w:iCs/>
            <w:szCs w:val="15"/>
          </w:rPr>
          <w:t>24 – Budget Paper No. 3</w:t>
        </w:r>
      </w:hyperlink>
      <w:r w:rsidRPr="004A1190">
        <w:rPr>
          <w:szCs w:val="15"/>
        </w:rPr>
        <w:t>, 2023, p</w:t>
      </w:r>
      <w:r>
        <w:rPr>
          <w:szCs w:val="15"/>
        </w:rPr>
        <w:t>p.</w:t>
      </w:r>
      <w:r w:rsidRPr="00F05DC5" w:rsidDel="008C7EEE">
        <w:rPr>
          <w:szCs w:val="15"/>
        </w:rPr>
        <w:t xml:space="preserve"> </w:t>
      </w:r>
      <w:r>
        <w:rPr>
          <w:szCs w:val="15"/>
        </w:rPr>
        <w:t xml:space="preserve">29, 36, accessed 17 July 2023 </w:t>
      </w:r>
      <w:r w:rsidRPr="004A1190">
        <w:rPr>
          <w:szCs w:val="15"/>
        </w:rPr>
        <w:t>(</w:t>
      </w:r>
      <w:hyperlink r:id="rId496" w:history="1">
        <w:r w:rsidRPr="004A1190">
          <w:rPr>
            <w:rStyle w:val="Hyperlink"/>
            <w:szCs w:val="15"/>
          </w:rPr>
          <w:t>https://s3.ap-southeast-2.amazonaws.com/budgetfiles202324.budget.vic.gov.au/2023</w:t>
        </w:r>
        <w:r>
          <w:rPr>
            <w:rStyle w:val="Hyperlink"/>
            <w:szCs w:val="15"/>
          </w:rPr>
          <w:t>–</w:t>
        </w:r>
        <w:r w:rsidRPr="004A1190">
          <w:rPr>
            <w:rStyle w:val="Hyperlink"/>
            <w:szCs w:val="15"/>
          </w:rPr>
          <w:t>24+State+Budget+-+Service+Delivery.pdf</w:t>
        </w:r>
      </w:hyperlink>
      <w:r w:rsidRPr="004A1190">
        <w:rPr>
          <w:szCs w:val="15"/>
        </w:rPr>
        <w:t>)</w:t>
      </w:r>
      <w:r>
        <w:rPr>
          <w:szCs w:val="15"/>
        </w:rPr>
        <w:t>.</w:t>
      </w:r>
    </w:p>
  </w:endnote>
  <w:endnote w:id="405">
    <w:p w14:paraId="1CC84B34" w14:textId="178A0890" w:rsidR="00373ED9" w:rsidRDefault="00373ED9" w:rsidP="00373ED9">
      <w:pPr>
        <w:pStyle w:val="EndnoteText"/>
      </w:pPr>
      <w:r w:rsidRPr="0439F34E">
        <w:rPr>
          <w:rStyle w:val="EndnoteReference"/>
        </w:rPr>
        <w:endnoteRef/>
      </w:r>
      <w:r>
        <w:t xml:space="preserve"> The Infrastructure Sustainability Council of Australia, ClimateWorks Australia and the Australian Sustainable Built Environment Council, </w:t>
      </w:r>
      <w:hyperlink r:id="rId497" w:history="1">
        <w:r>
          <w:rPr>
            <w:rStyle w:val="Hyperlink"/>
            <w:i/>
          </w:rPr>
          <w:t>Reshaping infrastructure for a net zero emissions future</w:t>
        </w:r>
      </w:hyperlink>
      <w:r>
        <w:t>, 2020, p</w:t>
      </w:r>
      <w:r w:rsidRPr="00597874">
        <w:t>.</w:t>
      </w:r>
      <w:r>
        <w:t>4, accessed 30 June 2023.</w:t>
      </w:r>
    </w:p>
  </w:endnote>
  <w:endnote w:id="406">
    <w:p w14:paraId="4AF9C589" w14:textId="659AEFDE" w:rsidR="00373ED9" w:rsidRDefault="00373ED9" w:rsidP="00373ED9">
      <w:pPr>
        <w:pStyle w:val="EndnoteText"/>
      </w:pPr>
      <w:r w:rsidRPr="0439F34E">
        <w:rPr>
          <w:rStyle w:val="EndnoteReference"/>
        </w:rPr>
        <w:endnoteRef/>
      </w:r>
      <w:r>
        <w:t xml:space="preserve"> The Infrastructure Sustainability Council of Australia, ClimateWorks Australia and the Australian Sustainable Built Environment Council, </w:t>
      </w:r>
      <w:hyperlink r:id="rId498" w:history="1">
        <w:r>
          <w:rPr>
            <w:rStyle w:val="Hyperlink"/>
          </w:rPr>
          <w:t>Reshaping infrastructure for a net zero emissions future</w:t>
        </w:r>
      </w:hyperlink>
      <w:r>
        <w:t>, 2020, p</w:t>
      </w:r>
      <w:r w:rsidRPr="00597874">
        <w:t>.</w:t>
      </w:r>
      <w:r>
        <w:t>15, accessed 30 June 2023.</w:t>
      </w:r>
    </w:p>
  </w:endnote>
  <w:endnote w:id="407">
    <w:p w14:paraId="6B1BE2B9" w14:textId="77777777" w:rsidR="00373ED9" w:rsidRDefault="00373ED9" w:rsidP="00373ED9">
      <w:pPr>
        <w:pStyle w:val="EndnoteText"/>
      </w:pPr>
      <w:r>
        <w:rPr>
          <w:rStyle w:val="EndnoteReference"/>
        </w:rPr>
        <w:endnoteRef/>
      </w:r>
      <w:r>
        <w:t xml:space="preserve"> Department of Energy, Environment and Climate Action, </w:t>
      </w:r>
      <w:hyperlink r:id="rId499" w:history="1">
        <w:r w:rsidRPr="00597874">
          <w:rPr>
            <w:rStyle w:val="Hyperlink"/>
            <w:i/>
          </w:rPr>
          <w:t>Victoria’s 2035 emissions reduction target supporting analysis</w:t>
        </w:r>
      </w:hyperlink>
      <w:r>
        <w:t>, 2023, p</w:t>
      </w:r>
      <w:r w:rsidRPr="00597874">
        <w:t>.</w:t>
      </w:r>
      <w:r>
        <w:t xml:space="preserve">7, accessed 30 June 2023. </w:t>
      </w:r>
    </w:p>
  </w:endnote>
  <w:endnote w:id="408">
    <w:p w14:paraId="27D5B7C3" w14:textId="77777777" w:rsidR="00373ED9" w:rsidRDefault="00373ED9" w:rsidP="00373ED9">
      <w:pPr>
        <w:pStyle w:val="EndnoteText"/>
      </w:pPr>
      <w:r>
        <w:rPr>
          <w:rStyle w:val="EndnoteReference"/>
        </w:rPr>
        <w:endnoteRef/>
      </w:r>
      <w:r>
        <w:t xml:space="preserve"> </w:t>
      </w:r>
      <w:r w:rsidRPr="00597874">
        <w:t xml:space="preserve">Department of Environment, Land, Water and Planning, </w:t>
      </w:r>
      <w:hyperlink r:id="rId500" w:history="1">
        <w:r w:rsidRPr="00597874">
          <w:rPr>
            <w:rStyle w:val="Hyperlink"/>
            <w:i/>
          </w:rPr>
          <w:t>Victoria’s climate change strategy</w:t>
        </w:r>
        <w:r>
          <w:rPr>
            <w:rStyle w:val="Hyperlink"/>
            <w:i/>
            <w:iCs/>
          </w:rPr>
          <w:t>:</w:t>
        </w:r>
        <w:r>
          <w:rPr>
            <w:rStyle w:val="Hyperlink"/>
            <w:i/>
          </w:rPr>
          <w:t xml:space="preserve"> </w:t>
        </w:r>
        <w:r w:rsidRPr="00597874">
          <w:rPr>
            <w:rStyle w:val="Hyperlink"/>
            <w:i/>
          </w:rPr>
          <w:t>economic analysis</w:t>
        </w:r>
      </w:hyperlink>
      <w:r w:rsidRPr="00597874">
        <w:t>, 2021, p.6, accessed 30 June 2023</w:t>
      </w:r>
      <w:r>
        <w:t>.</w:t>
      </w:r>
    </w:p>
  </w:endnote>
  <w:endnote w:id="409">
    <w:p w14:paraId="4CF7848A" w14:textId="77777777" w:rsidR="00373ED9" w:rsidRDefault="00373ED9" w:rsidP="00373ED9">
      <w:pPr>
        <w:pStyle w:val="EndnoteText"/>
      </w:pPr>
      <w:r>
        <w:rPr>
          <w:rStyle w:val="EndnoteReference"/>
        </w:rPr>
        <w:endnoteRef/>
      </w:r>
      <w:r>
        <w:t xml:space="preserve"> Department of Energy, Environment and Climate Action,</w:t>
      </w:r>
      <w:hyperlink r:id="rId501" w:history="1">
        <w:r w:rsidRPr="00860DC0">
          <w:rPr>
            <w:rStyle w:val="Hyperlink"/>
          </w:rPr>
          <w:t xml:space="preserve"> Victorian Government action on climate change</w:t>
        </w:r>
      </w:hyperlink>
      <w:r>
        <w:t xml:space="preserve"> (website), n.d., accessed 30 June 2023.</w:t>
      </w:r>
    </w:p>
  </w:endnote>
  <w:endnote w:id="410">
    <w:p w14:paraId="4EA46DA9" w14:textId="77777777" w:rsidR="00373ED9" w:rsidRDefault="00373ED9" w:rsidP="00373ED9">
      <w:pPr>
        <w:pStyle w:val="EndnoteText"/>
      </w:pPr>
      <w:r>
        <w:rPr>
          <w:rStyle w:val="EndnoteReference"/>
        </w:rPr>
        <w:endnoteRef/>
      </w:r>
      <w:r>
        <w:t xml:space="preserve"> Premier of Victoria,</w:t>
      </w:r>
      <w:r w:rsidRPr="00597874">
        <w:rPr>
          <w:i/>
        </w:rPr>
        <w:t xml:space="preserve"> </w:t>
      </w:r>
      <w:hyperlink r:id="rId502" w:history="1">
        <w:r w:rsidRPr="00597874">
          <w:rPr>
            <w:rStyle w:val="Hyperlink"/>
            <w:i/>
          </w:rPr>
          <w:t>Setting an ambitious emissions reduction target</w:t>
        </w:r>
      </w:hyperlink>
      <w:r w:rsidRPr="00597874">
        <w:t xml:space="preserve"> (media release),</w:t>
      </w:r>
      <w:r>
        <w:t xml:space="preserve"> 16 May 2023, accessed 30 June 2023.</w:t>
      </w:r>
    </w:p>
  </w:endnote>
  <w:endnote w:id="411">
    <w:p w14:paraId="150FC9D5" w14:textId="77777777" w:rsidR="00373ED9" w:rsidRDefault="00373ED9" w:rsidP="00373ED9">
      <w:pPr>
        <w:pStyle w:val="EndnoteText"/>
      </w:pPr>
      <w:r>
        <w:rPr>
          <w:rStyle w:val="EndnoteReference"/>
        </w:rPr>
        <w:endnoteRef/>
      </w:r>
      <w:r>
        <w:t xml:space="preserve"> Department of Energy, Environment and Climate Action, </w:t>
      </w:r>
      <w:hyperlink r:id="rId503" w:history="1">
        <w:r w:rsidRPr="00BE2457">
          <w:rPr>
            <w:rStyle w:val="Hyperlink"/>
            <w:i/>
          </w:rPr>
          <w:t>Climate action targets</w:t>
        </w:r>
      </w:hyperlink>
      <w:r w:rsidRPr="00597874">
        <w:t xml:space="preserve"> </w:t>
      </w:r>
      <w:r>
        <w:t>(website), n.d., accessed 30 June 2023.</w:t>
      </w:r>
    </w:p>
  </w:endnote>
  <w:endnote w:id="412">
    <w:p w14:paraId="19BEB744" w14:textId="77777777" w:rsidR="00373ED9" w:rsidRDefault="00373ED9" w:rsidP="00373ED9">
      <w:pPr>
        <w:pStyle w:val="EndnoteText"/>
      </w:pPr>
      <w:r>
        <w:rPr>
          <w:rStyle w:val="EndnoteReference"/>
        </w:rPr>
        <w:endnoteRef/>
      </w:r>
      <w:r>
        <w:t xml:space="preserve"> Department of Energy, Environment and Climate Action,</w:t>
      </w:r>
      <w:r w:rsidRPr="00BE2457">
        <w:rPr>
          <w:i/>
        </w:rPr>
        <w:t xml:space="preserve"> </w:t>
      </w:r>
      <w:hyperlink r:id="rId504" w:history="1">
        <w:r w:rsidRPr="00BE2457">
          <w:rPr>
            <w:rStyle w:val="Hyperlink"/>
            <w:i/>
          </w:rPr>
          <w:t>Climate action targets</w:t>
        </w:r>
      </w:hyperlink>
      <w:r>
        <w:t xml:space="preserve"> (website), n.d., accessed 30 June 2023.</w:t>
      </w:r>
    </w:p>
  </w:endnote>
  <w:endnote w:id="413">
    <w:p w14:paraId="448958BC" w14:textId="77777777" w:rsidR="00373ED9" w:rsidRPr="00597874" w:rsidRDefault="00373ED9" w:rsidP="00373ED9">
      <w:pPr>
        <w:pStyle w:val="EndnoteText"/>
      </w:pPr>
      <w:r>
        <w:rPr>
          <w:rStyle w:val="EndnoteReference"/>
        </w:rPr>
        <w:endnoteRef/>
      </w:r>
      <w:r>
        <w:t xml:space="preserve"> </w:t>
      </w:r>
      <w:r w:rsidRPr="00597874">
        <w:t xml:space="preserve">Department of Environment, Land, Water and Planning, </w:t>
      </w:r>
      <w:hyperlink r:id="rId505" w:history="1">
        <w:r w:rsidRPr="00597874">
          <w:rPr>
            <w:rStyle w:val="Hyperlink"/>
            <w:i/>
          </w:rPr>
          <w:t>Victorian greenhouse gas emissions report 2020</w:t>
        </w:r>
      </w:hyperlink>
      <w:r w:rsidRPr="00597874">
        <w:t>, 2022, p</w:t>
      </w:r>
      <w:r>
        <w:t>.</w:t>
      </w:r>
      <w:r w:rsidRPr="00597874">
        <w:t>8, accessed 30 June 2023</w:t>
      </w:r>
      <w:r>
        <w:t>.</w:t>
      </w:r>
    </w:p>
  </w:endnote>
  <w:endnote w:id="414">
    <w:p w14:paraId="641E0481" w14:textId="77777777" w:rsidR="00373ED9" w:rsidRPr="00597874" w:rsidRDefault="00373ED9" w:rsidP="00373ED9">
      <w:pPr>
        <w:pStyle w:val="EndnoteText"/>
      </w:pPr>
      <w:r w:rsidRPr="00597874">
        <w:rPr>
          <w:rStyle w:val="EndnoteReference"/>
        </w:rPr>
        <w:endnoteRef/>
      </w:r>
      <w:r w:rsidRPr="00597874">
        <w:t xml:space="preserve"> Department of Environment, Land, Water and Planning, </w:t>
      </w:r>
      <w:hyperlink r:id="rId506" w:history="1">
        <w:r w:rsidRPr="00597874">
          <w:rPr>
            <w:rStyle w:val="Hyperlink"/>
            <w:i/>
          </w:rPr>
          <w:t>Victorian greenhouse gas emissions report 2020</w:t>
        </w:r>
      </w:hyperlink>
      <w:r w:rsidRPr="00597874">
        <w:t>, 2022, p</w:t>
      </w:r>
      <w:r>
        <w:t>.</w:t>
      </w:r>
      <w:r w:rsidRPr="00597874">
        <w:t>18, accessed 30 June 2023</w:t>
      </w:r>
      <w:r>
        <w:t>.</w:t>
      </w:r>
      <w:r w:rsidRPr="00597874">
        <w:t xml:space="preserve"> </w:t>
      </w:r>
    </w:p>
  </w:endnote>
  <w:endnote w:id="415">
    <w:p w14:paraId="6E9FAB64" w14:textId="77777777" w:rsidR="00373ED9" w:rsidRDefault="00373ED9" w:rsidP="00373ED9">
      <w:pPr>
        <w:pStyle w:val="EndnoteText"/>
      </w:pPr>
      <w:r w:rsidRPr="00597874">
        <w:rPr>
          <w:rStyle w:val="EndnoteReference"/>
        </w:rPr>
        <w:endnoteRef/>
      </w:r>
      <w:r w:rsidRPr="00597874">
        <w:t xml:space="preserve"> Department of Environment, Land, Water and Planning, </w:t>
      </w:r>
      <w:hyperlink r:id="rId507" w:history="1">
        <w:r w:rsidRPr="00597874">
          <w:rPr>
            <w:rStyle w:val="Hyperlink"/>
            <w:i/>
          </w:rPr>
          <w:t>Victorian greenhouse gas emissions report 2020</w:t>
        </w:r>
      </w:hyperlink>
      <w:r w:rsidRPr="00597874">
        <w:rPr>
          <w:i/>
        </w:rPr>
        <w:t>,</w:t>
      </w:r>
      <w:r w:rsidRPr="00597874">
        <w:t xml:space="preserve"> 2022, p</w:t>
      </w:r>
      <w:r>
        <w:t>.</w:t>
      </w:r>
      <w:r w:rsidRPr="00597874">
        <w:t>28, accessed 30 June 2023</w:t>
      </w:r>
      <w:r>
        <w:t>.</w:t>
      </w:r>
    </w:p>
  </w:endnote>
  <w:endnote w:id="416">
    <w:p w14:paraId="7E7F160F" w14:textId="77777777" w:rsidR="00373ED9" w:rsidRDefault="00373ED9" w:rsidP="00373ED9">
      <w:pPr>
        <w:pStyle w:val="EndnoteText"/>
      </w:pPr>
      <w:r>
        <w:rPr>
          <w:rStyle w:val="EndnoteReference"/>
        </w:rPr>
        <w:endnoteRef/>
      </w:r>
      <w:r>
        <w:t xml:space="preserve"> Department of Energy, Environment and Climate Action, </w:t>
      </w:r>
      <w:hyperlink r:id="rId508" w:history="1">
        <w:r w:rsidRPr="00BE2457">
          <w:rPr>
            <w:rStyle w:val="Hyperlink"/>
            <w:i/>
          </w:rPr>
          <w:t>Victorian renewable energy and storage targets</w:t>
        </w:r>
      </w:hyperlink>
      <w:r>
        <w:t xml:space="preserve"> (</w:t>
      </w:r>
      <w:r w:rsidRPr="00597874">
        <w:t>website</w:t>
      </w:r>
      <w:r>
        <w:t>)</w:t>
      </w:r>
      <w:r w:rsidRPr="00597874">
        <w:t xml:space="preserve">, </w:t>
      </w:r>
      <w:r>
        <w:t>n.d., accessed 30 June 2023</w:t>
      </w:r>
    </w:p>
  </w:endnote>
  <w:endnote w:id="417">
    <w:p w14:paraId="6C7E2B84" w14:textId="77777777" w:rsidR="00373ED9" w:rsidRPr="00597874" w:rsidRDefault="00373ED9" w:rsidP="00373ED9">
      <w:pPr>
        <w:pStyle w:val="EndnoteText"/>
      </w:pPr>
      <w:r w:rsidRPr="00597874">
        <w:rPr>
          <w:rStyle w:val="EndnoteReference"/>
        </w:rPr>
        <w:endnoteRef/>
      </w:r>
      <w:r w:rsidRPr="00597874">
        <w:t xml:space="preserve"> </w:t>
      </w:r>
      <w:r w:rsidRPr="00F05DC5">
        <w:rPr>
          <w:szCs w:val="15"/>
        </w:rPr>
        <w:t>Department of Treasury and Finance</w:t>
      </w:r>
      <w:r w:rsidRPr="004A1190">
        <w:rPr>
          <w:szCs w:val="15"/>
        </w:rPr>
        <w:t>,</w:t>
      </w:r>
      <w:r w:rsidRPr="00F05DC5">
        <w:rPr>
          <w:szCs w:val="15"/>
        </w:rPr>
        <w:t xml:space="preserve"> </w:t>
      </w:r>
      <w:hyperlink r:id="rId509" w:anchor="budget-paper-3-service-delivery" w:history="1">
        <w:r w:rsidRPr="004A1190">
          <w:rPr>
            <w:rStyle w:val="Hyperlink"/>
            <w:i/>
            <w:iCs/>
            <w:szCs w:val="15"/>
          </w:rPr>
          <w:t>Victorian Budget 2023</w:t>
        </w:r>
        <w:r>
          <w:rPr>
            <w:rStyle w:val="Hyperlink"/>
            <w:i/>
            <w:iCs/>
            <w:szCs w:val="15"/>
          </w:rPr>
          <w:t>–</w:t>
        </w:r>
        <w:r w:rsidRPr="004A1190">
          <w:rPr>
            <w:rStyle w:val="Hyperlink"/>
            <w:i/>
            <w:iCs/>
            <w:szCs w:val="15"/>
          </w:rPr>
          <w:t>24 – Budget Paper No. 3</w:t>
        </w:r>
      </w:hyperlink>
      <w:r w:rsidRPr="004A1190">
        <w:rPr>
          <w:szCs w:val="15"/>
        </w:rPr>
        <w:t>, 2023, p</w:t>
      </w:r>
      <w:r>
        <w:rPr>
          <w:szCs w:val="15"/>
        </w:rPr>
        <w:t>p.</w:t>
      </w:r>
      <w:r w:rsidRPr="00F05DC5" w:rsidDel="008C7EEE">
        <w:rPr>
          <w:szCs w:val="15"/>
        </w:rPr>
        <w:t xml:space="preserve"> </w:t>
      </w:r>
      <w:r>
        <w:rPr>
          <w:szCs w:val="15"/>
        </w:rPr>
        <w:t xml:space="preserve">28, 31, accessed 17 July 2023 </w:t>
      </w:r>
      <w:r w:rsidRPr="004A1190">
        <w:rPr>
          <w:szCs w:val="15"/>
        </w:rPr>
        <w:t>(</w:t>
      </w:r>
      <w:hyperlink r:id="rId510" w:history="1">
        <w:r w:rsidRPr="004A1190">
          <w:rPr>
            <w:rStyle w:val="Hyperlink"/>
            <w:szCs w:val="15"/>
          </w:rPr>
          <w:t>https://s3.ap-southeast-2.amazonaws.com/budgetfiles202324.budget.vic.gov.au/2023</w:t>
        </w:r>
        <w:r>
          <w:rPr>
            <w:rStyle w:val="Hyperlink"/>
            <w:szCs w:val="15"/>
          </w:rPr>
          <w:t>–</w:t>
        </w:r>
        <w:r w:rsidRPr="004A1190">
          <w:rPr>
            <w:rStyle w:val="Hyperlink"/>
            <w:szCs w:val="15"/>
          </w:rPr>
          <w:t>24+State+Budget+-+Service+Delivery.pdf</w:t>
        </w:r>
      </w:hyperlink>
      <w:r w:rsidRPr="004A1190">
        <w:rPr>
          <w:szCs w:val="15"/>
        </w:rPr>
        <w:t>)</w:t>
      </w:r>
      <w:r>
        <w:rPr>
          <w:szCs w:val="15"/>
        </w:rPr>
        <w:t>.</w:t>
      </w:r>
    </w:p>
  </w:endnote>
  <w:endnote w:id="418">
    <w:p w14:paraId="3F5860B6" w14:textId="77777777" w:rsidR="00373ED9" w:rsidRPr="00597874" w:rsidRDefault="00373ED9" w:rsidP="00373ED9">
      <w:pPr>
        <w:pStyle w:val="EndnoteText"/>
      </w:pPr>
      <w:r w:rsidRPr="00597874">
        <w:rPr>
          <w:rStyle w:val="EndnoteReference"/>
        </w:rPr>
        <w:endnoteRef/>
      </w:r>
      <w:r w:rsidRPr="00597874">
        <w:t xml:space="preserve"> </w:t>
      </w:r>
      <w:r w:rsidRPr="00F05DC5">
        <w:rPr>
          <w:szCs w:val="15"/>
        </w:rPr>
        <w:t>Department of Treasury and Finance</w:t>
      </w:r>
      <w:r w:rsidRPr="004A1190">
        <w:rPr>
          <w:szCs w:val="15"/>
        </w:rPr>
        <w:t>,</w:t>
      </w:r>
      <w:r w:rsidRPr="00F05DC5">
        <w:rPr>
          <w:szCs w:val="15"/>
        </w:rPr>
        <w:t xml:space="preserve"> </w:t>
      </w:r>
      <w:hyperlink r:id="rId511" w:anchor="budget-paper-3-service-delivery" w:history="1">
        <w:r w:rsidRPr="004A1190">
          <w:rPr>
            <w:rStyle w:val="Hyperlink"/>
            <w:i/>
            <w:iCs/>
            <w:szCs w:val="15"/>
          </w:rPr>
          <w:t>Victorian Budget 2023</w:t>
        </w:r>
        <w:r>
          <w:rPr>
            <w:rStyle w:val="Hyperlink"/>
            <w:i/>
            <w:iCs/>
            <w:szCs w:val="15"/>
          </w:rPr>
          <w:t>–</w:t>
        </w:r>
        <w:r w:rsidRPr="004A1190">
          <w:rPr>
            <w:rStyle w:val="Hyperlink"/>
            <w:i/>
            <w:iCs/>
            <w:szCs w:val="15"/>
          </w:rPr>
          <w:t>24 – Budget Paper No. 3</w:t>
        </w:r>
      </w:hyperlink>
      <w:r w:rsidRPr="004A1190">
        <w:rPr>
          <w:szCs w:val="15"/>
        </w:rPr>
        <w:t>, 2023, p</w:t>
      </w:r>
      <w:r>
        <w:rPr>
          <w:szCs w:val="15"/>
        </w:rPr>
        <w:t xml:space="preserve">. 31, accessed 17 July 2023 </w:t>
      </w:r>
      <w:r w:rsidRPr="004A1190">
        <w:rPr>
          <w:szCs w:val="15"/>
        </w:rPr>
        <w:t>(</w:t>
      </w:r>
      <w:hyperlink r:id="rId512" w:history="1">
        <w:r w:rsidRPr="004A1190">
          <w:rPr>
            <w:rStyle w:val="Hyperlink"/>
            <w:szCs w:val="15"/>
          </w:rPr>
          <w:t>https://s3.ap-southeast-2.amazonaws.com/budgetfiles202324.budget.vic.gov.au/2023</w:t>
        </w:r>
        <w:r>
          <w:rPr>
            <w:rStyle w:val="Hyperlink"/>
            <w:szCs w:val="15"/>
          </w:rPr>
          <w:t>–</w:t>
        </w:r>
        <w:r w:rsidRPr="004A1190">
          <w:rPr>
            <w:rStyle w:val="Hyperlink"/>
            <w:szCs w:val="15"/>
          </w:rPr>
          <w:t>24+State+Budget+-+Service+Delivery.pdf</w:t>
        </w:r>
      </w:hyperlink>
      <w:r w:rsidRPr="004A1190">
        <w:rPr>
          <w:szCs w:val="15"/>
        </w:rPr>
        <w:t>)</w:t>
      </w:r>
      <w:r>
        <w:rPr>
          <w:szCs w:val="15"/>
        </w:rPr>
        <w:t>.</w:t>
      </w:r>
    </w:p>
  </w:endnote>
  <w:endnote w:id="419">
    <w:p w14:paraId="3C830667" w14:textId="77777777" w:rsidR="00373ED9" w:rsidRPr="00597874" w:rsidRDefault="00373ED9" w:rsidP="00373ED9">
      <w:pPr>
        <w:pStyle w:val="EndnoteText"/>
      </w:pPr>
      <w:r w:rsidRPr="00597874">
        <w:rPr>
          <w:rStyle w:val="EndnoteReference"/>
        </w:rPr>
        <w:endnoteRef/>
      </w:r>
      <w:r w:rsidRPr="00597874">
        <w:t xml:space="preserve"> </w:t>
      </w:r>
      <w:r w:rsidRPr="00F05DC5">
        <w:rPr>
          <w:szCs w:val="15"/>
        </w:rPr>
        <w:t>Department of Treasury and Finance</w:t>
      </w:r>
      <w:r w:rsidRPr="004A1190">
        <w:rPr>
          <w:szCs w:val="15"/>
        </w:rPr>
        <w:t>,</w:t>
      </w:r>
      <w:r w:rsidRPr="00F05DC5">
        <w:rPr>
          <w:szCs w:val="15"/>
        </w:rPr>
        <w:t xml:space="preserve"> </w:t>
      </w:r>
      <w:hyperlink r:id="rId513" w:anchor="budget-paper-3-service-delivery" w:history="1">
        <w:r w:rsidRPr="004A1190">
          <w:rPr>
            <w:rStyle w:val="Hyperlink"/>
            <w:i/>
            <w:iCs/>
            <w:szCs w:val="15"/>
          </w:rPr>
          <w:t>Victorian Budget 2023</w:t>
        </w:r>
        <w:r>
          <w:rPr>
            <w:rStyle w:val="Hyperlink"/>
            <w:i/>
            <w:iCs/>
            <w:szCs w:val="15"/>
          </w:rPr>
          <w:t>–</w:t>
        </w:r>
        <w:r w:rsidRPr="004A1190">
          <w:rPr>
            <w:rStyle w:val="Hyperlink"/>
            <w:i/>
            <w:iCs/>
            <w:szCs w:val="15"/>
          </w:rPr>
          <w:t>24 – Budget Paper No. 3</w:t>
        </w:r>
      </w:hyperlink>
      <w:r w:rsidRPr="004A1190">
        <w:rPr>
          <w:szCs w:val="15"/>
        </w:rPr>
        <w:t>, 2023, p</w:t>
      </w:r>
      <w:r>
        <w:rPr>
          <w:szCs w:val="15"/>
        </w:rPr>
        <w:t>p.</w:t>
      </w:r>
      <w:r w:rsidRPr="00F05DC5" w:rsidDel="008C7EEE">
        <w:rPr>
          <w:szCs w:val="15"/>
        </w:rPr>
        <w:t xml:space="preserve"> </w:t>
      </w:r>
      <w:r>
        <w:rPr>
          <w:szCs w:val="15"/>
        </w:rPr>
        <w:t xml:space="preserve">29, 37, accessed 17 July 2023 </w:t>
      </w:r>
      <w:r w:rsidRPr="004A1190">
        <w:rPr>
          <w:szCs w:val="15"/>
        </w:rPr>
        <w:t>(</w:t>
      </w:r>
      <w:hyperlink r:id="rId514" w:history="1">
        <w:r w:rsidRPr="004A1190">
          <w:rPr>
            <w:rStyle w:val="Hyperlink"/>
            <w:szCs w:val="15"/>
          </w:rPr>
          <w:t>https://s3.ap-southeast-2.amazonaws.com/budgetfiles202324.budget.vic.gov.au/2023</w:t>
        </w:r>
        <w:r>
          <w:rPr>
            <w:rStyle w:val="Hyperlink"/>
            <w:szCs w:val="15"/>
          </w:rPr>
          <w:t>–</w:t>
        </w:r>
        <w:r w:rsidRPr="004A1190">
          <w:rPr>
            <w:rStyle w:val="Hyperlink"/>
            <w:szCs w:val="15"/>
          </w:rPr>
          <w:t>24+State+Budget+-+Service+Delivery.pdf</w:t>
        </w:r>
      </w:hyperlink>
      <w:r w:rsidRPr="004A1190">
        <w:rPr>
          <w:szCs w:val="15"/>
        </w:rPr>
        <w:t>)</w:t>
      </w:r>
      <w:r>
        <w:rPr>
          <w:szCs w:val="15"/>
        </w:rPr>
        <w:t>.</w:t>
      </w:r>
    </w:p>
  </w:endnote>
  <w:endnote w:id="420">
    <w:p w14:paraId="0999608F" w14:textId="77777777" w:rsidR="00373ED9" w:rsidRDefault="00373ED9" w:rsidP="00373ED9">
      <w:pPr>
        <w:pStyle w:val="EndnoteText"/>
      </w:pPr>
      <w:r w:rsidRPr="00597874">
        <w:rPr>
          <w:rStyle w:val="EndnoteReference"/>
        </w:rPr>
        <w:endnoteRef/>
      </w:r>
      <w:r w:rsidRPr="00597874">
        <w:t xml:space="preserve"> </w:t>
      </w:r>
      <w:r w:rsidRPr="00F05DC5">
        <w:rPr>
          <w:szCs w:val="15"/>
        </w:rPr>
        <w:t>Department of Treasury and Finance</w:t>
      </w:r>
      <w:r w:rsidRPr="004A1190">
        <w:rPr>
          <w:szCs w:val="15"/>
        </w:rPr>
        <w:t>,</w:t>
      </w:r>
      <w:r w:rsidRPr="00F05DC5">
        <w:rPr>
          <w:szCs w:val="15"/>
        </w:rPr>
        <w:t xml:space="preserve"> </w:t>
      </w:r>
      <w:hyperlink r:id="rId515" w:anchor="budget-paper-3-service-delivery" w:history="1">
        <w:r w:rsidRPr="004A1190">
          <w:rPr>
            <w:rStyle w:val="Hyperlink"/>
            <w:i/>
            <w:iCs/>
            <w:szCs w:val="15"/>
          </w:rPr>
          <w:t>Victorian Budget 2023</w:t>
        </w:r>
        <w:r>
          <w:rPr>
            <w:rStyle w:val="Hyperlink"/>
            <w:i/>
            <w:iCs/>
            <w:szCs w:val="15"/>
          </w:rPr>
          <w:t>–</w:t>
        </w:r>
        <w:r w:rsidRPr="004A1190">
          <w:rPr>
            <w:rStyle w:val="Hyperlink"/>
            <w:i/>
            <w:iCs/>
            <w:szCs w:val="15"/>
          </w:rPr>
          <w:t>24 – Budget Paper No. 3</w:t>
        </w:r>
      </w:hyperlink>
      <w:r w:rsidRPr="004A1190">
        <w:rPr>
          <w:szCs w:val="15"/>
        </w:rPr>
        <w:t>, 2023, p</w:t>
      </w:r>
      <w:r>
        <w:rPr>
          <w:szCs w:val="15"/>
        </w:rPr>
        <w:t>p.</w:t>
      </w:r>
      <w:r w:rsidRPr="00F05DC5" w:rsidDel="008C7EEE">
        <w:rPr>
          <w:szCs w:val="15"/>
        </w:rPr>
        <w:t xml:space="preserve"> </w:t>
      </w:r>
      <w:r>
        <w:rPr>
          <w:szCs w:val="15"/>
        </w:rPr>
        <w:t xml:space="preserve">29, 37, accessed 17 July 2023 </w:t>
      </w:r>
      <w:r w:rsidRPr="004A1190">
        <w:rPr>
          <w:szCs w:val="15"/>
        </w:rPr>
        <w:t>(</w:t>
      </w:r>
      <w:hyperlink r:id="rId516" w:history="1">
        <w:r w:rsidRPr="004A1190">
          <w:rPr>
            <w:rStyle w:val="Hyperlink"/>
            <w:szCs w:val="15"/>
          </w:rPr>
          <w:t>https://s3.ap-southeast-2.amazonaws.com/budgetfiles202324.budget.vic.gov.au/2023</w:t>
        </w:r>
        <w:r>
          <w:rPr>
            <w:rStyle w:val="Hyperlink"/>
            <w:szCs w:val="15"/>
          </w:rPr>
          <w:t>–</w:t>
        </w:r>
        <w:r w:rsidRPr="004A1190">
          <w:rPr>
            <w:rStyle w:val="Hyperlink"/>
            <w:szCs w:val="15"/>
          </w:rPr>
          <w:t>24+State+Budget+-+Service+Delivery.pdf</w:t>
        </w:r>
      </w:hyperlink>
      <w:r w:rsidRPr="004A1190">
        <w:rPr>
          <w:szCs w:val="15"/>
        </w:rPr>
        <w:t>)</w:t>
      </w:r>
      <w:r>
        <w:rPr>
          <w:szCs w:val="15"/>
        </w:rPr>
        <w:t>.</w:t>
      </w:r>
    </w:p>
  </w:endnote>
  <w:endnote w:id="421">
    <w:p w14:paraId="5C19F7D5" w14:textId="77777777" w:rsidR="00373ED9" w:rsidRDefault="00373ED9" w:rsidP="00373ED9">
      <w:pPr>
        <w:pStyle w:val="EndnoteText"/>
      </w:pPr>
      <w:r>
        <w:rPr>
          <w:rStyle w:val="EndnoteReference"/>
        </w:rPr>
        <w:endnoteRef/>
      </w:r>
      <w:r>
        <w:t xml:space="preserve"> Department of Energy, Environment and Climate Action, </w:t>
      </w:r>
      <w:hyperlink r:id="rId517" w:history="1">
        <w:r w:rsidRPr="00BE2457">
          <w:rPr>
            <w:rStyle w:val="Hyperlink"/>
            <w:i/>
          </w:rPr>
          <w:t>Victoria’s resilient coast – adapting for 2100+</w:t>
        </w:r>
      </w:hyperlink>
      <w:r>
        <w:t xml:space="preserve"> (website), n.d., accessed 30 June 2023.</w:t>
      </w:r>
    </w:p>
  </w:endnote>
  <w:endnote w:id="422">
    <w:p w14:paraId="6B4594D2" w14:textId="77777777" w:rsidR="00373ED9" w:rsidRDefault="00373ED9" w:rsidP="00373ED9">
      <w:pPr>
        <w:pStyle w:val="EndnoteText"/>
      </w:pPr>
      <w:r>
        <w:rPr>
          <w:rStyle w:val="EndnoteReference"/>
        </w:rPr>
        <w:endnoteRef/>
      </w:r>
      <w:r>
        <w:t xml:space="preserve"> Department of Energy, Environment and Climate Action, </w:t>
      </w:r>
      <w:hyperlink r:id="rId518" w:history="1">
        <w:r w:rsidRPr="00BE2457">
          <w:rPr>
            <w:rStyle w:val="Hyperlink"/>
            <w:i/>
          </w:rPr>
          <w:t>Victoria’s resilient coast – adapting for 2100+</w:t>
        </w:r>
      </w:hyperlink>
      <w:r w:rsidRPr="00597874">
        <w:rPr>
          <w:rStyle w:val="Hyperlink"/>
          <w:i/>
        </w:rPr>
        <w:t xml:space="preserve"> frameworks and guidelines</w:t>
      </w:r>
      <w:r>
        <w:t>, 2023, accessed 30 June 2023.</w:t>
      </w:r>
    </w:p>
  </w:endnote>
  <w:endnote w:id="423">
    <w:p w14:paraId="676B3273" w14:textId="77777777" w:rsidR="00373ED9" w:rsidRDefault="00373ED9" w:rsidP="00373ED9">
      <w:pPr>
        <w:pStyle w:val="EndnoteText"/>
      </w:pPr>
      <w:r>
        <w:rPr>
          <w:rStyle w:val="EndnoteReference"/>
        </w:rPr>
        <w:endnoteRef/>
      </w:r>
      <w:r>
        <w:t xml:space="preserve"> Department of Energy, Environment and Climate Action, </w:t>
      </w:r>
      <w:hyperlink r:id="rId519" w:history="1">
        <w:r w:rsidRPr="00BE2457">
          <w:rPr>
            <w:rStyle w:val="Hyperlink"/>
            <w:i/>
          </w:rPr>
          <w:t>Victoria’s resilient coast – adapting for 2100+</w:t>
        </w:r>
      </w:hyperlink>
      <w:r>
        <w:t xml:space="preserve"> (website), n.d., accessed 30 June 2023.</w:t>
      </w:r>
    </w:p>
  </w:endnote>
  <w:endnote w:id="424">
    <w:p w14:paraId="167B50DA" w14:textId="4C864308" w:rsidR="00373ED9" w:rsidRDefault="00373ED9" w:rsidP="00373ED9">
      <w:pPr>
        <w:pStyle w:val="EndnoteText"/>
      </w:pPr>
      <w:r>
        <w:rPr>
          <w:rStyle w:val="EndnoteReference"/>
        </w:rPr>
        <w:endnoteRef/>
      </w:r>
      <w:r>
        <w:t xml:space="preserve"> Infrastructure Victoria,</w:t>
      </w:r>
      <w:r w:rsidRPr="00597874">
        <w:rPr>
          <w:i/>
        </w:rPr>
        <w:t xml:space="preserve"> </w:t>
      </w:r>
      <w:hyperlink r:id="rId520" w:history="1">
        <w:r w:rsidRPr="00597874">
          <w:rPr>
            <w:rStyle w:val="Hyperlink"/>
            <w:i/>
          </w:rPr>
          <w:t>Victoria’s infrastructure strategy 2021</w:t>
        </w:r>
        <w:r>
          <w:rPr>
            <w:rStyle w:val="Hyperlink"/>
            <w:i/>
          </w:rPr>
          <w:t>–</w:t>
        </w:r>
        <w:r w:rsidRPr="00597874">
          <w:rPr>
            <w:rStyle w:val="Hyperlink"/>
            <w:i/>
          </w:rPr>
          <w:t>2051</w:t>
        </w:r>
      </w:hyperlink>
      <w:r>
        <w:t>, 2021, p</w:t>
      </w:r>
      <w:r w:rsidRPr="00597874">
        <w:t>.</w:t>
      </w:r>
      <w:r>
        <w:t>70, accessed 29 June 2023.</w:t>
      </w:r>
    </w:p>
  </w:endnote>
  <w:endnote w:id="425">
    <w:p w14:paraId="13D98454" w14:textId="5A3185AB" w:rsidR="00373ED9" w:rsidRDefault="00373ED9" w:rsidP="00373ED9">
      <w:pPr>
        <w:pStyle w:val="EndnoteText"/>
      </w:pPr>
      <w:r>
        <w:rPr>
          <w:rStyle w:val="EndnoteReference"/>
        </w:rPr>
        <w:endnoteRef/>
      </w:r>
      <w:r>
        <w:t xml:space="preserve"> Infrastructure Victoria, </w:t>
      </w:r>
      <w:hyperlink r:id="rId521" w:history="1">
        <w:r w:rsidRPr="00597874">
          <w:rPr>
            <w:rStyle w:val="Hyperlink"/>
            <w:i/>
          </w:rPr>
          <w:t>Victoria’s infrastructure strategy 2021</w:t>
        </w:r>
        <w:r>
          <w:rPr>
            <w:rStyle w:val="Hyperlink"/>
            <w:i/>
          </w:rPr>
          <w:t>–</w:t>
        </w:r>
        <w:r w:rsidRPr="00597874">
          <w:rPr>
            <w:rStyle w:val="Hyperlink"/>
            <w:i/>
          </w:rPr>
          <w:t>2051</w:t>
        </w:r>
      </w:hyperlink>
      <w:r>
        <w:t>, 2021, p</w:t>
      </w:r>
      <w:r w:rsidRPr="00597874">
        <w:t>.</w:t>
      </w:r>
      <w:r>
        <w:t>59, accessed 29 June 2023.</w:t>
      </w:r>
    </w:p>
  </w:endnote>
  <w:endnote w:id="426">
    <w:p w14:paraId="1AB648C9" w14:textId="61564DD9" w:rsidR="00373ED9" w:rsidRDefault="00373ED9" w:rsidP="00373ED9">
      <w:pPr>
        <w:pStyle w:val="EndnoteText"/>
      </w:pPr>
      <w:r>
        <w:rPr>
          <w:rStyle w:val="EndnoteReference"/>
        </w:rPr>
        <w:endnoteRef/>
      </w:r>
      <w:r>
        <w:t xml:space="preserve"> Infrastructure Victoria, </w:t>
      </w:r>
      <w:hyperlink r:id="rId522" w:history="1">
        <w:r w:rsidRPr="00597874">
          <w:rPr>
            <w:rStyle w:val="Hyperlink"/>
            <w:i/>
          </w:rPr>
          <w:t>Victoria’s infrastructure strategy 2021</w:t>
        </w:r>
        <w:r>
          <w:rPr>
            <w:rStyle w:val="Hyperlink"/>
            <w:i/>
          </w:rPr>
          <w:t>–</w:t>
        </w:r>
        <w:r w:rsidRPr="00597874">
          <w:rPr>
            <w:rStyle w:val="Hyperlink"/>
            <w:i/>
          </w:rPr>
          <w:t>2051</w:t>
        </w:r>
      </w:hyperlink>
      <w:r>
        <w:t>, 2021, p</w:t>
      </w:r>
      <w:r w:rsidRPr="00597874">
        <w:t>.</w:t>
      </w:r>
      <w:r>
        <w:t>58, accessed 29 June 2023.</w:t>
      </w:r>
    </w:p>
  </w:endnote>
  <w:endnote w:id="427">
    <w:p w14:paraId="5E12F852" w14:textId="77777777" w:rsidR="00373ED9" w:rsidRDefault="00373ED9" w:rsidP="00373ED9">
      <w:pPr>
        <w:pStyle w:val="EndnoteText"/>
      </w:pPr>
      <w:r>
        <w:rPr>
          <w:rStyle w:val="EndnoteReference"/>
        </w:rPr>
        <w:endnoteRef/>
      </w:r>
      <w:r>
        <w:t xml:space="preserve"> New South Wales Government, </w:t>
      </w:r>
      <w:hyperlink r:id="rId523" w:history="1">
        <w:r w:rsidRPr="005730F7">
          <w:rPr>
            <w:rStyle w:val="Hyperlink"/>
            <w:i/>
            <w:iCs/>
          </w:rPr>
          <w:t>Decarbonising Infrastructure Roadmap</w:t>
        </w:r>
      </w:hyperlink>
      <w:r>
        <w:t xml:space="preserve">, n.d., accessed 21 August 2023; New South Wales Treasury, </w:t>
      </w:r>
      <w:hyperlink r:id="rId524" w:history="1">
        <w:r w:rsidRPr="00591306">
          <w:rPr>
            <w:rStyle w:val="Hyperlink"/>
            <w:i/>
            <w:iCs/>
          </w:rPr>
          <w:t>Technical Note to TPG23</w:t>
        </w:r>
        <w:r>
          <w:rPr>
            <w:rStyle w:val="Hyperlink"/>
            <w:i/>
            <w:iCs/>
          </w:rPr>
          <w:t>–</w:t>
        </w:r>
        <w:r w:rsidRPr="00591306">
          <w:rPr>
            <w:rStyle w:val="Hyperlink"/>
            <w:i/>
            <w:iCs/>
          </w:rPr>
          <w:t>08: Carbon value in cost-benefit analysis</w:t>
        </w:r>
      </w:hyperlink>
      <w:r>
        <w:t>, n.d., accessed 21 August 2023 .</w:t>
      </w:r>
    </w:p>
  </w:endnote>
  <w:endnote w:id="428">
    <w:p w14:paraId="18CD4F90" w14:textId="77777777" w:rsidR="00373ED9" w:rsidRDefault="00373ED9" w:rsidP="00373ED9">
      <w:pPr>
        <w:pStyle w:val="EndnoteText"/>
      </w:pPr>
      <w:r>
        <w:rPr>
          <w:rStyle w:val="EndnoteReference"/>
        </w:rPr>
        <w:endnoteRef/>
      </w:r>
      <w:r>
        <w:t xml:space="preserve"> Infrastructure Victoria, </w:t>
      </w:r>
      <w:hyperlink r:id="rId525" w:history="1">
        <w:r w:rsidRPr="008F26D0">
          <w:rPr>
            <w:rStyle w:val="Hyperlink"/>
            <w:i/>
            <w:iCs/>
          </w:rPr>
          <w:t>Advice on opportunities to reduce greenhouse gas emissions of infrastructure</w:t>
        </w:r>
      </w:hyperlink>
      <w:r>
        <w:t xml:space="preserve"> (website), accessed 17 August 2023.</w:t>
      </w:r>
    </w:p>
  </w:endnote>
  <w:endnote w:id="429">
    <w:p w14:paraId="1771FEC3" w14:textId="77777777" w:rsidR="00373ED9" w:rsidRPr="00597874" w:rsidRDefault="00373ED9" w:rsidP="00373ED9">
      <w:pPr>
        <w:pStyle w:val="EndnoteText"/>
      </w:pPr>
      <w:r>
        <w:rPr>
          <w:rStyle w:val="EndnoteReference"/>
        </w:rPr>
        <w:endnoteRef/>
      </w:r>
      <w:r>
        <w:t xml:space="preserve"> </w:t>
      </w:r>
      <w:r w:rsidRPr="00597874">
        <w:t>Department</w:t>
      </w:r>
      <w:r w:rsidRPr="00597874">
        <w:rPr>
          <w:lang w:val="en-GB"/>
        </w:rPr>
        <w:t xml:space="preserve"> of Environment, Land, Water and Planning, </w:t>
      </w:r>
      <w:hyperlink r:id="rId526" w:history="1">
        <w:r w:rsidRPr="00597874">
          <w:rPr>
            <w:rStyle w:val="Hyperlink"/>
            <w:i/>
            <w:lang w:val="en-GB"/>
          </w:rPr>
          <w:t>Recycling Victoria – a new economy</w:t>
        </w:r>
      </w:hyperlink>
      <w:r w:rsidRPr="00597874">
        <w:rPr>
          <w:lang w:val="en-GB"/>
        </w:rPr>
        <w:t>, 2020, p.24, accessed 4 July 2023</w:t>
      </w:r>
      <w:r>
        <w:rPr>
          <w:lang w:val="en-GB"/>
        </w:rPr>
        <w:t>.</w:t>
      </w:r>
    </w:p>
  </w:endnote>
  <w:endnote w:id="430">
    <w:p w14:paraId="0B474234" w14:textId="77777777" w:rsidR="00373ED9" w:rsidRDefault="00373ED9" w:rsidP="00373ED9">
      <w:pPr>
        <w:pStyle w:val="EndnoteText"/>
      </w:pPr>
      <w:r w:rsidRPr="00597874">
        <w:rPr>
          <w:rStyle w:val="EndnoteReference"/>
        </w:rPr>
        <w:endnoteRef/>
      </w:r>
      <w:r w:rsidRPr="00597874">
        <w:t xml:space="preserve"> Department</w:t>
      </w:r>
      <w:r w:rsidRPr="00597874">
        <w:rPr>
          <w:lang w:val="en-GB"/>
        </w:rPr>
        <w:t xml:space="preserve"> of Environment, Land, Water and Planning, </w:t>
      </w:r>
      <w:hyperlink r:id="rId527" w:history="1">
        <w:r w:rsidRPr="00597874">
          <w:rPr>
            <w:rStyle w:val="Hyperlink"/>
            <w:i/>
            <w:lang w:val="en-GB"/>
          </w:rPr>
          <w:t>Recycling Victoria – a new economy</w:t>
        </w:r>
      </w:hyperlink>
      <w:r w:rsidRPr="00597874">
        <w:rPr>
          <w:lang w:val="en-GB"/>
        </w:rPr>
        <w:t>, 2020, p.12, accessed 4 July 2023</w:t>
      </w:r>
      <w:r>
        <w:rPr>
          <w:lang w:val="en-GB"/>
        </w:rPr>
        <w:t>.</w:t>
      </w:r>
    </w:p>
  </w:endnote>
  <w:endnote w:id="431">
    <w:p w14:paraId="47C383AE" w14:textId="77777777" w:rsidR="00373ED9" w:rsidRDefault="00373ED9" w:rsidP="00373ED9">
      <w:pPr>
        <w:pStyle w:val="EndnoteText"/>
      </w:pPr>
      <w:r>
        <w:rPr>
          <w:rStyle w:val="EndnoteReference"/>
        </w:rPr>
        <w:endnoteRef/>
      </w:r>
      <w:r>
        <w:rPr>
          <w:szCs w:val="15"/>
        </w:rPr>
        <w:t xml:space="preserve"> </w:t>
      </w:r>
      <w:r w:rsidRPr="00F05DC5">
        <w:rPr>
          <w:szCs w:val="15"/>
        </w:rPr>
        <w:t>Department of Treasury and Finance</w:t>
      </w:r>
      <w:r w:rsidRPr="004A1190">
        <w:rPr>
          <w:szCs w:val="15"/>
        </w:rPr>
        <w:t>,</w:t>
      </w:r>
      <w:r w:rsidRPr="00F05DC5">
        <w:rPr>
          <w:szCs w:val="15"/>
        </w:rPr>
        <w:t xml:space="preserve"> </w:t>
      </w:r>
      <w:hyperlink r:id="rId528" w:anchor="budget-paper-3-service-delivery" w:history="1">
        <w:r w:rsidRPr="004A1190">
          <w:rPr>
            <w:rStyle w:val="Hyperlink"/>
            <w:i/>
            <w:iCs/>
            <w:szCs w:val="15"/>
          </w:rPr>
          <w:t>Victorian Budget 2023</w:t>
        </w:r>
        <w:r>
          <w:rPr>
            <w:rStyle w:val="Hyperlink"/>
            <w:i/>
            <w:iCs/>
            <w:szCs w:val="15"/>
          </w:rPr>
          <w:t>–</w:t>
        </w:r>
        <w:r w:rsidRPr="004A1190">
          <w:rPr>
            <w:rStyle w:val="Hyperlink"/>
            <w:i/>
            <w:iCs/>
            <w:szCs w:val="15"/>
          </w:rPr>
          <w:t>24 – Budget Paper No. 3</w:t>
        </w:r>
      </w:hyperlink>
      <w:r w:rsidRPr="004A1190">
        <w:rPr>
          <w:szCs w:val="15"/>
        </w:rPr>
        <w:t xml:space="preserve">, 2023, </w:t>
      </w:r>
      <w:r>
        <w:rPr>
          <w:szCs w:val="15"/>
        </w:rPr>
        <w:t>p.</w:t>
      </w:r>
      <w:r w:rsidRPr="00F05DC5" w:rsidDel="008C7EEE">
        <w:rPr>
          <w:szCs w:val="15"/>
        </w:rPr>
        <w:t xml:space="preserve"> </w:t>
      </w:r>
      <w:r>
        <w:rPr>
          <w:szCs w:val="15"/>
        </w:rPr>
        <w:t xml:space="preserve">155, accessed 17 July 2023 </w:t>
      </w:r>
      <w:r w:rsidRPr="004A1190">
        <w:rPr>
          <w:szCs w:val="15"/>
        </w:rPr>
        <w:t>(</w:t>
      </w:r>
      <w:hyperlink r:id="rId529" w:history="1">
        <w:r w:rsidRPr="004A1190">
          <w:rPr>
            <w:rStyle w:val="Hyperlink"/>
            <w:szCs w:val="15"/>
          </w:rPr>
          <w:t>https://s3.ap-southeast-2.amazonaws.com/budgetfiles202324.budget.vic.gov.au/2023</w:t>
        </w:r>
        <w:r>
          <w:rPr>
            <w:rStyle w:val="Hyperlink"/>
            <w:szCs w:val="15"/>
          </w:rPr>
          <w:t>–</w:t>
        </w:r>
        <w:r w:rsidRPr="004A1190">
          <w:rPr>
            <w:rStyle w:val="Hyperlink"/>
            <w:szCs w:val="15"/>
          </w:rPr>
          <w:t>24+State+Budget+-+Service+Delivery.pdf</w:t>
        </w:r>
      </w:hyperlink>
      <w:r w:rsidRPr="004A1190">
        <w:rPr>
          <w:szCs w:val="15"/>
        </w:rPr>
        <w:t>)</w:t>
      </w:r>
      <w:r>
        <w:rPr>
          <w:szCs w:val="15"/>
        </w:rPr>
        <w:t>.</w:t>
      </w:r>
    </w:p>
  </w:endnote>
  <w:endnote w:id="432">
    <w:p w14:paraId="329F8C4B" w14:textId="77777777" w:rsidR="00373ED9" w:rsidRDefault="00373ED9" w:rsidP="00373ED9">
      <w:pPr>
        <w:pStyle w:val="EndnoteText"/>
      </w:pPr>
      <w:r>
        <w:rPr>
          <w:rStyle w:val="EndnoteReference"/>
        </w:rPr>
        <w:endnoteRef/>
      </w:r>
      <w:r>
        <w:t xml:space="preserve"> Victorian Government</w:t>
      </w:r>
      <w:r w:rsidRPr="00BE2457">
        <w:rPr>
          <w:i/>
        </w:rPr>
        <w:t xml:space="preserve">, </w:t>
      </w:r>
      <w:hyperlink r:id="rId530" w:history="1">
        <w:r w:rsidRPr="00BE2457">
          <w:rPr>
            <w:rStyle w:val="Hyperlink"/>
            <w:i/>
          </w:rPr>
          <w:t>Building Victoria’s circular economy</w:t>
        </w:r>
      </w:hyperlink>
      <w:r>
        <w:t xml:space="preserve"> (website), n.d., accessed 4 July 2023</w:t>
      </w:r>
    </w:p>
  </w:endnote>
  <w:endnote w:id="433">
    <w:p w14:paraId="2DD5EA2C" w14:textId="77777777" w:rsidR="00373ED9" w:rsidRPr="00597874" w:rsidRDefault="00373ED9" w:rsidP="00373ED9">
      <w:pPr>
        <w:pStyle w:val="EndnoteText"/>
      </w:pPr>
      <w:r>
        <w:rPr>
          <w:rStyle w:val="EndnoteReference"/>
        </w:rPr>
        <w:endnoteRef/>
      </w:r>
      <w:r w:rsidRPr="00597874">
        <w:rPr>
          <w:rStyle w:val="normaltextrun"/>
          <w:rFonts w:ascii="Calibri" w:hAnsi="Calibri" w:cs="Calibri"/>
          <w:color w:val="000000"/>
          <w:shd w:val="clear" w:color="auto" w:fill="FFFFFF"/>
        </w:rPr>
        <w:t xml:space="preserve"> </w:t>
      </w:r>
      <w:r w:rsidRPr="00F05DC5">
        <w:rPr>
          <w:szCs w:val="15"/>
        </w:rPr>
        <w:t>Department of Treasury and Finance</w:t>
      </w:r>
      <w:r w:rsidRPr="004A1190">
        <w:rPr>
          <w:szCs w:val="15"/>
        </w:rPr>
        <w:t>,</w:t>
      </w:r>
      <w:r w:rsidRPr="00F05DC5">
        <w:rPr>
          <w:szCs w:val="15"/>
        </w:rPr>
        <w:t xml:space="preserve"> </w:t>
      </w:r>
      <w:hyperlink r:id="rId531" w:anchor="budget-paper-3-service-delivery" w:history="1">
        <w:r w:rsidRPr="004A1190">
          <w:rPr>
            <w:rStyle w:val="Hyperlink"/>
            <w:i/>
            <w:iCs/>
            <w:szCs w:val="15"/>
          </w:rPr>
          <w:t>Victorian Budget 2023</w:t>
        </w:r>
        <w:r>
          <w:rPr>
            <w:rStyle w:val="Hyperlink"/>
            <w:i/>
            <w:iCs/>
            <w:szCs w:val="15"/>
          </w:rPr>
          <w:t>–</w:t>
        </w:r>
        <w:r w:rsidRPr="004A1190">
          <w:rPr>
            <w:rStyle w:val="Hyperlink"/>
            <w:i/>
            <w:iCs/>
            <w:szCs w:val="15"/>
          </w:rPr>
          <w:t>24 – Budget Paper No. 3</w:t>
        </w:r>
      </w:hyperlink>
      <w:r w:rsidRPr="004A1190">
        <w:rPr>
          <w:szCs w:val="15"/>
        </w:rPr>
        <w:t xml:space="preserve">, 2023, </w:t>
      </w:r>
      <w:r>
        <w:rPr>
          <w:szCs w:val="15"/>
        </w:rPr>
        <w:t>p.</w:t>
      </w:r>
      <w:r w:rsidRPr="00F05DC5" w:rsidDel="008C7EEE">
        <w:rPr>
          <w:szCs w:val="15"/>
        </w:rPr>
        <w:t xml:space="preserve"> </w:t>
      </w:r>
      <w:r>
        <w:rPr>
          <w:szCs w:val="15"/>
        </w:rPr>
        <w:t xml:space="preserve">155, accessed 17 July 2023 </w:t>
      </w:r>
      <w:r w:rsidRPr="004A1190">
        <w:rPr>
          <w:szCs w:val="15"/>
        </w:rPr>
        <w:t>(</w:t>
      </w:r>
      <w:hyperlink r:id="rId532" w:history="1">
        <w:r w:rsidRPr="004A1190">
          <w:rPr>
            <w:rStyle w:val="Hyperlink"/>
            <w:szCs w:val="15"/>
          </w:rPr>
          <w:t>https://s3.ap-southeast-2.amazonaws.com/budgetfiles202324.budget.vic.gov.au/2023</w:t>
        </w:r>
        <w:r>
          <w:rPr>
            <w:rStyle w:val="Hyperlink"/>
            <w:szCs w:val="15"/>
          </w:rPr>
          <w:t>–</w:t>
        </w:r>
        <w:r w:rsidRPr="004A1190">
          <w:rPr>
            <w:rStyle w:val="Hyperlink"/>
            <w:szCs w:val="15"/>
          </w:rPr>
          <w:t>24+State+Budget+-+Service+Delivery.pdf</w:t>
        </w:r>
      </w:hyperlink>
      <w:r w:rsidRPr="004A1190">
        <w:rPr>
          <w:szCs w:val="15"/>
        </w:rPr>
        <w:t>)</w:t>
      </w:r>
      <w:r>
        <w:rPr>
          <w:szCs w:val="15"/>
        </w:rPr>
        <w:t>.</w:t>
      </w:r>
    </w:p>
  </w:endnote>
  <w:endnote w:id="434">
    <w:p w14:paraId="0285540F" w14:textId="77777777" w:rsidR="00373ED9" w:rsidRDefault="00373ED9" w:rsidP="00373ED9">
      <w:pPr>
        <w:pStyle w:val="EndnoteText"/>
      </w:pPr>
      <w:r w:rsidRPr="00597874">
        <w:rPr>
          <w:rStyle w:val="EndnoteReference"/>
        </w:rPr>
        <w:endnoteRef/>
      </w:r>
      <w:r w:rsidRPr="00597874">
        <w:t xml:space="preserve"> </w:t>
      </w:r>
      <w:r w:rsidRPr="00F05DC5">
        <w:rPr>
          <w:szCs w:val="15"/>
        </w:rPr>
        <w:t>Department of Treasury and Finance</w:t>
      </w:r>
      <w:r w:rsidRPr="004A1190">
        <w:rPr>
          <w:szCs w:val="15"/>
        </w:rPr>
        <w:t>,</w:t>
      </w:r>
      <w:r w:rsidRPr="00F05DC5">
        <w:rPr>
          <w:szCs w:val="15"/>
        </w:rPr>
        <w:t xml:space="preserve"> </w:t>
      </w:r>
      <w:hyperlink r:id="rId533" w:anchor="budget-paper-3-service-delivery" w:history="1">
        <w:r w:rsidRPr="004A1190">
          <w:rPr>
            <w:rStyle w:val="Hyperlink"/>
            <w:i/>
            <w:iCs/>
            <w:szCs w:val="15"/>
          </w:rPr>
          <w:t>Victorian Budget 2023</w:t>
        </w:r>
        <w:r>
          <w:rPr>
            <w:rStyle w:val="Hyperlink"/>
            <w:i/>
            <w:iCs/>
            <w:szCs w:val="15"/>
          </w:rPr>
          <w:t>–</w:t>
        </w:r>
        <w:r w:rsidRPr="004A1190">
          <w:rPr>
            <w:rStyle w:val="Hyperlink"/>
            <w:i/>
            <w:iCs/>
            <w:szCs w:val="15"/>
          </w:rPr>
          <w:t>24 – Budget Paper No. 3</w:t>
        </w:r>
      </w:hyperlink>
      <w:r w:rsidRPr="004A1190">
        <w:rPr>
          <w:szCs w:val="15"/>
        </w:rPr>
        <w:t xml:space="preserve">, 2023, </w:t>
      </w:r>
      <w:r>
        <w:rPr>
          <w:szCs w:val="15"/>
        </w:rPr>
        <w:t>p.</w:t>
      </w:r>
      <w:r w:rsidRPr="00F05DC5" w:rsidDel="008C7EEE">
        <w:rPr>
          <w:szCs w:val="15"/>
        </w:rPr>
        <w:t xml:space="preserve"> </w:t>
      </w:r>
      <w:r>
        <w:rPr>
          <w:szCs w:val="15"/>
        </w:rPr>
        <w:t xml:space="preserve">155, accessed 17 July 2023 </w:t>
      </w:r>
      <w:r w:rsidRPr="004A1190">
        <w:rPr>
          <w:szCs w:val="15"/>
        </w:rPr>
        <w:t>(</w:t>
      </w:r>
      <w:hyperlink r:id="rId534" w:history="1">
        <w:r w:rsidRPr="004A1190">
          <w:rPr>
            <w:rStyle w:val="Hyperlink"/>
            <w:szCs w:val="15"/>
          </w:rPr>
          <w:t>https://s3.ap-southeast-2.amazonaws.com/budgetfiles202324.budget.vic.gov.au/2023</w:t>
        </w:r>
        <w:r>
          <w:rPr>
            <w:rStyle w:val="Hyperlink"/>
            <w:szCs w:val="15"/>
          </w:rPr>
          <w:t>–</w:t>
        </w:r>
        <w:r w:rsidRPr="004A1190">
          <w:rPr>
            <w:rStyle w:val="Hyperlink"/>
            <w:szCs w:val="15"/>
          </w:rPr>
          <w:t>24+State+Budget+-+Service+Delivery.pdf</w:t>
        </w:r>
      </w:hyperlink>
      <w:r w:rsidRPr="004A1190">
        <w:rPr>
          <w:szCs w:val="15"/>
        </w:rPr>
        <w:t>)</w:t>
      </w:r>
      <w:r>
        <w:rPr>
          <w:szCs w:val="15"/>
        </w:rPr>
        <w:t>.</w:t>
      </w:r>
    </w:p>
  </w:endnote>
  <w:endnote w:id="435">
    <w:p w14:paraId="4FF66E28" w14:textId="77777777" w:rsidR="00373ED9" w:rsidRDefault="00373ED9" w:rsidP="00373ED9">
      <w:pPr>
        <w:pStyle w:val="EndnoteText"/>
      </w:pPr>
      <w:r>
        <w:rPr>
          <w:rStyle w:val="EndnoteReference"/>
        </w:rPr>
        <w:endnoteRef/>
      </w:r>
      <w:r>
        <w:t xml:space="preserve"> Engage Victoria, </w:t>
      </w:r>
      <w:hyperlink r:id="rId535" w:history="1">
        <w:r w:rsidRPr="00BE2457">
          <w:rPr>
            <w:rStyle w:val="Hyperlink"/>
            <w:i/>
          </w:rPr>
          <w:t>Standardising recycling at home across Victoria</w:t>
        </w:r>
      </w:hyperlink>
      <w:r>
        <w:t xml:space="preserve"> (website), n.d., accessed 7 July 2023.</w:t>
      </w:r>
    </w:p>
  </w:endnote>
  <w:endnote w:id="436">
    <w:p w14:paraId="3BECE2E7" w14:textId="77777777" w:rsidR="00373ED9" w:rsidRDefault="00373ED9" w:rsidP="00373ED9">
      <w:pPr>
        <w:pStyle w:val="EndnoteText"/>
      </w:pPr>
      <w:r>
        <w:rPr>
          <w:rStyle w:val="EndnoteReference"/>
        </w:rPr>
        <w:endnoteRef/>
      </w:r>
      <w:r>
        <w:t xml:space="preserve"> Victorian Government, </w:t>
      </w:r>
      <w:hyperlink r:id="rId536" w:history="1">
        <w:r w:rsidRPr="00BE2457">
          <w:rPr>
            <w:rStyle w:val="Hyperlink"/>
            <w:i/>
          </w:rPr>
          <w:t>Regional circular economy plans</w:t>
        </w:r>
      </w:hyperlink>
      <w:r>
        <w:t xml:space="preserve"> (website), n.d., accessed 4 July 2023.</w:t>
      </w:r>
    </w:p>
  </w:endnote>
  <w:endnote w:id="437">
    <w:p w14:paraId="09C997C1" w14:textId="77777777" w:rsidR="00373ED9" w:rsidRDefault="00373ED9" w:rsidP="00373ED9">
      <w:pPr>
        <w:pStyle w:val="EndnoteText"/>
      </w:pPr>
      <w:r>
        <w:rPr>
          <w:rStyle w:val="EndnoteReference"/>
        </w:rPr>
        <w:endnoteRef/>
      </w:r>
      <w:r>
        <w:t xml:space="preserve"> Victorian Government,</w:t>
      </w:r>
      <w:r w:rsidRPr="00BE2457">
        <w:rPr>
          <w:i/>
        </w:rPr>
        <w:t xml:space="preserve"> </w:t>
      </w:r>
      <w:hyperlink r:id="rId537" w:history="1">
        <w:r w:rsidRPr="00BE2457">
          <w:rPr>
            <w:rStyle w:val="Hyperlink"/>
            <w:i/>
          </w:rPr>
          <w:t>Regional circular economy plans</w:t>
        </w:r>
      </w:hyperlink>
      <w:r>
        <w:t xml:space="preserve"> (website), n.d., accessed 4 July 2023.</w:t>
      </w:r>
    </w:p>
  </w:endnote>
  <w:endnote w:id="438">
    <w:p w14:paraId="15CF86CE" w14:textId="77777777" w:rsidR="00373ED9" w:rsidRDefault="00373ED9" w:rsidP="00373ED9">
      <w:pPr>
        <w:pStyle w:val="EndnoteText"/>
      </w:pPr>
      <w:r>
        <w:rPr>
          <w:rStyle w:val="EndnoteReference"/>
        </w:rPr>
        <w:endnoteRef/>
      </w:r>
      <w:r>
        <w:t xml:space="preserve"> Department of Energy, Environment and Climate Action, </w:t>
      </w:r>
      <w:hyperlink r:id="rId538" w:history="1">
        <w:r w:rsidRPr="00BE2457">
          <w:rPr>
            <w:rStyle w:val="Hyperlink"/>
            <w:i/>
          </w:rPr>
          <w:t>Victoria’s first regional plans for a thriving circular economy</w:t>
        </w:r>
      </w:hyperlink>
      <w:r w:rsidRPr="00816D4A">
        <w:rPr>
          <w:iCs/>
        </w:rPr>
        <w:t xml:space="preserve"> (</w:t>
      </w:r>
      <w:r>
        <w:t>website), 31 October 2022, accessed 4 July 2023.</w:t>
      </w:r>
    </w:p>
  </w:endnote>
  <w:endnote w:id="439">
    <w:p w14:paraId="55734F72" w14:textId="77777777" w:rsidR="00373ED9" w:rsidRDefault="00373ED9" w:rsidP="00373ED9">
      <w:pPr>
        <w:pStyle w:val="EndnoteText"/>
      </w:pPr>
      <w:r>
        <w:rPr>
          <w:rStyle w:val="EndnoteReference"/>
        </w:rPr>
        <w:endnoteRef/>
      </w:r>
      <w:r>
        <w:t xml:space="preserve"> Department of Energy, Environment and Climate Action, </w:t>
      </w:r>
      <w:hyperlink r:id="rId539" w:history="1">
        <w:r w:rsidRPr="00BE2457">
          <w:rPr>
            <w:rStyle w:val="Hyperlink"/>
            <w:i/>
          </w:rPr>
          <w:t>Victoria’s first regional plans for a thriving circular economy</w:t>
        </w:r>
      </w:hyperlink>
      <w:r>
        <w:t xml:space="preserve"> </w:t>
      </w:r>
      <w:r w:rsidRPr="00D9064E">
        <w:t>(</w:t>
      </w:r>
      <w:r>
        <w:t>website), 31 October 2022, accessed 4 July 2023.</w:t>
      </w:r>
    </w:p>
  </w:endnote>
  <w:endnote w:id="440">
    <w:p w14:paraId="43BBB49C" w14:textId="77777777" w:rsidR="00373ED9" w:rsidRDefault="00373ED9" w:rsidP="00373ED9">
      <w:pPr>
        <w:pStyle w:val="EndnoteText"/>
      </w:pPr>
      <w:r>
        <w:rPr>
          <w:rStyle w:val="EndnoteReference"/>
        </w:rPr>
        <w:endnoteRef/>
      </w:r>
      <w:r>
        <w:t xml:space="preserve"> Victorian Government, </w:t>
      </w:r>
      <w:hyperlink r:id="rId540" w:history="1">
        <w:r w:rsidRPr="00BE2457">
          <w:rPr>
            <w:rStyle w:val="Hyperlink"/>
            <w:i/>
          </w:rPr>
          <w:t>Gippsland regional circular economy plan</w:t>
        </w:r>
      </w:hyperlink>
      <w:r>
        <w:t xml:space="preserve"> (website), n.d., accessed 4 July 2023.</w:t>
      </w:r>
    </w:p>
  </w:endnote>
  <w:endnote w:id="441">
    <w:p w14:paraId="130CA99A" w14:textId="77777777" w:rsidR="00373ED9" w:rsidRDefault="00373ED9" w:rsidP="00373ED9">
      <w:pPr>
        <w:pStyle w:val="EndnoteText"/>
      </w:pPr>
      <w:r>
        <w:rPr>
          <w:rStyle w:val="EndnoteReference"/>
        </w:rPr>
        <w:endnoteRef/>
      </w:r>
      <w:r>
        <w:t xml:space="preserve"> Victorian Government, </w:t>
      </w:r>
      <w:hyperlink r:id="rId541" w:history="1">
        <w:r w:rsidRPr="00BE2457">
          <w:rPr>
            <w:rStyle w:val="Hyperlink"/>
            <w:i/>
          </w:rPr>
          <w:t>Gippsland regional circular economy plan</w:t>
        </w:r>
      </w:hyperlink>
      <w:r>
        <w:t xml:space="preserve"> (website), n.d., accessed 4 July 2023.</w:t>
      </w:r>
    </w:p>
  </w:endnote>
  <w:endnote w:id="442">
    <w:p w14:paraId="67D3461F" w14:textId="77777777" w:rsidR="00373ED9" w:rsidRDefault="00373ED9" w:rsidP="00373ED9">
      <w:pPr>
        <w:pStyle w:val="EndnoteText"/>
      </w:pPr>
      <w:r>
        <w:rPr>
          <w:rStyle w:val="EndnoteReference"/>
        </w:rPr>
        <w:endnoteRef/>
      </w:r>
      <w:r>
        <w:t xml:space="preserve"> Victorian Government, </w:t>
      </w:r>
      <w:hyperlink r:id="rId542" w:history="1">
        <w:r w:rsidRPr="00BE2457">
          <w:rPr>
            <w:rStyle w:val="Hyperlink"/>
            <w:i/>
          </w:rPr>
          <w:t>Establishing Recycling Victoria</w:t>
        </w:r>
      </w:hyperlink>
      <w:r>
        <w:t xml:space="preserve"> (website), n.d., accessed 4 July 2023.</w:t>
      </w:r>
    </w:p>
  </w:endnote>
  <w:endnote w:id="443">
    <w:p w14:paraId="2F35F08C" w14:textId="77777777" w:rsidR="00373ED9" w:rsidRDefault="00373ED9" w:rsidP="00373ED9">
      <w:pPr>
        <w:pStyle w:val="EndnoteText"/>
      </w:pPr>
      <w:r>
        <w:rPr>
          <w:rStyle w:val="EndnoteReference"/>
        </w:rPr>
        <w:endnoteRef/>
      </w:r>
      <w:r w:rsidRPr="00597874">
        <w:t xml:space="preserve"> Victorian Government, </w:t>
      </w:r>
      <w:hyperlink r:id="rId543" w:history="1">
        <w:r w:rsidRPr="00597874">
          <w:rPr>
            <w:rStyle w:val="Hyperlink"/>
            <w:i/>
            <w:iCs/>
          </w:rPr>
          <w:t>Circular Economy (Waste Reduction and Recycling Act 2021 fact sheet</w:t>
        </w:r>
      </w:hyperlink>
      <w:r w:rsidRPr="00597874">
        <w:t>, 2022, accessed 4 July 2023</w:t>
      </w:r>
      <w:r>
        <w:t>.</w:t>
      </w:r>
      <w:r w:rsidRPr="00597874">
        <w:t xml:space="preserve"> </w:t>
      </w:r>
    </w:p>
  </w:endnote>
  <w:endnote w:id="444">
    <w:p w14:paraId="435A0A2B" w14:textId="77777777" w:rsidR="00373ED9" w:rsidRDefault="00373ED9" w:rsidP="00373ED9">
      <w:pPr>
        <w:pStyle w:val="EndnoteText"/>
      </w:pPr>
      <w:r>
        <w:rPr>
          <w:rStyle w:val="EndnoteReference"/>
        </w:rPr>
        <w:endnoteRef/>
      </w:r>
      <w:r>
        <w:t xml:space="preserve"> Victorian Government, </w:t>
      </w:r>
      <w:hyperlink r:id="rId544" w:history="1">
        <w:r w:rsidRPr="00BE2457">
          <w:rPr>
            <w:rStyle w:val="Hyperlink"/>
            <w:i/>
          </w:rPr>
          <w:t>Establishing Recycling Victoria</w:t>
        </w:r>
      </w:hyperlink>
      <w:r>
        <w:t xml:space="preserve"> (website), n.d., accessed 4 July 2023.</w:t>
      </w:r>
    </w:p>
  </w:endnote>
  <w:endnote w:id="445">
    <w:p w14:paraId="7044EF41" w14:textId="77777777" w:rsidR="00373ED9" w:rsidRDefault="00373ED9" w:rsidP="00373ED9">
      <w:pPr>
        <w:pStyle w:val="EndnoteText"/>
      </w:pPr>
      <w:r>
        <w:rPr>
          <w:rStyle w:val="EndnoteReference"/>
        </w:rPr>
        <w:endnoteRef/>
      </w:r>
      <w:r w:rsidRPr="00597874">
        <w:t xml:space="preserve"> Victorian Government, </w:t>
      </w:r>
      <w:hyperlink r:id="rId545" w:history="1">
        <w:r w:rsidRPr="00BE2457">
          <w:rPr>
            <w:rStyle w:val="Hyperlink"/>
            <w:i/>
            <w:iCs/>
          </w:rPr>
          <w:t>Recycling infrastructure planning</w:t>
        </w:r>
      </w:hyperlink>
      <w:r>
        <w:t xml:space="preserve"> (</w:t>
      </w:r>
      <w:r w:rsidRPr="00597874">
        <w:t>website</w:t>
      </w:r>
      <w:r>
        <w:t>)</w:t>
      </w:r>
      <w:r w:rsidRPr="00597874">
        <w:t xml:space="preserve">, n.d., accessed </w:t>
      </w:r>
      <w:r>
        <w:t xml:space="preserve">17 </w:t>
      </w:r>
      <w:r w:rsidRPr="00597874">
        <w:t>July 2023</w:t>
      </w:r>
      <w:r>
        <w:t>.</w:t>
      </w:r>
    </w:p>
  </w:endnote>
  <w:endnote w:id="446">
    <w:p w14:paraId="1F9B9670" w14:textId="77777777" w:rsidR="00373ED9" w:rsidRDefault="00373ED9" w:rsidP="00373ED9">
      <w:pPr>
        <w:pStyle w:val="EndnoteText"/>
      </w:pPr>
      <w:r>
        <w:rPr>
          <w:rStyle w:val="EndnoteReference"/>
        </w:rPr>
        <w:endnoteRef/>
      </w:r>
      <w:r w:rsidRPr="00597874">
        <w:t xml:space="preserve"> Victorian Government, </w:t>
      </w:r>
      <w:hyperlink r:id="rId546" w:history="1">
        <w:r w:rsidRPr="00BE2457">
          <w:rPr>
            <w:rStyle w:val="Hyperlink"/>
            <w:i/>
            <w:iCs/>
          </w:rPr>
          <w:t>Recycling infrastructure planning</w:t>
        </w:r>
      </w:hyperlink>
      <w:r>
        <w:t xml:space="preserve"> (</w:t>
      </w:r>
      <w:r w:rsidRPr="00597874">
        <w:t>website</w:t>
      </w:r>
      <w:r>
        <w:t>)</w:t>
      </w:r>
      <w:r w:rsidRPr="00597874">
        <w:t xml:space="preserve">, n.d., accessed </w:t>
      </w:r>
      <w:r>
        <w:t>17</w:t>
      </w:r>
      <w:r w:rsidRPr="00597874">
        <w:t xml:space="preserve"> July 2023</w:t>
      </w:r>
      <w:r>
        <w:t>.</w:t>
      </w:r>
    </w:p>
  </w:endnote>
  <w:endnote w:id="447">
    <w:p w14:paraId="2EE709E6" w14:textId="77777777" w:rsidR="00373ED9" w:rsidRDefault="00373ED9" w:rsidP="00373ED9">
      <w:pPr>
        <w:pStyle w:val="EndnoteText"/>
      </w:pPr>
      <w:r>
        <w:rPr>
          <w:rStyle w:val="EndnoteReference"/>
        </w:rPr>
        <w:endnoteRef/>
      </w:r>
      <w:r>
        <w:t xml:space="preserve"> Victorian Government, </w:t>
      </w:r>
      <w:hyperlink r:id="rId547" w:history="1">
        <w:r w:rsidRPr="00597874">
          <w:rPr>
            <w:rStyle w:val="Hyperlink"/>
            <w:i/>
          </w:rPr>
          <w:t>An overview of Victoria’s Circular Economy (Waste Reduction and Recycling) Act 2021 – fact sheet</w:t>
        </w:r>
      </w:hyperlink>
      <w:r w:rsidRPr="00597874">
        <w:rPr>
          <w:i/>
        </w:rPr>
        <w:t>,</w:t>
      </w:r>
      <w:r>
        <w:t xml:space="preserve"> 2022, accessed 4 July 2023.</w:t>
      </w:r>
    </w:p>
  </w:endnote>
  <w:endnote w:id="448">
    <w:p w14:paraId="707393C5" w14:textId="77777777" w:rsidR="00373ED9" w:rsidRDefault="00373ED9" w:rsidP="00373ED9">
      <w:pPr>
        <w:pStyle w:val="EndnoteText"/>
      </w:pPr>
      <w:r>
        <w:rPr>
          <w:rStyle w:val="EndnoteReference"/>
        </w:rPr>
        <w:endnoteRef/>
      </w:r>
      <w:r>
        <w:t xml:space="preserve"> Minister for Environment, </w:t>
      </w:r>
      <w:hyperlink r:id="rId548" w:history="1">
        <w:r w:rsidRPr="00597874">
          <w:rPr>
            <w:rStyle w:val="Hyperlink"/>
            <w:i/>
          </w:rPr>
          <w:t>Victorian’s to bene</w:t>
        </w:r>
        <w:bookmarkStart w:id="85" w:name="_Hlt142923842"/>
        <w:bookmarkStart w:id="86" w:name="_Hlt142923843"/>
        <w:r w:rsidRPr="00597874">
          <w:rPr>
            <w:rStyle w:val="Hyperlink"/>
            <w:i/>
          </w:rPr>
          <w:t>f</w:t>
        </w:r>
        <w:bookmarkEnd w:id="85"/>
        <w:bookmarkEnd w:id="86"/>
        <w:r w:rsidRPr="00597874">
          <w:rPr>
            <w:rStyle w:val="Hyperlink"/>
            <w:i/>
          </w:rPr>
          <w:t>it from new container deposit scheme</w:t>
        </w:r>
      </w:hyperlink>
      <w:r w:rsidRPr="00597874">
        <w:t xml:space="preserve"> (media release),</w:t>
      </w:r>
      <w:r>
        <w:t xml:space="preserve"> 14 April 2023, accessed 4 July 2023.</w:t>
      </w:r>
    </w:p>
  </w:endnote>
  <w:endnote w:id="449">
    <w:p w14:paraId="1CF8D6E4" w14:textId="77777777" w:rsidR="00373ED9" w:rsidRDefault="00373ED9" w:rsidP="00373ED9">
      <w:pPr>
        <w:pStyle w:val="EndnoteText"/>
      </w:pPr>
      <w:r>
        <w:rPr>
          <w:rStyle w:val="EndnoteReference"/>
        </w:rPr>
        <w:endnoteRef/>
      </w:r>
      <w:r>
        <w:t xml:space="preserve"> Minister for Environment, </w:t>
      </w:r>
      <w:hyperlink r:id="rId549" w:history="1">
        <w:r w:rsidRPr="00597874">
          <w:rPr>
            <w:rStyle w:val="Hyperlink"/>
            <w:i/>
          </w:rPr>
          <w:t>Victorian’s to benefit from new container deposit scheme</w:t>
        </w:r>
      </w:hyperlink>
      <w:r w:rsidRPr="00597874">
        <w:t xml:space="preserve"> (media release),</w:t>
      </w:r>
      <w:r>
        <w:t xml:space="preserve"> 14 April 2023, accessed 4 July 2023.</w:t>
      </w:r>
    </w:p>
  </w:endnote>
  <w:endnote w:id="450">
    <w:p w14:paraId="1158B914" w14:textId="77777777" w:rsidR="00373ED9" w:rsidRDefault="00373ED9" w:rsidP="00373ED9">
      <w:pPr>
        <w:pStyle w:val="EndnoteText"/>
      </w:pPr>
      <w:r>
        <w:rPr>
          <w:rStyle w:val="EndnoteReference"/>
        </w:rPr>
        <w:endnoteRef/>
      </w:r>
      <w:r>
        <w:t xml:space="preserve"> Environmental Protection Agency, </w:t>
      </w:r>
      <w:hyperlink r:id="rId550" w:history="1">
        <w:r w:rsidRPr="00BE2457">
          <w:rPr>
            <w:rStyle w:val="Hyperlink"/>
            <w:i/>
          </w:rPr>
          <w:t>Victoria’s single-use plastics ban</w:t>
        </w:r>
      </w:hyperlink>
      <w:r>
        <w:t xml:space="preserve"> (website), n.d., accessed 4 July 2023.</w:t>
      </w:r>
    </w:p>
  </w:endnote>
  <w:endnote w:id="451">
    <w:p w14:paraId="13C0FC5A" w14:textId="77777777" w:rsidR="00373ED9" w:rsidRDefault="00373ED9" w:rsidP="00373ED9">
      <w:pPr>
        <w:pStyle w:val="EndnoteText"/>
      </w:pPr>
      <w:r>
        <w:rPr>
          <w:rStyle w:val="EndnoteReference"/>
        </w:rPr>
        <w:endnoteRef/>
      </w:r>
      <w:r>
        <w:t xml:space="preserve"> Environmental Protection Agency, </w:t>
      </w:r>
      <w:hyperlink r:id="rId551" w:history="1">
        <w:r w:rsidRPr="00BE2457">
          <w:rPr>
            <w:rStyle w:val="Hyperlink"/>
            <w:i/>
          </w:rPr>
          <w:t>Victoria’s single-use plastics ban</w:t>
        </w:r>
      </w:hyperlink>
      <w:r>
        <w:t xml:space="preserve"> (website), n.d., accessed 4 July 2023.</w:t>
      </w:r>
    </w:p>
  </w:endnote>
  <w:endnote w:id="452">
    <w:p w14:paraId="6D9DB221" w14:textId="77777777" w:rsidR="00373ED9" w:rsidRDefault="00373ED9" w:rsidP="00373ED9">
      <w:pPr>
        <w:pStyle w:val="EndnoteText"/>
      </w:pPr>
      <w:r>
        <w:rPr>
          <w:rStyle w:val="EndnoteReference"/>
        </w:rPr>
        <w:endnoteRef/>
      </w:r>
      <w:r>
        <w:t xml:space="preserve"> Sustainability Victoria, </w:t>
      </w:r>
      <w:hyperlink r:id="rId552" w:history="1">
        <w:r w:rsidRPr="00BE2457">
          <w:rPr>
            <w:rStyle w:val="Hyperlink"/>
            <w:i/>
          </w:rPr>
          <w:t>What the single-use plastics ban means for your business</w:t>
        </w:r>
      </w:hyperlink>
      <w:r>
        <w:t xml:space="preserve"> (website), 30 June 2023, accessed 7 July 2023.</w:t>
      </w:r>
    </w:p>
  </w:endnote>
  <w:endnote w:id="453">
    <w:p w14:paraId="55C786FC" w14:textId="77777777" w:rsidR="00373ED9" w:rsidRDefault="00373ED9" w:rsidP="00373ED9">
      <w:pPr>
        <w:pStyle w:val="EndnoteText"/>
      </w:pPr>
      <w:r>
        <w:rPr>
          <w:rStyle w:val="EndnoteReference"/>
        </w:rPr>
        <w:endnoteRef/>
      </w:r>
      <w:r>
        <w:t xml:space="preserve"> Sustainability Victoria, </w:t>
      </w:r>
      <w:hyperlink r:id="rId553" w:history="1">
        <w:r w:rsidRPr="00BE2457">
          <w:rPr>
            <w:rStyle w:val="Hyperlink"/>
            <w:i/>
          </w:rPr>
          <w:t>What the single-use plastics ban means for your business</w:t>
        </w:r>
      </w:hyperlink>
      <w:r>
        <w:t xml:space="preserve"> (website), 30 June 2023, accessed 7 July 2023.</w:t>
      </w:r>
    </w:p>
  </w:endnote>
  <w:endnote w:id="454">
    <w:p w14:paraId="62925A12" w14:textId="77777777" w:rsidR="00373ED9" w:rsidRDefault="00373ED9" w:rsidP="00373ED9">
      <w:pPr>
        <w:pStyle w:val="EndnoteText"/>
      </w:pPr>
      <w:r>
        <w:rPr>
          <w:rStyle w:val="EndnoteReference"/>
        </w:rPr>
        <w:endnoteRef/>
      </w:r>
      <w:r>
        <w:t xml:space="preserve"> Sustainability Victoria,</w:t>
      </w:r>
      <w:r w:rsidRPr="004F7E32">
        <w:t xml:space="preserve"> </w:t>
      </w:r>
      <w:hyperlink r:id="rId554" w:history="1">
        <w:r w:rsidRPr="00BE2457">
          <w:rPr>
            <w:rStyle w:val="Hyperlink"/>
            <w:i/>
          </w:rPr>
          <w:t>Circular economy household education fund – round 3</w:t>
        </w:r>
      </w:hyperlink>
      <w:r>
        <w:t xml:space="preserve"> (website), 5 July 2023, accessed 7 July 2023.</w:t>
      </w:r>
    </w:p>
  </w:endnote>
  <w:endnote w:id="455">
    <w:p w14:paraId="23964D4A" w14:textId="475EB4FE" w:rsidR="00373ED9" w:rsidRPr="00E55F1A" w:rsidRDefault="00373ED9" w:rsidP="00373ED9">
      <w:pPr>
        <w:pStyle w:val="EndnoteText"/>
      </w:pPr>
      <w:r w:rsidRPr="00E55F1A">
        <w:rPr>
          <w:rStyle w:val="EndnoteReference"/>
        </w:rPr>
        <w:endnoteRef/>
      </w:r>
      <w:r w:rsidRPr="00E55F1A">
        <w:t xml:space="preserve"> Infrastructure Victoria, </w:t>
      </w:r>
      <w:hyperlink r:id="rId555" w:history="1">
        <w:r w:rsidRPr="00597874">
          <w:rPr>
            <w:rStyle w:val="Hyperlink"/>
            <w:i/>
          </w:rPr>
          <w:t>Victoria’s infrastructure strategy 2021</w:t>
        </w:r>
        <w:r>
          <w:rPr>
            <w:rStyle w:val="Hyperlink"/>
            <w:i/>
          </w:rPr>
          <w:t>–</w:t>
        </w:r>
        <w:r w:rsidRPr="00597874">
          <w:rPr>
            <w:rStyle w:val="Hyperlink"/>
            <w:i/>
          </w:rPr>
          <w:t>2051</w:t>
        </w:r>
      </w:hyperlink>
      <w:r w:rsidRPr="00E55F1A">
        <w:t>, 2021, p</w:t>
      </w:r>
      <w:r w:rsidRPr="00597874">
        <w:t>.</w:t>
      </w:r>
      <w:r w:rsidRPr="00E55F1A">
        <w:t>99, accessed 29 June 2023</w:t>
      </w:r>
      <w:r>
        <w:t>.</w:t>
      </w:r>
    </w:p>
  </w:endnote>
  <w:endnote w:id="456">
    <w:p w14:paraId="581FE72C" w14:textId="535522D3" w:rsidR="00373ED9" w:rsidRPr="00E55F1A" w:rsidRDefault="00373ED9" w:rsidP="00373ED9">
      <w:pPr>
        <w:pStyle w:val="EndnoteText"/>
      </w:pPr>
      <w:r w:rsidRPr="00E55F1A">
        <w:rPr>
          <w:rStyle w:val="EndnoteReference"/>
        </w:rPr>
        <w:endnoteRef/>
      </w:r>
      <w:r w:rsidRPr="00E55F1A">
        <w:t xml:space="preserve"> Infrastructure Victoria, </w:t>
      </w:r>
      <w:hyperlink r:id="rId556" w:history="1">
        <w:r w:rsidRPr="00597874">
          <w:rPr>
            <w:rStyle w:val="Hyperlink"/>
            <w:i/>
          </w:rPr>
          <w:t>Victoria’s infrastructure strategy 2021</w:t>
        </w:r>
        <w:r>
          <w:rPr>
            <w:rStyle w:val="Hyperlink"/>
            <w:i/>
          </w:rPr>
          <w:t>–</w:t>
        </w:r>
        <w:r w:rsidRPr="00597874">
          <w:rPr>
            <w:rStyle w:val="Hyperlink"/>
            <w:i/>
          </w:rPr>
          <w:t>2051</w:t>
        </w:r>
      </w:hyperlink>
      <w:r w:rsidRPr="00E55F1A">
        <w:t>, 2021, p</w:t>
      </w:r>
      <w:r w:rsidRPr="00597874">
        <w:t>.</w:t>
      </w:r>
      <w:r w:rsidRPr="00E55F1A">
        <w:t>99, accessed 29 June 2023</w:t>
      </w:r>
      <w:r>
        <w:t>.</w:t>
      </w:r>
    </w:p>
  </w:endnote>
  <w:endnote w:id="457">
    <w:p w14:paraId="5AF47446" w14:textId="77777777" w:rsidR="00373ED9" w:rsidRPr="002D37E0" w:rsidRDefault="00373ED9" w:rsidP="00373ED9">
      <w:pPr>
        <w:pStyle w:val="EndnoteText"/>
        <w:rPr>
          <w:highlight w:val="yellow"/>
        </w:rPr>
      </w:pPr>
      <w:r w:rsidRPr="00E55F1A">
        <w:rPr>
          <w:rStyle w:val="EndnoteReference"/>
        </w:rPr>
        <w:endnoteRef/>
      </w:r>
      <w:r w:rsidRPr="00E55F1A">
        <w:t xml:space="preserve"> Infrastructure</w:t>
      </w:r>
      <w:r>
        <w:t xml:space="preserve"> Victoria, </w:t>
      </w:r>
      <w:hyperlink r:id="rId557" w:history="1">
        <w:r w:rsidRPr="00597874">
          <w:rPr>
            <w:rStyle w:val="Hyperlink"/>
            <w:i/>
          </w:rPr>
          <w:t>Advice on recycling and resource recovery infrastructure in Victoria</w:t>
        </w:r>
      </w:hyperlink>
      <w:r>
        <w:t>, 2020, accessed 29 June 2023.</w:t>
      </w:r>
    </w:p>
  </w:endnote>
  <w:endnote w:id="458">
    <w:p w14:paraId="6F1D93D8" w14:textId="77777777" w:rsidR="00373ED9" w:rsidRPr="00EC4C3F" w:rsidRDefault="00373ED9" w:rsidP="00373ED9">
      <w:pPr>
        <w:pStyle w:val="EndnoteText"/>
        <w:ind w:left="284" w:hanging="284"/>
      </w:pPr>
      <w:r w:rsidRPr="00EC4C3F">
        <w:rPr>
          <w:rStyle w:val="EndnoteReference"/>
        </w:rPr>
        <w:endnoteRef/>
      </w:r>
      <w:r w:rsidRPr="00EC4C3F">
        <w:t xml:space="preserve"> Department of Treasury and Finance, </w:t>
      </w:r>
      <w:hyperlink r:id="rId558" w:history="1">
        <w:r w:rsidRPr="00AA70BF">
          <w:rPr>
            <w:rStyle w:val="Hyperlink"/>
            <w:rFonts w:eastAsiaTheme="majorEastAsia"/>
            <w:i/>
            <w:iCs/>
          </w:rPr>
          <w:t>Departmental statements – Department of Health output performance measures 2022</w:t>
        </w:r>
        <w:r>
          <w:rPr>
            <w:rStyle w:val="Hyperlink"/>
            <w:rFonts w:eastAsiaTheme="majorEastAsia"/>
            <w:i/>
            <w:iCs/>
          </w:rPr>
          <w:t>–</w:t>
        </w:r>
        <w:r w:rsidRPr="00AA70BF">
          <w:rPr>
            <w:rStyle w:val="Hyperlink"/>
            <w:rFonts w:eastAsiaTheme="majorEastAsia"/>
            <w:i/>
            <w:iCs/>
          </w:rPr>
          <w:t>23</w:t>
        </w:r>
      </w:hyperlink>
      <w:r>
        <w:t xml:space="preserve">, 2023, accessed 4 June 2023. </w:t>
      </w:r>
    </w:p>
  </w:endnote>
  <w:endnote w:id="459">
    <w:p w14:paraId="5CBDAD51" w14:textId="77777777" w:rsidR="00373ED9" w:rsidRPr="00EC4C3F" w:rsidRDefault="00373ED9" w:rsidP="00373ED9">
      <w:pPr>
        <w:pStyle w:val="EndnoteText"/>
      </w:pPr>
      <w:r w:rsidRPr="00EC4C3F">
        <w:rPr>
          <w:rStyle w:val="EndnoteReference"/>
        </w:rPr>
        <w:endnoteRef/>
      </w:r>
      <w:r w:rsidRPr="00EC4C3F">
        <w:t xml:space="preserve"> </w:t>
      </w:r>
      <w:r w:rsidRPr="002500A3">
        <w:t xml:space="preserve"> </w:t>
      </w:r>
      <w:r w:rsidRPr="00EC4C3F">
        <w:t xml:space="preserve">Department of Treasury and Finance, </w:t>
      </w:r>
      <w:hyperlink r:id="rId559" w:history="1">
        <w:r w:rsidRPr="00AA70BF">
          <w:rPr>
            <w:rStyle w:val="Hyperlink"/>
            <w:rFonts w:eastAsiaTheme="majorEastAsia"/>
            <w:i/>
            <w:iCs/>
          </w:rPr>
          <w:t>Departmental statements – Department of Health output performance measures 2022</w:t>
        </w:r>
        <w:r>
          <w:rPr>
            <w:rStyle w:val="Hyperlink"/>
            <w:rFonts w:eastAsiaTheme="majorEastAsia"/>
            <w:i/>
            <w:iCs/>
          </w:rPr>
          <w:t>–</w:t>
        </w:r>
        <w:r w:rsidRPr="00AA70BF">
          <w:rPr>
            <w:rStyle w:val="Hyperlink"/>
            <w:rFonts w:eastAsiaTheme="majorEastAsia"/>
            <w:i/>
            <w:iCs/>
          </w:rPr>
          <w:t>23</w:t>
        </w:r>
      </w:hyperlink>
      <w:r>
        <w:t>, 2023, accessed 4 June 2023.</w:t>
      </w:r>
    </w:p>
  </w:endnote>
  <w:endnote w:id="460">
    <w:p w14:paraId="73AEF32F" w14:textId="77777777" w:rsidR="00373ED9" w:rsidRDefault="00373ED9" w:rsidP="00373ED9">
      <w:pPr>
        <w:pStyle w:val="EndnoteText"/>
      </w:pPr>
      <w:r>
        <w:rPr>
          <w:rStyle w:val="EndnoteReference"/>
        </w:rPr>
        <w:endnoteRef/>
      </w:r>
      <w:r>
        <w:t xml:space="preserve"> Department of Health, </w:t>
      </w:r>
      <w:hyperlink r:id="rId560" w:history="1">
        <w:r w:rsidRPr="00AA70BF">
          <w:rPr>
            <w:rStyle w:val="Hyperlink"/>
            <w:rFonts w:eastAsiaTheme="majorEastAsia"/>
            <w:i/>
            <w:iCs/>
          </w:rPr>
          <w:t>Department of Health - Annual Report 2021</w:t>
        </w:r>
        <w:r>
          <w:rPr>
            <w:rStyle w:val="Hyperlink"/>
            <w:rFonts w:eastAsiaTheme="majorEastAsia"/>
            <w:i/>
            <w:iCs/>
          </w:rPr>
          <w:t>–</w:t>
        </w:r>
        <w:r w:rsidRPr="00AA70BF">
          <w:rPr>
            <w:rStyle w:val="Hyperlink"/>
            <w:rFonts w:eastAsiaTheme="majorEastAsia"/>
            <w:i/>
            <w:iCs/>
          </w:rPr>
          <w:t>22</w:t>
        </w:r>
      </w:hyperlink>
      <w:r>
        <w:t xml:space="preserve">, Sep 2022, accessed 16 May 2023. </w:t>
      </w:r>
    </w:p>
  </w:endnote>
  <w:endnote w:id="461">
    <w:p w14:paraId="19B44E75" w14:textId="77777777" w:rsidR="00373ED9" w:rsidRDefault="00373ED9" w:rsidP="00373ED9">
      <w:pPr>
        <w:pStyle w:val="EndnoteText"/>
      </w:pPr>
      <w:r>
        <w:rPr>
          <w:rStyle w:val="EndnoteReference"/>
        </w:rPr>
        <w:endnoteRef/>
      </w:r>
      <w:r>
        <w:t xml:space="preserve"> </w:t>
      </w:r>
      <w:r w:rsidRPr="004A1190">
        <w:rPr>
          <w:szCs w:val="15"/>
        </w:rPr>
        <w:t xml:space="preserve">Department of Treasury and Finance, </w:t>
      </w:r>
      <w:hyperlink r:id="rId561" w:anchor="budget-paper-4-state-capital-program" w:history="1">
        <w:r w:rsidRPr="004A1190">
          <w:rPr>
            <w:rStyle w:val="Hyperlink"/>
            <w:i/>
            <w:iCs/>
            <w:szCs w:val="15"/>
          </w:rPr>
          <w:t xml:space="preserve">Victorian </w:t>
        </w:r>
        <w:r>
          <w:rPr>
            <w:rStyle w:val="Hyperlink"/>
            <w:i/>
            <w:iCs/>
            <w:szCs w:val="15"/>
          </w:rPr>
          <w:t xml:space="preserve">Budget </w:t>
        </w:r>
        <w:r w:rsidRPr="004A1190">
          <w:rPr>
            <w:rStyle w:val="Hyperlink"/>
            <w:i/>
            <w:iCs/>
            <w:szCs w:val="15"/>
          </w:rPr>
          <w:t xml:space="preserve"> 2023</w:t>
        </w:r>
        <w:r>
          <w:rPr>
            <w:rStyle w:val="Hyperlink"/>
            <w:i/>
            <w:iCs/>
            <w:szCs w:val="15"/>
          </w:rPr>
          <w:t>–</w:t>
        </w:r>
        <w:r w:rsidRPr="004A1190">
          <w:rPr>
            <w:rStyle w:val="Hyperlink"/>
            <w:i/>
            <w:iCs/>
            <w:szCs w:val="15"/>
          </w:rPr>
          <w:t xml:space="preserve">24 – </w:t>
        </w:r>
        <w:r>
          <w:rPr>
            <w:rStyle w:val="Hyperlink"/>
            <w:i/>
            <w:iCs/>
            <w:szCs w:val="15"/>
          </w:rPr>
          <w:t xml:space="preserve">Budget </w:t>
        </w:r>
        <w:r w:rsidRPr="004A1190">
          <w:rPr>
            <w:rStyle w:val="Hyperlink"/>
            <w:i/>
            <w:iCs/>
            <w:szCs w:val="15"/>
          </w:rPr>
          <w:t xml:space="preserve"> Paper No. 4</w:t>
        </w:r>
      </w:hyperlink>
      <w:r w:rsidRPr="004A1190">
        <w:rPr>
          <w:szCs w:val="15"/>
        </w:rPr>
        <w:t xml:space="preserve">, 2023, p. </w:t>
      </w:r>
      <w:r>
        <w:rPr>
          <w:szCs w:val="15"/>
        </w:rPr>
        <w:t>5</w:t>
      </w:r>
      <w:r w:rsidRPr="004A1190">
        <w:rPr>
          <w:szCs w:val="15"/>
        </w:rPr>
        <w:t xml:space="preserve">, accessed </w:t>
      </w:r>
      <w:r>
        <w:rPr>
          <w:szCs w:val="15"/>
        </w:rPr>
        <w:t>27 July 2023</w:t>
      </w:r>
      <w:r w:rsidRPr="004A1190">
        <w:rPr>
          <w:szCs w:val="15"/>
        </w:rPr>
        <w:t xml:space="preserve"> (</w:t>
      </w:r>
      <w:hyperlink r:id="rId562" w:history="1">
        <w:r w:rsidRPr="004A1190">
          <w:rPr>
            <w:rStyle w:val="Hyperlink"/>
            <w:szCs w:val="15"/>
          </w:rPr>
          <w:t>https://s3.ap-southeast-2.amazonaws.com/</w:t>
        </w:r>
        <w:r>
          <w:rPr>
            <w:rStyle w:val="Hyperlink"/>
            <w:szCs w:val="15"/>
          </w:rPr>
          <w:t xml:space="preserve">Budget </w:t>
        </w:r>
        <w:r w:rsidRPr="004A1190">
          <w:rPr>
            <w:rStyle w:val="Hyperlink"/>
            <w:szCs w:val="15"/>
          </w:rPr>
          <w:t>files202324.</w:t>
        </w:r>
        <w:r>
          <w:rPr>
            <w:rStyle w:val="Hyperlink"/>
            <w:szCs w:val="15"/>
          </w:rPr>
          <w:t xml:space="preserve">Budget </w:t>
        </w:r>
        <w:r w:rsidRPr="004A1190">
          <w:rPr>
            <w:rStyle w:val="Hyperlink"/>
            <w:szCs w:val="15"/>
          </w:rPr>
          <w:t>.vic.gov.au/2023</w:t>
        </w:r>
        <w:r>
          <w:rPr>
            <w:rStyle w:val="Hyperlink"/>
            <w:szCs w:val="15"/>
          </w:rPr>
          <w:t>–</w:t>
        </w:r>
        <w:r w:rsidRPr="004A1190">
          <w:rPr>
            <w:rStyle w:val="Hyperlink"/>
            <w:szCs w:val="15"/>
          </w:rPr>
          <w:t>24+State+</w:t>
        </w:r>
        <w:r>
          <w:rPr>
            <w:rStyle w:val="Hyperlink"/>
            <w:szCs w:val="15"/>
          </w:rPr>
          <w:t xml:space="preserve">Budget </w:t>
        </w:r>
        <w:r w:rsidRPr="004A1190">
          <w:rPr>
            <w:rStyle w:val="Hyperlink"/>
            <w:szCs w:val="15"/>
          </w:rPr>
          <w:t>+-+State+Capital+Program.pdf</w:t>
        </w:r>
      </w:hyperlink>
      <w:r w:rsidRPr="004A1190">
        <w:rPr>
          <w:szCs w:val="15"/>
        </w:rPr>
        <w:t>)</w:t>
      </w:r>
      <w:r>
        <w:rPr>
          <w:szCs w:val="15"/>
        </w:rPr>
        <w:t>.</w:t>
      </w:r>
    </w:p>
  </w:endnote>
  <w:endnote w:id="462">
    <w:p w14:paraId="3532A610" w14:textId="77777777" w:rsidR="00373ED9" w:rsidRPr="00DA57A9" w:rsidRDefault="00373ED9" w:rsidP="00373ED9">
      <w:pPr>
        <w:spacing w:before="84" w:after="84" w:line="190" w:lineRule="atLeast"/>
        <w:ind w:left="340" w:hanging="340"/>
        <w:rPr>
          <w:rFonts w:cstheme="minorHAnsi"/>
          <w:sz w:val="15"/>
          <w:szCs w:val="15"/>
        </w:rPr>
      </w:pPr>
      <w:r w:rsidRPr="00CB31B1">
        <w:rPr>
          <w:rStyle w:val="EndnoteReference"/>
          <w:rFonts w:cstheme="minorHAnsi"/>
          <w:sz w:val="15"/>
          <w:szCs w:val="15"/>
        </w:rPr>
        <w:endnoteRef/>
      </w:r>
      <w:r w:rsidRPr="00CB31B1">
        <w:rPr>
          <w:rFonts w:cstheme="minorHAnsi"/>
          <w:sz w:val="15"/>
          <w:szCs w:val="15"/>
        </w:rPr>
        <w:t xml:space="preserve"> </w:t>
      </w:r>
      <w:r w:rsidRPr="00CB31B1">
        <w:rPr>
          <w:rFonts w:eastAsiaTheme="minorHAnsi" w:cstheme="minorHAnsi"/>
          <w:sz w:val="15"/>
          <w:szCs w:val="15"/>
        </w:rPr>
        <w:t>Department of Treasury and Finance,</w:t>
      </w:r>
      <w:r>
        <w:rPr>
          <w:rFonts w:eastAsiaTheme="minorHAnsi" w:cstheme="minorHAnsi"/>
          <w:sz w:val="15"/>
          <w:szCs w:val="15"/>
        </w:rPr>
        <w:t xml:space="preserve"> </w:t>
      </w:r>
      <w:hyperlink r:id="rId563" w:history="1">
        <w:r w:rsidRPr="00816D4A">
          <w:rPr>
            <w:rStyle w:val="Hyperlink"/>
            <w:rFonts w:eastAsiaTheme="minorHAnsi"/>
            <w:i/>
            <w:sz w:val="15"/>
            <w:szCs w:val="15"/>
          </w:rPr>
          <w:t>2022 Victorian Economic and Fiscal Update</w:t>
        </w:r>
      </w:hyperlink>
      <w:r>
        <w:rPr>
          <w:rFonts w:eastAsiaTheme="minorHAnsi" w:cstheme="minorHAnsi"/>
          <w:sz w:val="15"/>
          <w:szCs w:val="15"/>
        </w:rPr>
        <w:t>, 2022, p. 94, accessed 27 July 2023.</w:t>
      </w:r>
    </w:p>
  </w:endnote>
  <w:endnote w:id="463">
    <w:p w14:paraId="73197931" w14:textId="77777777" w:rsidR="00373ED9" w:rsidRPr="00CB31B1" w:rsidRDefault="00373ED9" w:rsidP="00373ED9">
      <w:pPr>
        <w:spacing w:before="84" w:after="84" w:line="190" w:lineRule="atLeast"/>
        <w:ind w:left="340" w:hanging="340"/>
        <w:rPr>
          <w:rFonts w:cstheme="minorHAnsi"/>
          <w:sz w:val="15"/>
          <w:szCs w:val="15"/>
        </w:rPr>
      </w:pPr>
      <w:r w:rsidRPr="00CB31B1">
        <w:rPr>
          <w:rStyle w:val="EndnoteReference"/>
          <w:rFonts w:cstheme="minorHAnsi"/>
          <w:sz w:val="15"/>
          <w:szCs w:val="15"/>
        </w:rPr>
        <w:endnoteRef/>
      </w:r>
      <w:r w:rsidRPr="00CB31B1">
        <w:rPr>
          <w:rFonts w:cstheme="minorHAnsi"/>
          <w:sz w:val="15"/>
          <w:szCs w:val="15"/>
        </w:rPr>
        <w:t xml:space="preserve"> </w:t>
      </w:r>
      <w:r w:rsidRPr="00CB31B1">
        <w:rPr>
          <w:rFonts w:eastAsiaTheme="minorHAnsi" w:cstheme="minorHAnsi"/>
          <w:sz w:val="15"/>
          <w:szCs w:val="15"/>
        </w:rPr>
        <w:t>Department of Treasury and Finance,</w:t>
      </w:r>
      <w:r>
        <w:rPr>
          <w:rFonts w:eastAsiaTheme="minorHAnsi" w:cstheme="minorHAnsi"/>
          <w:sz w:val="15"/>
          <w:szCs w:val="15"/>
        </w:rPr>
        <w:t xml:space="preserve"> </w:t>
      </w:r>
      <w:hyperlink r:id="rId564" w:history="1">
        <w:r w:rsidRPr="00EF14EE">
          <w:rPr>
            <w:rStyle w:val="Hyperlink"/>
            <w:rFonts w:eastAsiaTheme="minorHAnsi" w:cstheme="minorHAnsi"/>
            <w:i/>
            <w:iCs/>
            <w:sz w:val="15"/>
            <w:szCs w:val="15"/>
          </w:rPr>
          <w:t>2022 Victorian Economic and Fiscal Update</w:t>
        </w:r>
      </w:hyperlink>
      <w:r>
        <w:rPr>
          <w:rFonts w:eastAsiaTheme="minorHAnsi" w:cstheme="minorHAnsi"/>
          <w:sz w:val="15"/>
          <w:szCs w:val="15"/>
        </w:rPr>
        <w:t>, 2022, p. 94, accessed 27 July 2023.</w:t>
      </w:r>
    </w:p>
  </w:endnote>
  <w:endnote w:id="464">
    <w:p w14:paraId="334B54A6" w14:textId="77777777" w:rsidR="00373ED9" w:rsidRPr="00CB31B1" w:rsidRDefault="00373ED9" w:rsidP="00373ED9">
      <w:pPr>
        <w:pStyle w:val="EndnoteText"/>
        <w:rPr>
          <w:rFonts w:cstheme="minorHAnsi"/>
          <w:szCs w:val="15"/>
        </w:rPr>
      </w:pPr>
      <w:r w:rsidRPr="00CB31B1">
        <w:rPr>
          <w:rStyle w:val="EndnoteReference"/>
          <w:rFonts w:cstheme="minorHAnsi"/>
          <w:szCs w:val="15"/>
        </w:rPr>
        <w:endnoteRef/>
      </w:r>
      <w:r w:rsidRPr="00CB31B1">
        <w:rPr>
          <w:rFonts w:cstheme="minorHAnsi"/>
          <w:szCs w:val="15"/>
        </w:rPr>
        <w:t xml:space="preserve"> Monash Health, </w:t>
      </w:r>
      <w:hyperlink r:id="rId565" w:history="1">
        <w:r w:rsidRPr="00CB31B1">
          <w:rPr>
            <w:rStyle w:val="Hyperlink"/>
            <w:rFonts w:eastAsiaTheme="minorHAnsi" w:cstheme="minorHAnsi"/>
            <w:i/>
            <w:iCs/>
            <w:szCs w:val="15"/>
            <w:lang w:eastAsia="en-US"/>
          </w:rPr>
          <w:t>Monash Health’s Victorian Heart Hospital officially launches</w:t>
        </w:r>
      </w:hyperlink>
      <w:r w:rsidRPr="00CB31B1">
        <w:rPr>
          <w:rFonts w:eastAsiaTheme="minorHAnsi" w:cstheme="minorHAnsi"/>
          <w:i/>
          <w:iCs/>
          <w:szCs w:val="15"/>
          <w:lang w:eastAsia="en-US"/>
        </w:rPr>
        <w:t xml:space="preserve"> </w:t>
      </w:r>
      <w:r w:rsidRPr="00CB31B1">
        <w:rPr>
          <w:rFonts w:eastAsiaTheme="minorHAnsi" w:cstheme="minorHAnsi"/>
          <w:szCs w:val="15"/>
          <w:lang w:eastAsia="en-US"/>
        </w:rPr>
        <w:t xml:space="preserve">(media release), 19 February 2023, accessed 10 June 2023. </w:t>
      </w:r>
    </w:p>
  </w:endnote>
  <w:endnote w:id="465">
    <w:p w14:paraId="6BFB23EB" w14:textId="7EC0E1D1" w:rsidR="00373ED9" w:rsidRPr="00CB31B1" w:rsidRDefault="00373ED9" w:rsidP="00373ED9">
      <w:pPr>
        <w:pStyle w:val="EndnoteText"/>
        <w:rPr>
          <w:rStyle w:val="Hyperlink"/>
          <w:rFonts w:eastAsiaTheme="minorHAnsi" w:cstheme="minorHAnsi"/>
          <w:i/>
          <w:iCs/>
          <w:szCs w:val="15"/>
          <w:lang w:eastAsia="en-US"/>
        </w:rPr>
      </w:pPr>
      <w:r w:rsidRPr="00CB31B1">
        <w:rPr>
          <w:rStyle w:val="EndnoteReference"/>
          <w:rFonts w:cstheme="minorHAnsi"/>
          <w:szCs w:val="15"/>
        </w:rPr>
        <w:endnoteRef/>
      </w:r>
      <w:r w:rsidRPr="00CB31B1">
        <w:rPr>
          <w:rFonts w:cstheme="minorHAnsi"/>
          <w:szCs w:val="15"/>
        </w:rPr>
        <w:t xml:space="preserve"> Premier of Victoria, </w:t>
      </w:r>
      <w:hyperlink r:id="rId566" w:history="1">
        <w:r w:rsidRPr="00EB00BE">
          <w:rPr>
            <w:rStyle w:val="Hyperlink"/>
            <w:rFonts w:eastAsiaTheme="minorHAnsi" w:cstheme="minorHAnsi"/>
            <w:i/>
            <w:iCs/>
            <w:szCs w:val="15"/>
            <w:lang w:eastAsia="en-US"/>
          </w:rPr>
          <w:t>New South East Palliative Care Hub Now Open</w:t>
        </w:r>
      </w:hyperlink>
      <w:r w:rsidRPr="00CB31B1">
        <w:rPr>
          <w:rStyle w:val="Hyperlink"/>
          <w:rFonts w:eastAsiaTheme="minorHAnsi" w:cstheme="minorHAnsi"/>
          <w:i/>
          <w:iCs/>
          <w:szCs w:val="15"/>
          <w:lang w:eastAsia="en-US"/>
        </w:rPr>
        <w:t xml:space="preserve"> </w:t>
      </w:r>
      <w:r w:rsidRPr="00CB31B1">
        <w:rPr>
          <w:rFonts w:eastAsiaTheme="minorHAnsi" w:cstheme="minorHAnsi"/>
          <w:szCs w:val="15"/>
          <w:lang w:eastAsia="en-US"/>
        </w:rPr>
        <w:t xml:space="preserve">(media release), 11 May 2023, accessed 20 June 2023. </w:t>
      </w:r>
    </w:p>
  </w:endnote>
  <w:endnote w:id="466">
    <w:p w14:paraId="1C9DD061" w14:textId="77777777" w:rsidR="00373ED9" w:rsidRPr="00CB31B1" w:rsidRDefault="00373ED9" w:rsidP="00373ED9">
      <w:pPr>
        <w:spacing w:before="84" w:after="84" w:line="190" w:lineRule="atLeast"/>
        <w:ind w:left="340" w:hanging="340"/>
        <w:rPr>
          <w:rFonts w:cstheme="minorHAnsi"/>
          <w:sz w:val="15"/>
          <w:szCs w:val="15"/>
        </w:rPr>
      </w:pPr>
      <w:r w:rsidRPr="00CB31B1">
        <w:rPr>
          <w:rStyle w:val="EndnoteReference"/>
          <w:rFonts w:cstheme="minorHAnsi"/>
          <w:sz w:val="15"/>
          <w:szCs w:val="15"/>
        </w:rPr>
        <w:endnoteRef/>
      </w:r>
      <w:r w:rsidRPr="00CB31B1">
        <w:rPr>
          <w:rFonts w:cstheme="minorHAnsi"/>
          <w:sz w:val="15"/>
          <w:szCs w:val="15"/>
        </w:rPr>
        <w:t xml:space="preserve"> </w:t>
      </w:r>
      <w:r w:rsidRPr="004A1190">
        <w:rPr>
          <w:sz w:val="15"/>
          <w:szCs w:val="15"/>
        </w:rPr>
        <w:t xml:space="preserve">Department of Treasury and Finance, </w:t>
      </w:r>
      <w:hyperlink r:id="rId567" w:anchor="budget-paper-3-service-delivery" w:history="1">
        <w:r w:rsidRPr="004A1190">
          <w:rPr>
            <w:rStyle w:val="Hyperlink"/>
            <w:i/>
            <w:iCs/>
            <w:sz w:val="15"/>
            <w:szCs w:val="15"/>
          </w:rPr>
          <w:t>Victorian Budget 2023</w:t>
        </w:r>
        <w:r>
          <w:rPr>
            <w:rStyle w:val="Hyperlink"/>
            <w:i/>
            <w:iCs/>
            <w:sz w:val="15"/>
            <w:szCs w:val="15"/>
          </w:rPr>
          <w:t>–</w:t>
        </w:r>
        <w:r w:rsidRPr="004A1190">
          <w:rPr>
            <w:rStyle w:val="Hyperlink"/>
            <w:i/>
            <w:iCs/>
            <w:sz w:val="15"/>
            <w:szCs w:val="15"/>
          </w:rPr>
          <w:t>24 – Budget Paper No. 3</w:t>
        </w:r>
      </w:hyperlink>
      <w:r w:rsidRPr="004A1190">
        <w:rPr>
          <w:sz w:val="15"/>
          <w:szCs w:val="15"/>
        </w:rPr>
        <w:t>, 2023, p</w:t>
      </w:r>
      <w:r>
        <w:rPr>
          <w:sz w:val="15"/>
          <w:szCs w:val="15"/>
        </w:rPr>
        <w:t>. 66, 69</w:t>
      </w:r>
      <w:r w:rsidRPr="004A1190">
        <w:rPr>
          <w:sz w:val="15"/>
          <w:szCs w:val="15"/>
        </w:rPr>
        <w:t xml:space="preserve">, accessed </w:t>
      </w:r>
      <w:r>
        <w:rPr>
          <w:sz w:val="15"/>
          <w:szCs w:val="15"/>
        </w:rPr>
        <w:t xml:space="preserve"> 2 August 2023 </w:t>
      </w:r>
      <w:r w:rsidRPr="004A1190">
        <w:rPr>
          <w:sz w:val="15"/>
          <w:szCs w:val="15"/>
        </w:rPr>
        <w:t>(</w:t>
      </w:r>
      <w:hyperlink r:id="rId568" w:history="1">
        <w:r w:rsidRPr="004A1190">
          <w:rPr>
            <w:rStyle w:val="Hyperlink"/>
            <w:sz w:val="15"/>
            <w:szCs w:val="15"/>
          </w:rPr>
          <w:t>https://s3.ap-southeast-2.amazonaws.com/budgetfiles202324.budget.vic.gov.au/2023</w:t>
        </w:r>
        <w:r>
          <w:rPr>
            <w:rStyle w:val="Hyperlink"/>
            <w:sz w:val="15"/>
            <w:szCs w:val="15"/>
          </w:rPr>
          <w:t>–</w:t>
        </w:r>
        <w:r w:rsidRPr="004A1190">
          <w:rPr>
            <w:rStyle w:val="Hyperlink"/>
            <w:sz w:val="15"/>
            <w:szCs w:val="15"/>
          </w:rPr>
          <w:t>24+State+Budget+-+Service+Delivery.pdf</w:t>
        </w:r>
      </w:hyperlink>
      <w:r w:rsidRPr="004A1190">
        <w:rPr>
          <w:sz w:val="15"/>
          <w:szCs w:val="15"/>
        </w:rPr>
        <w:t>)</w:t>
      </w:r>
      <w:r>
        <w:rPr>
          <w:sz w:val="15"/>
          <w:szCs w:val="15"/>
        </w:rPr>
        <w:t>.</w:t>
      </w:r>
    </w:p>
  </w:endnote>
  <w:endnote w:id="467">
    <w:p w14:paraId="6D4FE331" w14:textId="77777777" w:rsidR="00373ED9" w:rsidRPr="00282FD2" w:rsidRDefault="00373ED9" w:rsidP="00373ED9">
      <w:pPr>
        <w:pStyle w:val="EndnoteText"/>
        <w:rPr>
          <w:i/>
          <w:iCs/>
        </w:rPr>
      </w:pPr>
      <w:r>
        <w:rPr>
          <w:rStyle w:val="EndnoteReference"/>
        </w:rPr>
        <w:endnoteRef/>
      </w:r>
      <w:r>
        <w:t xml:space="preserve"> Minister for Ambulance Services, </w:t>
      </w:r>
      <w:hyperlink r:id="rId569" w:history="1">
        <w:r w:rsidRPr="003F338D">
          <w:rPr>
            <w:rStyle w:val="Hyperlink"/>
            <w:i/>
            <w:iCs/>
          </w:rPr>
          <w:t>Melton paramedics move into their new station</w:t>
        </w:r>
      </w:hyperlink>
      <w:r w:rsidRPr="00282FD2">
        <w:t xml:space="preserve"> (media release)</w:t>
      </w:r>
      <w:r>
        <w:t>, 6 April 2023, accessed 2 August 2023.</w:t>
      </w:r>
    </w:p>
  </w:endnote>
  <w:endnote w:id="468">
    <w:p w14:paraId="2CCBB35B" w14:textId="77777777" w:rsidR="00373ED9" w:rsidRPr="00B73252" w:rsidRDefault="00373ED9" w:rsidP="00373ED9">
      <w:pPr>
        <w:pStyle w:val="EndnoteText"/>
      </w:pPr>
      <w:r>
        <w:rPr>
          <w:rStyle w:val="EndnoteReference"/>
        </w:rPr>
        <w:endnoteRef/>
      </w:r>
      <w:r>
        <w:t xml:space="preserve"> Minister for Ambulance Services, </w:t>
      </w:r>
      <w:hyperlink r:id="rId570" w:history="1">
        <w:r w:rsidRPr="00B73252">
          <w:rPr>
            <w:rStyle w:val="Hyperlink"/>
            <w:i/>
            <w:iCs/>
          </w:rPr>
          <w:t>New Taylors Lakes ambulance station opens its doors</w:t>
        </w:r>
      </w:hyperlink>
      <w:r>
        <w:t xml:space="preserve"> (media release), 6 April 2023, accessed 2 August 2023.</w:t>
      </w:r>
    </w:p>
  </w:endnote>
  <w:endnote w:id="469">
    <w:p w14:paraId="1DAC7AC2" w14:textId="77777777" w:rsidR="00373ED9" w:rsidRPr="00CB31B1" w:rsidRDefault="00373ED9" w:rsidP="00373ED9">
      <w:pPr>
        <w:spacing w:before="84" w:after="84" w:line="190" w:lineRule="atLeast"/>
        <w:ind w:left="340" w:hanging="340"/>
        <w:rPr>
          <w:rFonts w:cstheme="minorHAnsi"/>
          <w:sz w:val="15"/>
          <w:szCs w:val="15"/>
        </w:rPr>
      </w:pPr>
      <w:r w:rsidRPr="00CB31B1">
        <w:rPr>
          <w:rStyle w:val="EndnoteReference"/>
          <w:rFonts w:cstheme="minorHAnsi"/>
          <w:sz w:val="15"/>
          <w:szCs w:val="15"/>
        </w:rPr>
        <w:endnoteRef/>
      </w:r>
      <w:r w:rsidRPr="00CB31B1">
        <w:rPr>
          <w:rFonts w:cstheme="minorHAnsi"/>
          <w:sz w:val="15"/>
          <w:szCs w:val="15"/>
        </w:rPr>
        <w:t xml:space="preserve"> </w:t>
      </w:r>
      <w:r w:rsidRPr="00CB31B1">
        <w:rPr>
          <w:rFonts w:eastAsiaTheme="minorHAnsi" w:cstheme="minorHAnsi"/>
          <w:sz w:val="15"/>
          <w:szCs w:val="15"/>
        </w:rPr>
        <w:t xml:space="preserve">Department of Treasury and Finance, </w:t>
      </w:r>
      <w:hyperlink r:id="rId571" w:anchor="budget-paper-4-state-capital-program" w:history="1">
        <w:r w:rsidRPr="00CB31B1">
          <w:rPr>
            <w:rFonts w:eastAsiaTheme="minorHAnsi" w:cstheme="minorHAnsi"/>
            <w:i/>
            <w:iCs/>
            <w:color w:val="0000FF" w:themeColor="hyperlink"/>
            <w:sz w:val="15"/>
            <w:szCs w:val="15"/>
            <w:u w:val="single"/>
          </w:rPr>
          <w:t xml:space="preserve">Victorian </w:t>
        </w:r>
        <w:r>
          <w:rPr>
            <w:rFonts w:eastAsiaTheme="minorHAnsi" w:cstheme="minorHAnsi"/>
            <w:i/>
            <w:iCs/>
            <w:color w:val="0000FF" w:themeColor="hyperlink"/>
            <w:sz w:val="15"/>
            <w:szCs w:val="15"/>
            <w:u w:val="single"/>
          </w:rPr>
          <w:t xml:space="preserve">Budget </w:t>
        </w:r>
        <w:r w:rsidRPr="00CB31B1">
          <w:rPr>
            <w:rFonts w:eastAsiaTheme="minorHAnsi" w:cstheme="minorHAnsi"/>
            <w:i/>
            <w:iCs/>
            <w:color w:val="0000FF" w:themeColor="hyperlink"/>
            <w:sz w:val="15"/>
            <w:szCs w:val="15"/>
            <w:u w:val="single"/>
          </w:rPr>
          <w:t xml:space="preserve"> 2023</w:t>
        </w:r>
        <w:r>
          <w:rPr>
            <w:rFonts w:eastAsiaTheme="minorHAnsi" w:cstheme="minorHAnsi"/>
            <w:i/>
            <w:iCs/>
            <w:color w:val="0000FF" w:themeColor="hyperlink"/>
            <w:sz w:val="15"/>
            <w:szCs w:val="15"/>
            <w:u w:val="single"/>
          </w:rPr>
          <w:t>–</w:t>
        </w:r>
        <w:r w:rsidRPr="00CB31B1">
          <w:rPr>
            <w:rFonts w:eastAsiaTheme="minorHAnsi" w:cstheme="minorHAnsi"/>
            <w:i/>
            <w:iCs/>
            <w:color w:val="0000FF" w:themeColor="hyperlink"/>
            <w:sz w:val="15"/>
            <w:szCs w:val="15"/>
            <w:u w:val="single"/>
          </w:rPr>
          <w:t xml:space="preserve">24 – </w:t>
        </w:r>
        <w:r>
          <w:rPr>
            <w:rFonts w:eastAsiaTheme="minorHAnsi" w:cstheme="minorHAnsi"/>
            <w:i/>
            <w:iCs/>
            <w:color w:val="0000FF" w:themeColor="hyperlink"/>
            <w:sz w:val="15"/>
            <w:szCs w:val="15"/>
            <w:u w:val="single"/>
          </w:rPr>
          <w:t xml:space="preserve">Budget </w:t>
        </w:r>
        <w:r w:rsidRPr="00CB31B1">
          <w:rPr>
            <w:rFonts w:eastAsiaTheme="minorHAnsi" w:cstheme="minorHAnsi"/>
            <w:i/>
            <w:iCs/>
            <w:color w:val="0000FF" w:themeColor="hyperlink"/>
            <w:sz w:val="15"/>
            <w:szCs w:val="15"/>
            <w:u w:val="single"/>
          </w:rPr>
          <w:t xml:space="preserve"> Paper No. 4</w:t>
        </w:r>
      </w:hyperlink>
      <w:r w:rsidRPr="00CB31B1">
        <w:rPr>
          <w:rFonts w:eastAsiaTheme="minorHAnsi" w:cstheme="minorHAnsi"/>
          <w:sz w:val="15"/>
          <w:szCs w:val="15"/>
        </w:rPr>
        <w:t>, 2023, p.5, accessed 1 June 2023. (</w:t>
      </w:r>
      <w:hyperlink r:id="rId572" w:history="1">
        <w:r w:rsidRPr="00CB31B1">
          <w:rPr>
            <w:rFonts w:eastAsiaTheme="minorHAnsi" w:cstheme="minorHAnsi"/>
            <w:color w:val="0000FF" w:themeColor="hyperlink"/>
            <w:sz w:val="15"/>
            <w:szCs w:val="15"/>
            <w:u w:val="single"/>
          </w:rPr>
          <w:t>https://s3.ap-southeast-2.amazonaws.com/</w:t>
        </w:r>
        <w:r>
          <w:rPr>
            <w:rFonts w:eastAsiaTheme="minorHAnsi" w:cstheme="minorHAnsi"/>
            <w:color w:val="0000FF" w:themeColor="hyperlink"/>
            <w:sz w:val="15"/>
            <w:szCs w:val="15"/>
            <w:u w:val="single"/>
          </w:rPr>
          <w:t xml:space="preserve">Budget </w:t>
        </w:r>
        <w:r w:rsidRPr="00CB31B1">
          <w:rPr>
            <w:rFonts w:eastAsiaTheme="minorHAnsi" w:cstheme="minorHAnsi"/>
            <w:color w:val="0000FF" w:themeColor="hyperlink"/>
            <w:sz w:val="15"/>
            <w:szCs w:val="15"/>
            <w:u w:val="single"/>
          </w:rPr>
          <w:t>files202324.</w:t>
        </w:r>
        <w:r>
          <w:rPr>
            <w:rFonts w:eastAsiaTheme="minorHAnsi" w:cstheme="minorHAnsi"/>
            <w:color w:val="0000FF" w:themeColor="hyperlink"/>
            <w:sz w:val="15"/>
            <w:szCs w:val="15"/>
            <w:u w:val="single"/>
          </w:rPr>
          <w:t xml:space="preserve">Budget </w:t>
        </w:r>
        <w:r w:rsidRPr="00CB31B1">
          <w:rPr>
            <w:rFonts w:eastAsiaTheme="minorHAnsi" w:cstheme="minorHAnsi"/>
            <w:color w:val="0000FF" w:themeColor="hyperlink"/>
            <w:sz w:val="15"/>
            <w:szCs w:val="15"/>
            <w:u w:val="single"/>
          </w:rPr>
          <w:t>.vic.gov.au/2023</w:t>
        </w:r>
        <w:r>
          <w:rPr>
            <w:rFonts w:eastAsiaTheme="minorHAnsi" w:cstheme="minorHAnsi"/>
            <w:color w:val="0000FF" w:themeColor="hyperlink"/>
            <w:sz w:val="15"/>
            <w:szCs w:val="15"/>
            <w:u w:val="single"/>
          </w:rPr>
          <w:t>–</w:t>
        </w:r>
        <w:r w:rsidRPr="00CB31B1">
          <w:rPr>
            <w:rFonts w:eastAsiaTheme="minorHAnsi" w:cstheme="minorHAnsi"/>
            <w:color w:val="0000FF" w:themeColor="hyperlink"/>
            <w:sz w:val="15"/>
            <w:szCs w:val="15"/>
            <w:u w:val="single"/>
          </w:rPr>
          <w:t>24+State+</w:t>
        </w:r>
        <w:r>
          <w:rPr>
            <w:rFonts w:eastAsiaTheme="minorHAnsi" w:cstheme="minorHAnsi"/>
            <w:color w:val="0000FF" w:themeColor="hyperlink"/>
            <w:sz w:val="15"/>
            <w:szCs w:val="15"/>
            <w:u w:val="single"/>
          </w:rPr>
          <w:t xml:space="preserve">Budget </w:t>
        </w:r>
        <w:r w:rsidRPr="00CB31B1">
          <w:rPr>
            <w:rFonts w:eastAsiaTheme="minorHAnsi" w:cstheme="minorHAnsi"/>
            <w:color w:val="0000FF" w:themeColor="hyperlink"/>
            <w:sz w:val="15"/>
            <w:szCs w:val="15"/>
            <w:u w:val="single"/>
          </w:rPr>
          <w:t>+-+State+Capital+Program.pdf</w:t>
        </w:r>
      </w:hyperlink>
      <w:r w:rsidRPr="00CB31B1">
        <w:rPr>
          <w:rFonts w:eastAsiaTheme="minorHAnsi" w:cstheme="minorHAnsi"/>
          <w:sz w:val="15"/>
          <w:szCs w:val="15"/>
        </w:rPr>
        <w:t>)</w:t>
      </w:r>
    </w:p>
  </w:endnote>
  <w:endnote w:id="470">
    <w:p w14:paraId="7CEE3000" w14:textId="61C272ED" w:rsidR="00373ED9" w:rsidRPr="00CB31B1" w:rsidRDefault="00373ED9" w:rsidP="00373ED9">
      <w:pPr>
        <w:pStyle w:val="EndnoteText"/>
        <w:rPr>
          <w:rFonts w:cstheme="minorHAnsi"/>
          <w:szCs w:val="15"/>
        </w:rPr>
      </w:pPr>
      <w:r w:rsidRPr="00CB31B1">
        <w:rPr>
          <w:rStyle w:val="EndnoteReference"/>
          <w:rFonts w:eastAsiaTheme="majorEastAsia" w:cstheme="minorHAnsi"/>
          <w:szCs w:val="15"/>
        </w:rPr>
        <w:endnoteRef/>
      </w:r>
      <w:r w:rsidRPr="00CB31B1">
        <w:rPr>
          <w:rFonts w:cstheme="minorHAnsi"/>
          <w:szCs w:val="15"/>
        </w:rPr>
        <w:t xml:space="preserve"> Infrastructure Victoria, </w:t>
      </w:r>
      <w:hyperlink r:id="rId573" w:history="1">
        <w:r w:rsidRPr="00CB31B1">
          <w:rPr>
            <w:rStyle w:val="Hyperlink"/>
            <w:rFonts w:eastAsiaTheme="majorEastAsia" w:cstheme="minorHAnsi"/>
            <w:i/>
            <w:iCs/>
            <w:szCs w:val="15"/>
          </w:rPr>
          <w:t>Victoria’s infrastructure strategy 2021</w:t>
        </w:r>
        <w:r>
          <w:rPr>
            <w:rStyle w:val="Hyperlink"/>
            <w:rFonts w:eastAsiaTheme="majorEastAsia" w:cstheme="minorHAnsi"/>
            <w:i/>
            <w:iCs/>
            <w:szCs w:val="15"/>
          </w:rPr>
          <w:t>–</w:t>
        </w:r>
        <w:r w:rsidRPr="00CB31B1">
          <w:rPr>
            <w:rStyle w:val="Hyperlink"/>
            <w:rFonts w:eastAsiaTheme="majorEastAsia" w:cstheme="minorHAnsi"/>
            <w:i/>
            <w:iCs/>
            <w:szCs w:val="15"/>
          </w:rPr>
          <w:t>2051</w:t>
        </w:r>
      </w:hyperlink>
      <w:r w:rsidRPr="00CB31B1">
        <w:rPr>
          <w:rFonts w:cstheme="minorHAnsi"/>
          <w:i/>
          <w:iCs/>
          <w:szCs w:val="15"/>
        </w:rPr>
        <w:t>,</w:t>
      </w:r>
      <w:r w:rsidRPr="00CB31B1">
        <w:rPr>
          <w:rFonts w:cstheme="minorHAnsi"/>
          <w:szCs w:val="15"/>
        </w:rPr>
        <w:t xml:space="preserve"> 2021, p. 149, accessed 15 May 2023.</w:t>
      </w:r>
    </w:p>
  </w:endnote>
  <w:endnote w:id="471">
    <w:p w14:paraId="58B473CC" w14:textId="77777777" w:rsidR="00373ED9" w:rsidRPr="00CB31B1" w:rsidRDefault="00373ED9" w:rsidP="00373ED9">
      <w:pPr>
        <w:pStyle w:val="EndnoteText"/>
        <w:rPr>
          <w:rFonts w:cstheme="minorHAnsi"/>
          <w:szCs w:val="15"/>
        </w:rPr>
      </w:pPr>
      <w:r w:rsidRPr="00CB31B1">
        <w:rPr>
          <w:rStyle w:val="EndnoteReference"/>
          <w:rFonts w:cstheme="minorHAnsi"/>
          <w:szCs w:val="15"/>
        </w:rPr>
        <w:endnoteRef/>
      </w:r>
      <w:r w:rsidRPr="00CB31B1">
        <w:rPr>
          <w:rFonts w:cstheme="minorHAnsi"/>
          <w:szCs w:val="15"/>
        </w:rPr>
        <w:t xml:space="preserve"> </w:t>
      </w:r>
      <w:r w:rsidRPr="00CB31B1">
        <w:rPr>
          <w:rFonts w:eastAsiaTheme="minorHAnsi" w:cstheme="minorHAnsi"/>
          <w:szCs w:val="15"/>
          <w:lang w:eastAsia="en-US"/>
        </w:rPr>
        <w:t xml:space="preserve">Department of Treasury and Finance, </w:t>
      </w:r>
      <w:hyperlink r:id="rId574" w:anchor="budget-paper-4-state-capital-program" w:history="1">
        <w:r w:rsidRPr="00CB31B1">
          <w:rPr>
            <w:rFonts w:eastAsiaTheme="minorHAnsi" w:cstheme="minorHAnsi"/>
            <w:i/>
            <w:iCs/>
            <w:color w:val="0000FF" w:themeColor="hyperlink"/>
            <w:szCs w:val="15"/>
            <w:u w:val="single"/>
            <w:lang w:eastAsia="en-US"/>
          </w:rPr>
          <w:t xml:space="preserve">Victorian </w:t>
        </w:r>
        <w:r>
          <w:rPr>
            <w:rFonts w:eastAsiaTheme="minorHAnsi" w:cstheme="minorHAnsi"/>
            <w:i/>
            <w:iCs/>
            <w:color w:val="0000FF" w:themeColor="hyperlink"/>
            <w:szCs w:val="15"/>
            <w:u w:val="single"/>
            <w:lang w:eastAsia="en-US"/>
          </w:rPr>
          <w:t xml:space="preserve">Budget </w:t>
        </w:r>
        <w:r w:rsidRPr="00CB31B1">
          <w:rPr>
            <w:rFonts w:eastAsiaTheme="minorHAnsi" w:cstheme="minorHAnsi"/>
            <w:i/>
            <w:iCs/>
            <w:color w:val="0000FF" w:themeColor="hyperlink"/>
            <w:szCs w:val="15"/>
            <w:u w:val="single"/>
            <w:lang w:eastAsia="en-US"/>
          </w:rPr>
          <w:t xml:space="preserve"> 2023</w:t>
        </w:r>
        <w:r>
          <w:rPr>
            <w:rFonts w:eastAsiaTheme="minorHAnsi" w:cstheme="minorHAnsi"/>
            <w:i/>
            <w:iCs/>
            <w:color w:val="0000FF" w:themeColor="hyperlink"/>
            <w:szCs w:val="15"/>
            <w:u w:val="single"/>
            <w:lang w:eastAsia="en-US"/>
          </w:rPr>
          <w:t>–</w:t>
        </w:r>
        <w:r w:rsidRPr="00CB31B1">
          <w:rPr>
            <w:rFonts w:eastAsiaTheme="minorHAnsi" w:cstheme="minorHAnsi"/>
            <w:i/>
            <w:iCs/>
            <w:color w:val="0000FF" w:themeColor="hyperlink"/>
            <w:szCs w:val="15"/>
            <w:u w:val="single"/>
            <w:lang w:eastAsia="en-US"/>
          </w:rPr>
          <w:t xml:space="preserve">24 – </w:t>
        </w:r>
        <w:r>
          <w:rPr>
            <w:rFonts w:eastAsiaTheme="minorHAnsi" w:cstheme="minorHAnsi"/>
            <w:i/>
            <w:iCs/>
            <w:color w:val="0000FF" w:themeColor="hyperlink"/>
            <w:szCs w:val="15"/>
            <w:u w:val="single"/>
            <w:lang w:eastAsia="en-US"/>
          </w:rPr>
          <w:t xml:space="preserve">Budget </w:t>
        </w:r>
        <w:r w:rsidRPr="00CB31B1">
          <w:rPr>
            <w:rFonts w:eastAsiaTheme="minorHAnsi" w:cstheme="minorHAnsi"/>
            <w:i/>
            <w:iCs/>
            <w:color w:val="0000FF" w:themeColor="hyperlink"/>
            <w:szCs w:val="15"/>
            <w:u w:val="single"/>
            <w:lang w:eastAsia="en-US"/>
          </w:rPr>
          <w:t xml:space="preserve"> Paper No. 4</w:t>
        </w:r>
      </w:hyperlink>
      <w:r w:rsidRPr="00CB31B1">
        <w:rPr>
          <w:rFonts w:eastAsiaTheme="minorHAnsi" w:cstheme="minorHAnsi"/>
          <w:szCs w:val="15"/>
          <w:lang w:eastAsia="en-US"/>
        </w:rPr>
        <w:t>, 2023, p.6, accessed 1 June 2023. (</w:t>
      </w:r>
      <w:hyperlink r:id="rId575" w:history="1">
        <w:r w:rsidRPr="00CB31B1">
          <w:rPr>
            <w:rFonts w:eastAsiaTheme="minorHAnsi" w:cstheme="minorHAnsi"/>
            <w:color w:val="0000FF" w:themeColor="hyperlink"/>
            <w:szCs w:val="15"/>
            <w:u w:val="single"/>
            <w:lang w:eastAsia="en-US"/>
          </w:rPr>
          <w:t>https://s3.ap-southeast-2.amazonaws.com/</w:t>
        </w:r>
        <w:r>
          <w:rPr>
            <w:rFonts w:eastAsiaTheme="minorHAnsi" w:cstheme="minorHAnsi"/>
            <w:color w:val="0000FF" w:themeColor="hyperlink"/>
            <w:szCs w:val="15"/>
            <w:u w:val="single"/>
            <w:lang w:eastAsia="en-US"/>
          </w:rPr>
          <w:t xml:space="preserve">Budget </w:t>
        </w:r>
        <w:r w:rsidRPr="00CB31B1">
          <w:rPr>
            <w:rFonts w:eastAsiaTheme="minorHAnsi" w:cstheme="minorHAnsi"/>
            <w:color w:val="0000FF" w:themeColor="hyperlink"/>
            <w:szCs w:val="15"/>
            <w:u w:val="single"/>
            <w:lang w:eastAsia="en-US"/>
          </w:rPr>
          <w:t>files202324.</w:t>
        </w:r>
        <w:r>
          <w:rPr>
            <w:rFonts w:eastAsiaTheme="minorHAnsi" w:cstheme="minorHAnsi"/>
            <w:color w:val="0000FF" w:themeColor="hyperlink"/>
            <w:szCs w:val="15"/>
            <w:u w:val="single"/>
            <w:lang w:eastAsia="en-US"/>
          </w:rPr>
          <w:t xml:space="preserve">Budget </w:t>
        </w:r>
        <w:r w:rsidRPr="00CB31B1">
          <w:rPr>
            <w:rFonts w:eastAsiaTheme="minorHAnsi" w:cstheme="minorHAnsi"/>
            <w:color w:val="0000FF" w:themeColor="hyperlink"/>
            <w:szCs w:val="15"/>
            <w:u w:val="single"/>
            <w:lang w:eastAsia="en-US"/>
          </w:rPr>
          <w:t>.vic.gov.au/2023</w:t>
        </w:r>
        <w:r>
          <w:rPr>
            <w:rFonts w:eastAsiaTheme="minorHAnsi" w:cstheme="minorHAnsi"/>
            <w:color w:val="0000FF" w:themeColor="hyperlink"/>
            <w:szCs w:val="15"/>
            <w:u w:val="single"/>
            <w:lang w:eastAsia="en-US"/>
          </w:rPr>
          <w:t>–</w:t>
        </w:r>
        <w:r w:rsidRPr="00CB31B1">
          <w:rPr>
            <w:rFonts w:eastAsiaTheme="minorHAnsi" w:cstheme="minorHAnsi"/>
            <w:color w:val="0000FF" w:themeColor="hyperlink"/>
            <w:szCs w:val="15"/>
            <w:u w:val="single"/>
            <w:lang w:eastAsia="en-US"/>
          </w:rPr>
          <w:t>24+State+</w:t>
        </w:r>
        <w:r>
          <w:rPr>
            <w:rFonts w:eastAsiaTheme="minorHAnsi" w:cstheme="minorHAnsi"/>
            <w:color w:val="0000FF" w:themeColor="hyperlink"/>
            <w:szCs w:val="15"/>
            <w:u w:val="single"/>
            <w:lang w:eastAsia="en-US"/>
          </w:rPr>
          <w:t xml:space="preserve">Budget </w:t>
        </w:r>
        <w:r w:rsidRPr="00CB31B1">
          <w:rPr>
            <w:rFonts w:eastAsiaTheme="minorHAnsi" w:cstheme="minorHAnsi"/>
            <w:color w:val="0000FF" w:themeColor="hyperlink"/>
            <w:szCs w:val="15"/>
            <w:u w:val="single"/>
            <w:lang w:eastAsia="en-US"/>
          </w:rPr>
          <w:t>+-+State+Capital+Program.pdf</w:t>
        </w:r>
      </w:hyperlink>
      <w:r w:rsidRPr="00CB31B1">
        <w:rPr>
          <w:rFonts w:eastAsiaTheme="minorHAnsi" w:cstheme="minorHAnsi"/>
          <w:szCs w:val="15"/>
          <w:lang w:eastAsia="en-US"/>
        </w:rPr>
        <w:t>)</w:t>
      </w:r>
      <w:r>
        <w:rPr>
          <w:rFonts w:eastAsiaTheme="minorHAnsi" w:cstheme="minorHAnsi"/>
          <w:szCs w:val="15"/>
          <w:lang w:eastAsia="en-US"/>
        </w:rPr>
        <w:t>.</w:t>
      </w:r>
    </w:p>
  </w:endnote>
  <w:endnote w:id="472">
    <w:p w14:paraId="1DCB466F" w14:textId="1337294A" w:rsidR="00373ED9" w:rsidRPr="00CB31B1" w:rsidRDefault="00373ED9" w:rsidP="00373ED9">
      <w:pPr>
        <w:pStyle w:val="EndnoteText"/>
        <w:rPr>
          <w:rFonts w:cstheme="minorHAnsi"/>
          <w:szCs w:val="15"/>
        </w:rPr>
      </w:pPr>
      <w:r w:rsidRPr="00CB31B1">
        <w:rPr>
          <w:rStyle w:val="EndnoteReference"/>
          <w:rFonts w:cstheme="minorHAnsi"/>
          <w:szCs w:val="15"/>
        </w:rPr>
        <w:endnoteRef/>
      </w:r>
      <w:r w:rsidRPr="00CB31B1">
        <w:rPr>
          <w:rFonts w:cstheme="minorHAnsi"/>
          <w:szCs w:val="15"/>
        </w:rPr>
        <w:t xml:space="preserve"> Infrastructure Victoria, </w:t>
      </w:r>
      <w:hyperlink r:id="rId576" w:history="1">
        <w:r w:rsidRPr="00CB31B1">
          <w:rPr>
            <w:rStyle w:val="Hyperlink"/>
            <w:rFonts w:eastAsiaTheme="majorEastAsia" w:cstheme="minorHAnsi"/>
            <w:i/>
            <w:iCs/>
            <w:szCs w:val="15"/>
          </w:rPr>
          <w:t>Victoria’s infrastructure strategy 2021</w:t>
        </w:r>
        <w:r>
          <w:rPr>
            <w:rStyle w:val="Hyperlink"/>
            <w:rFonts w:eastAsiaTheme="majorEastAsia" w:cstheme="minorHAnsi"/>
            <w:i/>
            <w:iCs/>
            <w:szCs w:val="15"/>
          </w:rPr>
          <w:t>–</w:t>
        </w:r>
        <w:r w:rsidRPr="00CB31B1">
          <w:rPr>
            <w:rStyle w:val="Hyperlink"/>
            <w:rFonts w:eastAsiaTheme="majorEastAsia" w:cstheme="minorHAnsi"/>
            <w:i/>
            <w:iCs/>
            <w:szCs w:val="15"/>
          </w:rPr>
          <w:t>2051</w:t>
        </w:r>
      </w:hyperlink>
      <w:r w:rsidRPr="00CB31B1">
        <w:rPr>
          <w:rFonts w:cstheme="minorHAnsi"/>
          <w:i/>
          <w:iCs/>
          <w:szCs w:val="15"/>
        </w:rPr>
        <w:t>,</w:t>
      </w:r>
      <w:r w:rsidRPr="00CB31B1">
        <w:rPr>
          <w:rFonts w:cstheme="minorHAnsi"/>
          <w:szCs w:val="15"/>
        </w:rPr>
        <w:t xml:space="preserve"> 2021, p. 149, accessed 15 May 2023.</w:t>
      </w:r>
    </w:p>
  </w:endnote>
  <w:endnote w:id="473">
    <w:p w14:paraId="1A59C454" w14:textId="77777777" w:rsidR="00373ED9" w:rsidRPr="00CB31B1" w:rsidRDefault="00373ED9" w:rsidP="00373ED9">
      <w:pPr>
        <w:pStyle w:val="EndnoteText"/>
        <w:rPr>
          <w:rFonts w:cstheme="minorHAnsi"/>
          <w:szCs w:val="15"/>
        </w:rPr>
      </w:pPr>
      <w:r w:rsidRPr="00CB31B1">
        <w:rPr>
          <w:rStyle w:val="EndnoteReference"/>
          <w:rFonts w:cstheme="minorHAnsi"/>
          <w:szCs w:val="15"/>
        </w:rPr>
        <w:endnoteRef/>
      </w:r>
      <w:r w:rsidRPr="00CB31B1">
        <w:rPr>
          <w:rFonts w:cstheme="minorHAnsi"/>
          <w:szCs w:val="15"/>
        </w:rPr>
        <w:t xml:space="preserve"> </w:t>
      </w:r>
      <w:r w:rsidRPr="004A1190">
        <w:rPr>
          <w:szCs w:val="15"/>
        </w:rPr>
        <w:t xml:space="preserve">Department of Treasury and Finance, </w:t>
      </w:r>
      <w:hyperlink r:id="rId577" w:anchor="budget-paper-3-service-delivery" w:history="1">
        <w:r w:rsidRPr="004A1190">
          <w:rPr>
            <w:rStyle w:val="Hyperlink"/>
            <w:i/>
            <w:iCs/>
            <w:szCs w:val="15"/>
          </w:rPr>
          <w:t>Victorian Budget 2023</w:t>
        </w:r>
        <w:r>
          <w:rPr>
            <w:rStyle w:val="Hyperlink"/>
            <w:i/>
            <w:iCs/>
            <w:szCs w:val="15"/>
          </w:rPr>
          <w:t>–</w:t>
        </w:r>
        <w:r w:rsidRPr="004A1190">
          <w:rPr>
            <w:rStyle w:val="Hyperlink"/>
            <w:i/>
            <w:iCs/>
            <w:szCs w:val="15"/>
          </w:rPr>
          <w:t>24 – Budget Paper No. 3</w:t>
        </w:r>
      </w:hyperlink>
      <w:r w:rsidRPr="004A1190">
        <w:rPr>
          <w:szCs w:val="15"/>
        </w:rPr>
        <w:t>, 2023, p</w:t>
      </w:r>
      <w:r>
        <w:rPr>
          <w:szCs w:val="15"/>
        </w:rPr>
        <w:t>. 66, 67</w:t>
      </w:r>
      <w:r w:rsidRPr="004A1190">
        <w:rPr>
          <w:szCs w:val="15"/>
        </w:rPr>
        <w:t xml:space="preserve">, accessed </w:t>
      </w:r>
      <w:r>
        <w:rPr>
          <w:szCs w:val="15"/>
        </w:rPr>
        <w:t xml:space="preserve"> 2 August 2023 </w:t>
      </w:r>
      <w:r w:rsidRPr="004A1190">
        <w:rPr>
          <w:szCs w:val="15"/>
        </w:rPr>
        <w:t>(</w:t>
      </w:r>
      <w:hyperlink r:id="rId578" w:history="1">
        <w:r w:rsidRPr="004A1190">
          <w:rPr>
            <w:rStyle w:val="Hyperlink"/>
            <w:szCs w:val="15"/>
          </w:rPr>
          <w:t>https://s3.ap-southeast-2.amazonaws.com/budgetfiles202324.budget.vic.gov.au/2023</w:t>
        </w:r>
        <w:r>
          <w:rPr>
            <w:rStyle w:val="Hyperlink"/>
            <w:szCs w:val="15"/>
          </w:rPr>
          <w:t>–</w:t>
        </w:r>
        <w:r w:rsidRPr="004A1190">
          <w:rPr>
            <w:rStyle w:val="Hyperlink"/>
            <w:szCs w:val="15"/>
          </w:rPr>
          <w:t>24+State+Budget+-+Service+Delivery.pdf</w:t>
        </w:r>
      </w:hyperlink>
      <w:r w:rsidRPr="004A1190">
        <w:rPr>
          <w:szCs w:val="15"/>
        </w:rPr>
        <w:t>)</w:t>
      </w:r>
      <w:r>
        <w:rPr>
          <w:szCs w:val="15"/>
        </w:rPr>
        <w:t>.</w:t>
      </w:r>
    </w:p>
  </w:endnote>
  <w:endnote w:id="474">
    <w:p w14:paraId="00CD803E" w14:textId="77777777" w:rsidR="00373ED9" w:rsidRDefault="00373ED9" w:rsidP="00373ED9">
      <w:pPr>
        <w:pStyle w:val="EndnoteText"/>
      </w:pPr>
      <w:r>
        <w:rPr>
          <w:rStyle w:val="EndnoteReference"/>
        </w:rPr>
        <w:endnoteRef/>
      </w:r>
      <w:r>
        <w:t xml:space="preserve"> </w:t>
      </w:r>
      <w:r w:rsidRPr="004A1190">
        <w:rPr>
          <w:szCs w:val="15"/>
        </w:rPr>
        <w:t xml:space="preserve">Department of Treasury and Finance, </w:t>
      </w:r>
      <w:hyperlink r:id="rId579" w:anchor="budget-paper-3-service-delivery" w:history="1">
        <w:r w:rsidRPr="004A1190">
          <w:rPr>
            <w:rStyle w:val="Hyperlink"/>
            <w:i/>
            <w:iCs/>
            <w:szCs w:val="15"/>
          </w:rPr>
          <w:t>Victorian Budget 2023</w:t>
        </w:r>
        <w:r>
          <w:rPr>
            <w:rStyle w:val="Hyperlink"/>
            <w:i/>
            <w:iCs/>
            <w:szCs w:val="15"/>
          </w:rPr>
          <w:t>–</w:t>
        </w:r>
        <w:r w:rsidRPr="004A1190">
          <w:rPr>
            <w:rStyle w:val="Hyperlink"/>
            <w:i/>
            <w:iCs/>
            <w:szCs w:val="15"/>
          </w:rPr>
          <w:t>24 – Budget Paper No. 3</w:t>
        </w:r>
      </w:hyperlink>
      <w:r w:rsidRPr="004A1190">
        <w:rPr>
          <w:szCs w:val="15"/>
        </w:rPr>
        <w:t>, 2023, p</w:t>
      </w:r>
      <w:r>
        <w:rPr>
          <w:szCs w:val="15"/>
        </w:rPr>
        <w:t>p. 66–67</w:t>
      </w:r>
      <w:r w:rsidRPr="004A1190">
        <w:rPr>
          <w:szCs w:val="15"/>
        </w:rPr>
        <w:t xml:space="preserve">, accessed </w:t>
      </w:r>
      <w:r>
        <w:rPr>
          <w:szCs w:val="15"/>
        </w:rPr>
        <w:t>2 August</w:t>
      </w:r>
      <w:r w:rsidRPr="004A1190">
        <w:rPr>
          <w:szCs w:val="15"/>
        </w:rPr>
        <w:t xml:space="preserve"> (</w:t>
      </w:r>
      <w:hyperlink r:id="rId580" w:history="1">
        <w:r w:rsidRPr="004A1190">
          <w:rPr>
            <w:rStyle w:val="Hyperlink"/>
            <w:szCs w:val="15"/>
          </w:rPr>
          <w:t>https://s3.ap-southeast-2.amazonaws.com/budgetfiles202324.budget.vic.gov.au/2023</w:t>
        </w:r>
        <w:r>
          <w:rPr>
            <w:rStyle w:val="Hyperlink"/>
            <w:szCs w:val="15"/>
          </w:rPr>
          <w:t>–</w:t>
        </w:r>
        <w:r w:rsidRPr="004A1190">
          <w:rPr>
            <w:rStyle w:val="Hyperlink"/>
            <w:szCs w:val="15"/>
          </w:rPr>
          <w:t>24+State+Budget+-+Service+Delivery.pdf</w:t>
        </w:r>
      </w:hyperlink>
      <w:r w:rsidRPr="004A1190">
        <w:rPr>
          <w:szCs w:val="15"/>
        </w:rPr>
        <w:t>)</w:t>
      </w:r>
      <w:r>
        <w:rPr>
          <w:szCs w:val="15"/>
        </w:rPr>
        <w:t>.</w:t>
      </w:r>
    </w:p>
  </w:endnote>
  <w:endnote w:id="475">
    <w:p w14:paraId="66BD8710" w14:textId="784325CB" w:rsidR="00373ED9" w:rsidRDefault="00373ED9" w:rsidP="00373ED9">
      <w:pPr>
        <w:pStyle w:val="EndnoteText"/>
      </w:pPr>
      <w:r>
        <w:rPr>
          <w:rStyle w:val="EndnoteReference"/>
        </w:rPr>
        <w:endnoteRef/>
      </w:r>
      <w:r>
        <w:t xml:space="preserve"> </w:t>
      </w:r>
      <w:r w:rsidRPr="00CB31B1">
        <w:rPr>
          <w:rFonts w:cstheme="minorHAnsi"/>
          <w:szCs w:val="15"/>
        </w:rPr>
        <w:t xml:space="preserve">Infrastructure Victoria, </w:t>
      </w:r>
      <w:hyperlink r:id="rId581" w:history="1">
        <w:r w:rsidRPr="00CB31B1">
          <w:rPr>
            <w:rStyle w:val="Hyperlink"/>
            <w:rFonts w:eastAsiaTheme="majorEastAsia" w:cstheme="minorHAnsi"/>
            <w:i/>
            <w:iCs/>
            <w:szCs w:val="15"/>
          </w:rPr>
          <w:t>Victoria’s infrastructure strategy 2021–2051</w:t>
        </w:r>
      </w:hyperlink>
      <w:r w:rsidRPr="00CB31B1">
        <w:rPr>
          <w:rFonts w:cstheme="minorHAnsi"/>
          <w:i/>
          <w:iCs/>
          <w:szCs w:val="15"/>
        </w:rPr>
        <w:t>,</w:t>
      </w:r>
      <w:r w:rsidRPr="00CB31B1">
        <w:rPr>
          <w:rFonts w:cstheme="minorHAnsi"/>
          <w:szCs w:val="15"/>
        </w:rPr>
        <w:t xml:space="preserve"> 2021, p. </w:t>
      </w:r>
      <w:r>
        <w:rPr>
          <w:rFonts w:cstheme="minorHAnsi"/>
          <w:szCs w:val="15"/>
        </w:rPr>
        <w:t>191</w:t>
      </w:r>
      <w:r w:rsidRPr="00CB31B1">
        <w:rPr>
          <w:rFonts w:cstheme="minorHAnsi"/>
          <w:szCs w:val="15"/>
        </w:rPr>
        <w:t xml:space="preserve">, accessed </w:t>
      </w:r>
      <w:r>
        <w:rPr>
          <w:rFonts w:cstheme="minorHAnsi"/>
          <w:szCs w:val="15"/>
        </w:rPr>
        <w:t xml:space="preserve">17 August </w:t>
      </w:r>
      <w:r w:rsidRPr="00CB31B1">
        <w:rPr>
          <w:rFonts w:cstheme="minorHAnsi"/>
          <w:szCs w:val="15"/>
        </w:rPr>
        <w:t>2023.</w:t>
      </w:r>
    </w:p>
  </w:endnote>
  <w:endnote w:id="476">
    <w:p w14:paraId="0FF36807" w14:textId="5C37EF85" w:rsidR="00373ED9" w:rsidRDefault="00373ED9" w:rsidP="00373ED9">
      <w:pPr>
        <w:pStyle w:val="EndnoteText"/>
      </w:pPr>
      <w:r>
        <w:rPr>
          <w:rStyle w:val="EndnoteReference"/>
        </w:rPr>
        <w:endnoteRef/>
      </w:r>
      <w:r>
        <w:t xml:space="preserve"> </w:t>
      </w:r>
      <w:r w:rsidRPr="00CB31B1">
        <w:rPr>
          <w:rFonts w:cstheme="minorHAnsi"/>
          <w:szCs w:val="15"/>
        </w:rPr>
        <w:t xml:space="preserve">Infrastructure Victoria, </w:t>
      </w:r>
      <w:hyperlink r:id="rId582" w:history="1">
        <w:r w:rsidRPr="00CB31B1">
          <w:rPr>
            <w:rStyle w:val="Hyperlink"/>
            <w:rFonts w:eastAsiaTheme="majorEastAsia" w:cstheme="minorHAnsi"/>
            <w:i/>
            <w:iCs/>
            <w:szCs w:val="15"/>
          </w:rPr>
          <w:t>Victoria’s infrastructure strategy 2021–2051</w:t>
        </w:r>
      </w:hyperlink>
      <w:r w:rsidRPr="00CB31B1">
        <w:rPr>
          <w:rFonts w:cstheme="minorHAnsi"/>
          <w:i/>
          <w:iCs/>
          <w:szCs w:val="15"/>
        </w:rPr>
        <w:t>,</w:t>
      </w:r>
      <w:r w:rsidRPr="00CB31B1">
        <w:rPr>
          <w:rFonts w:cstheme="minorHAnsi"/>
          <w:szCs w:val="15"/>
        </w:rPr>
        <w:t xml:space="preserve"> 2021, p. </w:t>
      </w:r>
      <w:r>
        <w:rPr>
          <w:rFonts w:cstheme="minorHAnsi"/>
          <w:szCs w:val="15"/>
        </w:rPr>
        <w:t>149</w:t>
      </w:r>
      <w:r w:rsidRPr="00CB31B1">
        <w:rPr>
          <w:rFonts w:cstheme="minorHAnsi"/>
          <w:szCs w:val="15"/>
        </w:rPr>
        <w:t xml:space="preserve">, accessed </w:t>
      </w:r>
      <w:r>
        <w:rPr>
          <w:rFonts w:cstheme="minorHAnsi"/>
          <w:szCs w:val="15"/>
        </w:rPr>
        <w:t xml:space="preserve">17 August </w:t>
      </w:r>
      <w:r w:rsidRPr="00CB31B1">
        <w:rPr>
          <w:rFonts w:cstheme="minorHAnsi"/>
          <w:szCs w:val="15"/>
        </w:rPr>
        <w:t>2023.</w:t>
      </w:r>
    </w:p>
  </w:endnote>
  <w:endnote w:id="477">
    <w:p w14:paraId="07EA931D" w14:textId="61BCA0CB" w:rsidR="00373ED9" w:rsidRPr="00CB31B1" w:rsidRDefault="00373ED9" w:rsidP="00373ED9">
      <w:pPr>
        <w:pStyle w:val="EndnoteText"/>
        <w:rPr>
          <w:rFonts w:cstheme="minorHAnsi"/>
          <w:szCs w:val="15"/>
        </w:rPr>
      </w:pPr>
      <w:r w:rsidRPr="00CB31B1">
        <w:rPr>
          <w:rStyle w:val="EndnoteReference"/>
          <w:rFonts w:cstheme="minorHAnsi"/>
          <w:szCs w:val="15"/>
        </w:rPr>
        <w:endnoteRef/>
      </w:r>
      <w:r w:rsidRPr="00CB31B1">
        <w:rPr>
          <w:rFonts w:cstheme="minorHAnsi"/>
          <w:szCs w:val="15"/>
        </w:rPr>
        <w:t xml:space="preserve"> Infrastructure Victoria, </w:t>
      </w:r>
      <w:hyperlink r:id="rId583" w:history="1">
        <w:r w:rsidRPr="00CB31B1">
          <w:rPr>
            <w:rStyle w:val="Hyperlink"/>
            <w:rFonts w:eastAsiaTheme="majorEastAsia" w:cstheme="minorHAnsi"/>
            <w:i/>
            <w:iCs/>
            <w:szCs w:val="15"/>
          </w:rPr>
          <w:t>Victoria’s infrastructure strategy 2021–2051</w:t>
        </w:r>
      </w:hyperlink>
      <w:r w:rsidRPr="00CB31B1">
        <w:rPr>
          <w:rFonts w:cstheme="minorHAnsi"/>
          <w:i/>
          <w:iCs/>
          <w:szCs w:val="15"/>
        </w:rPr>
        <w:t>,</w:t>
      </w:r>
      <w:r w:rsidRPr="00CB31B1">
        <w:rPr>
          <w:rFonts w:cstheme="minorHAnsi"/>
          <w:szCs w:val="15"/>
        </w:rPr>
        <w:t xml:space="preserve"> 2021, p. 86, accessed 10 May 2023. </w:t>
      </w:r>
    </w:p>
  </w:endnote>
  <w:endnote w:id="478">
    <w:p w14:paraId="4D1A6659" w14:textId="77777777" w:rsidR="00373ED9" w:rsidRDefault="00373ED9" w:rsidP="00373ED9">
      <w:pPr>
        <w:pStyle w:val="EndnoteText"/>
      </w:pPr>
      <w:r>
        <w:rPr>
          <w:rStyle w:val="EndnoteReference"/>
        </w:rPr>
        <w:endnoteRef/>
      </w:r>
      <w:r>
        <w:t xml:space="preserve"> </w:t>
      </w:r>
      <w:r w:rsidRPr="00CB31B1">
        <w:rPr>
          <w:rFonts w:eastAsiaTheme="minorHAnsi" w:cstheme="minorHAnsi"/>
          <w:szCs w:val="15"/>
          <w:lang w:eastAsia="en-US"/>
        </w:rPr>
        <w:t xml:space="preserve">Department of Treasury and Finance, </w:t>
      </w:r>
      <w:hyperlink r:id="rId584" w:anchor="budget-paper-3-service-delivery" w:history="1">
        <w:r w:rsidRPr="00CB31B1">
          <w:rPr>
            <w:rFonts w:eastAsiaTheme="minorHAnsi" w:cstheme="minorHAnsi"/>
            <w:i/>
            <w:iCs/>
            <w:color w:val="0000FF" w:themeColor="hyperlink"/>
            <w:szCs w:val="15"/>
            <w:u w:val="single"/>
            <w:lang w:eastAsia="en-US"/>
          </w:rPr>
          <w:t xml:space="preserve">Victorian </w:t>
        </w:r>
        <w:r>
          <w:rPr>
            <w:rFonts w:eastAsiaTheme="minorHAnsi" w:cstheme="minorHAnsi"/>
            <w:i/>
            <w:iCs/>
            <w:color w:val="0000FF" w:themeColor="hyperlink"/>
            <w:szCs w:val="15"/>
            <w:u w:val="single"/>
            <w:lang w:eastAsia="en-US"/>
          </w:rPr>
          <w:t xml:space="preserve">Budget </w:t>
        </w:r>
        <w:r w:rsidRPr="00CB31B1">
          <w:rPr>
            <w:rFonts w:eastAsiaTheme="minorHAnsi" w:cstheme="minorHAnsi"/>
            <w:i/>
            <w:iCs/>
            <w:color w:val="0000FF" w:themeColor="hyperlink"/>
            <w:szCs w:val="15"/>
            <w:u w:val="single"/>
            <w:lang w:eastAsia="en-US"/>
          </w:rPr>
          <w:t xml:space="preserve"> 2023</w:t>
        </w:r>
        <w:r>
          <w:rPr>
            <w:rFonts w:eastAsiaTheme="minorHAnsi" w:cstheme="minorHAnsi"/>
            <w:i/>
            <w:iCs/>
            <w:color w:val="0000FF" w:themeColor="hyperlink"/>
            <w:szCs w:val="15"/>
            <w:u w:val="single"/>
            <w:lang w:eastAsia="en-US"/>
          </w:rPr>
          <w:t>–</w:t>
        </w:r>
        <w:r w:rsidRPr="00CB31B1">
          <w:rPr>
            <w:rFonts w:eastAsiaTheme="minorHAnsi" w:cstheme="minorHAnsi"/>
            <w:i/>
            <w:iCs/>
            <w:color w:val="0000FF" w:themeColor="hyperlink"/>
            <w:szCs w:val="15"/>
            <w:u w:val="single"/>
            <w:lang w:eastAsia="en-US"/>
          </w:rPr>
          <w:t xml:space="preserve">24 – </w:t>
        </w:r>
        <w:r>
          <w:rPr>
            <w:rFonts w:eastAsiaTheme="minorHAnsi" w:cstheme="minorHAnsi"/>
            <w:i/>
            <w:iCs/>
            <w:color w:val="0000FF" w:themeColor="hyperlink"/>
            <w:szCs w:val="15"/>
            <w:u w:val="single"/>
            <w:lang w:eastAsia="en-US"/>
          </w:rPr>
          <w:t xml:space="preserve">Budget </w:t>
        </w:r>
        <w:r w:rsidRPr="00CB31B1">
          <w:rPr>
            <w:rFonts w:eastAsiaTheme="minorHAnsi" w:cstheme="minorHAnsi"/>
            <w:i/>
            <w:iCs/>
            <w:color w:val="0000FF" w:themeColor="hyperlink"/>
            <w:szCs w:val="15"/>
            <w:u w:val="single"/>
            <w:lang w:eastAsia="en-US"/>
          </w:rPr>
          <w:t xml:space="preserve"> Paper No. 3</w:t>
        </w:r>
      </w:hyperlink>
      <w:r w:rsidRPr="00CB31B1">
        <w:rPr>
          <w:rFonts w:eastAsiaTheme="minorHAnsi" w:cstheme="minorHAnsi"/>
          <w:szCs w:val="15"/>
          <w:lang w:eastAsia="en-US"/>
        </w:rPr>
        <w:t>, 2023, p.</w:t>
      </w:r>
      <w:r>
        <w:rPr>
          <w:rFonts w:eastAsiaTheme="minorHAnsi" w:cstheme="minorHAnsi"/>
          <w:szCs w:val="15"/>
          <w:lang w:eastAsia="en-US"/>
        </w:rPr>
        <w:t>211</w:t>
      </w:r>
      <w:r w:rsidRPr="00CB31B1">
        <w:rPr>
          <w:rFonts w:eastAsiaTheme="minorHAnsi" w:cstheme="minorHAnsi"/>
          <w:szCs w:val="15"/>
          <w:lang w:eastAsia="en-US"/>
        </w:rPr>
        <w:t xml:space="preserve">, accessed </w:t>
      </w:r>
      <w:r>
        <w:rPr>
          <w:rFonts w:eastAsiaTheme="minorHAnsi" w:cstheme="minorHAnsi"/>
          <w:szCs w:val="15"/>
          <w:lang w:eastAsia="en-US"/>
        </w:rPr>
        <w:t>9 August</w:t>
      </w:r>
      <w:r w:rsidRPr="00CB31B1">
        <w:rPr>
          <w:rFonts w:eastAsiaTheme="minorHAnsi" w:cstheme="minorHAnsi"/>
          <w:szCs w:val="15"/>
          <w:lang w:eastAsia="en-US"/>
        </w:rPr>
        <w:t xml:space="preserve"> 2023 (</w:t>
      </w:r>
      <w:hyperlink r:id="rId585" w:history="1">
        <w:r w:rsidRPr="00CB31B1">
          <w:rPr>
            <w:rFonts w:eastAsiaTheme="minorHAnsi" w:cstheme="minorHAnsi"/>
            <w:color w:val="0000FF" w:themeColor="hyperlink"/>
            <w:szCs w:val="15"/>
            <w:u w:val="single"/>
            <w:lang w:eastAsia="en-US"/>
          </w:rPr>
          <w:t>https://s3.ap-southeast-2.amazonaws.com/</w:t>
        </w:r>
        <w:r>
          <w:rPr>
            <w:rFonts w:eastAsiaTheme="minorHAnsi" w:cstheme="minorHAnsi"/>
            <w:color w:val="0000FF" w:themeColor="hyperlink"/>
            <w:szCs w:val="15"/>
            <w:u w:val="single"/>
            <w:lang w:eastAsia="en-US"/>
          </w:rPr>
          <w:t xml:space="preserve">Budget </w:t>
        </w:r>
        <w:r w:rsidRPr="00CB31B1">
          <w:rPr>
            <w:rFonts w:eastAsiaTheme="minorHAnsi" w:cstheme="minorHAnsi"/>
            <w:color w:val="0000FF" w:themeColor="hyperlink"/>
            <w:szCs w:val="15"/>
            <w:u w:val="single"/>
            <w:lang w:eastAsia="en-US"/>
          </w:rPr>
          <w:t>files202324.</w:t>
        </w:r>
        <w:r>
          <w:rPr>
            <w:rFonts w:eastAsiaTheme="minorHAnsi" w:cstheme="minorHAnsi"/>
            <w:color w:val="0000FF" w:themeColor="hyperlink"/>
            <w:szCs w:val="15"/>
            <w:u w:val="single"/>
            <w:lang w:eastAsia="en-US"/>
          </w:rPr>
          <w:t xml:space="preserve">Budget </w:t>
        </w:r>
        <w:r w:rsidRPr="00CB31B1">
          <w:rPr>
            <w:rFonts w:eastAsiaTheme="minorHAnsi" w:cstheme="minorHAnsi"/>
            <w:color w:val="0000FF" w:themeColor="hyperlink"/>
            <w:szCs w:val="15"/>
            <w:u w:val="single"/>
            <w:lang w:eastAsia="en-US"/>
          </w:rPr>
          <w:t>.vic.gov.au/2023</w:t>
        </w:r>
        <w:r>
          <w:rPr>
            <w:rFonts w:eastAsiaTheme="minorHAnsi" w:cstheme="minorHAnsi"/>
            <w:color w:val="0000FF" w:themeColor="hyperlink"/>
            <w:szCs w:val="15"/>
            <w:u w:val="single"/>
            <w:lang w:eastAsia="en-US"/>
          </w:rPr>
          <w:t>–</w:t>
        </w:r>
        <w:r w:rsidRPr="00CB31B1">
          <w:rPr>
            <w:rFonts w:eastAsiaTheme="minorHAnsi" w:cstheme="minorHAnsi"/>
            <w:color w:val="0000FF" w:themeColor="hyperlink"/>
            <w:szCs w:val="15"/>
            <w:u w:val="single"/>
            <w:lang w:eastAsia="en-US"/>
          </w:rPr>
          <w:t>24+State+</w:t>
        </w:r>
        <w:r>
          <w:rPr>
            <w:rFonts w:eastAsiaTheme="minorHAnsi" w:cstheme="minorHAnsi"/>
            <w:color w:val="0000FF" w:themeColor="hyperlink"/>
            <w:szCs w:val="15"/>
            <w:u w:val="single"/>
            <w:lang w:eastAsia="en-US"/>
          </w:rPr>
          <w:t xml:space="preserve">Budget </w:t>
        </w:r>
        <w:r w:rsidRPr="00CB31B1">
          <w:rPr>
            <w:rFonts w:eastAsiaTheme="minorHAnsi" w:cstheme="minorHAnsi"/>
            <w:color w:val="0000FF" w:themeColor="hyperlink"/>
            <w:szCs w:val="15"/>
            <w:u w:val="single"/>
            <w:lang w:eastAsia="en-US"/>
          </w:rPr>
          <w:t>+-+Service+Delivery.pdf</w:t>
        </w:r>
      </w:hyperlink>
      <w:r w:rsidRPr="00CB31B1">
        <w:rPr>
          <w:rFonts w:eastAsiaTheme="minorHAnsi" w:cstheme="minorHAnsi"/>
          <w:szCs w:val="15"/>
          <w:lang w:eastAsia="en-US"/>
        </w:rPr>
        <w:t>).</w:t>
      </w:r>
    </w:p>
  </w:endnote>
  <w:endnote w:id="479">
    <w:p w14:paraId="08D5419F" w14:textId="77777777" w:rsidR="00373ED9" w:rsidRDefault="00373ED9" w:rsidP="00373ED9">
      <w:pPr>
        <w:pStyle w:val="EndnoteText"/>
      </w:pPr>
      <w:r>
        <w:rPr>
          <w:rStyle w:val="EndnoteReference"/>
        </w:rPr>
        <w:endnoteRef/>
      </w:r>
      <w:r>
        <w:t xml:space="preserve"> </w:t>
      </w:r>
      <w:r w:rsidRPr="00CB31B1">
        <w:rPr>
          <w:rFonts w:eastAsiaTheme="minorHAnsi" w:cstheme="minorHAnsi"/>
          <w:szCs w:val="15"/>
          <w:lang w:eastAsia="en-US"/>
        </w:rPr>
        <w:t xml:space="preserve">Department of Treasury and Finance, </w:t>
      </w:r>
      <w:hyperlink r:id="rId586" w:anchor="budget-paper-3-service-delivery" w:history="1">
        <w:r w:rsidRPr="00CB31B1">
          <w:rPr>
            <w:rFonts w:eastAsiaTheme="minorHAnsi" w:cstheme="minorHAnsi"/>
            <w:i/>
            <w:iCs/>
            <w:color w:val="0000FF" w:themeColor="hyperlink"/>
            <w:szCs w:val="15"/>
            <w:u w:val="single"/>
            <w:lang w:eastAsia="en-US"/>
          </w:rPr>
          <w:t xml:space="preserve">Victorian </w:t>
        </w:r>
        <w:r>
          <w:rPr>
            <w:rFonts w:eastAsiaTheme="minorHAnsi" w:cstheme="minorHAnsi"/>
            <w:i/>
            <w:iCs/>
            <w:color w:val="0000FF" w:themeColor="hyperlink"/>
            <w:szCs w:val="15"/>
            <w:u w:val="single"/>
            <w:lang w:eastAsia="en-US"/>
          </w:rPr>
          <w:t xml:space="preserve">Budget </w:t>
        </w:r>
        <w:r w:rsidRPr="00CB31B1">
          <w:rPr>
            <w:rFonts w:eastAsiaTheme="minorHAnsi" w:cstheme="minorHAnsi"/>
            <w:i/>
            <w:iCs/>
            <w:color w:val="0000FF" w:themeColor="hyperlink"/>
            <w:szCs w:val="15"/>
            <w:u w:val="single"/>
            <w:lang w:eastAsia="en-US"/>
          </w:rPr>
          <w:t xml:space="preserve"> 2023</w:t>
        </w:r>
        <w:r>
          <w:rPr>
            <w:rFonts w:eastAsiaTheme="minorHAnsi" w:cstheme="minorHAnsi"/>
            <w:i/>
            <w:iCs/>
            <w:color w:val="0000FF" w:themeColor="hyperlink"/>
            <w:szCs w:val="15"/>
            <w:u w:val="single"/>
            <w:lang w:eastAsia="en-US"/>
          </w:rPr>
          <w:t>–</w:t>
        </w:r>
        <w:r w:rsidRPr="00CB31B1">
          <w:rPr>
            <w:rFonts w:eastAsiaTheme="minorHAnsi" w:cstheme="minorHAnsi"/>
            <w:i/>
            <w:iCs/>
            <w:color w:val="0000FF" w:themeColor="hyperlink"/>
            <w:szCs w:val="15"/>
            <w:u w:val="single"/>
            <w:lang w:eastAsia="en-US"/>
          </w:rPr>
          <w:t xml:space="preserve">24 – </w:t>
        </w:r>
        <w:r>
          <w:rPr>
            <w:rFonts w:eastAsiaTheme="minorHAnsi" w:cstheme="minorHAnsi"/>
            <w:i/>
            <w:iCs/>
            <w:color w:val="0000FF" w:themeColor="hyperlink"/>
            <w:szCs w:val="15"/>
            <w:u w:val="single"/>
            <w:lang w:eastAsia="en-US"/>
          </w:rPr>
          <w:t xml:space="preserve">Budget </w:t>
        </w:r>
        <w:r w:rsidRPr="00CB31B1">
          <w:rPr>
            <w:rFonts w:eastAsiaTheme="minorHAnsi" w:cstheme="minorHAnsi"/>
            <w:i/>
            <w:iCs/>
            <w:color w:val="0000FF" w:themeColor="hyperlink"/>
            <w:szCs w:val="15"/>
            <w:u w:val="single"/>
            <w:lang w:eastAsia="en-US"/>
          </w:rPr>
          <w:t xml:space="preserve"> Paper No. 3</w:t>
        </w:r>
      </w:hyperlink>
      <w:r w:rsidRPr="00CB31B1">
        <w:rPr>
          <w:rFonts w:eastAsiaTheme="minorHAnsi" w:cstheme="minorHAnsi"/>
          <w:szCs w:val="15"/>
          <w:lang w:eastAsia="en-US"/>
        </w:rPr>
        <w:t>, 2023, p.</w:t>
      </w:r>
      <w:r>
        <w:rPr>
          <w:rFonts w:eastAsiaTheme="minorHAnsi" w:cstheme="minorHAnsi"/>
          <w:szCs w:val="15"/>
          <w:lang w:eastAsia="en-US"/>
        </w:rPr>
        <w:t>390</w:t>
      </w:r>
      <w:r w:rsidRPr="00CB31B1">
        <w:rPr>
          <w:rFonts w:eastAsiaTheme="minorHAnsi" w:cstheme="minorHAnsi"/>
          <w:szCs w:val="15"/>
          <w:lang w:eastAsia="en-US"/>
        </w:rPr>
        <w:t xml:space="preserve">, accessed </w:t>
      </w:r>
      <w:r>
        <w:rPr>
          <w:rFonts w:eastAsiaTheme="minorHAnsi" w:cstheme="minorHAnsi"/>
          <w:szCs w:val="15"/>
          <w:lang w:eastAsia="en-US"/>
        </w:rPr>
        <w:t>9 August</w:t>
      </w:r>
      <w:r w:rsidRPr="00CB31B1">
        <w:rPr>
          <w:rFonts w:eastAsiaTheme="minorHAnsi" w:cstheme="minorHAnsi"/>
          <w:szCs w:val="15"/>
          <w:lang w:eastAsia="en-US"/>
        </w:rPr>
        <w:t xml:space="preserve"> 2023 (</w:t>
      </w:r>
      <w:hyperlink r:id="rId587" w:history="1">
        <w:r w:rsidRPr="00CB31B1">
          <w:rPr>
            <w:rFonts w:eastAsiaTheme="minorHAnsi" w:cstheme="minorHAnsi"/>
            <w:color w:val="0000FF" w:themeColor="hyperlink"/>
            <w:szCs w:val="15"/>
            <w:u w:val="single"/>
            <w:lang w:eastAsia="en-US"/>
          </w:rPr>
          <w:t>https://s3.ap-southeast-2.amazonaws.com/</w:t>
        </w:r>
        <w:r>
          <w:rPr>
            <w:rFonts w:eastAsiaTheme="minorHAnsi" w:cstheme="minorHAnsi"/>
            <w:color w:val="0000FF" w:themeColor="hyperlink"/>
            <w:szCs w:val="15"/>
            <w:u w:val="single"/>
            <w:lang w:eastAsia="en-US"/>
          </w:rPr>
          <w:t xml:space="preserve">Budget </w:t>
        </w:r>
        <w:r w:rsidRPr="00CB31B1">
          <w:rPr>
            <w:rFonts w:eastAsiaTheme="minorHAnsi" w:cstheme="minorHAnsi"/>
            <w:color w:val="0000FF" w:themeColor="hyperlink"/>
            <w:szCs w:val="15"/>
            <w:u w:val="single"/>
            <w:lang w:eastAsia="en-US"/>
          </w:rPr>
          <w:t>files202324.</w:t>
        </w:r>
        <w:r>
          <w:rPr>
            <w:rFonts w:eastAsiaTheme="minorHAnsi" w:cstheme="minorHAnsi"/>
            <w:color w:val="0000FF" w:themeColor="hyperlink"/>
            <w:szCs w:val="15"/>
            <w:u w:val="single"/>
            <w:lang w:eastAsia="en-US"/>
          </w:rPr>
          <w:t xml:space="preserve">Budget </w:t>
        </w:r>
        <w:r w:rsidRPr="00CB31B1">
          <w:rPr>
            <w:rFonts w:eastAsiaTheme="minorHAnsi" w:cstheme="minorHAnsi"/>
            <w:color w:val="0000FF" w:themeColor="hyperlink"/>
            <w:szCs w:val="15"/>
            <w:u w:val="single"/>
            <w:lang w:eastAsia="en-US"/>
          </w:rPr>
          <w:t>.vic.gov.au/2023</w:t>
        </w:r>
        <w:r>
          <w:rPr>
            <w:rFonts w:eastAsiaTheme="minorHAnsi" w:cstheme="minorHAnsi"/>
            <w:color w:val="0000FF" w:themeColor="hyperlink"/>
            <w:szCs w:val="15"/>
            <w:u w:val="single"/>
            <w:lang w:eastAsia="en-US"/>
          </w:rPr>
          <w:t>–</w:t>
        </w:r>
        <w:r w:rsidRPr="00CB31B1">
          <w:rPr>
            <w:rFonts w:eastAsiaTheme="minorHAnsi" w:cstheme="minorHAnsi"/>
            <w:color w:val="0000FF" w:themeColor="hyperlink"/>
            <w:szCs w:val="15"/>
            <w:u w:val="single"/>
            <w:lang w:eastAsia="en-US"/>
          </w:rPr>
          <w:t>24+State+</w:t>
        </w:r>
        <w:r>
          <w:rPr>
            <w:rFonts w:eastAsiaTheme="minorHAnsi" w:cstheme="minorHAnsi"/>
            <w:color w:val="0000FF" w:themeColor="hyperlink"/>
            <w:szCs w:val="15"/>
            <w:u w:val="single"/>
            <w:lang w:eastAsia="en-US"/>
          </w:rPr>
          <w:t xml:space="preserve">Budget </w:t>
        </w:r>
        <w:r w:rsidRPr="00CB31B1">
          <w:rPr>
            <w:rFonts w:eastAsiaTheme="minorHAnsi" w:cstheme="minorHAnsi"/>
            <w:color w:val="0000FF" w:themeColor="hyperlink"/>
            <w:szCs w:val="15"/>
            <w:u w:val="single"/>
            <w:lang w:eastAsia="en-US"/>
          </w:rPr>
          <w:t>+-+Service+Delivery.pdf</w:t>
        </w:r>
      </w:hyperlink>
      <w:r w:rsidRPr="00CB31B1">
        <w:rPr>
          <w:rFonts w:eastAsiaTheme="minorHAnsi" w:cstheme="minorHAnsi"/>
          <w:szCs w:val="15"/>
          <w:lang w:eastAsia="en-US"/>
        </w:rPr>
        <w:t>).</w:t>
      </w:r>
    </w:p>
  </w:endnote>
  <w:endnote w:id="480">
    <w:p w14:paraId="784329B4" w14:textId="77777777" w:rsidR="00373ED9" w:rsidRPr="00CB31B1" w:rsidRDefault="00373ED9" w:rsidP="00373ED9">
      <w:pPr>
        <w:pStyle w:val="EndnoteText"/>
        <w:rPr>
          <w:rFonts w:cstheme="minorHAnsi"/>
          <w:szCs w:val="15"/>
        </w:rPr>
      </w:pPr>
      <w:r w:rsidRPr="00CB31B1">
        <w:rPr>
          <w:rStyle w:val="EndnoteReference"/>
          <w:rFonts w:cstheme="minorHAnsi"/>
          <w:szCs w:val="15"/>
        </w:rPr>
        <w:endnoteRef/>
      </w:r>
      <w:r w:rsidRPr="00CB31B1">
        <w:rPr>
          <w:rFonts w:cstheme="minorHAnsi"/>
          <w:szCs w:val="15"/>
        </w:rPr>
        <w:t xml:space="preserve"> Victorian Government, </w:t>
      </w:r>
      <w:hyperlink r:id="rId588" w:history="1">
        <w:r w:rsidRPr="00CB31B1">
          <w:rPr>
            <w:rStyle w:val="Hyperlink"/>
            <w:rFonts w:eastAsiaTheme="majorEastAsia" w:cstheme="minorHAnsi"/>
            <w:i/>
            <w:iCs/>
            <w:szCs w:val="15"/>
          </w:rPr>
          <w:t>About the Royal Commission into Family Violence</w:t>
        </w:r>
      </w:hyperlink>
      <w:r w:rsidRPr="00CB31B1">
        <w:rPr>
          <w:rFonts w:cstheme="minorHAnsi"/>
          <w:color w:val="auto"/>
          <w:szCs w:val="15"/>
        </w:rPr>
        <w:t xml:space="preserve"> (media release), 2 February 2023, accessed 16 May 2023. </w:t>
      </w:r>
    </w:p>
  </w:endnote>
  <w:endnote w:id="481">
    <w:p w14:paraId="43A3E064" w14:textId="77777777" w:rsidR="00373ED9" w:rsidRPr="00CB31B1" w:rsidRDefault="00373ED9" w:rsidP="00373ED9">
      <w:pPr>
        <w:pStyle w:val="EndnoteText"/>
        <w:rPr>
          <w:rFonts w:cstheme="minorHAnsi"/>
          <w:szCs w:val="15"/>
        </w:rPr>
      </w:pPr>
      <w:r w:rsidRPr="00CB31B1">
        <w:rPr>
          <w:rStyle w:val="EndnoteReference"/>
          <w:rFonts w:cstheme="minorHAnsi"/>
          <w:szCs w:val="15"/>
        </w:rPr>
        <w:endnoteRef/>
      </w:r>
      <w:r w:rsidRPr="00CB31B1">
        <w:rPr>
          <w:rFonts w:cstheme="minorHAnsi"/>
          <w:szCs w:val="15"/>
        </w:rPr>
        <w:t xml:space="preserve"> Victorian </w:t>
      </w:r>
      <w:r>
        <w:rPr>
          <w:rFonts w:cstheme="minorHAnsi"/>
          <w:szCs w:val="15"/>
        </w:rPr>
        <w:t>Budget 2023–24</w:t>
      </w:r>
      <w:r w:rsidRPr="00CB31B1">
        <w:rPr>
          <w:rFonts w:cstheme="minorHAnsi"/>
          <w:szCs w:val="15"/>
        </w:rPr>
        <w:t xml:space="preserve">, </w:t>
      </w:r>
      <w:hyperlink r:id="rId589" w:history="1">
        <w:r w:rsidRPr="00816D4A">
          <w:rPr>
            <w:rStyle w:val="Hyperlink"/>
          </w:rPr>
          <w:t>Supporting vulnerable children and families</w:t>
        </w:r>
      </w:hyperlink>
      <w:r w:rsidRPr="00392AA8" w:rsidDel="00724134">
        <w:rPr>
          <w:rFonts w:cstheme="minorHAnsi"/>
          <w:i/>
          <w:szCs w:val="15"/>
        </w:rPr>
        <w:t xml:space="preserve"> </w:t>
      </w:r>
      <w:r w:rsidRPr="00CB31B1">
        <w:rPr>
          <w:rFonts w:cstheme="minorHAnsi"/>
          <w:szCs w:val="15"/>
        </w:rPr>
        <w:t xml:space="preserve">(media release), 21 May 2023, accessed 15 June 2023.  </w:t>
      </w:r>
    </w:p>
  </w:endnote>
  <w:endnote w:id="482">
    <w:p w14:paraId="00E43BDE" w14:textId="77777777" w:rsidR="00373ED9" w:rsidRPr="00A73036" w:rsidRDefault="00373ED9" w:rsidP="00373ED9">
      <w:pPr>
        <w:pStyle w:val="EndnoteText"/>
      </w:pPr>
      <w:r>
        <w:rPr>
          <w:rStyle w:val="EndnoteReference"/>
        </w:rPr>
        <w:endnoteRef/>
      </w:r>
      <w:r>
        <w:t xml:space="preserve"> Minister for Ambulance Services, </w:t>
      </w:r>
      <w:hyperlink r:id="rId590" w:history="1">
        <w:r w:rsidRPr="002A1ADA">
          <w:rPr>
            <w:rStyle w:val="Hyperlink"/>
            <w:i/>
            <w:iCs/>
          </w:rPr>
          <w:t>New dedicated hub to upskill paramedics delivered</w:t>
        </w:r>
      </w:hyperlink>
      <w:r>
        <w:t xml:space="preserve"> (media release), 27 June 2023, accessed9 August 2023.</w:t>
      </w:r>
    </w:p>
  </w:endnote>
  <w:endnote w:id="483">
    <w:p w14:paraId="4ED95777" w14:textId="77777777" w:rsidR="00373ED9" w:rsidRPr="00A73036" w:rsidRDefault="00373ED9" w:rsidP="00373ED9">
      <w:pPr>
        <w:pStyle w:val="EndnoteText"/>
      </w:pPr>
      <w:r>
        <w:rPr>
          <w:rStyle w:val="EndnoteReference"/>
        </w:rPr>
        <w:endnoteRef/>
      </w:r>
      <w:r>
        <w:t xml:space="preserve"> Minister for Ambulance Services, </w:t>
      </w:r>
      <w:hyperlink r:id="rId591" w:history="1">
        <w:r w:rsidRPr="002A1ADA">
          <w:rPr>
            <w:rStyle w:val="Hyperlink"/>
            <w:i/>
            <w:iCs/>
          </w:rPr>
          <w:t>New dedicated hub to upskill paramedics delivered</w:t>
        </w:r>
      </w:hyperlink>
      <w:r>
        <w:t xml:space="preserve"> (media release), 27 June 2023, accessed9 August 2023.</w:t>
      </w:r>
    </w:p>
  </w:endnote>
  <w:endnote w:id="484">
    <w:p w14:paraId="02FD4355" w14:textId="77777777" w:rsidR="00373ED9" w:rsidRDefault="00373ED9" w:rsidP="00373ED9">
      <w:pPr>
        <w:pStyle w:val="EndnoteText"/>
      </w:pPr>
      <w:r>
        <w:rPr>
          <w:rStyle w:val="EndnoteReference"/>
        </w:rPr>
        <w:endnoteRef/>
      </w:r>
      <w:r>
        <w:t xml:space="preserve"> </w:t>
      </w:r>
      <w:r w:rsidRPr="00CB31B1">
        <w:rPr>
          <w:rFonts w:eastAsiaTheme="minorHAnsi" w:cstheme="minorHAnsi"/>
          <w:szCs w:val="15"/>
          <w:lang w:eastAsia="en-US"/>
        </w:rPr>
        <w:t xml:space="preserve">Department of Treasury and Finance, </w:t>
      </w:r>
      <w:hyperlink r:id="rId592" w:anchor="budget-paper-3-service-delivery" w:history="1">
        <w:r w:rsidRPr="00CB31B1">
          <w:rPr>
            <w:rFonts w:eastAsiaTheme="minorHAnsi" w:cstheme="minorHAnsi"/>
            <w:i/>
            <w:iCs/>
            <w:color w:val="0000FF" w:themeColor="hyperlink"/>
            <w:szCs w:val="15"/>
            <w:u w:val="single"/>
            <w:lang w:eastAsia="en-US"/>
          </w:rPr>
          <w:t xml:space="preserve">Victorian </w:t>
        </w:r>
        <w:r>
          <w:rPr>
            <w:rFonts w:eastAsiaTheme="minorHAnsi" w:cstheme="minorHAnsi"/>
            <w:i/>
            <w:iCs/>
            <w:color w:val="0000FF" w:themeColor="hyperlink"/>
            <w:szCs w:val="15"/>
            <w:u w:val="single"/>
            <w:lang w:eastAsia="en-US"/>
          </w:rPr>
          <w:t xml:space="preserve">Budget </w:t>
        </w:r>
        <w:r w:rsidRPr="00CB31B1">
          <w:rPr>
            <w:rFonts w:eastAsiaTheme="minorHAnsi" w:cstheme="minorHAnsi"/>
            <w:i/>
            <w:iCs/>
            <w:color w:val="0000FF" w:themeColor="hyperlink"/>
            <w:szCs w:val="15"/>
            <w:u w:val="single"/>
            <w:lang w:eastAsia="en-US"/>
          </w:rPr>
          <w:t xml:space="preserve"> 2023</w:t>
        </w:r>
        <w:r>
          <w:rPr>
            <w:rFonts w:eastAsiaTheme="minorHAnsi" w:cstheme="minorHAnsi"/>
            <w:i/>
            <w:iCs/>
            <w:color w:val="0000FF" w:themeColor="hyperlink"/>
            <w:szCs w:val="15"/>
            <w:u w:val="single"/>
            <w:lang w:eastAsia="en-US"/>
          </w:rPr>
          <w:t>–</w:t>
        </w:r>
        <w:r w:rsidRPr="00CB31B1">
          <w:rPr>
            <w:rFonts w:eastAsiaTheme="minorHAnsi" w:cstheme="minorHAnsi"/>
            <w:i/>
            <w:iCs/>
            <w:color w:val="0000FF" w:themeColor="hyperlink"/>
            <w:szCs w:val="15"/>
            <w:u w:val="single"/>
            <w:lang w:eastAsia="en-US"/>
          </w:rPr>
          <w:t xml:space="preserve">24 – </w:t>
        </w:r>
        <w:r>
          <w:rPr>
            <w:rFonts w:eastAsiaTheme="minorHAnsi" w:cstheme="minorHAnsi"/>
            <w:i/>
            <w:iCs/>
            <w:color w:val="0000FF" w:themeColor="hyperlink"/>
            <w:szCs w:val="15"/>
            <w:u w:val="single"/>
            <w:lang w:eastAsia="en-US"/>
          </w:rPr>
          <w:t xml:space="preserve">Budget </w:t>
        </w:r>
        <w:r w:rsidRPr="00CB31B1">
          <w:rPr>
            <w:rFonts w:eastAsiaTheme="minorHAnsi" w:cstheme="minorHAnsi"/>
            <w:i/>
            <w:iCs/>
            <w:color w:val="0000FF" w:themeColor="hyperlink"/>
            <w:szCs w:val="15"/>
            <w:u w:val="single"/>
            <w:lang w:eastAsia="en-US"/>
          </w:rPr>
          <w:t xml:space="preserve"> Paper No. 3</w:t>
        </w:r>
      </w:hyperlink>
      <w:r w:rsidRPr="00CB31B1">
        <w:rPr>
          <w:rFonts w:eastAsiaTheme="minorHAnsi" w:cstheme="minorHAnsi"/>
          <w:szCs w:val="15"/>
          <w:lang w:eastAsia="en-US"/>
        </w:rPr>
        <w:t>, 2023, p</w:t>
      </w:r>
      <w:r>
        <w:rPr>
          <w:rFonts w:eastAsiaTheme="minorHAnsi" w:cstheme="minorHAnsi"/>
          <w:szCs w:val="15"/>
          <w:lang w:eastAsia="en-US"/>
        </w:rPr>
        <w:t>p</w:t>
      </w:r>
      <w:r w:rsidRPr="00CB31B1">
        <w:rPr>
          <w:rFonts w:eastAsiaTheme="minorHAnsi" w:cstheme="minorHAnsi"/>
          <w:szCs w:val="15"/>
          <w:lang w:eastAsia="en-US"/>
        </w:rPr>
        <w:t>.5</w:t>
      </w:r>
      <w:r>
        <w:rPr>
          <w:rFonts w:eastAsiaTheme="minorHAnsi" w:cstheme="minorHAnsi"/>
          <w:szCs w:val="15"/>
          <w:lang w:eastAsia="en-US"/>
        </w:rPr>
        <w:t>4</w:t>
      </w:r>
      <w:r w:rsidRPr="00CB31B1">
        <w:rPr>
          <w:rFonts w:eastAsiaTheme="minorHAnsi" w:cstheme="minorHAnsi"/>
          <w:szCs w:val="15"/>
          <w:lang w:eastAsia="en-US"/>
        </w:rPr>
        <w:t>,</w:t>
      </w:r>
      <w:r>
        <w:rPr>
          <w:rFonts w:eastAsiaTheme="minorHAnsi" w:cstheme="minorHAnsi"/>
          <w:szCs w:val="15"/>
          <w:lang w:eastAsia="en-US"/>
        </w:rPr>
        <w:t xml:space="preserve"> 60,</w:t>
      </w:r>
      <w:r w:rsidRPr="00CB31B1">
        <w:rPr>
          <w:rFonts w:eastAsiaTheme="minorHAnsi" w:cstheme="minorHAnsi"/>
          <w:szCs w:val="15"/>
          <w:lang w:eastAsia="en-US"/>
        </w:rPr>
        <w:t xml:space="preserve"> accessed 2 June 2023 (</w:t>
      </w:r>
      <w:hyperlink r:id="rId593" w:history="1">
        <w:r w:rsidRPr="00CB31B1">
          <w:rPr>
            <w:rFonts w:eastAsiaTheme="minorHAnsi" w:cstheme="minorHAnsi"/>
            <w:color w:val="0000FF" w:themeColor="hyperlink"/>
            <w:szCs w:val="15"/>
            <w:u w:val="single"/>
            <w:lang w:eastAsia="en-US"/>
          </w:rPr>
          <w:t>https://s3.ap-southeast-2.amazonaws.com/</w:t>
        </w:r>
        <w:r>
          <w:rPr>
            <w:rFonts w:eastAsiaTheme="minorHAnsi" w:cstheme="minorHAnsi"/>
            <w:color w:val="0000FF" w:themeColor="hyperlink"/>
            <w:szCs w:val="15"/>
            <w:u w:val="single"/>
            <w:lang w:eastAsia="en-US"/>
          </w:rPr>
          <w:t xml:space="preserve">Budget </w:t>
        </w:r>
        <w:r w:rsidRPr="00CB31B1">
          <w:rPr>
            <w:rFonts w:eastAsiaTheme="minorHAnsi" w:cstheme="minorHAnsi"/>
            <w:color w:val="0000FF" w:themeColor="hyperlink"/>
            <w:szCs w:val="15"/>
            <w:u w:val="single"/>
            <w:lang w:eastAsia="en-US"/>
          </w:rPr>
          <w:t>files202324.</w:t>
        </w:r>
        <w:r>
          <w:rPr>
            <w:rFonts w:eastAsiaTheme="minorHAnsi" w:cstheme="minorHAnsi"/>
            <w:color w:val="0000FF" w:themeColor="hyperlink"/>
            <w:szCs w:val="15"/>
            <w:u w:val="single"/>
            <w:lang w:eastAsia="en-US"/>
          </w:rPr>
          <w:t xml:space="preserve">Budget </w:t>
        </w:r>
        <w:r w:rsidRPr="00CB31B1">
          <w:rPr>
            <w:rFonts w:eastAsiaTheme="minorHAnsi" w:cstheme="minorHAnsi"/>
            <w:color w:val="0000FF" w:themeColor="hyperlink"/>
            <w:szCs w:val="15"/>
            <w:u w:val="single"/>
            <w:lang w:eastAsia="en-US"/>
          </w:rPr>
          <w:t>.vic.gov.au/2023</w:t>
        </w:r>
        <w:r>
          <w:rPr>
            <w:rFonts w:eastAsiaTheme="minorHAnsi" w:cstheme="minorHAnsi"/>
            <w:color w:val="0000FF" w:themeColor="hyperlink"/>
            <w:szCs w:val="15"/>
            <w:u w:val="single"/>
            <w:lang w:eastAsia="en-US"/>
          </w:rPr>
          <w:t>–</w:t>
        </w:r>
        <w:r w:rsidRPr="00CB31B1">
          <w:rPr>
            <w:rFonts w:eastAsiaTheme="minorHAnsi" w:cstheme="minorHAnsi"/>
            <w:color w:val="0000FF" w:themeColor="hyperlink"/>
            <w:szCs w:val="15"/>
            <w:u w:val="single"/>
            <w:lang w:eastAsia="en-US"/>
          </w:rPr>
          <w:t>24+State+</w:t>
        </w:r>
        <w:r>
          <w:rPr>
            <w:rFonts w:eastAsiaTheme="minorHAnsi" w:cstheme="minorHAnsi"/>
            <w:color w:val="0000FF" w:themeColor="hyperlink"/>
            <w:szCs w:val="15"/>
            <w:u w:val="single"/>
            <w:lang w:eastAsia="en-US"/>
          </w:rPr>
          <w:t xml:space="preserve">Budget </w:t>
        </w:r>
        <w:r w:rsidRPr="00CB31B1">
          <w:rPr>
            <w:rFonts w:eastAsiaTheme="minorHAnsi" w:cstheme="minorHAnsi"/>
            <w:color w:val="0000FF" w:themeColor="hyperlink"/>
            <w:szCs w:val="15"/>
            <w:u w:val="single"/>
            <w:lang w:eastAsia="en-US"/>
          </w:rPr>
          <w:t>+-+Service+Delivery.pdf</w:t>
        </w:r>
      </w:hyperlink>
      <w:r w:rsidRPr="00CB31B1">
        <w:rPr>
          <w:rFonts w:eastAsiaTheme="minorHAnsi" w:cstheme="minorHAnsi"/>
          <w:szCs w:val="15"/>
          <w:lang w:eastAsia="en-US"/>
        </w:rPr>
        <w:t>)</w:t>
      </w:r>
      <w:r>
        <w:rPr>
          <w:rFonts w:eastAsiaTheme="minorHAnsi" w:cstheme="minorHAnsi"/>
          <w:szCs w:val="15"/>
          <w:lang w:eastAsia="en-US"/>
        </w:rPr>
        <w:t>.</w:t>
      </w:r>
    </w:p>
  </w:endnote>
  <w:endnote w:id="485">
    <w:p w14:paraId="490CBD50" w14:textId="77777777" w:rsidR="00373ED9" w:rsidRDefault="00373ED9" w:rsidP="00373ED9">
      <w:pPr>
        <w:pStyle w:val="EndnoteText"/>
      </w:pPr>
      <w:r>
        <w:rPr>
          <w:rStyle w:val="EndnoteReference"/>
        </w:rPr>
        <w:endnoteRef/>
      </w:r>
      <w:r>
        <w:t xml:space="preserve"> Victorian Labor, </w:t>
      </w:r>
      <w:hyperlink r:id="rId594" w:history="1">
        <w:r w:rsidRPr="00CE5E4B">
          <w:rPr>
            <w:rStyle w:val="Hyperlink"/>
            <w:i/>
          </w:rPr>
          <w:t>Supporting workers through alcohol and other drug issues</w:t>
        </w:r>
      </w:hyperlink>
      <w:r>
        <w:t xml:space="preserve"> (website), n.d., accessed 9 August 2023.</w:t>
      </w:r>
    </w:p>
  </w:endnote>
  <w:endnote w:id="486">
    <w:p w14:paraId="08C79111" w14:textId="56EF1EE3" w:rsidR="00373ED9" w:rsidRPr="00CB31B1" w:rsidRDefault="00373ED9" w:rsidP="00373ED9">
      <w:pPr>
        <w:pStyle w:val="EndnoteText"/>
        <w:rPr>
          <w:rFonts w:cstheme="minorHAnsi"/>
          <w:szCs w:val="15"/>
        </w:rPr>
      </w:pPr>
      <w:r w:rsidRPr="00CB31B1">
        <w:rPr>
          <w:rStyle w:val="EndnoteReference"/>
          <w:rFonts w:eastAsiaTheme="majorEastAsia" w:cstheme="minorHAnsi"/>
          <w:szCs w:val="15"/>
        </w:rPr>
        <w:endnoteRef/>
      </w:r>
      <w:r w:rsidRPr="00CB31B1">
        <w:rPr>
          <w:rFonts w:cstheme="minorHAnsi"/>
          <w:szCs w:val="15"/>
        </w:rPr>
        <w:t xml:space="preserve"> Infrastructure Victoria, </w:t>
      </w:r>
      <w:hyperlink r:id="rId595" w:history="1">
        <w:r w:rsidRPr="00CB31B1">
          <w:rPr>
            <w:rStyle w:val="Hyperlink"/>
            <w:rFonts w:eastAsiaTheme="majorEastAsia" w:cstheme="minorHAnsi"/>
            <w:i/>
            <w:iCs/>
            <w:szCs w:val="15"/>
          </w:rPr>
          <w:t>Victoria’s infrastructure strategy 2021</w:t>
        </w:r>
        <w:r>
          <w:rPr>
            <w:rStyle w:val="Hyperlink"/>
            <w:rFonts w:eastAsiaTheme="majorEastAsia" w:cstheme="minorHAnsi"/>
            <w:i/>
            <w:iCs/>
            <w:szCs w:val="15"/>
          </w:rPr>
          <w:t>–</w:t>
        </w:r>
        <w:r w:rsidRPr="00CB31B1">
          <w:rPr>
            <w:rStyle w:val="Hyperlink"/>
            <w:rFonts w:eastAsiaTheme="majorEastAsia" w:cstheme="minorHAnsi"/>
            <w:i/>
            <w:iCs/>
            <w:szCs w:val="15"/>
          </w:rPr>
          <w:t>2051</w:t>
        </w:r>
      </w:hyperlink>
      <w:r w:rsidRPr="00CB31B1">
        <w:rPr>
          <w:rFonts w:cstheme="minorHAnsi"/>
          <w:i/>
          <w:iCs/>
          <w:szCs w:val="15"/>
        </w:rPr>
        <w:t>,</w:t>
      </w:r>
      <w:r w:rsidRPr="00CB31B1">
        <w:rPr>
          <w:rFonts w:cstheme="minorHAnsi"/>
          <w:szCs w:val="15"/>
        </w:rPr>
        <w:t xml:space="preserve"> 2021, p. 246, accessed 25 July 2023. </w:t>
      </w:r>
    </w:p>
  </w:endnote>
  <w:endnote w:id="487">
    <w:p w14:paraId="6B14EBFA" w14:textId="77777777" w:rsidR="00373ED9" w:rsidRPr="00CB31B1" w:rsidRDefault="00373ED9" w:rsidP="00373ED9">
      <w:pPr>
        <w:pStyle w:val="EndnoteText"/>
        <w:rPr>
          <w:rFonts w:cstheme="minorHAnsi"/>
          <w:szCs w:val="15"/>
        </w:rPr>
      </w:pPr>
      <w:r w:rsidRPr="00CB31B1">
        <w:rPr>
          <w:rStyle w:val="EndnoteReference"/>
          <w:rFonts w:cstheme="minorHAnsi"/>
          <w:szCs w:val="15"/>
        </w:rPr>
        <w:endnoteRef/>
      </w:r>
      <w:r w:rsidRPr="00CB31B1">
        <w:rPr>
          <w:rFonts w:cstheme="minorHAnsi"/>
          <w:szCs w:val="15"/>
        </w:rPr>
        <w:t xml:space="preserve"> Royal Commission into Aged Care Quality and Safety, </w:t>
      </w:r>
      <w:hyperlink r:id="rId596" w:history="1">
        <w:r w:rsidRPr="00CB31B1">
          <w:rPr>
            <w:rStyle w:val="Hyperlink"/>
            <w:rFonts w:eastAsiaTheme="majorEastAsia" w:cstheme="minorHAnsi"/>
            <w:i/>
            <w:iCs/>
            <w:szCs w:val="15"/>
          </w:rPr>
          <w:t>Models of integrated care health and housing - research paper 7</w:t>
        </w:r>
      </w:hyperlink>
      <w:r w:rsidRPr="00CB31B1">
        <w:rPr>
          <w:rFonts w:cstheme="minorHAnsi"/>
          <w:i/>
          <w:iCs/>
          <w:szCs w:val="15"/>
        </w:rPr>
        <w:t>,</w:t>
      </w:r>
      <w:r w:rsidRPr="00CB31B1">
        <w:rPr>
          <w:rFonts w:cstheme="minorHAnsi"/>
          <w:szCs w:val="15"/>
        </w:rPr>
        <w:t xml:space="preserve"> 2020, p. 3, accessed 10 June 2023. </w:t>
      </w:r>
    </w:p>
  </w:endnote>
  <w:endnote w:id="488">
    <w:p w14:paraId="1CADB582" w14:textId="77777777" w:rsidR="00373ED9" w:rsidRPr="00CB31B1" w:rsidRDefault="00373ED9" w:rsidP="00373ED9">
      <w:pPr>
        <w:pStyle w:val="EndnoteText"/>
        <w:rPr>
          <w:rFonts w:cstheme="minorHAnsi"/>
          <w:szCs w:val="15"/>
        </w:rPr>
      </w:pPr>
      <w:r w:rsidRPr="00CB31B1">
        <w:rPr>
          <w:rStyle w:val="EndnoteReference"/>
          <w:rFonts w:cstheme="minorHAnsi"/>
          <w:szCs w:val="15"/>
        </w:rPr>
        <w:endnoteRef/>
      </w:r>
      <w:r w:rsidRPr="00CB31B1">
        <w:rPr>
          <w:rFonts w:cstheme="minorHAnsi"/>
          <w:szCs w:val="15"/>
        </w:rPr>
        <w:t xml:space="preserve"> Productivity Commission, </w:t>
      </w:r>
      <w:hyperlink r:id="rId597" w:history="1">
        <w:r w:rsidRPr="00CB31B1">
          <w:rPr>
            <w:rStyle w:val="Hyperlink"/>
            <w:rFonts w:eastAsiaTheme="majorEastAsia" w:cstheme="minorHAnsi"/>
            <w:i/>
            <w:iCs/>
            <w:szCs w:val="15"/>
          </w:rPr>
          <w:t>Shifting the dial 5-year productivity review –, supporting paper no.5 integrated care</w:t>
        </w:r>
      </w:hyperlink>
      <w:r w:rsidRPr="00CB31B1">
        <w:rPr>
          <w:rFonts w:cstheme="minorHAnsi"/>
          <w:i/>
          <w:iCs/>
          <w:szCs w:val="15"/>
        </w:rPr>
        <w:t>,</w:t>
      </w:r>
      <w:r w:rsidRPr="00CB31B1">
        <w:rPr>
          <w:rFonts w:cstheme="minorHAnsi"/>
          <w:szCs w:val="15"/>
        </w:rPr>
        <w:t xml:space="preserve"> 2017, p. 3, accessed 10 June 2023. </w:t>
      </w:r>
    </w:p>
  </w:endnote>
  <w:endnote w:id="489">
    <w:p w14:paraId="4F18EE0E" w14:textId="77777777" w:rsidR="00373ED9" w:rsidRPr="00CB31B1" w:rsidRDefault="00373ED9" w:rsidP="00373ED9">
      <w:pPr>
        <w:pStyle w:val="EndnoteText"/>
        <w:rPr>
          <w:rFonts w:cstheme="minorHAnsi"/>
          <w:szCs w:val="15"/>
        </w:rPr>
      </w:pPr>
      <w:r w:rsidRPr="00CB31B1">
        <w:rPr>
          <w:rStyle w:val="EndnoteReference"/>
          <w:rFonts w:cstheme="minorHAnsi"/>
          <w:szCs w:val="15"/>
        </w:rPr>
        <w:endnoteRef/>
      </w:r>
      <w:r w:rsidRPr="00CB31B1">
        <w:rPr>
          <w:rFonts w:cstheme="minorHAnsi"/>
          <w:szCs w:val="15"/>
        </w:rPr>
        <w:t xml:space="preserve"> Department of Health and Human Services, </w:t>
      </w:r>
      <w:hyperlink r:id="rId598" w:history="1">
        <w:r w:rsidRPr="00CB31B1">
          <w:rPr>
            <w:rStyle w:val="Hyperlink"/>
            <w:rFonts w:eastAsiaTheme="majorEastAsia" w:cstheme="minorHAnsi"/>
            <w:i/>
            <w:iCs/>
            <w:szCs w:val="15"/>
          </w:rPr>
          <w:t>Statewide design, service, and infrastructure plan for Victoria’s health system 2017</w:t>
        </w:r>
        <w:r>
          <w:rPr>
            <w:rStyle w:val="Hyperlink"/>
            <w:rFonts w:eastAsiaTheme="majorEastAsia" w:cstheme="minorHAnsi"/>
            <w:i/>
            <w:iCs/>
            <w:szCs w:val="15"/>
          </w:rPr>
          <w:t>–</w:t>
        </w:r>
        <w:r w:rsidRPr="00CB31B1">
          <w:rPr>
            <w:rStyle w:val="Hyperlink"/>
            <w:rFonts w:eastAsiaTheme="majorEastAsia" w:cstheme="minorHAnsi"/>
            <w:i/>
            <w:iCs/>
            <w:szCs w:val="15"/>
          </w:rPr>
          <w:t>2037</w:t>
        </w:r>
      </w:hyperlink>
      <w:r w:rsidRPr="00CB31B1">
        <w:rPr>
          <w:rFonts w:cstheme="minorHAnsi"/>
          <w:i/>
          <w:iCs/>
          <w:szCs w:val="15"/>
        </w:rPr>
        <w:t>,</w:t>
      </w:r>
      <w:r w:rsidRPr="00CB31B1">
        <w:rPr>
          <w:rFonts w:cstheme="minorHAnsi"/>
          <w:szCs w:val="15"/>
        </w:rPr>
        <w:t xml:space="preserve"> 2017, p. 11, accessed 20 July 2023. </w:t>
      </w:r>
    </w:p>
  </w:endnote>
  <w:endnote w:id="490">
    <w:p w14:paraId="0A7160E9" w14:textId="77777777" w:rsidR="00373ED9" w:rsidRPr="00CB31B1" w:rsidRDefault="00373ED9" w:rsidP="00373ED9">
      <w:pPr>
        <w:pStyle w:val="EndnoteText"/>
        <w:rPr>
          <w:rFonts w:cstheme="minorHAnsi"/>
          <w:szCs w:val="15"/>
        </w:rPr>
      </w:pPr>
      <w:r w:rsidRPr="00CB31B1">
        <w:rPr>
          <w:rStyle w:val="EndnoteReference"/>
          <w:rFonts w:cstheme="minorHAnsi"/>
          <w:szCs w:val="15"/>
        </w:rPr>
        <w:endnoteRef/>
      </w:r>
      <w:r w:rsidRPr="00CB31B1">
        <w:rPr>
          <w:rFonts w:cstheme="minorHAnsi"/>
          <w:szCs w:val="15"/>
        </w:rPr>
        <w:t xml:space="preserve"> The orange </w:t>
      </w:r>
      <w:r>
        <w:rPr>
          <w:rFonts w:cstheme="minorHAnsi"/>
          <w:szCs w:val="15"/>
        </w:rPr>
        <w:t>d</w:t>
      </w:r>
      <w:r w:rsidRPr="00CB31B1">
        <w:rPr>
          <w:rFonts w:cstheme="minorHAnsi"/>
          <w:szCs w:val="15"/>
        </w:rPr>
        <w:t xml:space="preserve">oor, </w:t>
      </w:r>
      <w:hyperlink r:id="rId599" w:history="1">
        <w:r>
          <w:rPr>
            <w:rStyle w:val="Hyperlink"/>
            <w:rFonts w:eastAsiaTheme="majorEastAsia"/>
            <w:i/>
            <w:iCs/>
          </w:rPr>
          <w:t>Find a service near you</w:t>
        </w:r>
      </w:hyperlink>
      <w:r w:rsidRPr="00CB31B1">
        <w:rPr>
          <w:rFonts w:cstheme="minorHAnsi"/>
          <w:i/>
          <w:iCs/>
          <w:szCs w:val="15"/>
        </w:rPr>
        <w:t xml:space="preserve">, </w:t>
      </w:r>
      <w:r>
        <w:rPr>
          <w:rFonts w:cstheme="minorHAnsi"/>
          <w:i/>
          <w:iCs/>
          <w:szCs w:val="15"/>
        </w:rPr>
        <w:t xml:space="preserve">the orange door website, n.d., </w:t>
      </w:r>
      <w:r w:rsidRPr="00CB31B1">
        <w:rPr>
          <w:rFonts w:cstheme="minorHAnsi"/>
          <w:i/>
          <w:iCs/>
          <w:szCs w:val="15"/>
        </w:rPr>
        <w:t xml:space="preserve">accessed 2 July 2023. </w:t>
      </w:r>
    </w:p>
  </w:endnote>
  <w:endnote w:id="491">
    <w:p w14:paraId="3A9F8B9C" w14:textId="77777777" w:rsidR="00373ED9" w:rsidRPr="002D07CA" w:rsidRDefault="00373ED9" w:rsidP="00373ED9">
      <w:pPr>
        <w:pStyle w:val="EndnoteText"/>
      </w:pPr>
      <w:r>
        <w:rPr>
          <w:rStyle w:val="EndnoteReference"/>
        </w:rPr>
        <w:endnoteRef/>
      </w:r>
      <w:r>
        <w:t xml:space="preserve"> Victorian Government, </w:t>
      </w:r>
      <w:hyperlink r:id="rId600" w:history="1">
        <w:r w:rsidRPr="0048583C">
          <w:rPr>
            <w:rStyle w:val="Hyperlink"/>
            <w:i/>
            <w:iCs/>
          </w:rPr>
          <w:t>The Orange Door network</w:t>
        </w:r>
      </w:hyperlink>
      <w:r>
        <w:t xml:space="preserve"> (website), 13 April 2023, accessed 9 August 2023; Victorian Government, </w:t>
      </w:r>
      <w:hyperlink r:id="rId601" w:history="1">
        <w:r w:rsidRPr="00CE5E4B">
          <w:rPr>
            <w:rStyle w:val="Hyperlink"/>
            <w:i/>
            <w:iCs/>
          </w:rPr>
          <w:t>Family violence reform rolling action plan 2020–2023</w:t>
        </w:r>
      </w:hyperlink>
      <w:r>
        <w:t>, 2020, p. 36, accessed 9 August 2023.</w:t>
      </w:r>
    </w:p>
  </w:endnote>
  <w:endnote w:id="492">
    <w:p w14:paraId="15BBA5A8" w14:textId="1E30B881" w:rsidR="00373ED9" w:rsidRPr="00CB31B1" w:rsidRDefault="00373ED9" w:rsidP="00373ED9">
      <w:pPr>
        <w:pStyle w:val="EndnoteText"/>
        <w:rPr>
          <w:rFonts w:cstheme="minorHAnsi"/>
          <w:szCs w:val="15"/>
        </w:rPr>
      </w:pPr>
      <w:r w:rsidRPr="00CB31B1">
        <w:rPr>
          <w:rStyle w:val="EndnoteReference"/>
          <w:rFonts w:cstheme="minorHAnsi"/>
          <w:szCs w:val="15"/>
        </w:rPr>
        <w:endnoteRef/>
      </w:r>
      <w:r w:rsidRPr="00CB31B1">
        <w:rPr>
          <w:rFonts w:cstheme="minorHAnsi"/>
          <w:szCs w:val="15"/>
        </w:rPr>
        <w:t xml:space="preserve"> Minister for Mental Health, </w:t>
      </w:r>
      <w:hyperlink r:id="rId602" w:history="1">
        <w:r w:rsidRPr="00CB31B1">
          <w:rPr>
            <w:rStyle w:val="Hyperlink"/>
            <w:rFonts w:eastAsiaTheme="majorEastAsia" w:cstheme="minorHAnsi"/>
            <w:i/>
            <w:iCs/>
            <w:szCs w:val="15"/>
          </w:rPr>
          <w:t>Marking Two Years of Critical Mental Health Reform</w:t>
        </w:r>
      </w:hyperlink>
      <w:r w:rsidRPr="00CB31B1">
        <w:rPr>
          <w:rFonts w:cstheme="minorHAnsi"/>
          <w:szCs w:val="15"/>
        </w:rPr>
        <w:t xml:space="preserve"> (media release), 2 March 2023, accessed 15 June 2023. </w:t>
      </w:r>
    </w:p>
  </w:endnote>
  <w:endnote w:id="493">
    <w:p w14:paraId="5ACEEA88" w14:textId="77777777" w:rsidR="00373ED9" w:rsidRPr="00CB31B1" w:rsidRDefault="00373ED9" w:rsidP="00373ED9">
      <w:pPr>
        <w:pStyle w:val="EndnoteText"/>
        <w:rPr>
          <w:rFonts w:cstheme="minorHAnsi"/>
          <w:szCs w:val="15"/>
        </w:rPr>
      </w:pPr>
      <w:r w:rsidRPr="00CB31B1">
        <w:rPr>
          <w:rStyle w:val="EndnoteReference"/>
          <w:rFonts w:cstheme="minorHAnsi"/>
          <w:szCs w:val="15"/>
        </w:rPr>
        <w:endnoteRef/>
      </w:r>
      <w:r w:rsidRPr="00CB31B1">
        <w:rPr>
          <w:rFonts w:cstheme="minorHAnsi"/>
          <w:szCs w:val="15"/>
        </w:rPr>
        <w:t xml:space="preserve"> </w:t>
      </w:r>
      <w:r w:rsidRPr="00CB31B1">
        <w:rPr>
          <w:rFonts w:eastAsiaTheme="minorHAnsi" w:cstheme="minorHAnsi"/>
          <w:szCs w:val="15"/>
          <w:lang w:eastAsia="en-US"/>
        </w:rPr>
        <w:t xml:space="preserve">Department of Treasury and Finance, </w:t>
      </w:r>
      <w:hyperlink r:id="rId603" w:anchor="budget-paper-4-state-capital-program" w:history="1">
        <w:r w:rsidRPr="00CB31B1">
          <w:rPr>
            <w:rFonts w:eastAsiaTheme="minorHAnsi" w:cstheme="minorHAnsi"/>
            <w:i/>
            <w:iCs/>
            <w:color w:val="0000FF" w:themeColor="hyperlink"/>
            <w:szCs w:val="15"/>
            <w:u w:val="single"/>
            <w:lang w:eastAsia="en-US"/>
          </w:rPr>
          <w:t xml:space="preserve">Victorian </w:t>
        </w:r>
        <w:r>
          <w:rPr>
            <w:rFonts w:eastAsiaTheme="minorHAnsi" w:cstheme="minorHAnsi"/>
            <w:i/>
            <w:iCs/>
            <w:color w:val="0000FF" w:themeColor="hyperlink"/>
            <w:szCs w:val="15"/>
            <w:u w:val="single"/>
            <w:lang w:eastAsia="en-US"/>
          </w:rPr>
          <w:t xml:space="preserve">Budget </w:t>
        </w:r>
        <w:r w:rsidRPr="00CB31B1">
          <w:rPr>
            <w:rFonts w:eastAsiaTheme="minorHAnsi" w:cstheme="minorHAnsi"/>
            <w:i/>
            <w:iCs/>
            <w:color w:val="0000FF" w:themeColor="hyperlink"/>
            <w:szCs w:val="15"/>
            <w:u w:val="single"/>
            <w:lang w:eastAsia="en-US"/>
          </w:rPr>
          <w:t xml:space="preserve"> 2023</w:t>
        </w:r>
        <w:r>
          <w:rPr>
            <w:rFonts w:eastAsiaTheme="minorHAnsi" w:cstheme="minorHAnsi"/>
            <w:i/>
            <w:iCs/>
            <w:color w:val="0000FF" w:themeColor="hyperlink"/>
            <w:szCs w:val="15"/>
            <w:u w:val="single"/>
            <w:lang w:eastAsia="en-US"/>
          </w:rPr>
          <w:t>–</w:t>
        </w:r>
        <w:r w:rsidRPr="00CB31B1">
          <w:rPr>
            <w:rFonts w:eastAsiaTheme="minorHAnsi" w:cstheme="minorHAnsi"/>
            <w:i/>
            <w:iCs/>
            <w:color w:val="0000FF" w:themeColor="hyperlink"/>
            <w:szCs w:val="15"/>
            <w:u w:val="single"/>
            <w:lang w:eastAsia="en-US"/>
          </w:rPr>
          <w:t xml:space="preserve">24 – </w:t>
        </w:r>
        <w:r>
          <w:rPr>
            <w:rFonts w:eastAsiaTheme="minorHAnsi" w:cstheme="minorHAnsi"/>
            <w:i/>
            <w:iCs/>
            <w:color w:val="0000FF" w:themeColor="hyperlink"/>
            <w:szCs w:val="15"/>
            <w:u w:val="single"/>
            <w:lang w:eastAsia="en-US"/>
          </w:rPr>
          <w:t xml:space="preserve">Budget </w:t>
        </w:r>
        <w:r w:rsidRPr="00CB31B1">
          <w:rPr>
            <w:rFonts w:eastAsiaTheme="minorHAnsi" w:cstheme="minorHAnsi"/>
            <w:i/>
            <w:iCs/>
            <w:color w:val="0000FF" w:themeColor="hyperlink"/>
            <w:szCs w:val="15"/>
            <w:u w:val="single"/>
            <w:lang w:eastAsia="en-US"/>
          </w:rPr>
          <w:t xml:space="preserve"> Paper No. 4</w:t>
        </w:r>
      </w:hyperlink>
      <w:r w:rsidRPr="00CB31B1">
        <w:rPr>
          <w:rFonts w:eastAsiaTheme="minorHAnsi" w:cstheme="minorHAnsi"/>
          <w:szCs w:val="15"/>
          <w:lang w:eastAsia="en-US"/>
        </w:rPr>
        <w:t>, 2023, p.</w:t>
      </w:r>
      <w:r>
        <w:rPr>
          <w:rFonts w:eastAsiaTheme="minorHAnsi" w:cstheme="minorHAnsi"/>
          <w:szCs w:val="15"/>
          <w:lang w:eastAsia="en-US"/>
        </w:rPr>
        <w:t xml:space="preserve"> 6</w:t>
      </w:r>
      <w:r w:rsidRPr="00CB31B1">
        <w:rPr>
          <w:rFonts w:eastAsiaTheme="minorHAnsi" w:cstheme="minorHAnsi"/>
          <w:szCs w:val="15"/>
          <w:lang w:eastAsia="en-US"/>
        </w:rPr>
        <w:t>, accessed 1 June 2023. (</w:t>
      </w:r>
      <w:hyperlink r:id="rId604" w:history="1">
        <w:r w:rsidRPr="00CB31B1">
          <w:rPr>
            <w:rFonts w:eastAsiaTheme="minorHAnsi" w:cstheme="minorHAnsi"/>
            <w:color w:val="0000FF" w:themeColor="hyperlink"/>
            <w:szCs w:val="15"/>
            <w:u w:val="single"/>
            <w:lang w:eastAsia="en-US"/>
          </w:rPr>
          <w:t>https://s3.ap-southeast-2.amazonaws.com/</w:t>
        </w:r>
        <w:r>
          <w:rPr>
            <w:rFonts w:eastAsiaTheme="minorHAnsi" w:cstheme="minorHAnsi"/>
            <w:color w:val="0000FF" w:themeColor="hyperlink"/>
            <w:szCs w:val="15"/>
            <w:u w:val="single"/>
            <w:lang w:eastAsia="en-US"/>
          </w:rPr>
          <w:t xml:space="preserve">Budget </w:t>
        </w:r>
        <w:r w:rsidRPr="00CB31B1">
          <w:rPr>
            <w:rFonts w:eastAsiaTheme="minorHAnsi" w:cstheme="minorHAnsi"/>
            <w:color w:val="0000FF" w:themeColor="hyperlink"/>
            <w:szCs w:val="15"/>
            <w:u w:val="single"/>
            <w:lang w:eastAsia="en-US"/>
          </w:rPr>
          <w:t>files202324.</w:t>
        </w:r>
        <w:r>
          <w:rPr>
            <w:rFonts w:eastAsiaTheme="minorHAnsi" w:cstheme="minorHAnsi"/>
            <w:color w:val="0000FF" w:themeColor="hyperlink"/>
            <w:szCs w:val="15"/>
            <w:u w:val="single"/>
            <w:lang w:eastAsia="en-US"/>
          </w:rPr>
          <w:t xml:space="preserve">Budget </w:t>
        </w:r>
        <w:r w:rsidRPr="00CB31B1">
          <w:rPr>
            <w:rFonts w:eastAsiaTheme="minorHAnsi" w:cstheme="minorHAnsi"/>
            <w:color w:val="0000FF" w:themeColor="hyperlink"/>
            <w:szCs w:val="15"/>
            <w:u w:val="single"/>
            <w:lang w:eastAsia="en-US"/>
          </w:rPr>
          <w:t>.vic.gov.au/2023</w:t>
        </w:r>
        <w:r>
          <w:rPr>
            <w:rFonts w:eastAsiaTheme="minorHAnsi" w:cstheme="minorHAnsi"/>
            <w:color w:val="0000FF" w:themeColor="hyperlink"/>
            <w:szCs w:val="15"/>
            <w:u w:val="single"/>
            <w:lang w:eastAsia="en-US"/>
          </w:rPr>
          <w:t>–</w:t>
        </w:r>
        <w:r w:rsidRPr="00CB31B1">
          <w:rPr>
            <w:rFonts w:eastAsiaTheme="minorHAnsi" w:cstheme="minorHAnsi"/>
            <w:color w:val="0000FF" w:themeColor="hyperlink"/>
            <w:szCs w:val="15"/>
            <w:u w:val="single"/>
            <w:lang w:eastAsia="en-US"/>
          </w:rPr>
          <w:t>24+State+</w:t>
        </w:r>
        <w:r>
          <w:rPr>
            <w:rFonts w:eastAsiaTheme="minorHAnsi" w:cstheme="minorHAnsi"/>
            <w:color w:val="0000FF" w:themeColor="hyperlink"/>
            <w:szCs w:val="15"/>
            <w:u w:val="single"/>
            <w:lang w:eastAsia="en-US"/>
          </w:rPr>
          <w:t xml:space="preserve">Budget </w:t>
        </w:r>
        <w:r w:rsidRPr="00CB31B1">
          <w:rPr>
            <w:rFonts w:eastAsiaTheme="minorHAnsi" w:cstheme="minorHAnsi"/>
            <w:color w:val="0000FF" w:themeColor="hyperlink"/>
            <w:szCs w:val="15"/>
            <w:u w:val="single"/>
            <w:lang w:eastAsia="en-US"/>
          </w:rPr>
          <w:t>+-+State+Capital+Program.pdf</w:t>
        </w:r>
      </w:hyperlink>
      <w:r w:rsidRPr="00CB31B1">
        <w:rPr>
          <w:rFonts w:eastAsiaTheme="minorHAnsi" w:cstheme="minorHAnsi"/>
          <w:szCs w:val="15"/>
          <w:lang w:eastAsia="en-US"/>
        </w:rPr>
        <w:t>)</w:t>
      </w:r>
      <w:r>
        <w:rPr>
          <w:rFonts w:eastAsiaTheme="minorHAnsi" w:cstheme="minorHAnsi"/>
          <w:szCs w:val="15"/>
          <w:lang w:eastAsia="en-US"/>
        </w:rPr>
        <w:t>.</w:t>
      </w:r>
    </w:p>
  </w:endnote>
  <w:endnote w:id="494">
    <w:p w14:paraId="4F084EB4" w14:textId="47BB9886" w:rsidR="00373ED9" w:rsidRDefault="00373ED9" w:rsidP="00373ED9">
      <w:pPr>
        <w:pStyle w:val="EndnoteText"/>
      </w:pPr>
      <w:r>
        <w:rPr>
          <w:rStyle w:val="EndnoteReference"/>
        </w:rPr>
        <w:endnoteRef/>
      </w:r>
      <w:r>
        <w:t xml:space="preserve"> </w:t>
      </w:r>
      <w:r w:rsidRPr="00CB31B1">
        <w:rPr>
          <w:rFonts w:cstheme="minorHAnsi"/>
          <w:szCs w:val="15"/>
        </w:rPr>
        <w:t xml:space="preserve">Infrastructure Victoria, </w:t>
      </w:r>
      <w:hyperlink r:id="rId605" w:history="1">
        <w:r w:rsidRPr="00CB31B1">
          <w:rPr>
            <w:rStyle w:val="Hyperlink"/>
            <w:rFonts w:eastAsiaTheme="majorEastAsia" w:cstheme="minorHAnsi"/>
            <w:i/>
            <w:iCs/>
            <w:szCs w:val="15"/>
          </w:rPr>
          <w:t>Victoria’s infrastructure strategy 2021</w:t>
        </w:r>
        <w:r>
          <w:rPr>
            <w:rStyle w:val="Hyperlink"/>
            <w:rFonts w:eastAsiaTheme="majorEastAsia" w:cstheme="minorHAnsi"/>
            <w:i/>
            <w:iCs/>
            <w:szCs w:val="15"/>
          </w:rPr>
          <w:t>–</w:t>
        </w:r>
        <w:r w:rsidRPr="00CB31B1">
          <w:rPr>
            <w:rStyle w:val="Hyperlink"/>
            <w:rFonts w:eastAsiaTheme="majorEastAsia" w:cstheme="minorHAnsi"/>
            <w:i/>
            <w:iCs/>
            <w:szCs w:val="15"/>
          </w:rPr>
          <w:t>2051</w:t>
        </w:r>
      </w:hyperlink>
      <w:r w:rsidRPr="00CB31B1">
        <w:rPr>
          <w:rFonts w:cstheme="minorHAnsi"/>
          <w:i/>
          <w:iCs/>
          <w:szCs w:val="15"/>
        </w:rPr>
        <w:t>,</w:t>
      </w:r>
      <w:r w:rsidRPr="00CB31B1">
        <w:rPr>
          <w:rFonts w:cstheme="minorHAnsi"/>
          <w:szCs w:val="15"/>
        </w:rPr>
        <w:t xml:space="preserve"> 2021, p. </w:t>
      </w:r>
      <w:r>
        <w:rPr>
          <w:rFonts w:cstheme="minorHAnsi"/>
          <w:szCs w:val="15"/>
        </w:rPr>
        <w:t>193</w:t>
      </w:r>
      <w:r w:rsidRPr="00CB31B1">
        <w:rPr>
          <w:rFonts w:cstheme="minorHAnsi"/>
          <w:szCs w:val="15"/>
        </w:rPr>
        <w:t xml:space="preserve">, accessed </w:t>
      </w:r>
      <w:r>
        <w:rPr>
          <w:rFonts w:cstheme="minorHAnsi"/>
          <w:szCs w:val="15"/>
        </w:rPr>
        <w:t>17 August</w:t>
      </w:r>
      <w:r w:rsidRPr="00CB31B1">
        <w:rPr>
          <w:rFonts w:cstheme="minorHAnsi"/>
          <w:szCs w:val="15"/>
        </w:rPr>
        <w:t xml:space="preserve"> 2023.</w:t>
      </w:r>
    </w:p>
  </w:endnote>
  <w:endnote w:id="495">
    <w:p w14:paraId="0CC02D6E" w14:textId="77777777" w:rsidR="00373ED9" w:rsidRPr="00D9426E" w:rsidRDefault="00373ED9" w:rsidP="00373ED9">
      <w:pPr>
        <w:pStyle w:val="EndnoteText"/>
      </w:pPr>
      <w:r>
        <w:rPr>
          <w:rStyle w:val="EndnoteReference"/>
        </w:rPr>
        <w:endnoteRef/>
      </w:r>
      <w:r>
        <w:t xml:space="preserve"> Department of Health and Human Services, </w:t>
      </w:r>
      <w:hyperlink r:id="rId606" w:history="1">
        <w:r w:rsidRPr="00C8560E">
          <w:rPr>
            <w:rStyle w:val="Hyperlink"/>
            <w:i/>
            <w:iCs/>
          </w:rPr>
          <w:t>About Us</w:t>
        </w:r>
      </w:hyperlink>
      <w:r>
        <w:t xml:space="preserve"> (website), n.d., accessed 9 August 2023.</w:t>
      </w:r>
    </w:p>
  </w:endnote>
  <w:endnote w:id="496">
    <w:p w14:paraId="439B86DD" w14:textId="77777777" w:rsidR="00373ED9" w:rsidRPr="00CB31B1" w:rsidRDefault="00373ED9" w:rsidP="00373ED9">
      <w:pPr>
        <w:pStyle w:val="EndnoteText"/>
        <w:rPr>
          <w:rFonts w:cstheme="minorHAnsi"/>
          <w:szCs w:val="15"/>
        </w:rPr>
      </w:pPr>
      <w:r w:rsidRPr="00CB31B1">
        <w:rPr>
          <w:rStyle w:val="EndnoteReference"/>
          <w:rFonts w:cstheme="minorHAnsi"/>
          <w:szCs w:val="15"/>
        </w:rPr>
        <w:endnoteRef/>
      </w:r>
      <w:r w:rsidRPr="00CB31B1">
        <w:rPr>
          <w:rFonts w:cstheme="minorHAnsi"/>
          <w:szCs w:val="15"/>
        </w:rPr>
        <w:t xml:space="preserve"> Infrastructure Australia, </w:t>
      </w:r>
      <w:hyperlink r:id="rId607" w:history="1">
        <w:r w:rsidRPr="00CB31B1">
          <w:rPr>
            <w:rStyle w:val="Hyperlink"/>
            <w:rFonts w:eastAsiaTheme="majorEastAsia" w:cstheme="minorHAnsi"/>
            <w:i/>
            <w:iCs/>
            <w:szCs w:val="15"/>
          </w:rPr>
          <w:t>An assessment of Australia’s future infrastructure needs – The Australian infrastructure audit 2019</w:t>
        </w:r>
      </w:hyperlink>
      <w:r w:rsidRPr="00CB31B1">
        <w:rPr>
          <w:rFonts w:cstheme="minorHAnsi"/>
          <w:szCs w:val="15"/>
        </w:rPr>
        <w:t xml:space="preserve">, 2019, p. 394, accessed 20 July 2023. </w:t>
      </w:r>
    </w:p>
  </w:endnote>
  <w:endnote w:id="497">
    <w:p w14:paraId="4091A513" w14:textId="77777777" w:rsidR="00373ED9" w:rsidRPr="00CB31B1" w:rsidRDefault="00373ED9" w:rsidP="00373ED9">
      <w:pPr>
        <w:pStyle w:val="EndnoteText"/>
        <w:rPr>
          <w:rFonts w:cstheme="minorHAnsi"/>
          <w:szCs w:val="15"/>
        </w:rPr>
      </w:pPr>
      <w:r w:rsidRPr="00CB31B1">
        <w:rPr>
          <w:rStyle w:val="EndnoteReference"/>
          <w:rFonts w:cstheme="minorHAnsi"/>
          <w:szCs w:val="15"/>
        </w:rPr>
        <w:endnoteRef/>
      </w:r>
      <w:r w:rsidRPr="00CB31B1">
        <w:rPr>
          <w:rFonts w:cstheme="minorHAnsi"/>
          <w:szCs w:val="15"/>
        </w:rPr>
        <w:t xml:space="preserve"> Royal Commission into Victoria’s Mental Health System</w:t>
      </w:r>
      <w:r w:rsidRPr="00CB31B1">
        <w:rPr>
          <w:rFonts w:cstheme="minorHAnsi"/>
          <w:i/>
          <w:iCs/>
          <w:szCs w:val="15"/>
        </w:rPr>
        <w:t xml:space="preserve">, </w:t>
      </w:r>
      <w:hyperlink r:id="rId608" w:history="1">
        <w:r w:rsidRPr="00CB31B1">
          <w:rPr>
            <w:rStyle w:val="Hyperlink"/>
            <w:rFonts w:eastAsiaTheme="majorEastAsia" w:cstheme="minorHAnsi"/>
            <w:i/>
            <w:iCs/>
            <w:szCs w:val="15"/>
          </w:rPr>
          <w:t>Final report: Volume 1 – A new approach to mental health and wellbeing in Victoria</w:t>
        </w:r>
      </w:hyperlink>
      <w:r w:rsidRPr="00CB31B1">
        <w:rPr>
          <w:rFonts w:cstheme="minorHAnsi"/>
          <w:szCs w:val="15"/>
        </w:rPr>
        <w:t xml:space="preserve">, 2021, pp. 322, 467, accessed 20 July 2023. </w:t>
      </w:r>
    </w:p>
  </w:endnote>
  <w:endnote w:id="498">
    <w:p w14:paraId="2E76AD1C" w14:textId="5EE47529" w:rsidR="00373ED9" w:rsidRPr="00CB31B1" w:rsidRDefault="00373ED9" w:rsidP="00373ED9">
      <w:pPr>
        <w:pStyle w:val="EndnoteText"/>
        <w:rPr>
          <w:rFonts w:cstheme="minorHAnsi"/>
          <w:szCs w:val="15"/>
        </w:rPr>
      </w:pPr>
      <w:r w:rsidRPr="00CB31B1">
        <w:rPr>
          <w:rStyle w:val="EndnoteReference"/>
          <w:rFonts w:eastAsiaTheme="majorEastAsia" w:cstheme="minorHAnsi"/>
          <w:szCs w:val="15"/>
        </w:rPr>
        <w:endnoteRef/>
      </w:r>
      <w:r w:rsidRPr="00CB31B1">
        <w:rPr>
          <w:rFonts w:cstheme="minorHAnsi"/>
          <w:szCs w:val="15"/>
        </w:rPr>
        <w:t xml:space="preserve"> Infrastructure Victoria, </w:t>
      </w:r>
      <w:hyperlink r:id="rId609" w:history="1">
        <w:r w:rsidRPr="00CB31B1">
          <w:rPr>
            <w:rStyle w:val="Hyperlink"/>
            <w:rFonts w:eastAsiaTheme="majorEastAsia" w:cstheme="minorHAnsi"/>
            <w:i/>
            <w:iCs/>
            <w:szCs w:val="15"/>
          </w:rPr>
          <w:t>Victoria’s infrastructure strategy 2021</w:t>
        </w:r>
        <w:r>
          <w:rPr>
            <w:rStyle w:val="Hyperlink"/>
            <w:rFonts w:eastAsiaTheme="majorEastAsia" w:cstheme="minorHAnsi"/>
            <w:i/>
            <w:iCs/>
            <w:szCs w:val="15"/>
          </w:rPr>
          <w:t>–</w:t>
        </w:r>
        <w:r w:rsidRPr="00CB31B1">
          <w:rPr>
            <w:rStyle w:val="Hyperlink"/>
            <w:rFonts w:eastAsiaTheme="majorEastAsia" w:cstheme="minorHAnsi"/>
            <w:i/>
            <w:iCs/>
            <w:szCs w:val="15"/>
          </w:rPr>
          <w:t>2051</w:t>
        </w:r>
      </w:hyperlink>
      <w:r w:rsidRPr="00CB31B1">
        <w:rPr>
          <w:rFonts w:cstheme="minorHAnsi"/>
          <w:i/>
          <w:iCs/>
          <w:szCs w:val="15"/>
        </w:rPr>
        <w:t>,</w:t>
      </w:r>
      <w:r w:rsidRPr="00CB31B1">
        <w:rPr>
          <w:rFonts w:cstheme="minorHAnsi"/>
          <w:szCs w:val="15"/>
        </w:rPr>
        <w:t xml:space="preserve"> 2021, p. 246, accessed 25 July 2023. </w:t>
      </w:r>
    </w:p>
  </w:endnote>
  <w:endnote w:id="499">
    <w:p w14:paraId="19DBD188" w14:textId="77777777" w:rsidR="00373ED9" w:rsidRPr="00CB31B1" w:rsidRDefault="00373ED9" w:rsidP="00373ED9">
      <w:pPr>
        <w:pStyle w:val="EndnoteText"/>
        <w:rPr>
          <w:rFonts w:cstheme="minorHAnsi"/>
          <w:szCs w:val="15"/>
        </w:rPr>
      </w:pPr>
      <w:r w:rsidRPr="00CB31B1">
        <w:rPr>
          <w:rStyle w:val="EndnoteReference"/>
          <w:rFonts w:cstheme="minorHAnsi"/>
          <w:szCs w:val="15"/>
        </w:rPr>
        <w:endnoteRef/>
      </w:r>
      <w:r w:rsidRPr="00CB31B1">
        <w:rPr>
          <w:rFonts w:cstheme="minorHAnsi"/>
          <w:szCs w:val="15"/>
        </w:rPr>
        <w:t xml:space="preserve"> Department of Health, </w:t>
      </w:r>
      <w:hyperlink r:id="rId610" w:history="1">
        <w:r w:rsidRPr="00CB31B1">
          <w:rPr>
            <w:rStyle w:val="Hyperlink"/>
            <w:rFonts w:eastAsiaTheme="majorEastAsia" w:cstheme="minorHAnsi"/>
            <w:i/>
            <w:iCs/>
            <w:szCs w:val="15"/>
          </w:rPr>
          <w:t>Rural and Regional Victorians</w:t>
        </w:r>
      </w:hyperlink>
      <w:r w:rsidRPr="00CB31B1">
        <w:rPr>
          <w:rFonts w:cstheme="minorHAnsi"/>
          <w:szCs w:val="15"/>
        </w:rPr>
        <w:t xml:space="preserve"> (media release), 18 April 2023, accessed 25 July 2023. </w:t>
      </w:r>
    </w:p>
  </w:endnote>
  <w:endnote w:id="500">
    <w:p w14:paraId="21021763" w14:textId="77777777" w:rsidR="00373ED9" w:rsidRDefault="00373ED9" w:rsidP="00373ED9">
      <w:pPr>
        <w:pStyle w:val="EndnoteText"/>
      </w:pPr>
      <w:r>
        <w:rPr>
          <w:rStyle w:val="EndnoteReference"/>
        </w:rPr>
        <w:endnoteRef/>
      </w:r>
      <w:r>
        <w:t xml:space="preserve"> Victorian Health Building Authority, </w:t>
      </w:r>
      <w:hyperlink r:id="rId611" w:history="1">
        <w:r w:rsidRPr="00CE5E4B">
          <w:rPr>
            <w:rStyle w:val="Hyperlink"/>
            <w:i/>
          </w:rPr>
          <w:t>More than $70 million for health infrastructure upgrades for rural and regional Victoria</w:t>
        </w:r>
      </w:hyperlink>
      <w:r>
        <w:t>, 28 October 2022, accessed 9 August 2022.</w:t>
      </w:r>
    </w:p>
  </w:endnote>
  <w:endnote w:id="501">
    <w:p w14:paraId="684807A8" w14:textId="77777777" w:rsidR="00373ED9" w:rsidRDefault="00373ED9" w:rsidP="00373ED9">
      <w:pPr>
        <w:pStyle w:val="EndnoteText"/>
      </w:pPr>
      <w:r>
        <w:rPr>
          <w:rStyle w:val="EndnoteReference"/>
        </w:rPr>
        <w:endnoteRef/>
      </w:r>
      <w:r>
        <w:t xml:space="preserve"> </w:t>
      </w:r>
      <w:r w:rsidRPr="00CB31B1">
        <w:rPr>
          <w:rFonts w:cstheme="minorHAnsi"/>
          <w:szCs w:val="15"/>
        </w:rPr>
        <w:t>Department of Treasury and Finance,</w:t>
      </w:r>
      <w:r>
        <w:rPr>
          <w:rFonts w:cstheme="minorHAnsi"/>
          <w:szCs w:val="15"/>
        </w:rPr>
        <w:t xml:space="preserve"> </w:t>
      </w:r>
      <w:hyperlink r:id="rId612" w:history="1">
        <w:r w:rsidRPr="00EF14EE">
          <w:rPr>
            <w:rStyle w:val="Hyperlink"/>
            <w:rFonts w:cstheme="minorHAnsi"/>
            <w:i/>
            <w:iCs/>
            <w:szCs w:val="15"/>
          </w:rPr>
          <w:t>2022 Victorian Economic and Fiscal Update</w:t>
        </w:r>
      </w:hyperlink>
      <w:r>
        <w:rPr>
          <w:rFonts w:cstheme="minorHAnsi"/>
          <w:szCs w:val="15"/>
        </w:rPr>
        <w:t>, 2022, p. 90</w:t>
      </w:r>
      <w:r w:rsidRPr="004A1190">
        <w:rPr>
          <w:szCs w:val="15"/>
        </w:rPr>
        <w:t xml:space="preserve">, accessed </w:t>
      </w:r>
      <w:r>
        <w:rPr>
          <w:szCs w:val="15"/>
        </w:rPr>
        <w:t>2 August 2023.</w:t>
      </w:r>
    </w:p>
  </w:endnote>
  <w:endnote w:id="502">
    <w:p w14:paraId="2E5A97F1" w14:textId="77777777" w:rsidR="00373ED9" w:rsidRDefault="00373ED9" w:rsidP="00373ED9">
      <w:pPr>
        <w:pStyle w:val="EndnoteText"/>
      </w:pPr>
      <w:r>
        <w:rPr>
          <w:rStyle w:val="EndnoteReference"/>
        </w:rPr>
        <w:endnoteRef/>
      </w:r>
      <w:r>
        <w:t xml:space="preserve"> The total funding amount includes Commonwealth Government funding under the National Health Reform Agreement (NHRA). </w:t>
      </w:r>
      <w:r w:rsidRPr="00CB31B1">
        <w:rPr>
          <w:rFonts w:eastAsiaTheme="minorHAnsi" w:cstheme="minorHAnsi"/>
          <w:szCs w:val="15"/>
          <w:lang w:eastAsia="en-US"/>
        </w:rPr>
        <w:t xml:space="preserve">Department of Treasury and Finance, </w:t>
      </w:r>
      <w:hyperlink r:id="rId613" w:anchor="budget-paper-3-service-delivery" w:history="1">
        <w:r w:rsidRPr="00CB31B1">
          <w:rPr>
            <w:rFonts w:eastAsiaTheme="minorHAnsi" w:cstheme="minorHAnsi"/>
            <w:i/>
            <w:iCs/>
            <w:color w:val="0000FF" w:themeColor="hyperlink"/>
            <w:szCs w:val="15"/>
            <w:u w:val="single"/>
            <w:lang w:eastAsia="en-US"/>
          </w:rPr>
          <w:t xml:space="preserve">Victorian </w:t>
        </w:r>
        <w:r>
          <w:rPr>
            <w:rFonts w:eastAsiaTheme="minorHAnsi" w:cstheme="minorHAnsi"/>
            <w:i/>
            <w:iCs/>
            <w:color w:val="0000FF" w:themeColor="hyperlink"/>
            <w:szCs w:val="15"/>
            <w:u w:val="single"/>
            <w:lang w:eastAsia="en-US"/>
          </w:rPr>
          <w:t xml:space="preserve">Budget </w:t>
        </w:r>
        <w:r w:rsidRPr="00CB31B1">
          <w:rPr>
            <w:rFonts w:eastAsiaTheme="minorHAnsi" w:cstheme="minorHAnsi"/>
            <w:i/>
            <w:iCs/>
            <w:color w:val="0000FF" w:themeColor="hyperlink"/>
            <w:szCs w:val="15"/>
            <w:u w:val="single"/>
            <w:lang w:eastAsia="en-US"/>
          </w:rPr>
          <w:t xml:space="preserve"> 2023</w:t>
        </w:r>
        <w:r>
          <w:rPr>
            <w:rFonts w:eastAsiaTheme="minorHAnsi" w:cstheme="minorHAnsi"/>
            <w:i/>
            <w:iCs/>
            <w:color w:val="0000FF" w:themeColor="hyperlink"/>
            <w:szCs w:val="15"/>
            <w:u w:val="single"/>
            <w:lang w:eastAsia="en-US"/>
          </w:rPr>
          <w:t>–</w:t>
        </w:r>
        <w:r w:rsidRPr="00CB31B1">
          <w:rPr>
            <w:rFonts w:eastAsiaTheme="minorHAnsi" w:cstheme="minorHAnsi"/>
            <w:i/>
            <w:iCs/>
            <w:color w:val="0000FF" w:themeColor="hyperlink"/>
            <w:szCs w:val="15"/>
            <w:u w:val="single"/>
            <w:lang w:eastAsia="en-US"/>
          </w:rPr>
          <w:t xml:space="preserve">24 – </w:t>
        </w:r>
        <w:r>
          <w:rPr>
            <w:rFonts w:eastAsiaTheme="minorHAnsi" w:cstheme="minorHAnsi"/>
            <w:i/>
            <w:iCs/>
            <w:color w:val="0000FF" w:themeColor="hyperlink"/>
            <w:szCs w:val="15"/>
            <w:u w:val="single"/>
            <w:lang w:eastAsia="en-US"/>
          </w:rPr>
          <w:t xml:space="preserve">Budget </w:t>
        </w:r>
        <w:r w:rsidRPr="00CB31B1">
          <w:rPr>
            <w:rFonts w:eastAsiaTheme="minorHAnsi" w:cstheme="minorHAnsi"/>
            <w:i/>
            <w:iCs/>
            <w:color w:val="0000FF" w:themeColor="hyperlink"/>
            <w:szCs w:val="15"/>
            <w:u w:val="single"/>
            <w:lang w:eastAsia="en-US"/>
          </w:rPr>
          <w:t xml:space="preserve"> Paper No. 3</w:t>
        </w:r>
      </w:hyperlink>
      <w:r w:rsidRPr="00CB31B1">
        <w:rPr>
          <w:rFonts w:eastAsiaTheme="minorHAnsi" w:cstheme="minorHAnsi"/>
          <w:szCs w:val="15"/>
          <w:lang w:eastAsia="en-US"/>
        </w:rPr>
        <w:t xml:space="preserve">, 2023, </w:t>
      </w:r>
      <w:r>
        <w:rPr>
          <w:rFonts w:eastAsiaTheme="minorHAnsi" w:cstheme="minorHAnsi"/>
          <w:szCs w:val="15"/>
          <w:lang w:eastAsia="en-US"/>
        </w:rPr>
        <w:t>p</w:t>
      </w:r>
      <w:r w:rsidRPr="00CB31B1">
        <w:rPr>
          <w:rFonts w:eastAsiaTheme="minorHAnsi" w:cstheme="minorHAnsi"/>
          <w:szCs w:val="15"/>
          <w:lang w:eastAsia="en-US"/>
        </w:rPr>
        <w:t>p</w:t>
      </w:r>
      <w:r>
        <w:rPr>
          <w:rFonts w:eastAsiaTheme="minorHAnsi" w:cstheme="minorHAnsi"/>
          <w:szCs w:val="15"/>
          <w:lang w:eastAsia="en-US"/>
        </w:rPr>
        <w:t>. 55, 65</w:t>
      </w:r>
      <w:r w:rsidRPr="00CB31B1">
        <w:rPr>
          <w:rFonts w:eastAsiaTheme="minorHAnsi" w:cstheme="minorHAnsi"/>
          <w:szCs w:val="15"/>
          <w:lang w:eastAsia="en-US"/>
        </w:rPr>
        <w:t xml:space="preserve">, accessed </w:t>
      </w:r>
      <w:r>
        <w:rPr>
          <w:rFonts w:eastAsiaTheme="minorHAnsi" w:cstheme="minorHAnsi"/>
          <w:szCs w:val="15"/>
          <w:lang w:eastAsia="en-US"/>
        </w:rPr>
        <w:t xml:space="preserve">9 August </w:t>
      </w:r>
      <w:r w:rsidRPr="00CB31B1">
        <w:rPr>
          <w:rFonts w:eastAsiaTheme="minorHAnsi" w:cstheme="minorHAnsi"/>
          <w:szCs w:val="15"/>
          <w:lang w:eastAsia="en-US"/>
        </w:rPr>
        <w:t>2023 (</w:t>
      </w:r>
      <w:hyperlink r:id="rId614" w:history="1">
        <w:r w:rsidRPr="00CB31B1">
          <w:rPr>
            <w:rFonts w:eastAsiaTheme="minorHAnsi" w:cstheme="minorHAnsi"/>
            <w:color w:val="0000FF" w:themeColor="hyperlink"/>
            <w:szCs w:val="15"/>
            <w:u w:val="single"/>
            <w:lang w:eastAsia="en-US"/>
          </w:rPr>
          <w:t>https://s3.ap-southeast-2.amazonaws.com/</w:t>
        </w:r>
        <w:r>
          <w:rPr>
            <w:rFonts w:eastAsiaTheme="minorHAnsi" w:cstheme="minorHAnsi"/>
            <w:color w:val="0000FF" w:themeColor="hyperlink"/>
            <w:szCs w:val="15"/>
            <w:u w:val="single"/>
            <w:lang w:eastAsia="en-US"/>
          </w:rPr>
          <w:t xml:space="preserve">Budget </w:t>
        </w:r>
        <w:r w:rsidRPr="00CB31B1">
          <w:rPr>
            <w:rFonts w:eastAsiaTheme="minorHAnsi" w:cstheme="minorHAnsi"/>
            <w:color w:val="0000FF" w:themeColor="hyperlink"/>
            <w:szCs w:val="15"/>
            <w:u w:val="single"/>
            <w:lang w:eastAsia="en-US"/>
          </w:rPr>
          <w:t>files202324.</w:t>
        </w:r>
        <w:r>
          <w:rPr>
            <w:rFonts w:eastAsiaTheme="minorHAnsi" w:cstheme="minorHAnsi"/>
            <w:color w:val="0000FF" w:themeColor="hyperlink"/>
            <w:szCs w:val="15"/>
            <w:u w:val="single"/>
            <w:lang w:eastAsia="en-US"/>
          </w:rPr>
          <w:t xml:space="preserve">Budget </w:t>
        </w:r>
        <w:r w:rsidRPr="00CB31B1">
          <w:rPr>
            <w:rFonts w:eastAsiaTheme="minorHAnsi" w:cstheme="minorHAnsi"/>
            <w:color w:val="0000FF" w:themeColor="hyperlink"/>
            <w:szCs w:val="15"/>
            <w:u w:val="single"/>
            <w:lang w:eastAsia="en-US"/>
          </w:rPr>
          <w:t>.vic.gov.au/2023</w:t>
        </w:r>
        <w:r>
          <w:rPr>
            <w:rFonts w:eastAsiaTheme="minorHAnsi" w:cstheme="minorHAnsi"/>
            <w:color w:val="0000FF" w:themeColor="hyperlink"/>
            <w:szCs w:val="15"/>
            <w:u w:val="single"/>
            <w:lang w:eastAsia="en-US"/>
          </w:rPr>
          <w:t>–</w:t>
        </w:r>
        <w:r w:rsidRPr="00CB31B1">
          <w:rPr>
            <w:rFonts w:eastAsiaTheme="minorHAnsi" w:cstheme="minorHAnsi"/>
            <w:color w:val="0000FF" w:themeColor="hyperlink"/>
            <w:szCs w:val="15"/>
            <w:u w:val="single"/>
            <w:lang w:eastAsia="en-US"/>
          </w:rPr>
          <w:t>24+State+</w:t>
        </w:r>
        <w:r>
          <w:rPr>
            <w:rFonts w:eastAsiaTheme="minorHAnsi" w:cstheme="minorHAnsi"/>
            <w:color w:val="0000FF" w:themeColor="hyperlink"/>
            <w:szCs w:val="15"/>
            <w:u w:val="single"/>
            <w:lang w:eastAsia="en-US"/>
          </w:rPr>
          <w:t xml:space="preserve">Budget </w:t>
        </w:r>
        <w:r w:rsidRPr="00CB31B1">
          <w:rPr>
            <w:rFonts w:eastAsiaTheme="minorHAnsi" w:cstheme="minorHAnsi"/>
            <w:color w:val="0000FF" w:themeColor="hyperlink"/>
            <w:szCs w:val="15"/>
            <w:u w:val="single"/>
            <w:lang w:eastAsia="en-US"/>
          </w:rPr>
          <w:t>+-+Service+Delivery.pdf</w:t>
        </w:r>
      </w:hyperlink>
      <w:r>
        <w:rPr>
          <w:rFonts w:cstheme="minorHAnsi"/>
          <w:szCs w:val="15"/>
        </w:rPr>
        <w:t>).</w:t>
      </w:r>
    </w:p>
  </w:endnote>
  <w:endnote w:id="503">
    <w:p w14:paraId="6483BF35" w14:textId="77777777" w:rsidR="00373ED9" w:rsidRPr="00CB31B1" w:rsidRDefault="00373ED9" w:rsidP="00373ED9">
      <w:pPr>
        <w:pStyle w:val="EndnoteText"/>
        <w:rPr>
          <w:rFonts w:cstheme="minorHAnsi"/>
          <w:szCs w:val="15"/>
        </w:rPr>
      </w:pPr>
      <w:r w:rsidRPr="00CB31B1">
        <w:rPr>
          <w:rStyle w:val="EndnoteReference"/>
          <w:rFonts w:cstheme="minorHAnsi"/>
          <w:szCs w:val="15"/>
        </w:rPr>
        <w:endnoteRef/>
      </w:r>
      <w:r w:rsidRPr="00CB31B1">
        <w:rPr>
          <w:rFonts w:cstheme="minorHAnsi"/>
          <w:szCs w:val="15"/>
        </w:rPr>
        <w:t xml:space="preserve"> Premier of Victoria, </w:t>
      </w:r>
      <w:hyperlink r:id="rId615" w:history="1">
        <w:r w:rsidRPr="00CB31B1">
          <w:rPr>
            <w:rStyle w:val="Hyperlink"/>
            <w:rFonts w:eastAsiaTheme="majorEastAsia" w:cstheme="minorHAnsi"/>
            <w:i/>
            <w:iCs/>
            <w:szCs w:val="15"/>
          </w:rPr>
          <w:t>More access to free healthcare across Victoria</w:t>
        </w:r>
      </w:hyperlink>
      <w:r w:rsidRPr="00CB31B1">
        <w:rPr>
          <w:rFonts w:cstheme="minorHAnsi"/>
          <w:szCs w:val="15"/>
        </w:rPr>
        <w:t xml:space="preserve"> (media release), 21 October 2022, accessed 18 June 2023. </w:t>
      </w:r>
    </w:p>
  </w:endnote>
  <w:endnote w:id="504">
    <w:p w14:paraId="2D4B391C" w14:textId="77777777" w:rsidR="00373ED9" w:rsidRPr="00CB31B1" w:rsidRDefault="00373ED9" w:rsidP="00373ED9">
      <w:pPr>
        <w:pStyle w:val="EndnoteText"/>
        <w:rPr>
          <w:rFonts w:eastAsiaTheme="minorHAnsi" w:cstheme="minorHAnsi"/>
          <w:szCs w:val="15"/>
          <w:lang w:eastAsia="en-US"/>
        </w:rPr>
      </w:pPr>
      <w:r w:rsidRPr="00CB31B1">
        <w:rPr>
          <w:rStyle w:val="EndnoteReference"/>
          <w:rFonts w:cstheme="minorHAnsi"/>
          <w:szCs w:val="15"/>
        </w:rPr>
        <w:endnoteRef/>
      </w:r>
      <w:r w:rsidRPr="00CB31B1">
        <w:rPr>
          <w:rFonts w:cstheme="minorHAnsi"/>
          <w:szCs w:val="15"/>
        </w:rPr>
        <w:t xml:space="preserve"> </w:t>
      </w:r>
      <w:r>
        <w:t xml:space="preserve">The total funding amount includes Commonwealth Government funding under the National Health Reform Agreement (NHRA). </w:t>
      </w:r>
      <w:r w:rsidRPr="00CB31B1">
        <w:rPr>
          <w:rFonts w:eastAsiaTheme="minorHAnsi" w:cstheme="minorHAnsi"/>
          <w:szCs w:val="15"/>
          <w:lang w:eastAsia="en-US"/>
        </w:rPr>
        <w:t xml:space="preserve">Department of Treasury and Finance, </w:t>
      </w:r>
      <w:hyperlink r:id="rId616" w:anchor="budget-paper-3-service-delivery" w:history="1">
        <w:r w:rsidRPr="00CB31B1">
          <w:rPr>
            <w:rFonts w:eastAsiaTheme="minorHAnsi" w:cstheme="minorHAnsi"/>
            <w:i/>
            <w:iCs/>
            <w:color w:val="0000FF" w:themeColor="hyperlink"/>
            <w:szCs w:val="15"/>
            <w:u w:val="single"/>
            <w:lang w:eastAsia="en-US"/>
          </w:rPr>
          <w:t xml:space="preserve">Victorian </w:t>
        </w:r>
        <w:r>
          <w:rPr>
            <w:rFonts w:eastAsiaTheme="minorHAnsi" w:cstheme="minorHAnsi"/>
            <w:i/>
            <w:iCs/>
            <w:color w:val="0000FF" w:themeColor="hyperlink"/>
            <w:szCs w:val="15"/>
            <w:u w:val="single"/>
            <w:lang w:eastAsia="en-US"/>
          </w:rPr>
          <w:t xml:space="preserve">Budget </w:t>
        </w:r>
        <w:r w:rsidRPr="00CB31B1">
          <w:rPr>
            <w:rFonts w:eastAsiaTheme="minorHAnsi" w:cstheme="minorHAnsi"/>
            <w:i/>
            <w:iCs/>
            <w:color w:val="0000FF" w:themeColor="hyperlink"/>
            <w:szCs w:val="15"/>
            <w:u w:val="single"/>
            <w:lang w:eastAsia="en-US"/>
          </w:rPr>
          <w:t xml:space="preserve"> 2023</w:t>
        </w:r>
        <w:r>
          <w:rPr>
            <w:rFonts w:eastAsiaTheme="minorHAnsi" w:cstheme="minorHAnsi"/>
            <w:i/>
            <w:iCs/>
            <w:color w:val="0000FF" w:themeColor="hyperlink"/>
            <w:szCs w:val="15"/>
            <w:u w:val="single"/>
            <w:lang w:eastAsia="en-US"/>
          </w:rPr>
          <w:t>–</w:t>
        </w:r>
        <w:r w:rsidRPr="00CB31B1">
          <w:rPr>
            <w:rFonts w:eastAsiaTheme="minorHAnsi" w:cstheme="minorHAnsi"/>
            <w:i/>
            <w:iCs/>
            <w:color w:val="0000FF" w:themeColor="hyperlink"/>
            <w:szCs w:val="15"/>
            <w:u w:val="single"/>
            <w:lang w:eastAsia="en-US"/>
          </w:rPr>
          <w:t xml:space="preserve">24 – </w:t>
        </w:r>
        <w:r>
          <w:rPr>
            <w:rFonts w:eastAsiaTheme="minorHAnsi" w:cstheme="minorHAnsi"/>
            <w:i/>
            <w:iCs/>
            <w:color w:val="0000FF" w:themeColor="hyperlink"/>
            <w:szCs w:val="15"/>
            <w:u w:val="single"/>
            <w:lang w:eastAsia="en-US"/>
          </w:rPr>
          <w:t xml:space="preserve">Budget </w:t>
        </w:r>
        <w:r w:rsidRPr="00CB31B1">
          <w:rPr>
            <w:rFonts w:eastAsiaTheme="minorHAnsi" w:cstheme="minorHAnsi"/>
            <w:i/>
            <w:iCs/>
            <w:color w:val="0000FF" w:themeColor="hyperlink"/>
            <w:szCs w:val="15"/>
            <w:u w:val="single"/>
            <w:lang w:eastAsia="en-US"/>
          </w:rPr>
          <w:t xml:space="preserve"> Paper No. 3</w:t>
        </w:r>
      </w:hyperlink>
      <w:r w:rsidRPr="00CB31B1">
        <w:rPr>
          <w:rFonts w:eastAsiaTheme="minorHAnsi" w:cstheme="minorHAnsi"/>
          <w:szCs w:val="15"/>
          <w:lang w:eastAsia="en-US"/>
        </w:rPr>
        <w:t xml:space="preserve">, 2023, </w:t>
      </w:r>
      <w:r>
        <w:rPr>
          <w:rFonts w:eastAsiaTheme="minorHAnsi" w:cstheme="minorHAnsi"/>
          <w:szCs w:val="15"/>
          <w:lang w:eastAsia="en-US"/>
        </w:rPr>
        <w:t>p</w:t>
      </w:r>
      <w:r w:rsidRPr="00CB31B1">
        <w:rPr>
          <w:rFonts w:eastAsiaTheme="minorHAnsi" w:cstheme="minorHAnsi"/>
          <w:szCs w:val="15"/>
          <w:lang w:eastAsia="en-US"/>
        </w:rPr>
        <w:t>p.</w:t>
      </w:r>
      <w:r>
        <w:rPr>
          <w:rFonts w:eastAsiaTheme="minorHAnsi" w:cstheme="minorHAnsi"/>
          <w:szCs w:val="15"/>
          <w:lang w:eastAsia="en-US"/>
        </w:rPr>
        <w:t xml:space="preserve"> </w:t>
      </w:r>
      <w:r w:rsidRPr="00CB31B1">
        <w:rPr>
          <w:rFonts w:eastAsiaTheme="minorHAnsi" w:cstheme="minorHAnsi"/>
          <w:szCs w:val="15"/>
          <w:lang w:eastAsia="en-US"/>
        </w:rPr>
        <w:t>54</w:t>
      </w:r>
      <w:r>
        <w:rPr>
          <w:rFonts w:eastAsiaTheme="minorHAnsi" w:cstheme="minorHAnsi"/>
          <w:szCs w:val="15"/>
          <w:lang w:eastAsia="en-US"/>
        </w:rPr>
        <w:t>–55</w:t>
      </w:r>
      <w:r w:rsidRPr="00CB31B1">
        <w:rPr>
          <w:rFonts w:eastAsiaTheme="minorHAnsi" w:cstheme="minorHAnsi"/>
          <w:szCs w:val="15"/>
          <w:lang w:eastAsia="en-US"/>
        </w:rPr>
        <w:t xml:space="preserve">, accessed </w:t>
      </w:r>
      <w:r>
        <w:rPr>
          <w:rFonts w:eastAsiaTheme="minorHAnsi" w:cstheme="minorHAnsi"/>
          <w:szCs w:val="15"/>
          <w:lang w:eastAsia="en-US"/>
        </w:rPr>
        <w:t xml:space="preserve">9 August </w:t>
      </w:r>
      <w:r w:rsidRPr="00CB31B1">
        <w:rPr>
          <w:rFonts w:eastAsiaTheme="minorHAnsi" w:cstheme="minorHAnsi"/>
          <w:szCs w:val="15"/>
          <w:lang w:eastAsia="en-US"/>
        </w:rPr>
        <w:t>2023 (</w:t>
      </w:r>
      <w:hyperlink r:id="rId617" w:history="1">
        <w:r w:rsidRPr="00CB31B1">
          <w:rPr>
            <w:rFonts w:eastAsiaTheme="minorHAnsi" w:cstheme="minorHAnsi"/>
            <w:color w:val="0000FF" w:themeColor="hyperlink"/>
            <w:szCs w:val="15"/>
            <w:u w:val="single"/>
            <w:lang w:eastAsia="en-US"/>
          </w:rPr>
          <w:t>https://s3.ap-southeast-2.amazonaws.com/</w:t>
        </w:r>
        <w:r>
          <w:rPr>
            <w:rFonts w:eastAsiaTheme="minorHAnsi" w:cstheme="minorHAnsi"/>
            <w:color w:val="0000FF" w:themeColor="hyperlink"/>
            <w:szCs w:val="15"/>
            <w:u w:val="single"/>
            <w:lang w:eastAsia="en-US"/>
          </w:rPr>
          <w:t xml:space="preserve">Budget </w:t>
        </w:r>
        <w:r w:rsidRPr="00CB31B1">
          <w:rPr>
            <w:rFonts w:eastAsiaTheme="minorHAnsi" w:cstheme="minorHAnsi"/>
            <w:color w:val="0000FF" w:themeColor="hyperlink"/>
            <w:szCs w:val="15"/>
            <w:u w:val="single"/>
            <w:lang w:eastAsia="en-US"/>
          </w:rPr>
          <w:t>files202324.</w:t>
        </w:r>
        <w:r>
          <w:rPr>
            <w:rFonts w:eastAsiaTheme="minorHAnsi" w:cstheme="minorHAnsi"/>
            <w:color w:val="0000FF" w:themeColor="hyperlink"/>
            <w:szCs w:val="15"/>
            <w:u w:val="single"/>
            <w:lang w:eastAsia="en-US"/>
          </w:rPr>
          <w:t xml:space="preserve">Budget </w:t>
        </w:r>
        <w:r w:rsidRPr="00CB31B1">
          <w:rPr>
            <w:rFonts w:eastAsiaTheme="minorHAnsi" w:cstheme="minorHAnsi"/>
            <w:color w:val="0000FF" w:themeColor="hyperlink"/>
            <w:szCs w:val="15"/>
            <w:u w:val="single"/>
            <w:lang w:eastAsia="en-US"/>
          </w:rPr>
          <w:t>.vic.gov.au/2023</w:t>
        </w:r>
        <w:r>
          <w:rPr>
            <w:rFonts w:eastAsiaTheme="minorHAnsi" w:cstheme="minorHAnsi"/>
            <w:color w:val="0000FF" w:themeColor="hyperlink"/>
            <w:szCs w:val="15"/>
            <w:u w:val="single"/>
            <w:lang w:eastAsia="en-US"/>
          </w:rPr>
          <w:t>–</w:t>
        </w:r>
        <w:r w:rsidRPr="00CB31B1">
          <w:rPr>
            <w:rFonts w:eastAsiaTheme="minorHAnsi" w:cstheme="minorHAnsi"/>
            <w:color w:val="0000FF" w:themeColor="hyperlink"/>
            <w:szCs w:val="15"/>
            <w:u w:val="single"/>
            <w:lang w:eastAsia="en-US"/>
          </w:rPr>
          <w:t>24+State+</w:t>
        </w:r>
        <w:r>
          <w:rPr>
            <w:rFonts w:eastAsiaTheme="minorHAnsi" w:cstheme="minorHAnsi"/>
            <w:color w:val="0000FF" w:themeColor="hyperlink"/>
            <w:szCs w:val="15"/>
            <w:u w:val="single"/>
            <w:lang w:eastAsia="en-US"/>
          </w:rPr>
          <w:t xml:space="preserve">Budget </w:t>
        </w:r>
        <w:r w:rsidRPr="00CB31B1">
          <w:rPr>
            <w:rFonts w:eastAsiaTheme="minorHAnsi" w:cstheme="minorHAnsi"/>
            <w:color w:val="0000FF" w:themeColor="hyperlink"/>
            <w:szCs w:val="15"/>
            <w:u w:val="single"/>
            <w:lang w:eastAsia="en-US"/>
          </w:rPr>
          <w:t>+-+Service+Delivery.pdf</w:t>
        </w:r>
      </w:hyperlink>
      <w:r>
        <w:rPr>
          <w:rFonts w:cstheme="minorHAnsi"/>
          <w:szCs w:val="15"/>
        </w:rPr>
        <w:t>).</w:t>
      </w:r>
      <w:r w:rsidRPr="00CB31B1">
        <w:rPr>
          <w:rFonts w:eastAsiaTheme="minorHAnsi" w:cstheme="minorHAnsi"/>
          <w:szCs w:val="15"/>
          <w:lang w:eastAsia="en-US"/>
        </w:rPr>
        <w:t xml:space="preserve"> </w:t>
      </w:r>
    </w:p>
  </w:endnote>
  <w:endnote w:id="505">
    <w:p w14:paraId="39DAAD61" w14:textId="77777777" w:rsidR="00373ED9" w:rsidRPr="00CB31B1" w:rsidRDefault="00373ED9" w:rsidP="00373ED9">
      <w:pPr>
        <w:pStyle w:val="EndnoteText"/>
        <w:rPr>
          <w:rFonts w:cstheme="minorHAnsi"/>
          <w:szCs w:val="15"/>
        </w:rPr>
      </w:pPr>
      <w:r w:rsidRPr="00CB31B1">
        <w:rPr>
          <w:rStyle w:val="EndnoteReference"/>
          <w:rFonts w:cstheme="minorHAnsi"/>
          <w:szCs w:val="15"/>
        </w:rPr>
        <w:endnoteRef/>
      </w:r>
      <w:r w:rsidRPr="00CB31B1">
        <w:rPr>
          <w:rFonts w:cstheme="minorHAnsi"/>
          <w:szCs w:val="15"/>
        </w:rPr>
        <w:t xml:space="preserve"> </w:t>
      </w:r>
      <w:r w:rsidRPr="00CB31B1">
        <w:rPr>
          <w:rFonts w:eastAsiaTheme="minorHAnsi" w:cstheme="minorHAnsi"/>
          <w:szCs w:val="15"/>
          <w:lang w:eastAsia="en-US"/>
        </w:rPr>
        <w:t xml:space="preserve">Department of Treasury and Finance, </w:t>
      </w:r>
      <w:hyperlink r:id="rId618" w:anchor="budget-paper-3-service-delivery" w:history="1">
        <w:r w:rsidRPr="00CB31B1">
          <w:rPr>
            <w:rFonts w:eastAsiaTheme="minorHAnsi" w:cstheme="minorHAnsi"/>
            <w:i/>
            <w:iCs/>
            <w:color w:val="0000FF" w:themeColor="hyperlink"/>
            <w:szCs w:val="15"/>
            <w:u w:val="single"/>
            <w:lang w:eastAsia="en-US"/>
          </w:rPr>
          <w:t xml:space="preserve">Victorian </w:t>
        </w:r>
        <w:r>
          <w:rPr>
            <w:rFonts w:eastAsiaTheme="minorHAnsi" w:cstheme="minorHAnsi"/>
            <w:i/>
            <w:iCs/>
            <w:color w:val="0000FF" w:themeColor="hyperlink"/>
            <w:szCs w:val="15"/>
            <w:u w:val="single"/>
            <w:lang w:eastAsia="en-US"/>
          </w:rPr>
          <w:t xml:space="preserve">Budget </w:t>
        </w:r>
        <w:r w:rsidRPr="00CB31B1">
          <w:rPr>
            <w:rFonts w:eastAsiaTheme="minorHAnsi" w:cstheme="minorHAnsi"/>
            <w:i/>
            <w:iCs/>
            <w:color w:val="0000FF" w:themeColor="hyperlink"/>
            <w:szCs w:val="15"/>
            <w:u w:val="single"/>
            <w:lang w:eastAsia="en-US"/>
          </w:rPr>
          <w:t xml:space="preserve"> 2023</w:t>
        </w:r>
        <w:r>
          <w:rPr>
            <w:rFonts w:eastAsiaTheme="minorHAnsi" w:cstheme="minorHAnsi"/>
            <w:i/>
            <w:iCs/>
            <w:color w:val="0000FF" w:themeColor="hyperlink"/>
            <w:szCs w:val="15"/>
            <w:u w:val="single"/>
            <w:lang w:eastAsia="en-US"/>
          </w:rPr>
          <w:t>–</w:t>
        </w:r>
        <w:r w:rsidRPr="00CB31B1">
          <w:rPr>
            <w:rFonts w:eastAsiaTheme="minorHAnsi" w:cstheme="minorHAnsi"/>
            <w:i/>
            <w:iCs/>
            <w:color w:val="0000FF" w:themeColor="hyperlink"/>
            <w:szCs w:val="15"/>
            <w:u w:val="single"/>
            <w:lang w:eastAsia="en-US"/>
          </w:rPr>
          <w:t xml:space="preserve">24 – </w:t>
        </w:r>
        <w:r>
          <w:rPr>
            <w:rFonts w:eastAsiaTheme="minorHAnsi" w:cstheme="minorHAnsi"/>
            <w:i/>
            <w:iCs/>
            <w:color w:val="0000FF" w:themeColor="hyperlink"/>
            <w:szCs w:val="15"/>
            <w:u w:val="single"/>
            <w:lang w:eastAsia="en-US"/>
          </w:rPr>
          <w:t xml:space="preserve">Budget </w:t>
        </w:r>
        <w:r w:rsidRPr="00CB31B1">
          <w:rPr>
            <w:rFonts w:eastAsiaTheme="minorHAnsi" w:cstheme="minorHAnsi"/>
            <w:i/>
            <w:iCs/>
            <w:color w:val="0000FF" w:themeColor="hyperlink"/>
            <w:szCs w:val="15"/>
            <w:u w:val="single"/>
            <w:lang w:eastAsia="en-US"/>
          </w:rPr>
          <w:t xml:space="preserve"> Paper No. 3</w:t>
        </w:r>
      </w:hyperlink>
      <w:r w:rsidRPr="00CB31B1">
        <w:rPr>
          <w:rFonts w:eastAsiaTheme="minorHAnsi" w:cstheme="minorHAnsi"/>
          <w:szCs w:val="15"/>
          <w:lang w:eastAsia="en-US"/>
        </w:rPr>
        <w:t>, 2023, p.62, accessed 20 June 2023 (</w:t>
      </w:r>
      <w:hyperlink r:id="rId619" w:history="1">
        <w:r w:rsidRPr="00CB31B1">
          <w:rPr>
            <w:rFonts w:eastAsiaTheme="minorHAnsi" w:cstheme="minorHAnsi"/>
            <w:color w:val="0000FF" w:themeColor="hyperlink"/>
            <w:szCs w:val="15"/>
            <w:u w:val="single"/>
            <w:lang w:eastAsia="en-US"/>
          </w:rPr>
          <w:t>https://s3.ap-southeast-2.amazonaws.com/</w:t>
        </w:r>
        <w:r>
          <w:rPr>
            <w:rFonts w:eastAsiaTheme="minorHAnsi" w:cstheme="minorHAnsi"/>
            <w:color w:val="0000FF" w:themeColor="hyperlink"/>
            <w:szCs w:val="15"/>
            <w:u w:val="single"/>
            <w:lang w:eastAsia="en-US"/>
          </w:rPr>
          <w:t xml:space="preserve">Budget </w:t>
        </w:r>
        <w:r w:rsidRPr="00CB31B1">
          <w:rPr>
            <w:rFonts w:eastAsiaTheme="minorHAnsi" w:cstheme="minorHAnsi"/>
            <w:color w:val="0000FF" w:themeColor="hyperlink"/>
            <w:szCs w:val="15"/>
            <w:u w:val="single"/>
            <w:lang w:eastAsia="en-US"/>
          </w:rPr>
          <w:t>files202324.</w:t>
        </w:r>
        <w:r>
          <w:rPr>
            <w:rFonts w:eastAsiaTheme="minorHAnsi" w:cstheme="minorHAnsi"/>
            <w:color w:val="0000FF" w:themeColor="hyperlink"/>
            <w:szCs w:val="15"/>
            <w:u w:val="single"/>
            <w:lang w:eastAsia="en-US"/>
          </w:rPr>
          <w:t xml:space="preserve">Budget </w:t>
        </w:r>
        <w:r w:rsidRPr="00CB31B1">
          <w:rPr>
            <w:rFonts w:eastAsiaTheme="minorHAnsi" w:cstheme="minorHAnsi"/>
            <w:color w:val="0000FF" w:themeColor="hyperlink"/>
            <w:szCs w:val="15"/>
            <w:u w:val="single"/>
            <w:lang w:eastAsia="en-US"/>
          </w:rPr>
          <w:t>.vic.gov.au/2023</w:t>
        </w:r>
        <w:r>
          <w:rPr>
            <w:rFonts w:eastAsiaTheme="minorHAnsi" w:cstheme="minorHAnsi"/>
            <w:color w:val="0000FF" w:themeColor="hyperlink"/>
            <w:szCs w:val="15"/>
            <w:u w:val="single"/>
            <w:lang w:eastAsia="en-US"/>
          </w:rPr>
          <w:t>–</w:t>
        </w:r>
        <w:r w:rsidRPr="00CB31B1">
          <w:rPr>
            <w:rFonts w:eastAsiaTheme="minorHAnsi" w:cstheme="minorHAnsi"/>
            <w:color w:val="0000FF" w:themeColor="hyperlink"/>
            <w:szCs w:val="15"/>
            <w:u w:val="single"/>
            <w:lang w:eastAsia="en-US"/>
          </w:rPr>
          <w:t>24+State+</w:t>
        </w:r>
        <w:r>
          <w:rPr>
            <w:rFonts w:eastAsiaTheme="minorHAnsi" w:cstheme="minorHAnsi"/>
            <w:color w:val="0000FF" w:themeColor="hyperlink"/>
            <w:szCs w:val="15"/>
            <w:u w:val="single"/>
            <w:lang w:eastAsia="en-US"/>
          </w:rPr>
          <w:t xml:space="preserve">Budget </w:t>
        </w:r>
        <w:r w:rsidRPr="00CB31B1">
          <w:rPr>
            <w:rFonts w:eastAsiaTheme="minorHAnsi" w:cstheme="minorHAnsi"/>
            <w:color w:val="0000FF" w:themeColor="hyperlink"/>
            <w:szCs w:val="15"/>
            <w:u w:val="single"/>
            <w:lang w:eastAsia="en-US"/>
          </w:rPr>
          <w:t>+-+Service+Delivery.pdf</w:t>
        </w:r>
      </w:hyperlink>
      <w:r>
        <w:rPr>
          <w:rFonts w:cstheme="minorHAnsi"/>
          <w:szCs w:val="15"/>
        </w:rPr>
        <w:t>).</w:t>
      </w:r>
    </w:p>
  </w:endnote>
  <w:endnote w:id="506">
    <w:p w14:paraId="153A43A6" w14:textId="77777777" w:rsidR="00373ED9" w:rsidRPr="00CB31B1" w:rsidRDefault="00373ED9" w:rsidP="00373ED9">
      <w:pPr>
        <w:pStyle w:val="EndnoteText"/>
        <w:rPr>
          <w:rFonts w:cstheme="minorHAnsi"/>
          <w:szCs w:val="15"/>
        </w:rPr>
      </w:pPr>
      <w:r w:rsidRPr="00CB31B1">
        <w:rPr>
          <w:rStyle w:val="EndnoteReference"/>
          <w:rFonts w:cstheme="minorHAnsi"/>
          <w:szCs w:val="15"/>
        </w:rPr>
        <w:endnoteRef/>
      </w:r>
      <w:r w:rsidRPr="00CB31B1">
        <w:rPr>
          <w:rFonts w:cstheme="minorHAnsi"/>
          <w:szCs w:val="15"/>
        </w:rPr>
        <w:t xml:space="preserve"> Victorian Health Building Authority, </w:t>
      </w:r>
      <w:hyperlink r:id="rId620" w:history="1">
        <w:r w:rsidRPr="00CB31B1">
          <w:rPr>
            <w:rStyle w:val="Hyperlink"/>
            <w:rFonts w:eastAsiaTheme="majorEastAsia" w:cstheme="minorHAnsi"/>
            <w:i/>
            <w:iCs/>
            <w:szCs w:val="15"/>
          </w:rPr>
          <w:t>Designs released and construction is progressing on the new Casey Early Parenting Centre</w:t>
        </w:r>
      </w:hyperlink>
      <w:r w:rsidRPr="00CB31B1">
        <w:rPr>
          <w:rFonts w:cstheme="minorHAnsi"/>
          <w:i/>
          <w:iCs/>
          <w:szCs w:val="15"/>
        </w:rPr>
        <w:t xml:space="preserve"> </w:t>
      </w:r>
      <w:r w:rsidRPr="00CB31B1">
        <w:rPr>
          <w:rFonts w:cstheme="minorHAnsi"/>
          <w:szCs w:val="15"/>
        </w:rPr>
        <w:t xml:space="preserve">(media release), 27 March 2023, accessed 20 July 2023. </w:t>
      </w:r>
    </w:p>
  </w:endnote>
  <w:endnote w:id="507">
    <w:p w14:paraId="7741EFDF" w14:textId="77777777" w:rsidR="00373ED9" w:rsidRPr="00CB31B1" w:rsidRDefault="00373ED9" w:rsidP="00373ED9">
      <w:pPr>
        <w:pStyle w:val="EndnoteText"/>
        <w:rPr>
          <w:rFonts w:cstheme="minorHAnsi"/>
          <w:szCs w:val="15"/>
        </w:rPr>
      </w:pPr>
      <w:r w:rsidRPr="00CB31B1">
        <w:rPr>
          <w:rStyle w:val="EndnoteReference"/>
          <w:rFonts w:cstheme="minorHAnsi"/>
          <w:szCs w:val="15"/>
        </w:rPr>
        <w:endnoteRef/>
      </w:r>
      <w:r w:rsidRPr="00CB31B1">
        <w:rPr>
          <w:rFonts w:cstheme="minorHAnsi"/>
          <w:szCs w:val="15"/>
        </w:rPr>
        <w:t xml:space="preserve"> Premier of Victoria, </w:t>
      </w:r>
      <w:hyperlink r:id="rId621" w:history="1">
        <w:r w:rsidRPr="00CB31B1">
          <w:rPr>
            <w:rStyle w:val="Hyperlink"/>
            <w:rFonts w:eastAsiaTheme="majorEastAsia" w:cstheme="minorHAnsi"/>
            <w:i/>
            <w:iCs/>
            <w:szCs w:val="15"/>
          </w:rPr>
          <w:t>Site secured for new early parenting centre</w:t>
        </w:r>
      </w:hyperlink>
      <w:r w:rsidRPr="00CB31B1">
        <w:rPr>
          <w:rFonts w:cstheme="minorHAnsi"/>
          <w:szCs w:val="15"/>
        </w:rPr>
        <w:t xml:space="preserve"> (media release), 20 April 2023, accessed 25 July 2023. </w:t>
      </w:r>
    </w:p>
  </w:endnote>
  <w:endnote w:id="508">
    <w:p w14:paraId="379C4389" w14:textId="77777777" w:rsidR="00373ED9" w:rsidRDefault="00373ED9" w:rsidP="00373ED9">
      <w:pPr>
        <w:pStyle w:val="EndnoteText"/>
      </w:pPr>
      <w:r>
        <w:rPr>
          <w:rStyle w:val="EndnoteReference"/>
        </w:rPr>
        <w:endnoteRef/>
      </w:r>
      <w:r>
        <w:t xml:space="preserve"> Victorian Health Building Authority, </w:t>
      </w:r>
      <w:hyperlink r:id="rId622" w:history="1">
        <w:r w:rsidRPr="00CE5E4B">
          <w:rPr>
            <w:rStyle w:val="Hyperlink"/>
            <w:i/>
          </w:rPr>
          <w:t>Construction starts on new children’s emergency department at University Hospital Geelong</w:t>
        </w:r>
      </w:hyperlink>
      <w:r>
        <w:t xml:space="preserve">, 4 May 2023, accessed 9 August 2023. </w:t>
      </w:r>
    </w:p>
  </w:endnote>
  <w:endnote w:id="509">
    <w:p w14:paraId="00D7AC79" w14:textId="77777777" w:rsidR="00373ED9" w:rsidRDefault="00373ED9" w:rsidP="00373ED9">
      <w:pPr>
        <w:pStyle w:val="EndnoteText"/>
      </w:pPr>
      <w:r>
        <w:rPr>
          <w:rStyle w:val="EndnoteReference"/>
        </w:rPr>
        <w:endnoteRef/>
      </w:r>
      <w:r>
        <w:t xml:space="preserve"> Victorian Health Building Authority, </w:t>
      </w:r>
      <w:hyperlink r:id="rId623" w:history="1">
        <w:r w:rsidRPr="00CE5E4B">
          <w:rPr>
            <w:rStyle w:val="Hyperlink"/>
            <w:i/>
          </w:rPr>
          <w:t>Warrnambool Base Hospital redevelopment: Community survey summary report</w:t>
        </w:r>
      </w:hyperlink>
      <w:r>
        <w:t>, 28 October 2023, accessed 9 August 2023.</w:t>
      </w:r>
    </w:p>
  </w:endnote>
  <w:endnote w:id="510">
    <w:p w14:paraId="6D005F4B" w14:textId="77777777" w:rsidR="00373ED9" w:rsidRPr="00CB31B1" w:rsidRDefault="00373ED9" w:rsidP="00373ED9">
      <w:pPr>
        <w:pStyle w:val="EndnoteText"/>
        <w:rPr>
          <w:rFonts w:cstheme="minorHAnsi"/>
          <w:szCs w:val="15"/>
        </w:rPr>
      </w:pPr>
      <w:r w:rsidRPr="00CB31B1">
        <w:rPr>
          <w:rStyle w:val="EndnoteReference"/>
          <w:rFonts w:cstheme="minorHAnsi"/>
          <w:szCs w:val="15"/>
        </w:rPr>
        <w:endnoteRef/>
      </w:r>
      <w:r w:rsidRPr="00CB31B1">
        <w:rPr>
          <w:rFonts w:cstheme="minorHAnsi"/>
          <w:szCs w:val="15"/>
        </w:rPr>
        <w:t xml:space="preserve"> Department of Health, </w:t>
      </w:r>
      <w:hyperlink r:id="rId624" w:history="1">
        <w:r w:rsidRPr="00CB31B1">
          <w:rPr>
            <w:rStyle w:val="Hyperlink"/>
            <w:rFonts w:eastAsiaTheme="majorEastAsia" w:cstheme="minorHAnsi"/>
            <w:i/>
            <w:iCs/>
            <w:szCs w:val="15"/>
          </w:rPr>
          <w:t>Infectious disease institute a step closer</w:t>
        </w:r>
      </w:hyperlink>
      <w:r w:rsidRPr="00CB31B1">
        <w:rPr>
          <w:rFonts w:cstheme="minorHAnsi"/>
          <w:szCs w:val="15"/>
        </w:rPr>
        <w:t xml:space="preserve"> (media release), 20 June 2023, accessed 15 July 2023. </w:t>
      </w:r>
    </w:p>
  </w:endnote>
  <w:endnote w:id="511">
    <w:p w14:paraId="4254A912" w14:textId="77777777" w:rsidR="00373ED9" w:rsidRPr="00CB31B1" w:rsidRDefault="00373ED9" w:rsidP="00373ED9">
      <w:pPr>
        <w:pStyle w:val="EndnoteText"/>
        <w:rPr>
          <w:rFonts w:cstheme="minorHAnsi"/>
          <w:szCs w:val="15"/>
        </w:rPr>
      </w:pPr>
      <w:r w:rsidRPr="00CB31B1">
        <w:rPr>
          <w:rStyle w:val="EndnoteReference"/>
          <w:rFonts w:cstheme="minorHAnsi"/>
          <w:szCs w:val="15"/>
        </w:rPr>
        <w:endnoteRef/>
      </w:r>
      <w:r w:rsidRPr="00CB31B1">
        <w:rPr>
          <w:rFonts w:cstheme="minorHAnsi"/>
          <w:szCs w:val="15"/>
        </w:rPr>
        <w:t xml:space="preserve"> Premier of Victoria, </w:t>
      </w:r>
      <w:hyperlink r:id="rId625" w:history="1">
        <w:r w:rsidRPr="00CB31B1">
          <w:rPr>
            <w:rStyle w:val="Hyperlink"/>
            <w:rFonts w:eastAsiaTheme="majorEastAsia" w:cstheme="minorHAnsi"/>
            <w:szCs w:val="15"/>
          </w:rPr>
          <w:t>Funding</w:t>
        </w:r>
        <w:r w:rsidRPr="00CB31B1">
          <w:rPr>
            <w:rStyle w:val="Hyperlink"/>
            <w:rFonts w:eastAsiaTheme="majorEastAsia" w:cstheme="minorHAnsi"/>
            <w:i/>
            <w:iCs/>
            <w:szCs w:val="15"/>
          </w:rPr>
          <w:t xml:space="preserve"> boost supporting cancer research leaders</w:t>
        </w:r>
      </w:hyperlink>
      <w:r w:rsidRPr="00CB31B1">
        <w:rPr>
          <w:rFonts w:cstheme="minorHAnsi"/>
          <w:szCs w:val="15"/>
        </w:rPr>
        <w:t xml:space="preserve"> (media release), 31 October 2022, accessed 15 May 2023. </w:t>
      </w:r>
    </w:p>
  </w:endnote>
  <w:endnote w:id="512">
    <w:p w14:paraId="44E70143" w14:textId="77777777" w:rsidR="00373ED9" w:rsidRPr="00CB31B1" w:rsidRDefault="00373ED9" w:rsidP="00373ED9">
      <w:pPr>
        <w:pStyle w:val="EndnoteText"/>
        <w:rPr>
          <w:rFonts w:cstheme="minorHAnsi"/>
          <w:szCs w:val="15"/>
        </w:rPr>
      </w:pPr>
      <w:r w:rsidRPr="00CB31B1">
        <w:rPr>
          <w:rStyle w:val="EndnoteReference"/>
          <w:rFonts w:cstheme="minorHAnsi"/>
          <w:szCs w:val="15"/>
        </w:rPr>
        <w:endnoteRef/>
      </w:r>
      <w:r w:rsidRPr="00CB31B1">
        <w:rPr>
          <w:rFonts w:cstheme="minorHAnsi"/>
          <w:szCs w:val="15"/>
        </w:rPr>
        <w:t xml:space="preserve"> </w:t>
      </w:r>
      <w:r w:rsidRPr="00CB31B1">
        <w:rPr>
          <w:rFonts w:eastAsiaTheme="minorHAnsi" w:cstheme="minorHAnsi"/>
          <w:szCs w:val="15"/>
          <w:lang w:eastAsia="en-US"/>
        </w:rPr>
        <w:t xml:space="preserve">Department of Treasury and Finance, </w:t>
      </w:r>
      <w:hyperlink r:id="rId626" w:anchor="budget-paper-3-service-delivery" w:history="1">
        <w:r w:rsidRPr="00CB31B1">
          <w:rPr>
            <w:rFonts w:eastAsiaTheme="minorHAnsi" w:cstheme="minorHAnsi"/>
            <w:i/>
            <w:iCs/>
            <w:color w:val="0000FF" w:themeColor="hyperlink"/>
            <w:szCs w:val="15"/>
            <w:u w:val="single"/>
            <w:lang w:eastAsia="en-US"/>
          </w:rPr>
          <w:t xml:space="preserve">Victorian </w:t>
        </w:r>
        <w:r>
          <w:rPr>
            <w:rFonts w:eastAsiaTheme="minorHAnsi" w:cstheme="minorHAnsi"/>
            <w:i/>
            <w:iCs/>
            <w:color w:val="0000FF" w:themeColor="hyperlink"/>
            <w:szCs w:val="15"/>
            <w:u w:val="single"/>
            <w:lang w:eastAsia="en-US"/>
          </w:rPr>
          <w:t xml:space="preserve">Budget </w:t>
        </w:r>
        <w:r w:rsidRPr="00CB31B1">
          <w:rPr>
            <w:rFonts w:eastAsiaTheme="minorHAnsi" w:cstheme="minorHAnsi"/>
            <w:i/>
            <w:iCs/>
            <w:color w:val="0000FF" w:themeColor="hyperlink"/>
            <w:szCs w:val="15"/>
            <w:u w:val="single"/>
            <w:lang w:eastAsia="en-US"/>
          </w:rPr>
          <w:t xml:space="preserve"> 2023</w:t>
        </w:r>
        <w:r>
          <w:rPr>
            <w:rFonts w:eastAsiaTheme="minorHAnsi" w:cstheme="minorHAnsi"/>
            <w:i/>
            <w:iCs/>
            <w:color w:val="0000FF" w:themeColor="hyperlink"/>
            <w:szCs w:val="15"/>
            <w:u w:val="single"/>
            <w:lang w:eastAsia="en-US"/>
          </w:rPr>
          <w:t>–</w:t>
        </w:r>
        <w:r w:rsidRPr="00CB31B1">
          <w:rPr>
            <w:rFonts w:eastAsiaTheme="minorHAnsi" w:cstheme="minorHAnsi"/>
            <w:i/>
            <w:iCs/>
            <w:color w:val="0000FF" w:themeColor="hyperlink"/>
            <w:szCs w:val="15"/>
            <w:u w:val="single"/>
            <w:lang w:eastAsia="en-US"/>
          </w:rPr>
          <w:t xml:space="preserve">24 – </w:t>
        </w:r>
        <w:r>
          <w:rPr>
            <w:rFonts w:eastAsiaTheme="minorHAnsi" w:cstheme="minorHAnsi"/>
            <w:i/>
            <w:iCs/>
            <w:color w:val="0000FF" w:themeColor="hyperlink"/>
            <w:szCs w:val="15"/>
            <w:u w:val="single"/>
            <w:lang w:eastAsia="en-US"/>
          </w:rPr>
          <w:t xml:space="preserve">Budget </w:t>
        </w:r>
        <w:r w:rsidRPr="00CB31B1">
          <w:rPr>
            <w:rFonts w:eastAsiaTheme="minorHAnsi" w:cstheme="minorHAnsi"/>
            <w:i/>
            <w:iCs/>
            <w:color w:val="0000FF" w:themeColor="hyperlink"/>
            <w:szCs w:val="15"/>
            <w:u w:val="single"/>
            <w:lang w:eastAsia="en-US"/>
          </w:rPr>
          <w:t xml:space="preserve"> Paper No. 3</w:t>
        </w:r>
      </w:hyperlink>
      <w:r w:rsidRPr="00CB31B1">
        <w:rPr>
          <w:rFonts w:eastAsiaTheme="minorHAnsi" w:cstheme="minorHAnsi"/>
          <w:szCs w:val="15"/>
          <w:lang w:eastAsia="en-US"/>
        </w:rPr>
        <w:t>, 2023, p.54, accessed 2 June 2023 (</w:t>
      </w:r>
      <w:hyperlink r:id="rId627" w:history="1">
        <w:r w:rsidRPr="00CB31B1">
          <w:rPr>
            <w:rFonts w:eastAsiaTheme="minorHAnsi" w:cstheme="minorHAnsi"/>
            <w:color w:val="0000FF" w:themeColor="hyperlink"/>
            <w:szCs w:val="15"/>
            <w:u w:val="single"/>
            <w:lang w:eastAsia="en-US"/>
          </w:rPr>
          <w:t>https://s3.ap-southeast-2.amazonaws.com/</w:t>
        </w:r>
        <w:r>
          <w:rPr>
            <w:rFonts w:eastAsiaTheme="minorHAnsi" w:cstheme="minorHAnsi"/>
            <w:color w:val="0000FF" w:themeColor="hyperlink"/>
            <w:szCs w:val="15"/>
            <w:u w:val="single"/>
            <w:lang w:eastAsia="en-US"/>
          </w:rPr>
          <w:t xml:space="preserve">Budget </w:t>
        </w:r>
        <w:r w:rsidRPr="00CB31B1">
          <w:rPr>
            <w:rFonts w:eastAsiaTheme="minorHAnsi" w:cstheme="minorHAnsi"/>
            <w:color w:val="0000FF" w:themeColor="hyperlink"/>
            <w:szCs w:val="15"/>
            <w:u w:val="single"/>
            <w:lang w:eastAsia="en-US"/>
          </w:rPr>
          <w:t>files202324.</w:t>
        </w:r>
        <w:r>
          <w:rPr>
            <w:rFonts w:eastAsiaTheme="minorHAnsi" w:cstheme="minorHAnsi"/>
            <w:color w:val="0000FF" w:themeColor="hyperlink"/>
            <w:szCs w:val="15"/>
            <w:u w:val="single"/>
            <w:lang w:eastAsia="en-US"/>
          </w:rPr>
          <w:t xml:space="preserve">Budget </w:t>
        </w:r>
        <w:r w:rsidRPr="00CB31B1">
          <w:rPr>
            <w:rFonts w:eastAsiaTheme="minorHAnsi" w:cstheme="minorHAnsi"/>
            <w:color w:val="0000FF" w:themeColor="hyperlink"/>
            <w:szCs w:val="15"/>
            <w:u w:val="single"/>
            <w:lang w:eastAsia="en-US"/>
          </w:rPr>
          <w:t>.vic.gov.au/2023</w:t>
        </w:r>
        <w:r>
          <w:rPr>
            <w:rFonts w:eastAsiaTheme="minorHAnsi" w:cstheme="minorHAnsi"/>
            <w:color w:val="0000FF" w:themeColor="hyperlink"/>
            <w:szCs w:val="15"/>
            <w:u w:val="single"/>
            <w:lang w:eastAsia="en-US"/>
          </w:rPr>
          <w:t>–</w:t>
        </w:r>
        <w:r w:rsidRPr="00CB31B1">
          <w:rPr>
            <w:rFonts w:eastAsiaTheme="minorHAnsi" w:cstheme="minorHAnsi"/>
            <w:color w:val="0000FF" w:themeColor="hyperlink"/>
            <w:szCs w:val="15"/>
            <w:u w:val="single"/>
            <w:lang w:eastAsia="en-US"/>
          </w:rPr>
          <w:t>24+State+</w:t>
        </w:r>
        <w:r>
          <w:rPr>
            <w:rFonts w:eastAsiaTheme="minorHAnsi" w:cstheme="minorHAnsi"/>
            <w:color w:val="0000FF" w:themeColor="hyperlink"/>
            <w:szCs w:val="15"/>
            <w:u w:val="single"/>
            <w:lang w:eastAsia="en-US"/>
          </w:rPr>
          <w:t xml:space="preserve">Budget </w:t>
        </w:r>
        <w:r w:rsidRPr="00CB31B1">
          <w:rPr>
            <w:rFonts w:eastAsiaTheme="minorHAnsi" w:cstheme="minorHAnsi"/>
            <w:color w:val="0000FF" w:themeColor="hyperlink"/>
            <w:szCs w:val="15"/>
            <w:u w:val="single"/>
            <w:lang w:eastAsia="en-US"/>
          </w:rPr>
          <w:t>+-+Service+Delivery.pdf</w:t>
        </w:r>
      </w:hyperlink>
      <w:r>
        <w:rPr>
          <w:rFonts w:cstheme="minorHAnsi"/>
          <w:szCs w:val="15"/>
        </w:rPr>
        <w:t>).</w:t>
      </w:r>
    </w:p>
  </w:endnote>
  <w:endnote w:id="513">
    <w:p w14:paraId="6D284C7E" w14:textId="77777777" w:rsidR="00373ED9" w:rsidRPr="00CB31B1" w:rsidRDefault="00373ED9" w:rsidP="00373ED9">
      <w:pPr>
        <w:pStyle w:val="EndnoteText"/>
        <w:rPr>
          <w:rFonts w:cstheme="minorHAnsi"/>
          <w:szCs w:val="15"/>
        </w:rPr>
      </w:pPr>
      <w:r w:rsidRPr="00CB31B1">
        <w:rPr>
          <w:rStyle w:val="EndnoteReference"/>
          <w:rFonts w:cstheme="minorHAnsi"/>
          <w:szCs w:val="15"/>
        </w:rPr>
        <w:endnoteRef/>
      </w:r>
      <w:r w:rsidRPr="00CB31B1">
        <w:rPr>
          <w:rFonts w:cstheme="minorHAnsi"/>
          <w:szCs w:val="15"/>
        </w:rPr>
        <w:t xml:space="preserve"> </w:t>
      </w:r>
      <w:r w:rsidRPr="00CB31B1">
        <w:rPr>
          <w:rFonts w:eastAsiaTheme="minorHAnsi" w:cstheme="minorHAnsi"/>
          <w:szCs w:val="15"/>
          <w:lang w:eastAsia="en-US"/>
        </w:rPr>
        <w:t xml:space="preserve">Department of Treasury and Finance, </w:t>
      </w:r>
      <w:hyperlink r:id="rId628" w:anchor="budget-paper-3-service-delivery" w:history="1">
        <w:r w:rsidRPr="00CB31B1">
          <w:rPr>
            <w:rFonts w:eastAsiaTheme="minorHAnsi" w:cstheme="minorHAnsi"/>
            <w:i/>
            <w:iCs/>
            <w:color w:val="0000FF" w:themeColor="hyperlink"/>
            <w:szCs w:val="15"/>
            <w:u w:val="single"/>
            <w:lang w:eastAsia="en-US"/>
          </w:rPr>
          <w:t xml:space="preserve">Victorian </w:t>
        </w:r>
        <w:r>
          <w:rPr>
            <w:rFonts w:eastAsiaTheme="minorHAnsi" w:cstheme="minorHAnsi"/>
            <w:i/>
            <w:iCs/>
            <w:color w:val="0000FF" w:themeColor="hyperlink"/>
            <w:szCs w:val="15"/>
            <w:u w:val="single"/>
            <w:lang w:eastAsia="en-US"/>
          </w:rPr>
          <w:t xml:space="preserve">Budget </w:t>
        </w:r>
        <w:r w:rsidRPr="00CB31B1">
          <w:rPr>
            <w:rFonts w:eastAsiaTheme="minorHAnsi" w:cstheme="minorHAnsi"/>
            <w:i/>
            <w:iCs/>
            <w:color w:val="0000FF" w:themeColor="hyperlink"/>
            <w:szCs w:val="15"/>
            <w:u w:val="single"/>
            <w:lang w:eastAsia="en-US"/>
          </w:rPr>
          <w:t xml:space="preserve"> 2023</w:t>
        </w:r>
        <w:r>
          <w:rPr>
            <w:rFonts w:eastAsiaTheme="minorHAnsi" w:cstheme="minorHAnsi"/>
            <w:i/>
            <w:iCs/>
            <w:color w:val="0000FF" w:themeColor="hyperlink"/>
            <w:szCs w:val="15"/>
            <w:u w:val="single"/>
            <w:lang w:eastAsia="en-US"/>
          </w:rPr>
          <w:t>–</w:t>
        </w:r>
        <w:r w:rsidRPr="00CB31B1">
          <w:rPr>
            <w:rFonts w:eastAsiaTheme="minorHAnsi" w:cstheme="minorHAnsi"/>
            <w:i/>
            <w:iCs/>
            <w:color w:val="0000FF" w:themeColor="hyperlink"/>
            <w:szCs w:val="15"/>
            <w:u w:val="single"/>
            <w:lang w:eastAsia="en-US"/>
          </w:rPr>
          <w:t xml:space="preserve">24 – </w:t>
        </w:r>
        <w:r>
          <w:rPr>
            <w:rFonts w:eastAsiaTheme="minorHAnsi" w:cstheme="minorHAnsi"/>
            <w:i/>
            <w:iCs/>
            <w:color w:val="0000FF" w:themeColor="hyperlink"/>
            <w:szCs w:val="15"/>
            <w:u w:val="single"/>
            <w:lang w:eastAsia="en-US"/>
          </w:rPr>
          <w:t xml:space="preserve">Budget </w:t>
        </w:r>
        <w:r w:rsidRPr="00CB31B1">
          <w:rPr>
            <w:rFonts w:eastAsiaTheme="minorHAnsi" w:cstheme="minorHAnsi"/>
            <w:i/>
            <w:iCs/>
            <w:color w:val="0000FF" w:themeColor="hyperlink"/>
            <w:szCs w:val="15"/>
            <w:u w:val="single"/>
            <w:lang w:eastAsia="en-US"/>
          </w:rPr>
          <w:t xml:space="preserve"> Paper No. 3</w:t>
        </w:r>
      </w:hyperlink>
      <w:r w:rsidRPr="00CB31B1">
        <w:rPr>
          <w:rFonts w:eastAsiaTheme="minorHAnsi" w:cstheme="minorHAnsi"/>
          <w:szCs w:val="15"/>
          <w:lang w:eastAsia="en-US"/>
        </w:rPr>
        <w:t>, 2023, p.66, accessed 2 June 2023 (</w:t>
      </w:r>
      <w:hyperlink r:id="rId629" w:history="1">
        <w:r w:rsidRPr="00CB31B1">
          <w:rPr>
            <w:rFonts w:eastAsiaTheme="minorHAnsi" w:cstheme="minorHAnsi"/>
            <w:color w:val="0000FF" w:themeColor="hyperlink"/>
            <w:szCs w:val="15"/>
            <w:u w:val="single"/>
            <w:lang w:eastAsia="en-US"/>
          </w:rPr>
          <w:t>https://s3.ap-southeast-2.amazonaws.com/</w:t>
        </w:r>
        <w:r>
          <w:rPr>
            <w:rFonts w:eastAsiaTheme="minorHAnsi" w:cstheme="minorHAnsi"/>
            <w:color w:val="0000FF" w:themeColor="hyperlink"/>
            <w:szCs w:val="15"/>
            <w:u w:val="single"/>
            <w:lang w:eastAsia="en-US"/>
          </w:rPr>
          <w:t xml:space="preserve">Budget </w:t>
        </w:r>
        <w:r w:rsidRPr="00CB31B1">
          <w:rPr>
            <w:rFonts w:eastAsiaTheme="minorHAnsi" w:cstheme="minorHAnsi"/>
            <w:color w:val="0000FF" w:themeColor="hyperlink"/>
            <w:szCs w:val="15"/>
            <w:u w:val="single"/>
            <w:lang w:eastAsia="en-US"/>
          </w:rPr>
          <w:t>files202324.</w:t>
        </w:r>
        <w:r>
          <w:rPr>
            <w:rFonts w:eastAsiaTheme="minorHAnsi" w:cstheme="minorHAnsi"/>
            <w:color w:val="0000FF" w:themeColor="hyperlink"/>
            <w:szCs w:val="15"/>
            <w:u w:val="single"/>
            <w:lang w:eastAsia="en-US"/>
          </w:rPr>
          <w:t xml:space="preserve">Budget </w:t>
        </w:r>
        <w:r w:rsidRPr="00CB31B1">
          <w:rPr>
            <w:rFonts w:eastAsiaTheme="minorHAnsi" w:cstheme="minorHAnsi"/>
            <w:color w:val="0000FF" w:themeColor="hyperlink"/>
            <w:szCs w:val="15"/>
            <w:u w:val="single"/>
            <w:lang w:eastAsia="en-US"/>
          </w:rPr>
          <w:t>.vic.gov.au/2023</w:t>
        </w:r>
        <w:r>
          <w:rPr>
            <w:rFonts w:eastAsiaTheme="minorHAnsi" w:cstheme="minorHAnsi"/>
            <w:color w:val="0000FF" w:themeColor="hyperlink"/>
            <w:szCs w:val="15"/>
            <w:u w:val="single"/>
            <w:lang w:eastAsia="en-US"/>
          </w:rPr>
          <w:t>–</w:t>
        </w:r>
        <w:r w:rsidRPr="00CB31B1">
          <w:rPr>
            <w:rFonts w:eastAsiaTheme="minorHAnsi" w:cstheme="minorHAnsi"/>
            <w:color w:val="0000FF" w:themeColor="hyperlink"/>
            <w:szCs w:val="15"/>
            <w:u w:val="single"/>
            <w:lang w:eastAsia="en-US"/>
          </w:rPr>
          <w:t>24+State+</w:t>
        </w:r>
        <w:r>
          <w:rPr>
            <w:rFonts w:eastAsiaTheme="minorHAnsi" w:cstheme="minorHAnsi"/>
            <w:color w:val="0000FF" w:themeColor="hyperlink"/>
            <w:szCs w:val="15"/>
            <w:u w:val="single"/>
            <w:lang w:eastAsia="en-US"/>
          </w:rPr>
          <w:t xml:space="preserve">Budget </w:t>
        </w:r>
        <w:r w:rsidRPr="00CB31B1">
          <w:rPr>
            <w:rFonts w:eastAsiaTheme="minorHAnsi" w:cstheme="minorHAnsi"/>
            <w:color w:val="0000FF" w:themeColor="hyperlink"/>
            <w:szCs w:val="15"/>
            <w:u w:val="single"/>
            <w:lang w:eastAsia="en-US"/>
          </w:rPr>
          <w:t>+-+Service+Delivery.pdf</w:t>
        </w:r>
      </w:hyperlink>
      <w:r>
        <w:rPr>
          <w:rFonts w:cstheme="minorHAnsi"/>
          <w:szCs w:val="15"/>
        </w:rPr>
        <w:t>).</w:t>
      </w:r>
    </w:p>
  </w:endnote>
  <w:endnote w:id="514">
    <w:p w14:paraId="3E0B5FDB" w14:textId="77777777" w:rsidR="00373ED9" w:rsidRPr="00CB31B1" w:rsidRDefault="00373ED9" w:rsidP="00373ED9">
      <w:pPr>
        <w:pStyle w:val="EndnoteText"/>
        <w:rPr>
          <w:rFonts w:cstheme="minorHAnsi"/>
          <w:szCs w:val="15"/>
        </w:rPr>
      </w:pPr>
      <w:r w:rsidRPr="00CB31B1">
        <w:rPr>
          <w:rStyle w:val="EndnoteReference"/>
          <w:rFonts w:cstheme="minorHAnsi"/>
          <w:szCs w:val="15"/>
        </w:rPr>
        <w:endnoteRef/>
      </w:r>
      <w:r w:rsidRPr="00CB31B1">
        <w:rPr>
          <w:rFonts w:cstheme="minorHAnsi"/>
          <w:szCs w:val="15"/>
        </w:rPr>
        <w:t xml:space="preserve"> </w:t>
      </w:r>
      <w:r>
        <w:rPr>
          <w:rFonts w:cstheme="minorHAnsi"/>
          <w:szCs w:val="15"/>
        </w:rPr>
        <w:t>Minister for Prevention of Family Violence</w:t>
      </w:r>
      <w:r w:rsidRPr="00CB31B1">
        <w:rPr>
          <w:rFonts w:cstheme="minorHAnsi"/>
          <w:szCs w:val="15"/>
        </w:rPr>
        <w:t xml:space="preserve">, </w:t>
      </w:r>
      <w:hyperlink r:id="rId630" w:history="1">
        <w:r w:rsidRPr="00816D4A">
          <w:rPr>
            <w:rStyle w:val="Hyperlink"/>
            <w:i/>
          </w:rPr>
          <w:t>Family violence research grant applications now open</w:t>
        </w:r>
      </w:hyperlink>
      <w:r w:rsidRPr="00CB31B1">
        <w:rPr>
          <w:rFonts w:cstheme="minorHAnsi"/>
          <w:szCs w:val="15"/>
        </w:rPr>
        <w:t xml:space="preserve"> </w:t>
      </w:r>
      <w:r>
        <w:rPr>
          <w:rFonts w:cstheme="minorHAnsi"/>
          <w:szCs w:val="15"/>
        </w:rPr>
        <w:t>(</w:t>
      </w:r>
      <w:r w:rsidRPr="00CB31B1">
        <w:rPr>
          <w:rFonts w:cstheme="minorHAnsi"/>
          <w:szCs w:val="15"/>
        </w:rPr>
        <w:t xml:space="preserve">media release), 9 March 2023, accessed 1 July 2023. </w:t>
      </w:r>
    </w:p>
  </w:endnote>
  <w:endnote w:id="515">
    <w:p w14:paraId="5569258E" w14:textId="77777777" w:rsidR="00373ED9" w:rsidRPr="00CB31B1" w:rsidRDefault="00373ED9" w:rsidP="00373ED9">
      <w:pPr>
        <w:pStyle w:val="EndnoteText"/>
        <w:rPr>
          <w:rFonts w:cstheme="minorHAnsi"/>
          <w:szCs w:val="15"/>
        </w:rPr>
      </w:pPr>
      <w:r w:rsidRPr="00CB31B1">
        <w:rPr>
          <w:rStyle w:val="EndnoteReference"/>
          <w:rFonts w:cstheme="minorHAnsi"/>
          <w:szCs w:val="15"/>
        </w:rPr>
        <w:endnoteRef/>
      </w:r>
      <w:r w:rsidRPr="00CB31B1">
        <w:rPr>
          <w:rFonts w:cstheme="minorHAnsi"/>
          <w:szCs w:val="15"/>
        </w:rPr>
        <w:t xml:space="preserve"> </w:t>
      </w:r>
      <w:r w:rsidRPr="00CB31B1">
        <w:rPr>
          <w:rFonts w:eastAsiaTheme="minorHAnsi" w:cstheme="minorHAnsi"/>
          <w:szCs w:val="15"/>
          <w:lang w:eastAsia="en-US"/>
        </w:rPr>
        <w:t xml:space="preserve">Department of Treasury and Finance, </w:t>
      </w:r>
      <w:hyperlink r:id="rId631" w:anchor="budget-paper-3-service-delivery" w:history="1">
        <w:r w:rsidRPr="00CB31B1">
          <w:rPr>
            <w:rFonts w:eastAsiaTheme="minorHAnsi" w:cstheme="minorHAnsi"/>
            <w:i/>
            <w:iCs/>
            <w:color w:val="0000FF" w:themeColor="hyperlink"/>
            <w:szCs w:val="15"/>
            <w:u w:val="single"/>
            <w:lang w:eastAsia="en-US"/>
          </w:rPr>
          <w:t xml:space="preserve">Victorian </w:t>
        </w:r>
        <w:r>
          <w:rPr>
            <w:rFonts w:eastAsiaTheme="minorHAnsi" w:cstheme="minorHAnsi"/>
            <w:i/>
            <w:iCs/>
            <w:color w:val="0000FF" w:themeColor="hyperlink"/>
            <w:szCs w:val="15"/>
            <w:u w:val="single"/>
            <w:lang w:eastAsia="en-US"/>
          </w:rPr>
          <w:t xml:space="preserve">Budget </w:t>
        </w:r>
        <w:r w:rsidRPr="00CB31B1">
          <w:rPr>
            <w:rFonts w:eastAsiaTheme="minorHAnsi" w:cstheme="minorHAnsi"/>
            <w:i/>
            <w:iCs/>
            <w:color w:val="0000FF" w:themeColor="hyperlink"/>
            <w:szCs w:val="15"/>
            <w:u w:val="single"/>
            <w:lang w:eastAsia="en-US"/>
          </w:rPr>
          <w:t xml:space="preserve"> 2023</w:t>
        </w:r>
        <w:r>
          <w:rPr>
            <w:rFonts w:eastAsiaTheme="minorHAnsi" w:cstheme="minorHAnsi"/>
            <w:i/>
            <w:iCs/>
            <w:color w:val="0000FF" w:themeColor="hyperlink"/>
            <w:szCs w:val="15"/>
            <w:u w:val="single"/>
            <w:lang w:eastAsia="en-US"/>
          </w:rPr>
          <w:t>–</w:t>
        </w:r>
        <w:r w:rsidRPr="00CB31B1">
          <w:rPr>
            <w:rFonts w:eastAsiaTheme="minorHAnsi" w:cstheme="minorHAnsi"/>
            <w:i/>
            <w:iCs/>
            <w:color w:val="0000FF" w:themeColor="hyperlink"/>
            <w:szCs w:val="15"/>
            <w:u w:val="single"/>
            <w:lang w:eastAsia="en-US"/>
          </w:rPr>
          <w:t xml:space="preserve">24 – </w:t>
        </w:r>
        <w:r>
          <w:rPr>
            <w:rFonts w:eastAsiaTheme="minorHAnsi" w:cstheme="minorHAnsi"/>
            <w:i/>
            <w:iCs/>
            <w:color w:val="0000FF" w:themeColor="hyperlink"/>
            <w:szCs w:val="15"/>
            <w:u w:val="single"/>
            <w:lang w:eastAsia="en-US"/>
          </w:rPr>
          <w:t xml:space="preserve">Budget </w:t>
        </w:r>
        <w:r w:rsidRPr="00CB31B1">
          <w:rPr>
            <w:rFonts w:eastAsiaTheme="minorHAnsi" w:cstheme="minorHAnsi"/>
            <w:i/>
            <w:iCs/>
            <w:color w:val="0000FF" w:themeColor="hyperlink"/>
            <w:szCs w:val="15"/>
            <w:u w:val="single"/>
            <w:lang w:eastAsia="en-US"/>
          </w:rPr>
          <w:t xml:space="preserve"> Paper No. 3</w:t>
        </w:r>
      </w:hyperlink>
      <w:r w:rsidRPr="00CB31B1">
        <w:rPr>
          <w:rFonts w:eastAsiaTheme="minorHAnsi" w:cstheme="minorHAnsi"/>
          <w:szCs w:val="15"/>
          <w:lang w:eastAsia="en-US"/>
        </w:rPr>
        <w:t>, 2023, p.84, accessed 20 June 2023 (</w:t>
      </w:r>
      <w:hyperlink r:id="rId632" w:history="1">
        <w:r w:rsidRPr="00CB31B1">
          <w:rPr>
            <w:rFonts w:eastAsiaTheme="minorHAnsi" w:cstheme="minorHAnsi"/>
            <w:color w:val="0000FF" w:themeColor="hyperlink"/>
            <w:szCs w:val="15"/>
            <w:u w:val="single"/>
            <w:lang w:eastAsia="en-US"/>
          </w:rPr>
          <w:t>https://s3.ap-southeast-2.amazonaws.com/</w:t>
        </w:r>
        <w:r>
          <w:rPr>
            <w:rFonts w:eastAsiaTheme="minorHAnsi" w:cstheme="minorHAnsi"/>
            <w:color w:val="0000FF" w:themeColor="hyperlink"/>
            <w:szCs w:val="15"/>
            <w:u w:val="single"/>
            <w:lang w:eastAsia="en-US"/>
          </w:rPr>
          <w:t xml:space="preserve">Budget </w:t>
        </w:r>
        <w:r w:rsidRPr="00CB31B1">
          <w:rPr>
            <w:rFonts w:eastAsiaTheme="minorHAnsi" w:cstheme="minorHAnsi"/>
            <w:color w:val="0000FF" w:themeColor="hyperlink"/>
            <w:szCs w:val="15"/>
            <w:u w:val="single"/>
            <w:lang w:eastAsia="en-US"/>
          </w:rPr>
          <w:t>files202324.</w:t>
        </w:r>
        <w:r>
          <w:rPr>
            <w:rFonts w:eastAsiaTheme="minorHAnsi" w:cstheme="minorHAnsi"/>
            <w:color w:val="0000FF" w:themeColor="hyperlink"/>
            <w:szCs w:val="15"/>
            <w:u w:val="single"/>
            <w:lang w:eastAsia="en-US"/>
          </w:rPr>
          <w:t xml:space="preserve">Budget </w:t>
        </w:r>
        <w:r w:rsidRPr="00CB31B1">
          <w:rPr>
            <w:rFonts w:eastAsiaTheme="minorHAnsi" w:cstheme="minorHAnsi"/>
            <w:color w:val="0000FF" w:themeColor="hyperlink"/>
            <w:szCs w:val="15"/>
            <w:u w:val="single"/>
            <w:lang w:eastAsia="en-US"/>
          </w:rPr>
          <w:t>.vic.gov.au/2023</w:t>
        </w:r>
        <w:r>
          <w:rPr>
            <w:rFonts w:eastAsiaTheme="minorHAnsi" w:cstheme="minorHAnsi"/>
            <w:color w:val="0000FF" w:themeColor="hyperlink"/>
            <w:szCs w:val="15"/>
            <w:u w:val="single"/>
            <w:lang w:eastAsia="en-US"/>
          </w:rPr>
          <w:t>–</w:t>
        </w:r>
        <w:r w:rsidRPr="00CB31B1">
          <w:rPr>
            <w:rFonts w:eastAsiaTheme="minorHAnsi" w:cstheme="minorHAnsi"/>
            <w:color w:val="0000FF" w:themeColor="hyperlink"/>
            <w:szCs w:val="15"/>
            <w:u w:val="single"/>
            <w:lang w:eastAsia="en-US"/>
          </w:rPr>
          <w:t>24+State+</w:t>
        </w:r>
        <w:r>
          <w:rPr>
            <w:rFonts w:eastAsiaTheme="minorHAnsi" w:cstheme="minorHAnsi"/>
            <w:color w:val="0000FF" w:themeColor="hyperlink"/>
            <w:szCs w:val="15"/>
            <w:u w:val="single"/>
            <w:lang w:eastAsia="en-US"/>
          </w:rPr>
          <w:t xml:space="preserve">Budget </w:t>
        </w:r>
        <w:r w:rsidRPr="00CB31B1">
          <w:rPr>
            <w:rFonts w:eastAsiaTheme="minorHAnsi" w:cstheme="minorHAnsi"/>
            <w:color w:val="0000FF" w:themeColor="hyperlink"/>
            <w:szCs w:val="15"/>
            <w:u w:val="single"/>
            <w:lang w:eastAsia="en-US"/>
          </w:rPr>
          <w:t>+-+Service+Delivery.pdf</w:t>
        </w:r>
      </w:hyperlink>
      <w:r>
        <w:rPr>
          <w:rFonts w:cstheme="minorHAnsi"/>
          <w:szCs w:val="15"/>
        </w:rPr>
        <w:t>).</w:t>
      </w:r>
    </w:p>
  </w:endnote>
  <w:endnote w:id="516">
    <w:p w14:paraId="3DD29FFD" w14:textId="77777777" w:rsidR="00373ED9" w:rsidRDefault="00373ED9" w:rsidP="00373ED9">
      <w:pPr>
        <w:pStyle w:val="EndnoteText"/>
      </w:pPr>
      <w:r>
        <w:rPr>
          <w:rStyle w:val="EndnoteReference"/>
        </w:rPr>
        <w:endnoteRef/>
      </w:r>
      <w:r>
        <w:t xml:space="preserve"> </w:t>
      </w:r>
      <w:r w:rsidRPr="002811F2">
        <w:rPr>
          <w:szCs w:val="15"/>
        </w:rPr>
        <w:t xml:space="preserve">Infrastructure Victoria, </w:t>
      </w:r>
      <w:hyperlink r:id="rId633" w:history="1">
        <w:r w:rsidRPr="002811F2">
          <w:rPr>
            <w:rStyle w:val="Hyperlink"/>
            <w:i/>
            <w:iCs/>
            <w:szCs w:val="15"/>
          </w:rPr>
          <w:t>Victoria’s infrastructure strategy 2021</w:t>
        </w:r>
        <w:r>
          <w:rPr>
            <w:rStyle w:val="Hyperlink"/>
            <w:i/>
            <w:iCs/>
            <w:szCs w:val="15"/>
          </w:rPr>
          <w:t>–</w:t>
        </w:r>
        <w:r w:rsidRPr="002811F2">
          <w:rPr>
            <w:rStyle w:val="Hyperlink"/>
            <w:i/>
            <w:iCs/>
            <w:szCs w:val="15"/>
          </w:rPr>
          <w:t>2051</w:t>
        </w:r>
      </w:hyperlink>
      <w:r w:rsidRPr="002811F2">
        <w:rPr>
          <w:szCs w:val="15"/>
        </w:rPr>
        <w:t>, 2021, p</w:t>
      </w:r>
      <w:r>
        <w:rPr>
          <w:szCs w:val="15"/>
        </w:rPr>
        <w:t>. 86</w:t>
      </w:r>
      <w:r w:rsidRPr="002811F2">
        <w:rPr>
          <w:szCs w:val="15"/>
        </w:rPr>
        <w:t>, accessed</w:t>
      </w:r>
      <w:r>
        <w:rPr>
          <w:szCs w:val="15"/>
        </w:rPr>
        <w:t xml:space="preserve"> 10 August 2023.</w:t>
      </w:r>
    </w:p>
  </w:endnote>
  <w:endnote w:id="517">
    <w:p w14:paraId="545079DC" w14:textId="77777777" w:rsidR="00373ED9" w:rsidRPr="007D6545" w:rsidRDefault="00373ED9" w:rsidP="00373ED9">
      <w:pPr>
        <w:pStyle w:val="EndnoteText"/>
        <w:rPr>
          <w:i/>
          <w:iCs/>
        </w:rPr>
      </w:pPr>
      <w:r>
        <w:rPr>
          <w:rStyle w:val="EndnoteReference"/>
        </w:rPr>
        <w:endnoteRef/>
      </w:r>
      <w:r>
        <w:t xml:space="preserve"> Infrastructure Victoria, </w:t>
      </w:r>
      <w:hyperlink r:id="rId634" w:history="1">
        <w:r w:rsidRPr="007D6545">
          <w:rPr>
            <w:rStyle w:val="Hyperlink"/>
            <w:i/>
            <w:iCs/>
          </w:rPr>
          <w:t>Our home choices: how more housing options can make better use of Victoria’s existing infrastructure</w:t>
        </w:r>
      </w:hyperlink>
      <w:r>
        <w:t>, 2023, accessed 17 August 2023.</w:t>
      </w:r>
    </w:p>
  </w:endnote>
  <w:endnote w:id="518">
    <w:p w14:paraId="2E5FDBAB" w14:textId="77777777" w:rsidR="00373ED9" w:rsidRPr="007D6545" w:rsidRDefault="00373ED9" w:rsidP="00373ED9">
      <w:pPr>
        <w:pStyle w:val="EndnoteText"/>
        <w:rPr>
          <w:i/>
          <w:iCs/>
        </w:rPr>
      </w:pPr>
      <w:r>
        <w:rPr>
          <w:rStyle w:val="EndnoteReference"/>
        </w:rPr>
        <w:endnoteRef/>
      </w:r>
      <w:r>
        <w:t xml:space="preserve"> Infrastructure Victoria, </w:t>
      </w:r>
      <w:hyperlink r:id="rId635" w:history="1">
        <w:r w:rsidRPr="007D6545">
          <w:rPr>
            <w:rStyle w:val="Hyperlink"/>
            <w:i/>
            <w:iCs/>
          </w:rPr>
          <w:t>Our home choices: how more housing options can make better use of Victoria’s existing infrastructure</w:t>
        </w:r>
      </w:hyperlink>
      <w:r>
        <w:t>, 2023, p. 5, accessed 17 August 2023.</w:t>
      </w:r>
    </w:p>
  </w:endnote>
  <w:endnote w:id="519">
    <w:p w14:paraId="2E7AF46E" w14:textId="77777777" w:rsidR="00373ED9" w:rsidRPr="00CB31B1" w:rsidRDefault="00373ED9" w:rsidP="00373ED9">
      <w:pPr>
        <w:pStyle w:val="EndnoteText"/>
        <w:rPr>
          <w:rFonts w:cstheme="minorHAnsi"/>
          <w:szCs w:val="15"/>
        </w:rPr>
      </w:pPr>
      <w:r w:rsidRPr="00CB31B1">
        <w:rPr>
          <w:rStyle w:val="EndnoteReference"/>
          <w:rFonts w:cstheme="minorHAnsi"/>
          <w:szCs w:val="15"/>
        </w:rPr>
        <w:endnoteRef/>
      </w:r>
      <w:r w:rsidRPr="00CB31B1">
        <w:rPr>
          <w:rFonts w:cstheme="minorHAnsi"/>
          <w:szCs w:val="15"/>
        </w:rPr>
        <w:t xml:space="preserve"> Homes Victoria,</w:t>
      </w:r>
      <w:r>
        <w:rPr>
          <w:rFonts w:cstheme="minorHAnsi"/>
          <w:szCs w:val="15"/>
        </w:rPr>
        <w:t xml:space="preserve"> </w:t>
      </w:r>
      <w:hyperlink r:id="rId636" w:history="1">
        <w:r w:rsidRPr="00816D4A">
          <w:rPr>
            <w:rStyle w:val="Hyperlink"/>
          </w:rPr>
          <w:t>Housing explainer</w:t>
        </w:r>
      </w:hyperlink>
      <w:r>
        <w:rPr>
          <w:rFonts w:cstheme="minorHAnsi"/>
          <w:szCs w:val="15"/>
        </w:rPr>
        <w:t xml:space="preserve"> (website), n.d.</w:t>
      </w:r>
      <w:r w:rsidRPr="00CB31B1">
        <w:rPr>
          <w:rFonts w:cstheme="minorHAnsi"/>
          <w:szCs w:val="15"/>
        </w:rPr>
        <w:t>, accessed 15 May 2023</w:t>
      </w:r>
      <w:r>
        <w:rPr>
          <w:rFonts w:cstheme="minorHAnsi"/>
          <w:szCs w:val="15"/>
        </w:rPr>
        <w:t>.</w:t>
      </w:r>
    </w:p>
  </w:endnote>
  <w:endnote w:id="520">
    <w:p w14:paraId="3DFFFA7A" w14:textId="77777777" w:rsidR="00373ED9" w:rsidRPr="00CB31B1" w:rsidRDefault="00373ED9" w:rsidP="00373ED9">
      <w:pPr>
        <w:pStyle w:val="EndnoteText"/>
        <w:rPr>
          <w:rFonts w:cstheme="minorHAnsi"/>
          <w:szCs w:val="15"/>
        </w:rPr>
      </w:pPr>
      <w:r w:rsidRPr="00CB31B1">
        <w:rPr>
          <w:rStyle w:val="EndnoteReference"/>
          <w:rFonts w:eastAsiaTheme="majorEastAsia" w:cstheme="minorHAnsi"/>
          <w:szCs w:val="15"/>
        </w:rPr>
        <w:endnoteRef/>
      </w:r>
      <w:r w:rsidRPr="00CB31B1">
        <w:rPr>
          <w:rFonts w:cstheme="minorHAnsi"/>
          <w:szCs w:val="15"/>
        </w:rPr>
        <w:t xml:space="preserve"> Department of Families, Fairness and Housing, </w:t>
      </w:r>
      <w:hyperlink r:id="rId637" w:history="1">
        <w:r w:rsidRPr="00CB31B1">
          <w:rPr>
            <w:rStyle w:val="Hyperlink"/>
            <w:rFonts w:eastAsiaTheme="majorEastAsia" w:cstheme="minorHAnsi"/>
            <w:i/>
            <w:iCs/>
            <w:szCs w:val="15"/>
          </w:rPr>
          <w:t>Department of Families, Fairness and Housing 2021 strategic plan</w:t>
        </w:r>
      </w:hyperlink>
      <w:r w:rsidRPr="00CB31B1">
        <w:rPr>
          <w:rFonts w:cstheme="minorHAnsi"/>
          <w:i/>
          <w:iCs/>
          <w:szCs w:val="15"/>
        </w:rPr>
        <w:t>,</w:t>
      </w:r>
      <w:r w:rsidRPr="00CB31B1">
        <w:rPr>
          <w:rFonts w:cstheme="minorHAnsi"/>
          <w:szCs w:val="15"/>
        </w:rPr>
        <w:t xml:space="preserve"> 2021, p. 44, </w:t>
      </w:r>
      <w:r w:rsidRPr="00CB31B1">
        <w:rPr>
          <w:rFonts w:eastAsiaTheme="majorEastAsia" w:cstheme="minorHAnsi"/>
          <w:color w:val="auto"/>
          <w:szCs w:val="15"/>
        </w:rPr>
        <w:t>accessed</w:t>
      </w:r>
      <w:r>
        <w:rPr>
          <w:rFonts w:eastAsiaTheme="majorEastAsia" w:cstheme="minorHAnsi"/>
          <w:color w:val="auto"/>
          <w:szCs w:val="15"/>
        </w:rPr>
        <w:t xml:space="preserve"> 10 May 2023.</w:t>
      </w:r>
    </w:p>
  </w:endnote>
  <w:endnote w:id="521">
    <w:p w14:paraId="2038DDFC" w14:textId="224B8A1E" w:rsidR="00373ED9" w:rsidRDefault="00373ED9" w:rsidP="00373ED9">
      <w:pPr>
        <w:pStyle w:val="EndnoteText"/>
      </w:pPr>
      <w:r>
        <w:rPr>
          <w:rStyle w:val="EndnoteReference"/>
        </w:rPr>
        <w:endnoteRef/>
      </w:r>
      <w:r>
        <w:t xml:space="preserve"> Department of Treasury an</w:t>
      </w:r>
      <w:r w:rsidRPr="00B8253E">
        <w:rPr>
          <w:rFonts w:cstheme="minorHAnsi"/>
          <w:szCs w:val="15"/>
        </w:rPr>
        <w:t>d Finance,</w:t>
      </w:r>
      <w:r w:rsidR="00B8253E" w:rsidRPr="00B8253E">
        <w:rPr>
          <w:rFonts w:cstheme="minorHAnsi"/>
          <w:szCs w:val="15"/>
        </w:rPr>
        <w:t xml:space="preserve"> </w:t>
      </w:r>
      <w:hyperlink r:id="rId638" w:history="1">
        <w:r w:rsidR="00B8253E" w:rsidRPr="00B8253E">
          <w:rPr>
            <w:rStyle w:val="Hyperlink"/>
            <w:rFonts w:eastAsiaTheme="minorHAnsi" w:cstheme="minorHAnsi"/>
            <w:szCs w:val="15"/>
            <w:lang w:val="en-GB"/>
          </w:rPr>
          <w:t>Department of Health output performance measures</w:t>
        </w:r>
      </w:hyperlink>
      <w:r>
        <w:t xml:space="preserve"> (website), 2 June 2023, accessed 17 August 2023; </w:t>
      </w:r>
      <w:r w:rsidRPr="00CB31B1">
        <w:rPr>
          <w:rFonts w:eastAsiaTheme="minorHAnsi" w:cstheme="minorHAnsi"/>
          <w:szCs w:val="15"/>
          <w:lang w:eastAsia="en-US"/>
        </w:rPr>
        <w:t xml:space="preserve">Department of Treasury and Finance, </w:t>
      </w:r>
      <w:hyperlink r:id="rId639" w:anchor="budget-paper-3-service-delivery" w:history="1">
        <w:r w:rsidRPr="00CB31B1">
          <w:rPr>
            <w:rFonts w:eastAsiaTheme="minorHAnsi" w:cstheme="minorHAnsi"/>
            <w:i/>
            <w:iCs/>
            <w:color w:val="0000FF" w:themeColor="hyperlink"/>
            <w:szCs w:val="15"/>
            <w:u w:val="single"/>
            <w:lang w:eastAsia="en-US"/>
          </w:rPr>
          <w:t xml:space="preserve">Victorian </w:t>
        </w:r>
        <w:r>
          <w:rPr>
            <w:rFonts w:eastAsiaTheme="minorHAnsi" w:cstheme="minorHAnsi"/>
            <w:i/>
            <w:iCs/>
            <w:color w:val="0000FF" w:themeColor="hyperlink"/>
            <w:szCs w:val="15"/>
            <w:u w:val="single"/>
            <w:lang w:eastAsia="en-US"/>
          </w:rPr>
          <w:t xml:space="preserve">Budget </w:t>
        </w:r>
        <w:r w:rsidRPr="00CB31B1">
          <w:rPr>
            <w:rFonts w:eastAsiaTheme="minorHAnsi" w:cstheme="minorHAnsi"/>
            <w:i/>
            <w:iCs/>
            <w:color w:val="0000FF" w:themeColor="hyperlink"/>
            <w:szCs w:val="15"/>
            <w:u w:val="single"/>
            <w:lang w:eastAsia="en-US"/>
          </w:rPr>
          <w:t xml:space="preserve"> 2023</w:t>
        </w:r>
        <w:r>
          <w:rPr>
            <w:rFonts w:eastAsiaTheme="minorHAnsi" w:cstheme="minorHAnsi"/>
            <w:i/>
            <w:iCs/>
            <w:color w:val="0000FF" w:themeColor="hyperlink"/>
            <w:szCs w:val="15"/>
            <w:u w:val="single"/>
            <w:lang w:eastAsia="en-US"/>
          </w:rPr>
          <w:t>–</w:t>
        </w:r>
        <w:r w:rsidRPr="00CB31B1">
          <w:rPr>
            <w:rFonts w:eastAsiaTheme="minorHAnsi" w:cstheme="minorHAnsi"/>
            <w:i/>
            <w:iCs/>
            <w:color w:val="0000FF" w:themeColor="hyperlink"/>
            <w:szCs w:val="15"/>
            <w:u w:val="single"/>
            <w:lang w:eastAsia="en-US"/>
          </w:rPr>
          <w:t xml:space="preserve">24 – </w:t>
        </w:r>
        <w:r>
          <w:rPr>
            <w:rFonts w:eastAsiaTheme="minorHAnsi" w:cstheme="minorHAnsi"/>
            <w:i/>
            <w:iCs/>
            <w:color w:val="0000FF" w:themeColor="hyperlink"/>
            <w:szCs w:val="15"/>
            <w:u w:val="single"/>
            <w:lang w:eastAsia="en-US"/>
          </w:rPr>
          <w:t xml:space="preserve">Budget </w:t>
        </w:r>
        <w:r w:rsidRPr="00CB31B1">
          <w:rPr>
            <w:rFonts w:eastAsiaTheme="minorHAnsi" w:cstheme="minorHAnsi"/>
            <w:i/>
            <w:iCs/>
            <w:color w:val="0000FF" w:themeColor="hyperlink"/>
            <w:szCs w:val="15"/>
            <w:u w:val="single"/>
            <w:lang w:eastAsia="en-US"/>
          </w:rPr>
          <w:t xml:space="preserve"> Paper No. 3</w:t>
        </w:r>
      </w:hyperlink>
      <w:r w:rsidRPr="00CB31B1">
        <w:rPr>
          <w:rFonts w:eastAsiaTheme="minorHAnsi" w:cstheme="minorHAnsi"/>
          <w:szCs w:val="15"/>
          <w:lang w:eastAsia="en-US"/>
        </w:rPr>
        <w:t>, 2023, p.</w:t>
      </w:r>
      <w:r>
        <w:rPr>
          <w:rFonts w:eastAsiaTheme="minorHAnsi" w:cstheme="minorHAnsi"/>
          <w:szCs w:val="15"/>
          <w:lang w:eastAsia="en-US"/>
        </w:rPr>
        <w:t xml:space="preserve"> 192</w:t>
      </w:r>
      <w:r w:rsidRPr="00CB31B1">
        <w:rPr>
          <w:rFonts w:eastAsiaTheme="minorHAnsi" w:cstheme="minorHAnsi"/>
          <w:szCs w:val="15"/>
          <w:lang w:eastAsia="en-US"/>
        </w:rPr>
        <w:t xml:space="preserve">, accessed </w:t>
      </w:r>
      <w:r>
        <w:rPr>
          <w:rFonts w:eastAsiaTheme="minorHAnsi" w:cstheme="minorHAnsi"/>
          <w:szCs w:val="15"/>
          <w:lang w:eastAsia="en-US"/>
        </w:rPr>
        <w:t>17 August</w:t>
      </w:r>
      <w:r w:rsidRPr="00CB31B1">
        <w:rPr>
          <w:rFonts w:eastAsiaTheme="minorHAnsi" w:cstheme="minorHAnsi"/>
          <w:szCs w:val="15"/>
          <w:lang w:eastAsia="en-US"/>
        </w:rPr>
        <w:t xml:space="preserve"> 2023 (</w:t>
      </w:r>
      <w:hyperlink r:id="rId640" w:history="1">
        <w:r w:rsidRPr="00CB31B1">
          <w:rPr>
            <w:rFonts w:eastAsiaTheme="minorHAnsi" w:cstheme="minorHAnsi"/>
            <w:color w:val="0000FF" w:themeColor="hyperlink"/>
            <w:szCs w:val="15"/>
            <w:u w:val="single"/>
            <w:lang w:eastAsia="en-US"/>
          </w:rPr>
          <w:t>https://s3.ap-southeast-2.amazonaws.com/</w:t>
        </w:r>
        <w:r>
          <w:rPr>
            <w:rFonts w:eastAsiaTheme="minorHAnsi" w:cstheme="minorHAnsi"/>
            <w:color w:val="0000FF" w:themeColor="hyperlink"/>
            <w:szCs w:val="15"/>
            <w:u w:val="single"/>
            <w:lang w:eastAsia="en-US"/>
          </w:rPr>
          <w:t xml:space="preserve">Budget </w:t>
        </w:r>
        <w:r w:rsidRPr="00CB31B1">
          <w:rPr>
            <w:rFonts w:eastAsiaTheme="minorHAnsi" w:cstheme="minorHAnsi"/>
            <w:color w:val="0000FF" w:themeColor="hyperlink"/>
            <w:szCs w:val="15"/>
            <w:u w:val="single"/>
            <w:lang w:eastAsia="en-US"/>
          </w:rPr>
          <w:t>files202324.</w:t>
        </w:r>
        <w:r>
          <w:rPr>
            <w:rFonts w:eastAsiaTheme="minorHAnsi" w:cstheme="minorHAnsi"/>
            <w:color w:val="0000FF" w:themeColor="hyperlink"/>
            <w:szCs w:val="15"/>
            <w:u w:val="single"/>
            <w:lang w:eastAsia="en-US"/>
          </w:rPr>
          <w:t xml:space="preserve">Budget </w:t>
        </w:r>
        <w:r w:rsidRPr="00CB31B1">
          <w:rPr>
            <w:rFonts w:eastAsiaTheme="minorHAnsi" w:cstheme="minorHAnsi"/>
            <w:color w:val="0000FF" w:themeColor="hyperlink"/>
            <w:szCs w:val="15"/>
            <w:u w:val="single"/>
            <w:lang w:eastAsia="en-US"/>
          </w:rPr>
          <w:t>.vic.gov.au/2023</w:t>
        </w:r>
        <w:r>
          <w:rPr>
            <w:rFonts w:eastAsiaTheme="minorHAnsi" w:cstheme="minorHAnsi"/>
            <w:color w:val="0000FF" w:themeColor="hyperlink"/>
            <w:szCs w:val="15"/>
            <w:u w:val="single"/>
            <w:lang w:eastAsia="en-US"/>
          </w:rPr>
          <w:t>–</w:t>
        </w:r>
        <w:r w:rsidRPr="00CB31B1">
          <w:rPr>
            <w:rFonts w:eastAsiaTheme="minorHAnsi" w:cstheme="minorHAnsi"/>
            <w:color w:val="0000FF" w:themeColor="hyperlink"/>
            <w:szCs w:val="15"/>
            <w:u w:val="single"/>
            <w:lang w:eastAsia="en-US"/>
          </w:rPr>
          <w:t>24+State+</w:t>
        </w:r>
        <w:r>
          <w:rPr>
            <w:rFonts w:eastAsiaTheme="minorHAnsi" w:cstheme="minorHAnsi"/>
            <w:color w:val="0000FF" w:themeColor="hyperlink"/>
            <w:szCs w:val="15"/>
            <w:u w:val="single"/>
            <w:lang w:eastAsia="en-US"/>
          </w:rPr>
          <w:t xml:space="preserve">Budget </w:t>
        </w:r>
        <w:r w:rsidRPr="00CB31B1">
          <w:rPr>
            <w:rFonts w:eastAsiaTheme="minorHAnsi" w:cstheme="minorHAnsi"/>
            <w:color w:val="0000FF" w:themeColor="hyperlink"/>
            <w:szCs w:val="15"/>
            <w:u w:val="single"/>
            <w:lang w:eastAsia="en-US"/>
          </w:rPr>
          <w:t>+-+Service+Delivery.pdf</w:t>
        </w:r>
      </w:hyperlink>
      <w:r>
        <w:rPr>
          <w:rFonts w:cstheme="minorHAnsi"/>
          <w:szCs w:val="15"/>
        </w:rPr>
        <w:t>).</w:t>
      </w:r>
    </w:p>
  </w:endnote>
  <w:endnote w:id="522">
    <w:p w14:paraId="40A8C0D9" w14:textId="77777777" w:rsidR="00373ED9" w:rsidRPr="00CB31B1" w:rsidRDefault="00373ED9" w:rsidP="00373ED9">
      <w:pPr>
        <w:spacing w:before="84" w:after="84" w:line="190" w:lineRule="atLeast"/>
        <w:ind w:left="340" w:hanging="340"/>
        <w:rPr>
          <w:rFonts w:cstheme="minorHAnsi"/>
          <w:sz w:val="15"/>
          <w:szCs w:val="15"/>
        </w:rPr>
      </w:pPr>
      <w:r w:rsidRPr="00CB31B1">
        <w:rPr>
          <w:rStyle w:val="EndnoteReference"/>
          <w:rFonts w:cstheme="minorHAnsi"/>
          <w:sz w:val="15"/>
          <w:szCs w:val="15"/>
        </w:rPr>
        <w:endnoteRef/>
      </w:r>
      <w:r w:rsidRPr="00CB31B1">
        <w:rPr>
          <w:rFonts w:cstheme="minorHAnsi"/>
          <w:sz w:val="15"/>
          <w:szCs w:val="15"/>
        </w:rPr>
        <w:t xml:space="preserve"> </w:t>
      </w:r>
      <w:r w:rsidRPr="00CB31B1">
        <w:rPr>
          <w:rFonts w:eastAsiaTheme="minorEastAsia" w:cstheme="minorHAnsi"/>
          <w:sz w:val="15"/>
          <w:szCs w:val="15"/>
        </w:rPr>
        <w:t xml:space="preserve">Department of Families, Fairness and Housing, </w:t>
      </w:r>
      <w:hyperlink r:id="rId641" w:history="1">
        <w:r w:rsidRPr="00CB31B1">
          <w:rPr>
            <w:rStyle w:val="Hyperlink"/>
            <w:rFonts w:eastAsiaTheme="minorEastAsia" w:cstheme="minorHAnsi"/>
            <w:i/>
            <w:iCs/>
            <w:sz w:val="15"/>
            <w:szCs w:val="15"/>
          </w:rPr>
          <w:t>Homes Victoria Rental Report - March quarter 2023</w:t>
        </w:r>
      </w:hyperlink>
      <w:r w:rsidRPr="00CB31B1">
        <w:rPr>
          <w:rFonts w:cstheme="minorHAnsi"/>
          <w:sz w:val="15"/>
          <w:szCs w:val="15"/>
        </w:rPr>
        <w:t>, 2023, p. 18, accessed 1 July 2023.</w:t>
      </w:r>
    </w:p>
  </w:endnote>
  <w:endnote w:id="523">
    <w:p w14:paraId="24FB166E" w14:textId="77777777" w:rsidR="00373ED9" w:rsidRPr="00CB31B1" w:rsidRDefault="00373ED9" w:rsidP="00373ED9">
      <w:pPr>
        <w:pStyle w:val="EndnoteText"/>
        <w:rPr>
          <w:rFonts w:cstheme="minorHAnsi"/>
          <w:szCs w:val="15"/>
        </w:rPr>
      </w:pPr>
      <w:r w:rsidRPr="00CB31B1">
        <w:rPr>
          <w:rStyle w:val="EndnoteReference"/>
          <w:rFonts w:cstheme="minorHAnsi"/>
          <w:szCs w:val="15"/>
        </w:rPr>
        <w:endnoteRef/>
      </w:r>
      <w:r w:rsidRPr="00CB31B1">
        <w:rPr>
          <w:rFonts w:cstheme="minorHAnsi"/>
          <w:szCs w:val="15"/>
        </w:rPr>
        <w:t xml:space="preserve"> </w:t>
      </w:r>
      <w:r>
        <w:rPr>
          <w:rFonts w:cstheme="minorHAnsi"/>
          <w:szCs w:val="15"/>
        </w:rPr>
        <w:t>Minister for Housing</w:t>
      </w:r>
      <w:r w:rsidRPr="00CB31B1">
        <w:rPr>
          <w:rFonts w:cstheme="minorHAnsi"/>
          <w:szCs w:val="15"/>
        </w:rPr>
        <w:t xml:space="preserve">, </w:t>
      </w:r>
      <w:hyperlink r:id="rId642" w:history="1">
        <w:r w:rsidRPr="00816D4A">
          <w:rPr>
            <w:rStyle w:val="Hyperlink"/>
            <w:rFonts w:eastAsiaTheme="minorEastAsia"/>
          </w:rPr>
          <w:t>Providing Affordable Housing to More Victorians</w:t>
        </w:r>
      </w:hyperlink>
      <w:r w:rsidRPr="00CB31B1">
        <w:rPr>
          <w:rFonts w:cstheme="minorHAnsi"/>
          <w:szCs w:val="15"/>
        </w:rPr>
        <w:t xml:space="preserve"> (media release), 7 June 2023, accessed 1 July 2023. </w:t>
      </w:r>
    </w:p>
  </w:endnote>
  <w:endnote w:id="524">
    <w:p w14:paraId="4F984C62" w14:textId="77777777" w:rsidR="00373ED9" w:rsidRPr="00CB31B1" w:rsidRDefault="00373ED9" w:rsidP="00373ED9">
      <w:pPr>
        <w:pStyle w:val="EndnoteText"/>
        <w:rPr>
          <w:rFonts w:cstheme="minorHAnsi"/>
          <w:szCs w:val="15"/>
        </w:rPr>
      </w:pPr>
      <w:r w:rsidRPr="00CB31B1">
        <w:rPr>
          <w:rStyle w:val="EndnoteReference"/>
          <w:rFonts w:cstheme="minorHAnsi"/>
          <w:szCs w:val="15"/>
        </w:rPr>
        <w:endnoteRef/>
      </w:r>
      <w:r w:rsidRPr="00CB31B1">
        <w:rPr>
          <w:rFonts w:cstheme="minorHAnsi"/>
          <w:szCs w:val="15"/>
        </w:rPr>
        <w:t xml:space="preserve"> </w:t>
      </w:r>
      <w:r>
        <w:rPr>
          <w:rFonts w:cstheme="minorHAnsi"/>
          <w:szCs w:val="15"/>
        </w:rPr>
        <w:t>Minister for Housing</w:t>
      </w:r>
      <w:r w:rsidRPr="00CB31B1">
        <w:rPr>
          <w:rFonts w:cstheme="minorHAnsi"/>
          <w:szCs w:val="15"/>
        </w:rPr>
        <w:t xml:space="preserve">, </w:t>
      </w:r>
      <w:hyperlink r:id="rId643" w:history="1">
        <w:r w:rsidRPr="00816D4A">
          <w:rPr>
            <w:rStyle w:val="Hyperlink"/>
          </w:rPr>
          <w:t xml:space="preserve">Boost for Aboriginal </w:t>
        </w:r>
        <w:r w:rsidRPr="00816D4A">
          <w:rPr>
            <w:rStyle w:val="Hyperlink"/>
            <w:i/>
          </w:rPr>
          <w:t>housing services</w:t>
        </w:r>
      </w:hyperlink>
      <w:r w:rsidRPr="00CB31B1">
        <w:rPr>
          <w:rFonts w:cstheme="minorHAnsi"/>
          <w:szCs w:val="15"/>
        </w:rPr>
        <w:t xml:space="preserve"> </w:t>
      </w:r>
      <w:r>
        <w:rPr>
          <w:rFonts w:cstheme="minorHAnsi"/>
          <w:szCs w:val="15"/>
        </w:rPr>
        <w:t>(</w:t>
      </w:r>
      <w:r w:rsidRPr="00CB31B1">
        <w:rPr>
          <w:rFonts w:cstheme="minorHAnsi"/>
          <w:szCs w:val="15"/>
        </w:rPr>
        <w:t xml:space="preserve">media release), 19 May 2023, accessed 10 July 2023. </w:t>
      </w:r>
    </w:p>
  </w:endnote>
  <w:endnote w:id="525">
    <w:p w14:paraId="20B71DF3" w14:textId="19120290" w:rsidR="00373ED9" w:rsidRPr="00CB31B1" w:rsidRDefault="00373ED9" w:rsidP="00373ED9">
      <w:pPr>
        <w:pStyle w:val="EndnoteText"/>
        <w:rPr>
          <w:rFonts w:cstheme="minorHAnsi"/>
          <w:szCs w:val="15"/>
        </w:rPr>
      </w:pPr>
      <w:r w:rsidRPr="00CB31B1">
        <w:rPr>
          <w:rStyle w:val="EndnoteReference"/>
          <w:rFonts w:cstheme="minorHAnsi"/>
          <w:szCs w:val="15"/>
        </w:rPr>
        <w:endnoteRef/>
      </w:r>
      <w:r w:rsidRPr="00CB31B1">
        <w:rPr>
          <w:rFonts w:cstheme="minorHAnsi"/>
          <w:szCs w:val="15"/>
        </w:rPr>
        <w:t xml:space="preserve"> Homes Victoria, </w:t>
      </w:r>
      <w:hyperlink r:id="rId644" w:history="1">
        <w:r w:rsidRPr="00CB31B1">
          <w:rPr>
            <w:rStyle w:val="Hyperlink"/>
            <w:rFonts w:eastAsiaTheme="majorEastAsia" w:cstheme="minorHAnsi"/>
            <w:i/>
            <w:iCs/>
            <w:szCs w:val="15"/>
          </w:rPr>
          <w:t>Social housing growth fund</w:t>
        </w:r>
      </w:hyperlink>
      <w:r w:rsidRPr="00CB31B1">
        <w:rPr>
          <w:rFonts w:cstheme="minorHAnsi"/>
          <w:szCs w:val="15"/>
        </w:rPr>
        <w:t xml:space="preserve"> </w:t>
      </w:r>
      <w:r>
        <w:rPr>
          <w:rFonts w:cstheme="minorHAnsi"/>
          <w:szCs w:val="15"/>
        </w:rPr>
        <w:t xml:space="preserve">(website), 22 June 2023, </w:t>
      </w:r>
      <w:r w:rsidRPr="00CB31B1">
        <w:rPr>
          <w:rFonts w:cstheme="minorHAnsi"/>
          <w:szCs w:val="15"/>
        </w:rPr>
        <w:t>accessed 13 June 2023.</w:t>
      </w:r>
    </w:p>
  </w:endnote>
  <w:endnote w:id="526">
    <w:p w14:paraId="2C04BEA8" w14:textId="77777777" w:rsidR="00373ED9" w:rsidRPr="00CB31B1" w:rsidRDefault="00373ED9" w:rsidP="00373ED9">
      <w:pPr>
        <w:spacing w:before="84" w:after="84" w:line="190" w:lineRule="atLeast"/>
        <w:ind w:left="340" w:hanging="340"/>
        <w:rPr>
          <w:rFonts w:cstheme="minorHAnsi"/>
          <w:sz w:val="15"/>
          <w:szCs w:val="15"/>
        </w:rPr>
      </w:pPr>
      <w:r w:rsidRPr="00CB31B1">
        <w:rPr>
          <w:rStyle w:val="EndnoteReference"/>
          <w:rFonts w:cstheme="minorHAnsi"/>
          <w:sz w:val="15"/>
          <w:szCs w:val="15"/>
        </w:rPr>
        <w:endnoteRef/>
      </w:r>
      <w:r w:rsidRPr="00CB31B1">
        <w:rPr>
          <w:rFonts w:cstheme="minorHAnsi"/>
          <w:sz w:val="15"/>
          <w:szCs w:val="15"/>
        </w:rPr>
        <w:t xml:space="preserve"> Department of Families, Fairness and Housing, </w:t>
      </w:r>
      <w:hyperlink r:id="rId645" w:history="1">
        <w:r w:rsidRPr="00CB31B1">
          <w:rPr>
            <w:rStyle w:val="Hyperlink"/>
            <w:rFonts w:eastAsiaTheme="majorEastAsia" w:cstheme="minorHAnsi"/>
            <w:i/>
            <w:iCs/>
            <w:sz w:val="15"/>
            <w:szCs w:val="15"/>
          </w:rPr>
          <w:t>Homes Victoria Rental Report - March quarter 2023</w:t>
        </w:r>
      </w:hyperlink>
      <w:r w:rsidRPr="00CB31B1">
        <w:rPr>
          <w:rFonts w:cstheme="minorHAnsi"/>
          <w:sz w:val="15"/>
          <w:szCs w:val="15"/>
        </w:rPr>
        <w:t>, 2023, p. 18, accessed 1 July 2023.</w:t>
      </w:r>
    </w:p>
  </w:endnote>
  <w:endnote w:id="527">
    <w:p w14:paraId="4D130288" w14:textId="5EB55C68" w:rsidR="00373ED9" w:rsidRPr="00CB31B1" w:rsidRDefault="00373ED9" w:rsidP="00373ED9">
      <w:pPr>
        <w:pStyle w:val="EndnoteText"/>
        <w:rPr>
          <w:rFonts w:cstheme="minorHAnsi"/>
          <w:szCs w:val="15"/>
        </w:rPr>
      </w:pPr>
      <w:r w:rsidRPr="00CB31B1">
        <w:rPr>
          <w:rStyle w:val="EndnoteReference"/>
          <w:rFonts w:cstheme="minorHAnsi"/>
          <w:szCs w:val="15"/>
        </w:rPr>
        <w:endnoteRef/>
      </w:r>
      <w:r w:rsidRPr="00CB31B1">
        <w:rPr>
          <w:rFonts w:cstheme="minorHAnsi"/>
          <w:szCs w:val="15"/>
        </w:rPr>
        <w:t xml:space="preserve"> Homes Victoria, </w:t>
      </w:r>
      <w:hyperlink r:id="rId646" w:history="1">
        <w:r w:rsidRPr="00CB31B1">
          <w:rPr>
            <w:rStyle w:val="Hyperlink"/>
            <w:rFonts w:eastAsiaTheme="majorEastAsia" w:cstheme="minorHAnsi"/>
            <w:i/>
            <w:iCs/>
            <w:szCs w:val="15"/>
          </w:rPr>
          <w:t>Social housing growth fund</w:t>
        </w:r>
      </w:hyperlink>
      <w:r w:rsidRPr="00CB31B1">
        <w:rPr>
          <w:rFonts w:cstheme="minorHAnsi"/>
          <w:szCs w:val="15"/>
        </w:rPr>
        <w:t xml:space="preserve"> </w:t>
      </w:r>
      <w:r>
        <w:rPr>
          <w:rFonts w:cstheme="minorHAnsi"/>
          <w:szCs w:val="15"/>
        </w:rPr>
        <w:t xml:space="preserve">(website), 22 June 2023, </w:t>
      </w:r>
      <w:r w:rsidRPr="00CB31B1">
        <w:rPr>
          <w:rFonts w:cstheme="minorHAnsi"/>
          <w:szCs w:val="15"/>
        </w:rPr>
        <w:t>accessed 13 June 2023.</w:t>
      </w:r>
      <w:r w:rsidRPr="00CB31B1" w:rsidDel="00624AE0">
        <w:rPr>
          <w:rFonts w:cstheme="minorHAnsi"/>
          <w:szCs w:val="15"/>
        </w:rPr>
        <w:t xml:space="preserve"> </w:t>
      </w:r>
    </w:p>
  </w:endnote>
  <w:endnote w:id="528">
    <w:p w14:paraId="6D54EA87" w14:textId="77777777" w:rsidR="00373ED9" w:rsidRPr="00CB31B1" w:rsidRDefault="00373ED9" w:rsidP="00373ED9">
      <w:pPr>
        <w:pStyle w:val="EndnoteText"/>
        <w:rPr>
          <w:rFonts w:cstheme="minorHAnsi"/>
          <w:szCs w:val="15"/>
        </w:rPr>
      </w:pPr>
      <w:r w:rsidRPr="00CB31B1">
        <w:rPr>
          <w:rStyle w:val="EndnoteReference"/>
          <w:rFonts w:cstheme="minorHAnsi"/>
          <w:szCs w:val="15"/>
        </w:rPr>
        <w:endnoteRef/>
      </w:r>
      <w:r w:rsidRPr="00CB31B1">
        <w:rPr>
          <w:rFonts w:cstheme="minorHAnsi"/>
          <w:szCs w:val="15"/>
        </w:rPr>
        <w:t xml:space="preserve"> Victorian </w:t>
      </w:r>
      <w:r>
        <w:rPr>
          <w:rFonts w:cstheme="minorHAnsi"/>
          <w:szCs w:val="15"/>
        </w:rPr>
        <w:t>Budget 2023– 2</w:t>
      </w:r>
      <w:r w:rsidRPr="00CB31B1">
        <w:rPr>
          <w:rFonts w:cstheme="minorHAnsi"/>
          <w:szCs w:val="15"/>
        </w:rPr>
        <w:t>4,</w:t>
      </w:r>
      <w:r>
        <w:rPr>
          <w:rFonts w:cstheme="minorHAnsi"/>
          <w:szCs w:val="15"/>
        </w:rPr>
        <w:t xml:space="preserve"> </w:t>
      </w:r>
      <w:hyperlink r:id="rId647" w:history="1">
        <w:r w:rsidRPr="00816D4A">
          <w:rPr>
            <w:rStyle w:val="Hyperlink"/>
            <w:i/>
          </w:rPr>
          <w:t>Strengthening our community and economy</w:t>
        </w:r>
      </w:hyperlink>
      <w:r>
        <w:rPr>
          <w:rFonts w:cstheme="minorHAnsi"/>
          <w:szCs w:val="15"/>
        </w:rPr>
        <w:t xml:space="preserve"> </w:t>
      </w:r>
      <w:r w:rsidRPr="00CB31B1">
        <w:rPr>
          <w:rFonts w:cstheme="minorHAnsi"/>
          <w:szCs w:val="15"/>
        </w:rPr>
        <w:t xml:space="preserve">(media release), 20 May 2023, accessed 16 June 2023. </w:t>
      </w:r>
    </w:p>
  </w:endnote>
  <w:endnote w:id="529">
    <w:p w14:paraId="6DB6360D" w14:textId="77777777" w:rsidR="00373ED9" w:rsidRPr="00CB31B1" w:rsidRDefault="00373ED9" w:rsidP="00373ED9">
      <w:pPr>
        <w:pStyle w:val="EndnoteText"/>
        <w:rPr>
          <w:rFonts w:cstheme="minorHAnsi"/>
          <w:szCs w:val="15"/>
        </w:rPr>
      </w:pPr>
      <w:r w:rsidRPr="00CB31B1">
        <w:rPr>
          <w:rStyle w:val="EndnoteReference"/>
          <w:rFonts w:cstheme="minorHAnsi"/>
          <w:szCs w:val="15"/>
        </w:rPr>
        <w:endnoteRef/>
      </w:r>
      <w:r w:rsidRPr="00CB31B1">
        <w:rPr>
          <w:rFonts w:cstheme="minorHAnsi"/>
          <w:szCs w:val="15"/>
        </w:rPr>
        <w:t xml:space="preserve"> </w:t>
      </w:r>
      <w:r w:rsidRPr="00CB31B1">
        <w:rPr>
          <w:rFonts w:eastAsiaTheme="minorHAnsi" w:cstheme="minorHAnsi"/>
          <w:szCs w:val="15"/>
          <w:lang w:eastAsia="en-US"/>
        </w:rPr>
        <w:t xml:space="preserve">Department of Treasury and Finance, </w:t>
      </w:r>
      <w:hyperlink r:id="rId648" w:anchor="budget-paper-3-service-delivery" w:history="1">
        <w:r w:rsidRPr="00CB31B1">
          <w:rPr>
            <w:rFonts w:eastAsiaTheme="minorHAnsi" w:cstheme="minorHAnsi"/>
            <w:i/>
            <w:iCs/>
            <w:color w:val="0000FF" w:themeColor="hyperlink"/>
            <w:szCs w:val="15"/>
            <w:u w:val="single"/>
            <w:lang w:eastAsia="en-US"/>
          </w:rPr>
          <w:t xml:space="preserve">Victorian </w:t>
        </w:r>
        <w:r>
          <w:rPr>
            <w:rFonts w:eastAsiaTheme="minorHAnsi" w:cstheme="minorHAnsi"/>
            <w:i/>
            <w:iCs/>
            <w:color w:val="0000FF" w:themeColor="hyperlink"/>
            <w:szCs w:val="15"/>
            <w:u w:val="single"/>
            <w:lang w:eastAsia="en-US"/>
          </w:rPr>
          <w:t xml:space="preserve">Budget </w:t>
        </w:r>
        <w:r w:rsidRPr="00CB31B1">
          <w:rPr>
            <w:rFonts w:eastAsiaTheme="minorHAnsi" w:cstheme="minorHAnsi"/>
            <w:i/>
            <w:iCs/>
            <w:color w:val="0000FF" w:themeColor="hyperlink"/>
            <w:szCs w:val="15"/>
            <w:u w:val="single"/>
            <w:lang w:eastAsia="en-US"/>
          </w:rPr>
          <w:t xml:space="preserve"> 2023</w:t>
        </w:r>
        <w:r>
          <w:rPr>
            <w:rFonts w:eastAsiaTheme="minorHAnsi" w:cstheme="minorHAnsi"/>
            <w:i/>
            <w:iCs/>
            <w:color w:val="0000FF" w:themeColor="hyperlink"/>
            <w:szCs w:val="15"/>
            <w:u w:val="single"/>
            <w:lang w:eastAsia="en-US"/>
          </w:rPr>
          <w:t>–</w:t>
        </w:r>
        <w:r w:rsidRPr="00CB31B1">
          <w:rPr>
            <w:rFonts w:eastAsiaTheme="minorHAnsi" w:cstheme="minorHAnsi"/>
            <w:i/>
            <w:iCs/>
            <w:color w:val="0000FF" w:themeColor="hyperlink"/>
            <w:szCs w:val="15"/>
            <w:u w:val="single"/>
            <w:lang w:eastAsia="en-US"/>
          </w:rPr>
          <w:t xml:space="preserve">24 – </w:t>
        </w:r>
        <w:r>
          <w:rPr>
            <w:rFonts w:eastAsiaTheme="minorHAnsi" w:cstheme="minorHAnsi"/>
            <w:i/>
            <w:iCs/>
            <w:color w:val="0000FF" w:themeColor="hyperlink"/>
            <w:szCs w:val="15"/>
            <w:u w:val="single"/>
            <w:lang w:eastAsia="en-US"/>
          </w:rPr>
          <w:t xml:space="preserve">Budget </w:t>
        </w:r>
        <w:r w:rsidRPr="00CB31B1">
          <w:rPr>
            <w:rFonts w:eastAsiaTheme="minorHAnsi" w:cstheme="minorHAnsi"/>
            <w:i/>
            <w:iCs/>
            <w:color w:val="0000FF" w:themeColor="hyperlink"/>
            <w:szCs w:val="15"/>
            <w:u w:val="single"/>
            <w:lang w:eastAsia="en-US"/>
          </w:rPr>
          <w:t xml:space="preserve"> Paper No. 3</w:t>
        </w:r>
      </w:hyperlink>
      <w:r w:rsidRPr="00CB31B1">
        <w:rPr>
          <w:rFonts w:eastAsiaTheme="minorHAnsi" w:cstheme="minorHAnsi"/>
          <w:szCs w:val="15"/>
          <w:lang w:eastAsia="en-US"/>
        </w:rPr>
        <w:t>, 2023, p.45, accessed 2 June 2023 (</w:t>
      </w:r>
      <w:hyperlink r:id="rId649" w:history="1">
        <w:r w:rsidRPr="00CB31B1">
          <w:rPr>
            <w:rFonts w:eastAsiaTheme="minorHAnsi" w:cstheme="minorHAnsi"/>
            <w:color w:val="0000FF" w:themeColor="hyperlink"/>
            <w:szCs w:val="15"/>
            <w:u w:val="single"/>
            <w:lang w:eastAsia="en-US"/>
          </w:rPr>
          <w:t>https://s3.ap-southeast-2.amazonaws.com/</w:t>
        </w:r>
        <w:r>
          <w:rPr>
            <w:rFonts w:eastAsiaTheme="minorHAnsi" w:cstheme="minorHAnsi"/>
            <w:color w:val="0000FF" w:themeColor="hyperlink"/>
            <w:szCs w:val="15"/>
            <w:u w:val="single"/>
            <w:lang w:eastAsia="en-US"/>
          </w:rPr>
          <w:t xml:space="preserve">Budget </w:t>
        </w:r>
        <w:r w:rsidRPr="00CB31B1">
          <w:rPr>
            <w:rFonts w:eastAsiaTheme="minorHAnsi" w:cstheme="minorHAnsi"/>
            <w:color w:val="0000FF" w:themeColor="hyperlink"/>
            <w:szCs w:val="15"/>
            <w:u w:val="single"/>
            <w:lang w:eastAsia="en-US"/>
          </w:rPr>
          <w:t>files202324.</w:t>
        </w:r>
        <w:r>
          <w:rPr>
            <w:rFonts w:eastAsiaTheme="minorHAnsi" w:cstheme="minorHAnsi"/>
            <w:color w:val="0000FF" w:themeColor="hyperlink"/>
            <w:szCs w:val="15"/>
            <w:u w:val="single"/>
            <w:lang w:eastAsia="en-US"/>
          </w:rPr>
          <w:t xml:space="preserve">Budget </w:t>
        </w:r>
        <w:r w:rsidRPr="00CB31B1">
          <w:rPr>
            <w:rFonts w:eastAsiaTheme="minorHAnsi" w:cstheme="minorHAnsi"/>
            <w:color w:val="0000FF" w:themeColor="hyperlink"/>
            <w:szCs w:val="15"/>
            <w:u w:val="single"/>
            <w:lang w:eastAsia="en-US"/>
          </w:rPr>
          <w:t>.vic.gov.au/2023</w:t>
        </w:r>
        <w:r>
          <w:rPr>
            <w:rFonts w:eastAsiaTheme="minorHAnsi" w:cstheme="minorHAnsi"/>
            <w:color w:val="0000FF" w:themeColor="hyperlink"/>
            <w:szCs w:val="15"/>
            <w:u w:val="single"/>
            <w:lang w:eastAsia="en-US"/>
          </w:rPr>
          <w:t>–</w:t>
        </w:r>
        <w:r w:rsidRPr="00CB31B1">
          <w:rPr>
            <w:rFonts w:eastAsiaTheme="minorHAnsi" w:cstheme="minorHAnsi"/>
            <w:color w:val="0000FF" w:themeColor="hyperlink"/>
            <w:szCs w:val="15"/>
            <w:u w:val="single"/>
            <w:lang w:eastAsia="en-US"/>
          </w:rPr>
          <w:t>24+State+</w:t>
        </w:r>
        <w:r>
          <w:rPr>
            <w:rFonts w:eastAsiaTheme="minorHAnsi" w:cstheme="minorHAnsi"/>
            <w:color w:val="0000FF" w:themeColor="hyperlink"/>
            <w:szCs w:val="15"/>
            <w:u w:val="single"/>
            <w:lang w:eastAsia="en-US"/>
          </w:rPr>
          <w:t xml:space="preserve">Budget </w:t>
        </w:r>
        <w:r w:rsidRPr="00CB31B1">
          <w:rPr>
            <w:rFonts w:eastAsiaTheme="minorHAnsi" w:cstheme="minorHAnsi"/>
            <w:color w:val="0000FF" w:themeColor="hyperlink"/>
            <w:szCs w:val="15"/>
            <w:u w:val="single"/>
            <w:lang w:eastAsia="en-US"/>
          </w:rPr>
          <w:t>+-+Service+Delivery.pdf</w:t>
        </w:r>
      </w:hyperlink>
      <w:r>
        <w:rPr>
          <w:rFonts w:cstheme="minorHAnsi"/>
          <w:szCs w:val="15"/>
        </w:rPr>
        <w:t>).</w:t>
      </w:r>
    </w:p>
  </w:endnote>
  <w:endnote w:id="530">
    <w:p w14:paraId="0244780E" w14:textId="77777777" w:rsidR="00373ED9" w:rsidRPr="00CB31B1" w:rsidRDefault="00373ED9" w:rsidP="00373ED9">
      <w:pPr>
        <w:pStyle w:val="EndnoteText"/>
        <w:rPr>
          <w:rFonts w:cstheme="minorHAnsi"/>
          <w:szCs w:val="15"/>
        </w:rPr>
      </w:pPr>
      <w:r w:rsidRPr="00CB31B1">
        <w:rPr>
          <w:rStyle w:val="EndnoteReference"/>
          <w:rFonts w:cstheme="minorHAnsi"/>
          <w:szCs w:val="15"/>
        </w:rPr>
        <w:endnoteRef/>
      </w:r>
      <w:r w:rsidRPr="00CB31B1">
        <w:rPr>
          <w:rFonts w:cstheme="minorHAnsi"/>
          <w:szCs w:val="15"/>
        </w:rPr>
        <w:t xml:space="preserve"> </w:t>
      </w:r>
      <w:r>
        <w:rPr>
          <w:rFonts w:cstheme="minorHAnsi"/>
          <w:szCs w:val="15"/>
        </w:rPr>
        <w:t>Minister for Housing</w:t>
      </w:r>
      <w:r w:rsidRPr="00CB31B1">
        <w:rPr>
          <w:rFonts w:cstheme="minorHAnsi"/>
          <w:szCs w:val="15"/>
        </w:rPr>
        <w:t xml:space="preserve">, </w:t>
      </w:r>
      <w:hyperlink r:id="rId650" w:history="1">
        <w:r w:rsidRPr="00CB31B1">
          <w:rPr>
            <w:rStyle w:val="Hyperlink"/>
            <w:rFonts w:eastAsiaTheme="majorEastAsia" w:cstheme="minorHAnsi"/>
            <w:i/>
            <w:iCs/>
            <w:szCs w:val="15"/>
          </w:rPr>
          <w:t>Increased Funding for Youth Housing Across Victoria</w:t>
        </w:r>
      </w:hyperlink>
      <w:r w:rsidRPr="00CB31B1">
        <w:rPr>
          <w:rFonts w:cstheme="minorHAnsi"/>
          <w:szCs w:val="15"/>
        </w:rPr>
        <w:t xml:space="preserve"> (media release), 13 February 2023, accessed June 10 2023. </w:t>
      </w:r>
    </w:p>
  </w:endnote>
  <w:endnote w:id="531">
    <w:p w14:paraId="17BE50C9" w14:textId="77777777" w:rsidR="00373ED9" w:rsidRDefault="00373ED9" w:rsidP="00373ED9">
      <w:pPr>
        <w:pStyle w:val="EndnoteText"/>
      </w:pPr>
      <w:r>
        <w:rPr>
          <w:rStyle w:val="EndnoteReference"/>
        </w:rPr>
        <w:endnoteRef/>
      </w:r>
      <w:r>
        <w:t xml:space="preserve"> </w:t>
      </w:r>
      <w:r w:rsidRPr="001B0F62">
        <w:t xml:space="preserve">Infrastructure Victoria, </w:t>
      </w:r>
      <w:hyperlink r:id="rId651" w:history="1">
        <w:r w:rsidRPr="001B0F62">
          <w:rPr>
            <w:rStyle w:val="Hyperlink"/>
            <w:i/>
            <w:iCs/>
          </w:rPr>
          <w:t>Victoria’s infrastructure strategy 2021</w:t>
        </w:r>
        <w:r>
          <w:rPr>
            <w:rStyle w:val="Hyperlink"/>
            <w:i/>
            <w:iCs/>
          </w:rPr>
          <w:t>–</w:t>
        </w:r>
        <w:r w:rsidRPr="001B0F62">
          <w:rPr>
            <w:rStyle w:val="Hyperlink"/>
            <w:i/>
            <w:iCs/>
          </w:rPr>
          <w:t>2051</w:t>
        </w:r>
      </w:hyperlink>
      <w:r w:rsidRPr="001B0F62">
        <w:t>, 2021, p.</w:t>
      </w:r>
      <w:r>
        <w:t>247</w:t>
      </w:r>
      <w:r w:rsidRPr="001B0F62">
        <w:t xml:space="preserve">, accessed </w:t>
      </w:r>
      <w:r>
        <w:t xml:space="preserve">17 August </w:t>
      </w:r>
      <w:r w:rsidRPr="001B0F62">
        <w:t>2023</w:t>
      </w:r>
      <w:r>
        <w:t>.</w:t>
      </w:r>
    </w:p>
  </w:endnote>
  <w:endnote w:id="532">
    <w:p w14:paraId="7B2DDC20" w14:textId="77777777" w:rsidR="00373ED9" w:rsidRPr="001B0F62" w:rsidRDefault="00373ED9" w:rsidP="00373ED9">
      <w:pPr>
        <w:pStyle w:val="EndnoteText"/>
      </w:pPr>
      <w:r w:rsidRPr="001B0F62">
        <w:rPr>
          <w:rStyle w:val="EndnoteReference"/>
        </w:rPr>
        <w:endnoteRef/>
      </w:r>
      <w:r w:rsidRPr="001B0F62">
        <w:t xml:space="preserve"> Infrastructure Victoria, </w:t>
      </w:r>
      <w:hyperlink r:id="rId652" w:history="1">
        <w:r w:rsidRPr="001B0F62">
          <w:rPr>
            <w:rStyle w:val="Hyperlink"/>
            <w:i/>
            <w:iCs/>
          </w:rPr>
          <w:t>Victoria’s infrastructure strategy 2021</w:t>
        </w:r>
        <w:r>
          <w:rPr>
            <w:rStyle w:val="Hyperlink"/>
            <w:i/>
            <w:iCs/>
          </w:rPr>
          <w:t>–</w:t>
        </w:r>
        <w:r w:rsidRPr="001B0F62">
          <w:rPr>
            <w:rStyle w:val="Hyperlink"/>
            <w:i/>
            <w:iCs/>
          </w:rPr>
          <w:t>2051</w:t>
        </w:r>
      </w:hyperlink>
      <w:r w:rsidRPr="001B0F62">
        <w:t>, 2021, p.1</w:t>
      </w:r>
      <w:r>
        <w:t>47</w:t>
      </w:r>
      <w:r w:rsidRPr="001B0F62">
        <w:t xml:space="preserve">, accessed </w:t>
      </w:r>
      <w:r>
        <w:t xml:space="preserve">10 August </w:t>
      </w:r>
      <w:r w:rsidRPr="001B0F62">
        <w:t>2023</w:t>
      </w:r>
      <w:r>
        <w:t>.</w:t>
      </w:r>
    </w:p>
  </w:endnote>
  <w:endnote w:id="533">
    <w:p w14:paraId="2962B5CE" w14:textId="77777777" w:rsidR="00373ED9" w:rsidRPr="001B0F62" w:rsidRDefault="00373ED9" w:rsidP="00373ED9">
      <w:pPr>
        <w:pStyle w:val="EndnoteText"/>
      </w:pPr>
      <w:r w:rsidRPr="001B0F62">
        <w:rPr>
          <w:rStyle w:val="EndnoteReference"/>
        </w:rPr>
        <w:endnoteRef/>
      </w:r>
      <w:r w:rsidRPr="001B0F62">
        <w:t xml:space="preserve"> Infrastructure Victoria, </w:t>
      </w:r>
      <w:hyperlink r:id="rId653" w:history="1">
        <w:r w:rsidRPr="001B0F62">
          <w:rPr>
            <w:rStyle w:val="Hyperlink"/>
            <w:i/>
            <w:iCs/>
          </w:rPr>
          <w:t>Victoria’s infrastructure strategy 2021</w:t>
        </w:r>
        <w:r>
          <w:rPr>
            <w:rStyle w:val="Hyperlink"/>
            <w:i/>
            <w:iCs/>
          </w:rPr>
          <w:t>–</w:t>
        </w:r>
        <w:r w:rsidRPr="001B0F62">
          <w:rPr>
            <w:rStyle w:val="Hyperlink"/>
            <w:i/>
            <w:iCs/>
          </w:rPr>
          <w:t>2051</w:t>
        </w:r>
      </w:hyperlink>
      <w:r w:rsidRPr="001B0F62">
        <w:t>, 2021, p.1</w:t>
      </w:r>
      <w:r>
        <w:t>90</w:t>
      </w:r>
      <w:r w:rsidRPr="001B0F62">
        <w:t xml:space="preserve">, accessed </w:t>
      </w:r>
      <w:r>
        <w:t xml:space="preserve">10 August </w:t>
      </w:r>
      <w:r w:rsidRPr="001B0F62">
        <w:t>2023</w:t>
      </w:r>
      <w:r>
        <w:t>.</w:t>
      </w:r>
    </w:p>
  </w:endnote>
  <w:endnote w:id="534">
    <w:p w14:paraId="4AE5752E" w14:textId="77777777" w:rsidR="00373ED9" w:rsidRPr="001B0F62" w:rsidRDefault="00373ED9" w:rsidP="00373ED9">
      <w:pPr>
        <w:pStyle w:val="EndnoteText"/>
      </w:pPr>
      <w:r w:rsidRPr="001B0F62">
        <w:rPr>
          <w:rStyle w:val="EndnoteReference"/>
        </w:rPr>
        <w:endnoteRef/>
      </w:r>
      <w:r w:rsidRPr="001B0F62">
        <w:t xml:space="preserve"> Infrastructure Victoria, </w:t>
      </w:r>
      <w:hyperlink r:id="rId654" w:history="1">
        <w:r w:rsidRPr="001B0F62">
          <w:rPr>
            <w:rStyle w:val="Hyperlink"/>
            <w:i/>
            <w:iCs/>
          </w:rPr>
          <w:t>Victoria’s infrastructure strategy 2021</w:t>
        </w:r>
        <w:r>
          <w:rPr>
            <w:rStyle w:val="Hyperlink"/>
            <w:i/>
            <w:iCs/>
          </w:rPr>
          <w:t>–</w:t>
        </w:r>
        <w:r w:rsidRPr="001B0F62">
          <w:rPr>
            <w:rStyle w:val="Hyperlink"/>
            <w:i/>
            <w:iCs/>
          </w:rPr>
          <w:t>2051</w:t>
        </w:r>
      </w:hyperlink>
      <w:r w:rsidRPr="001B0F62">
        <w:t>, 2021, p.</w:t>
      </w:r>
      <w:r>
        <w:t>248</w:t>
      </w:r>
      <w:r w:rsidRPr="001B0F62">
        <w:t xml:space="preserve">, accessed </w:t>
      </w:r>
      <w:r>
        <w:t xml:space="preserve">10 August </w:t>
      </w:r>
      <w:r w:rsidRPr="001B0F62">
        <w:t>2023</w:t>
      </w:r>
      <w:r>
        <w:t>.</w:t>
      </w:r>
    </w:p>
  </w:endnote>
  <w:endnote w:id="535">
    <w:p w14:paraId="5FCD3B47" w14:textId="77777777" w:rsidR="00373ED9" w:rsidRPr="001B0F62" w:rsidRDefault="00373ED9" w:rsidP="00373ED9">
      <w:pPr>
        <w:pStyle w:val="EndnoteText"/>
      </w:pPr>
      <w:r w:rsidRPr="001B0F62">
        <w:rPr>
          <w:rStyle w:val="EndnoteReference"/>
        </w:rPr>
        <w:endnoteRef/>
      </w:r>
      <w:r w:rsidRPr="001B0F62">
        <w:t xml:space="preserve"> Infrastructure Victoria, </w:t>
      </w:r>
      <w:hyperlink r:id="rId655" w:history="1">
        <w:r w:rsidRPr="001B0F62">
          <w:rPr>
            <w:rStyle w:val="Hyperlink"/>
            <w:i/>
            <w:iCs/>
          </w:rPr>
          <w:t>Victoria’s infrastructure strategy 2021</w:t>
        </w:r>
        <w:r>
          <w:rPr>
            <w:rStyle w:val="Hyperlink"/>
            <w:i/>
            <w:iCs/>
          </w:rPr>
          <w:t>–</w:t>
        </w:r>
        <w:r w:rsidRPr="001B0F62">
          <w:rPr>
            <w:rStyle w:val="Hyperlink"/>
            <w:i/>
            <w:iCs/>
          </w:rPr>
          <w:t>2051</w:t>
        </w:r>
      </w:hyperlink>
      <w:r w:rsidRPr="001B0F62">
        <w:t>, 2021, p.1</w:t>
      </w:r>
      <w:r>
        <w:t>17</w:t>
      </w:r>
      <w:r w:rsidRPr="001B0F62">
        <w:t xml:space="preserve">, accessed </w:t>
      </w:r>
      <w:r>
        <w:t xml:space="preserve">10 August </w:t>
      </w:r>
      <w:r w:rsidRPr="001B0F62">
        <w:t>2023</w:t>
      </w:r>
      <w:r>
        <w:t>.</w:t>
      </w:r>
    </w:p>
  </w:endnote>
  <w:endnote w:id="536">
    <w:p w14:paraId="5F67FD44" w14:textId="77777777" w:rsidR="00373ED9" w:rsidRPr="001B0F62" w:rsidRDefault="00373ED9" w:rsidP="00373ED9">
      <w:pPr>
        <w:pStyle w:val="EndnoteText"/>
      </w:pPr>
      <w:r w:rsidRPr="001B0F62">
        <w:rPr>
          <w:rStyle w:val="EndnoteReference"/>
        </w:rPr>
        <w:endnoteRef/>
      </w:r>
      <w:r w:rsidRPr="001B0F62">
        <w:t xml:space="preserve"> Infrastructure Victoria, </w:t>
      </w:r>
      <w:hyperlink r:id="rId656" w:history="1">
        <w:r w:rsidRPr="001B0F62">
          <w:rPr>
            <w:rStyle w:val="Hyperlink"/>
            <w:i/>
            <w:iCs/>
          </w:rPr>
          <w:t>Victoria’s infrastructure strategy 2021</w:t>
        </w:r>
        <w:r>
          <w:rPr>
            <w:rStyle w:val="Hyperlink"/>
            <w:i/>
            <w:iCs/>
          </w:rPr>
          <w:t>–</w:t>
        </w:r>
        <w:r w:rsidRPr="001B0F62">
          <w:rPr>
            <w:rStyle w:val="Hyperlink"/>
            <w:i/>
            <w:iCs/>
          </w:rPr>
          <w:t>2051</w:t>
        </w:r>
      </w:hyperlink>
      <w:r w:rsidRPr="001B0F62">
        <w:t>, 2021, p.</w:t>
      </w:r>
      <w:r>
        <w:t>249</w:t>
      </w:r>
      <w:r w:rsidRPr="001B0F62">
        <w:t xml:space="preserve">, accessed </w:t>
      </w:r>
      <w:r>
        <w:t xml:space="preserve">10 August </w:t>
      </w:r>
      <w:r w:rsidRPr="001B0F62">
        <w:t>2023</w:t>
      </w:r>
      <w:r>
        <w:t>.</w:t>
      </w:r>
    </w:p>
  </w:endnote>
  <w:endnote w:id="537">
    <w:p w14:paraId="336BF7D0" w14:textId="77777777" w:rsidR="00373ED9" w:rsidRPr="007D6545" w:rsidRDefault="00373ED9" w:rsidP="00373ED9">
      <w:pPr>
        <w:pStyle w:val="EndnoteText"/>
        <w:rPr>
          <w:i/>
          <w:iCs/>
        </w:rPr>
      </w:pPr>
      <w:r>
        <w:rPr>
          <w:rStyle w:val="EndnoteReference"/>
        </w:rPr>
        <w:endnoteRef/>
      </w:r>
      <w:r>
        <w:t xml:space="preserve"> Infrastructure Victoria, </w:t>
      </w:r>
      <w:hyperlink r:id="rId657" w:history="1">
        <w:r w:rsidRPr="007D6545">
          <w:rPr>
            <w:rStyle w:val="Hyperlink"/>
            <w:i/>
            <w:iCs/>
          </w:rPr>
          <w:t>Our home choices: how more housing options can make better use of Victoria’s existing infrastructure</w:t>
        </w:r>
      </w:hyperlink>
      <w:r>
        <w:t>, 2023, p. 5, accessed 17 August 2023.</w:t>
      </w:r>
    </w:p>
  </w:endnote>
  <w:endnote w:id="538">
    <w:p w14:paraId="500EC5CC" w14:textId="77777777" w:rsidR="00373ED9" w:rsidRPr="00CB31B1" w:rsidRDefault="00373ED9" w:rsidP="00373ED9">
      <w:pPr>
        <w:spacing w:before="84" w:after="84" w:line="190" w:lineRule="atLeast"/>
        <w:ind w:left="340" w:hanging="340"/>
        <w:rPr>
          <w:rFonts w:cstheme="minorHAnsi"/>
          <w:sz w:val="15"/>
          <w:szCs w:val="15"/>
        </w:rPr>
      </w:pPr>
      <w:r w:rsidRPr="00CB31B1">
        <w:rPr>
          <w:rStyle w:val="EndnoteReference"/>
          <w:rFonts w:cstheme="minorHAnsi"/>
          <w:sz w:val="15"/>
          <w:szCs w:val="15"/>
        </w:rPr>
        <w:endnoteRef/>
      </w:r>
      <w:r w:rsidRPr="00CB31B1">
        <w:rPr>
          <w:rFonts w:cstheme="minorHAnsi"/>
          <w:sz w:val="15"/>
          <w:szCs w:val="15"/>
        </w:rPr>
        <w:t xml:space="preserve"> Victorian Government</w:t>
      </w:r>
      <w:r w:rsidRPr="00CB31B1">
        <w:rPr>
          <w:rFonts w:eastAsia="Calibri Light" w:cstheme="minorHAnsi"/>
          <w:sz w:val="15"/>
          <w:szCs w:val="15"/>
        </w:rPr>
        <w:t>,</w:t>
      </w:r>
      <w:r w:rsidRPr="00CB31B1">
        <w:rPr>
          <w:rFonts w:eastAsia="Calibri Light" w:cstheme="minorHAnsi"/>
          <w:i/>
          <w:sz w:val="15"/>
          <w:szCs w:val="15"/>
        </w:rPr>
        <w:t xml:space="preserve"> </w:t>
      </w:r>
      <w:hyperlink r:id="rId658">
        <w:r w:rsidRPr="00CB31B1">
          <w:rPr>
            <w:rStyle w:val="Hyperlink"/>
            <w:rFonts w:eastAsia="Calibri Light" w:cstheme="minorHAnsi"/>
            <w:i/>
            <w:sz w:val="15"/>
            <w:szCs w:val="15"/>
          </w:rPr>
          <w:t>Ending-Family-Violence-10-Year-Plan</w:t>
        </w:r>
      </w:hyperlink>
      <w:r w:rsidRPr="00CB31B1">
        <w:rPr>
          <w:rFonts w:eastAsia="Calibri Light" w:cstheme="minorHAnsi"/>
          <w:i/>
          <w:sz w:val="15"/>
          <w:szCs w:val="15"/>
        </w:rPr>
        <w:t xml:space="preserve">, </w:t>
      </w:r>
      <w:r w:rsidRPr="00CB31B1">
        <w:rPr>
          <w:rFonts w:eastAsia="Calibri Light" w:cstheme="minorHAnsi"/>
          <w:sz w:val="15"/>
          <w:szCs w:val="15"/>
        </w:rPr>
        <w:t>2020, pp.50</w:t>
      </w:r>
      <w:r>
        <w:rPr>
          <w:rFonts w:eastAsia="Calibri Light" w:cstheme="minorHAnsi"/>
          <w:sz w:val="15"/>
          <w:szCs w:val="15"/>
        </w:rPr>
        <w:t>–</w:t>
      </w:r>
      <w:r w:rsidRPr="00CB31B1">
        <w:rPr>
          <w:rFonts w:eastAsia="Calibri Light" w:cstheme="minorHAnsi"/>
          <w:sz w:val="15"/>
          <w:szCs w:val="15"/>
        </w:rPr>
        <w:t xml:space="preserve">51, accessed 19 July 2023 </w:t>
      </w:r>
      <w:r>
        <w:rPr>
          <w:rFonts w:eastAsia="Calibri Light" w:cstheme="minorHAnsi"/>
          <w:sz w:val="15"/>
          <w:szCs w:val="15"/>
        </w:rPr>
        <w:t>.</w:t>
      </w:r>
    </w:p>
  </w:endnote>
  <w:endnote w:id="539">
    <w:p w14:paraId="61C6F7C7" w14:textId="77777777" w:rsidR="00373ED9" w:rsidRPr="00CB31B1" w:rsidRDefault="00373ED9" w:rsidP="00373ED9">
      <w:pPr>
        <w:pStyle w:val="EndnoteText"/>
        <w:rPr>
          <w:rFonts w:cstheme="minorHAnsi"/>
          <w:szCs w:val="15"/>
        </w:rPr>
      </w:pPr>
      <w:r w:rsidRPr="00CB31B1">
        <w:rPr>
          <w:rStyle w:val="EndnoteReference"/>
          <w:rFonts w:cstheme="minorHAnsi"/>
          <w:szCs w:val="15"/>
        </w:rPr>
        <w:endnoteRef/>
      </w:r>
      <w:r w:rsidRPr="00CB31B1">
        <w:rPr>
          <w:rFonts w:cstheme="minorHAnsi"/>
          <w:szCs w:val="15"/>
        </w:rPr>
        <w:t xml:space="preserve"> Victorian Government, </w:t>
      </w:r>
      <w:hyperlink r:id="rId659">
        <w:r w:rsidRPr="00816D4A">
          <w:rPr>
            <w:rStyle w:val="Hyperlink"/>
            <w:rFonts w:cstheme="minorHAnsi"/>
            <w:i/>
            <w:iCs/>
            <w:szCs w:val="15"/>
            <w:lang w:val="en-GB"/>
          </w:rPr>
          <w:t>Ending Family Violence: annual report 2021</w:t>
        </w:r>
      </w:hyperlink>
      <w:r w:rsidRPr="00CB31B1">
        <w:rPr>
          <w:rFonts w:cstheme="minorHAnsi"/>
          <w:szCs w:val="15"/>
          <w:lang w:val="en-GB"/>
        </w:rPr>
        <w:t xml:space="preserve"> (website), 9 May 2022, accessed 25 July 2023</w:t>
      </w:r>
      <w:r>
        <w:rPr>
          <w:rFonts w:cstheme="minorHAnsi"/>
          <w:szCs w:val="15"/>
          <w:lang w:val="en-GB"/>
        </w:rPr>
        <w:t>.</w:t>
      </w:r>
    </w:p>
  </w:endnote>
  <w:endnote w:id="540">
    <w:p w14:paraId="291C70E0" w14:textId="77777777" w:rsidR="00373ED9" w:rsidRDefault="00373ED9" w:rsidP="00373ED9">
      <w:pPr>
        <w:pStyle w:val="EndnoteText"/>
      </w:pPr>
      <w:r>
        <w:rPr>
          <w:rStyle w:val="EndnoteReference"/>
        </w:rPr>
        <w:endnoteRef/>
      </w:r>
      <w:r>
        <w:t xml:space="preserve"> </w:t>
      </w:r>
      <w:r w:rsidRPr="00CB31B1">
        <w:rPr>
          <w:rFonts w:eastAsia="Calibri Light" w:cstheme="minorHAnsi"/>
          <w:szCs w:val="15"/>
        </w:rPr>
        <w:t xml:space="preserve">Department of Treasury and Finance, </w:t>
      </w:r>
      <w:hyperlink r:id="rId660" w:anchor="budget-paper-3-service-delivery">
        <w:r>
          <w:rPr>
            <w:rStyle w:val="Hyperlink"/>
            <w:rFonts w:eastAsia="Calibri Light" w:cstheme="minorHAnsi"/>
            <w:i/>
            <w:szCs w:val="15"/>
          </w:rPr>
          <w:t>Victorian Budget 2023–24 – Budget Paper No. 3</w:t>
        </w:r>
      </w:hyperlink>
      <w:r w:rsidRPr="00CB31B1">
        <w:rPr>
          <w:rFonts w:eastAsia="Calibri Light" w:cstheme="minorHAnsi"/>
          <w:szCs w:val="15"/>
        </w:rPr>
        <w:t>, 2023, p.3</w:t>
      </w:r>
      <w:r>
        <w:rPr>
          <w:rFonts w:eastAsia="Calibri Light" w:cstheme="minorHAnsi"/>
          <w:szCs w:val="15"/>
        </w:rPr>
        <w:t>91</w:t>
      </w:r>
      <w:r w:rsidRPr="00CB31B1">
        <w:rPr>
          <w:rFonts w:eastAsia="Calibri Light" w:cstheme="minorHAnsi"/>
          <w:szCs w:val="15"/>
        </w:rPr>
        <w:t>, accessed 1</w:t>
      </w:r>
      <w:r>
        <w:rPr>
          <w:rFonts w:eastAsia="Calibri Light" w:cstheme="minorHAnsi"/>
          <w:szCs w:val="15"/>
        </w:rPr>
        <w:t>0 August</w:t>
      </w:r>
      <w:r w:rsidRPr="00CB31B1">
        <w:rPr>
          <w:rFonts w:eastAsia="Calibri Light" w:cstheme="minorHAnsi"/>
          <w:szCs w:val="15"/>
        </w:rPr>
        <w:t xml:space="preserve"> 2023 (</w:t>
      </w:r>
      <w:hyperlink r:id="rId661">
        <w:r w:rsidRPr="00CB31B1">
          <w:rPr>
            <w:rStyle w:val="Hyperlink"/>
            <w:rFonts w:eastAsia="Calibri Light" w:cstheme="minorHAnsi"/>
            <w:szCs w:val="15"/>
          </w:rPr>
          <w:t>https://s3.ap-southeast-2.amazonaws.com/</w:t>
        </w:r>
        <w:r>
          <w:rPr>
            <w:rStyle w:val="Hyperlink"/>
            <w:rFonts w:eastAsia="Calibri Light" w:cstheme="minorHAnsi"/>
            <w:szCs w:val="15"/>
          </w:rPr>
          <w:t xml:space="preserve">Budget </w:t>
        </w:r>
        <w:r w:rsidRPr="00CB31B1">
          <w:rPr>
            <w:rStyle w:val="Hyperlink"/>
            <w:rFonts w:eastAsia="Calibri Light" w:cstheme="minorHAnsi"/>
            <w:szCs w:val="15"/>
          </w:rPr>
          <w:t>files202324.</w:t>
        </w:r>
        <w:r>
          <w:rPr>
            <w:rStyle w:val="Hyperlink"/>
            <w:rFonts w:eastAsia="Calibri Light" w:cstheme="minorHAnsi"/>
            <w:szCs w:val="15"/>
          </w:rPr>
          <w:t xml:space="preserve">Budget </w:t>
        </w:r>
        <w:r w:rsidRPr="00CB31B1">
          <w:rPr>
            <w:rStyle w:val="Hyperlink"/>
            <w:rFonts w:eastAsia="Calibri Light" w:cstheme="minorHAnsi"/>
            <w:szCs w:val="15"/>
          </w:rPr>
          <w:t>.vic.gov.au/2023</w:t>
        </w:r>
        <w:r>
          <w:rPr>
            <w:rStyle w:val="Hyperlink"/>
            <w:rFonts w:eastAsia="Calibri Light" w:cstheme="minorHAnsi"/>
            <w:szCs w:val="15"/>
          </w:rPr>
          <w:t>–</w:t>
        </w:r>
        <w:r w:rsidRPr="00CB31B1">
          <w:rPr>
            <w:rStyle w:val="Hyperlink"/>
            <w:rFonts w:eastAsia="Calibri Light" w:cstheme="minorHAnsi"/>
            <w:szCs w:val="15"/>
          </w:rPr>
          <w:t>24+State+</w:t>
        </w:r>
        <w:r>
          <w:rPr>
            <w:rStyle w:val="Hyperlink"/>
            <w:rFonts w:eastAsia="Calibri Light" w:cstheme="minorHAnsi"/>
            <w:szCs w:val="15"/>
          </w:rPr>
          <w:t xml:space="preserve">Budget </w:t>
        </w:r>
        <w:r w:rsidRPr="00CB31B1">
          <w:rPr>
            <w:rStyle w:val="Hyperlink"/>
            <w:rFonts w:eastAsia="Calibri Light" w:cstheme="minorHAnsi"/>
            <w:szCs w:val="15"/>
          </w:rPr>
          <w:t>+-+Service+Delivery.pdf</w:t>
        </w:r>
      </w:hyperlink>
      <w:r w:rsidRPr="00CB31B1">
        <w:rPr>
          <w:rFonts w:eastAsia="Calibri Light" w:cstheme="minorHAnsi"/>
          <w:szCs w:val="15"/>
        </w:rPr>
        <w:t>)</w:t>
      </w:r>
      <w:r>
        <w:t>.</w:t>
      </w:r>
    </w:p>
  </w:endnote>
  <w:endnote w:id="541">
    <w:p w14:paraId="43230436" w14:textId="77777777" w:rsidR="00373ED9" w:rsidRPr="00CB31B1" w:rsidRDefault="00373ED9" w:rsidP="00373ED9">
      <w:pPr>
        <w:pStyle w:val="EndnoteText"/>
        <w:rPr>
          <w:rFonts w:cstheme="minorHAnsi"/>
          <w:szCs w:val="15"/>
        </w:rPr>
      </w:pPr>
      <w:r w:rsidRPr="00CB31B1">
        <w:rPr>
          <w:rStyle w:val="EndnoteReference"/>
          <w:rFonts w:cstheme="minorHAnsi"/>
          <w:szCs w:val="15"/>
        </w:rPr>
        <w:endnoteRef/>
      </w:r>
      <w:r w:rsidRPr="00CB31B1">
        <w:rPr>
          <w:rFonts w:cstheme="minorHAnsi"/>
          <w:szCs w:val="15"/>
        </w:rPr>
        <w:t xml:space="preserve"> </w:t>
      </w:r>
      <w:r w:rsidRPr="00CB31B1">
        <w:rPr>
          <w:rFonts w:eastAsia="Calibri Light" w:cstheme="minorHAnsi"/>
          <w:szCs w:val="15"/>
        </w:rPr>
        <w:t xml:space="preserve">Department of Treasury and Finance, </w:t>
      </w:r>
      <w:hyperlink r:id="rId662" w:anchor="budget-paper-3-service-delivery">
        <w:r>
          <w:rPr>
            <w:rStyle w:val="Hyperlink"/>
            <w:rFonts w:eastAsia="Calibri Light" w:cstheme="minorHAnsi"/>
            <w:i/>
            <w:szCs w:val="15"/>
          </w:rPr>
          <w:t>Victorian Budget 2023–24 – Budget Paper No. 3</w:t>
        </w:r>
      </w:hyperlink>
      <w:r w:rsidRPr="00CB31B1">
        <w:rPr>
          <w:rFonts w:eastAsia="Calibri Light" w:cstheme="minorHAnsi"/>
          <w:szCs w:val="15"/>
        </w:rPr>
        <w:t>, 2023, p.373, accessed 14 July 2023 (</w:t>
      </w:r>
      <w:hyperlink r:id="rId663">
        <w:r w:rsidRPr="00CB31B1">
          <w:rPr>
            <w:rStyle w:val="Hyperlink"/>
            <w:rFonts w:eastAsia="Calibri Light" w:cstheme="minorHAnsi"/>
            <w:szCs w:val="15"/>
          </w:rPr>
          <w:t>https://s3.ap-southeast-2.amazonaws.com/</w:t>
        </w:r>
        <w:r>
          <w:rPr>
            <w:rStyle w:val="Hyperlink"/>
            <w:rFonts w:eastAsia="Calibri Light" w:cstheme="minorHAnsi"/>
            <w:szCs w:val="15"/>
          </w:rPr>
          <w:t xml:space="preserve">Budget </w:t>
        </w:r>
        <w:r w:rsidRPr="00CB31B1">
          <w:rPr>
            <w:rStyle w:val="Hyperlink"/>
            <w:rFonts w:eastAsia="Calibri Light" w:cstheme="minorHAnsi"/>
            <w:szCs w:val="15"/>
          </w:rPr>
          <w:t>files202324.</w:t>
        </w:r>
        <w:r>
          <w:rPr>
            <w:rStyle w:val="Hyperlink"/>
            <w:rFonts w:eastAsia="Calibri Light" w:cstheme="minorHAnsi"/>
            <w:szCs w:val="15"/>
          </w:rPr>
          <w:t xml:space="preserve">Budget </w:t>
        </w:r>
        <w:r w:rsidRPr="00CB31B1">
          <w:rPr>
            <w:rStyle w:val="Hyperlink"/>
            <w:rFonts w:eastAsia="Calibri Light" w:cstheme="minorHAnsi"/>
            <w:szCs w:val="15"/>
          </w:rPr>
          <w:t>.vic.gov.au/2023</w:t>
        </w:r>
        <w:r>
          <w:rPr>
            <w:rStyle w:val="Hyperlink"/>
            <w:rFonts w:eastAsia="Calibri Light" w:cstheme="minorHAnsi"/>
            <w:szCs w:val="15"/>
          </w:rPr>
          <w:t>–</w:t>
        </w:r>
        <w:r w:rsidRPr="00CB31B1">
          <w:rPr>
            <w:rStyle w:val="Hyperlink"/>
            <w:rFonts w:eastAsia="Calibri Light" w:cstheme="minorHAnsi"/>
            <w:szCs w:val="15"/>
          </w:rPr>
          <w:t>24+State+</w:t>
        </w:r>
        <w:r>
          <w:rPr>
            <w:rStyle w:val="Hyperlink"/>
            <w:rFonts w:eastAsia="Calibri Light" w:cstheme="minorHAnsi"/>
            <w:szCs w:val="15"/>
          </w:rPr>
          <w:t xml:space="preserve">Budget </w:t>
        </w:r>
        <w:r w:rsidRPr="00CB31B1">
          <w:rPr>
            <w:rStyle w:val="Hyperlink"/>
            <w:rFonts w:eastAsia="Calibri Light" w:cstheme="minorHAnsi"/>
            <w:szCs w:val="15"/>
          </w:rPr>
          <w:t>+-+Service+Delivery.pdf</w:t>
        </w:r>
      </w:hyperlink>
      <w:r w:rsidRPr="00CB31B1">
        <w:rPr>
          <w:rFonts w:eastAsia="Calibri Light" w:cstheme="minorHAnsi"/>
          <w:szCs w:val="15"/>
        </w:rPr>
        <w:t>)</w:t>
      </w:r>
      <w:r>
        <w:rPr>
          <w:rFonts w:eastAsia="Calibri Light" w:cstheme="minorHAnsi"/>
          <w:szCs w:val="15"/>
        </w:rPr>
        <w:t>.</w:t>
      </w:r>
    </w:p>
  </w:endnote>
  <w:endnote w:id="542">
    <w:p w14:paraId="3165665B" w14:textId="77777777" w:rsidR="00373ED9" w:rsidRPr="00C37C19" w:rsidRDefault="00373ED9" w:rsidP="00373ED9">
      <w:pPr>
        <w:spacing w:before="84" w:after="84" w:line="190" w:lineRule="atLeast"/>
        <w:ind w:left="340" w:hanging="340"/>
        <w:rPr>
          <w:rFonts w:eastAsia="Calibri Light" w:cstheme="minorHAnsi"/>
          <w:sz w:val="15"/>
          <w:szCs w:val="15"/>
        </w:rPr>
      </w:pPr>
      <w:r w:rsidRPr="00C37C19">
        <w:rPr>
          <w:rStyle w:val="EndnoteReference"/>
          <w:rFonts w:cstheme="minorHAnsi"/>
          <w:sz w:val="15"/>
          <w:szCs w:val="15"/>
        </w:rPr>
        <w:endnoteRef/>
      </w:r>
      <w:r w:rsidRPr="00C37C19">
        <w:rPr>
          <w:rFonts w:cstheme="minorHAnsi"/>
          <w:sz w:val="15"/>
          <w:szCs w:val="15"/>
        </w:rPr>
        <w:t xml:space="preserve"> </w:t>
      </w:r>
      <w:r w:rsidRPr="00C37C19">
        <w:rPr>
          <w:rFonts w:eastAsia="Calibri Light" w:cstheme="minorHAnsi"/>
          <w:sz w:val="15"/>
          <w:szCs w:val="15"/>
        </w:rPr>
        <w:t>Family Violence Reform Implementation Monitor,</w:t>
      </w:r>
      <w:r w:rsidRPr="00C37C19">
        <w:rPr>
          <w:rFonts w:eastAsia="Calibri Light" w:cstheme="minorHAnsi"/>
          <w:i/>
          <w:sz w:val="15"/>
          <w:szCs w:val="15"/>
        </w:rPr>
        <w:t xml:space="preserve"> </w:t>
      </w:r>
      <w:hyperlink r:id="rId664">
        <w:r w:rsidRPr="00C37C19">
          <w:rPr>
            <w:rStyle w:val="Hyperlink"/>
            <w:rFonts w:eastAsia="Calibri Light" w:cstheme="minorHAnsi"/>
            <w:i/>
            <w:sz w:val="15"/>
            <w:szCs w:val="15"/>
          </w:rPr>
          <w:t>Report of the Family Violence Reform Implementation Monitor - As at 1 November 2020</w:t>
        </w:r>
      </w:hyperlink>
      <w:r w:rsidRPr="00C37C19">
        <w:rPr>
          <w:rFonts w:eastAsia="Calibri Light" w:cstheme="minorHAnsi"/>
          <w:i/>
          <w:sz w:val="15"/>
          <w:szCs w:val="15"/>
        </w:rPr>
        <w:t>,</w:t>
      </w:r>
      <w:r w:rsidRPr="00C37C19">
        <w:rPr>
          <w:rFonts w:eastAsia="Calibri Light" w:cstheme="minorHAnsi"/>
          <w:sz w:val="15"/>
          <w:szCs w:val="15"/>
        </w:rPr>
        <w:t xml:space="preserve"> May 2021, p.9, accessed 19 July 2023</w:t>
      </w:r>
      <w:r>
        <w:rPr>
          <w:rFonts w:eastAsia="Calibri Light" w:cstheme="minorHAnsi"/>
          <w:sz w:val="15"/>
          <w:szCs w:val="15"/>
        </w:rPr>
        <w:t>.</w:t>
      </w:r>
    </w:p>
  </w:endnote>
  <w:endnote w:id="543">
    <w:p w14:paraId="1A1489A0" w14:textId="77777777" w:rsidR="00373ED9" w:rsidRPr="00C37C19" w:rsidRDefault="00373ED9" w:rsidP="00373ED9">
      <w:pPr>
        <w:spacing w:before="84" w:after="84" w:line="190" w:lineRule="atLeast"/>
        <w:ind w:left="340" w:hanging="340"/>
        <w:rPr>
          <w:rFonts w:eastAsia="Calibri Light" w:cstheme="minorHAnsi"/>
          <w:sz w:val="15"/>
          <w:szCs w:val="15"/>
        </w:rPr>
      </w:pPr>
      <w:r w:rsidRPr="00C37C19">
        <w:rPr>
          <w:rStyle w:val="EndnoteReference"/>
          <w:rFonts w:cstheme="minorHAnsi"/>
          <w:sz w:val="15"/>
          <w:szCs w:val="15"/>
        </w:rPr>
        <w:endnoteRef/>
      </w:r>
      <w:r w:rsidRPr="00C37C19">
        <w:rPr>
          <w:rFonts w:cstheme="minorHAnsi"/>
          <w:sz w:val="15"/>
          <w:szCs w:val="15"/>
        </w:rPr>
        <w:t xml:space="preserve"> </w:t>
      </w:r>
      <w:r w:rsidRPr="00C37C19">
        <w:rPr>
          <w:rFonts w:eastAsia="Calibri Light" w:cstheme="minorHAnsi"/>
          <w:sz w:val="15"/>
          <w:szCs w:val="15"/>
        </w:rPr>
        <w:t xml:space="preserve">Family Violence Reform Implementation Monitor, </w:t>
      </w:r>
      <w:hyperlink r:id="rId665">
        <w:r w:rsidRPr="00C37C19">
          <w:rPr>
            <w:rStyle w:val="Hyperlink"/>
            <w:rFonts w:eastAsia="Calibri Light" w:cstheme="minorHAnsi"/>
            <w:i/>
            <w:sz w:val="15"/>
            <w:szCs w:val="15"/>
          </w:rPr>
          <w:t>Report of the Family Violence Reform Implementation Monitor - As at 1 November 2020</w:t>
        </w:r>
      </w:hyperlink>
      <w:r w:rsidRPr="00C37C19">
        <w:rPr>
          <w:rFonts w:eastAsia="Calibri Light" w:cstheme="minorHAnsi"/>
          <w:i/>
          <w:sz w:val="15"/>
          <w:szCs w:val="15"/>
        </w:rPr>
        <w:t xml:space="preserve">, </w:t>
      </w:r>
      <w:r w:rsidRPr="00C37C19">
        <w:rPr>
          <w:rFonts w:eastAsia="Calibri Light" w:cstheme="minorHAnsi"/>
          <w:sz w:val="15"/>
          <w:szCs w:val="15"/>
        </w:rPr>
        <w:t>May 2021, p.9, accessed 19 July 2023</w:t>
      </w:r>
      <w:r>
        <w:rPr>
          <w:rFonts w:eastAsia="Calibri Light" w:cstheme="minorHAnsi"/>
          <w:sz w:val="15"/>
          <w:szCs w:val="15"/>
        </w:rPr>
        <w:t>.</w:t>
      </w:r>
    </w:p>
  </w:endnote>
  <w:endnote w:id="544">
    <w:p w14:paraId="20F08D6D" w14:textId="77777777" w:rsidR="00373ED9" w:rsidRPr="00C37C19" w:rsidRDefault="00373ED9" w:rsidP="00373ED9">
      <w:pPr>
        <w:spacing w:before="84" w:after="84" w:line="190" w:lineRule="atLeast"/>
        <w:ind w:left="340" w:hanging="340"/>
        <w:rPr>
          <w:rFonts w:eastAsia="Calibri Light" w:cstheme="minorHAnsi"/>
          <w:sz w:val="15"/>
          <w:szCs w:val="15"/>
        </w:rPr>
      </w:pPr>
      <w:r w:rsidRPr="00C37C19">
        <w:rPr>
          <w:rStyle w:val="EndnoteReference"/>
          <w:rFonts w:cstheme="minorHAnsi"/>
          <w:sz w:val="15"/>
          <w:szCs w:val="15"/>
        </w:rPr>
        <w:endnoteRef/>
      </w:r>
      <w:r w:rsidRPr="00C37C19">
        <w:rPr>
          <w:rFonts w:cstheme="minorHAnsi"/>
          <w:sz w:val="15"/>
          <w:szCs w:val="15"/>
        </w:rPr>
        <w:t xml:space="preserve"> </w:t>
      </w:r>
      <w:r w:rsidRPr="00C37C19">
        <w:rPr>
          <w:rFonts w:eastAsia="Calibri Light" w:cstheme="minorHAnsi"/>
          <w:sz w:val="15"/>
          <w:szCs w:val="15"/>
        </w:rPr>
        <w:t xml:space="preserve">Family Violence Reform Implementation Monitor, </w:t>
      </w:r>
      <w:hyperlink r:id="rId666">
        <w:r w:rsidRPr="00C37C19">
          <w:rPr>
            <w:rStyle w:val="Hyperlink"/>
            <w:rFonts w:eastAsia="Calibri Light" w:cstheme="minorHAnsi"/>
            <w:i/>
            <w:sz w:val="15"/>
            <w:szCs w:val="15"/>
          </w:rPr>
          <w:t>Report of the Family Violence Reform Implementation Monitor - As at 1 November 2020</w:t>
        </w:r>
      </w:hyperlink>
      <w:r w:rsidRPr="00C37C19">
        <w:rPr>
          <w:rFonts w:eastAsia="Calibri Light" w:cstheme="minorHAnsi"/>
          <w:i/>
          <w:sz w:val="15"/>
          <w:szCs w:val="15"/>
        </w:rPr>
        <w:t xml:space="preserve">, </w:t>
      </w:r>
      <w:r w:rsidRPr="00C37C19">
        <w:rPr>
          <w:rFonts w:eastAsia="Calibri Light" w:cstheme="minorHAnsi"/>
          <w:sz w:val="15"/>
          <w:szCs w:val="15"/>
        </w:rPr>
        <w:t>May 2021, p.9, accessed 19 July 2023</w:t>
      </w:r>
      <w:r>
        <w:rPr>
          <w:rFonts w:eastAsia="Calibri Light" w:cstheme="minorHAnsi"/>
          <w:sz w:val="15"/>
          <w:szCs w:val="15"/>
        </w:rPr>
        <w:t>.</w:t>
      </w:r>
    </w:p>
  </w:endnote>
  <w:endnote w:id="545">
    <w:p w14:paraId="476E6152" w14:textId="77777777" w:rsidR="00373ED9" w:rsidRPr="00C37C19" w:rsidRDefault="00373ED9" w:rsidP="00373ED9">
      <w:pPr>
        <w:pStyle w:val="EndnoteText"/>
        <w:rPr>
          <w:rFonts w:cstheme="minorHAnsi"/>
          <w:szCs w:val="15"/>
        </w:rPr>
      </w:pPr>
      <w:r w:rsidRPr="00C37C19">
        <w:rPr>
          <w:rStyle w:val="EndnoteReference"/>
          <w:rFonts w:cstheme="minorHAnsi"/>
          <w:szCs w:val="15"/>
        </w:rPr>
        <w:endnoteRef/>
      </w:r>
      <w:r w:rsidRPr="00C37C19">
        <w:rPr>
          <w:rFonts w:cstheme="minorHAnsi"/>
          <w:szCs w:val="15"/>
        </w:rPr>
        <w:t xml:space="preserve"> </w:t>
      </w:r>
      <w:r w:rsidRPr="00C37C19">
        <w:rPr>
          <w:rFonts w:eastAsia="Calibri Light" w:cstheme="minorHAnsi"/>
          <w:szCs w:val="15"/>
        </w:rPr>
        <w:t>Family Violence Reform Implementation Monitor</w:t>
      </w:r>
      <w:r w:rsidRPr="00C37C19">
        <w:rPr>
          <w:rFonts w:cstheme="minorHAnsi"/>
          <w:szCs w:val="15"/>
        </w:rPr>
        <w:t>,</w:t>
      </w:r>
      <w:r w:rsidRPr="00C37C19">
        <w:rPr>
          <w:rFonts w:cstheme="minorHAnsi"/>
          <w:i/>
          <w:iCs/>
          <w:szCs w:val="15"/>
        </w:rPr>
        <w:t xml:space="preserve"> </w:t>
      </w:r>
      <w:hyperlink r:id="rId667">
        <w:r w:rsidRPr="00C37C19">
          <w:rPr>
            <w:rStyle w:val="Hyperlink"/>
            <w:rFonts w:cstheme="minorHAnsi"/>
            <w:i/>
            <w:iCs/>
            <w:szCs w:val="15"/>
            <w:lang w:val="en-GB"/>
          </w:rPr>
          <w:t>Report of the Family Violence Reform Implementation Monitor - as at 1 November 2019</w:t>
        </w:r>
      </w:hyperlink>
      <w:r w:rsidRPr="00C37C19">
        <w:rPr>
          <w:rFonts w:cstheme="minorHAnsi"/>
          <w:szCs w:val="15"/>
          <w:lang w:val="en-GB"/>
        </w:rPr>
        <w:t>, February 2020, p 12, accessed 25 June 2023</w:t>
      </w:r>
      <w:r>
        <w:rPr>
          <w:rFonts w:cstheme="minorHAnsi"/>
          <w:szCs w:val="15"/>
          <w:lang w:val="en-GB"/>
        </w:rPr>
        <w:t>.</w:t>
      </w:r>
    </w:p>
  </w:endnote>
  <w:endnote w:id="546">
    <w:p w14:paraId="70984EA5" w14:textId="77777777" w:rsidR="00373ED9" w:rsidRPr="00C37C19" w:rsidRDefault="00373ED9" w:rsidP="00373ED9">
      <w:pPr>
        <w:pStyle w:val="EndnoteText"/>
        <w:rPr>
          <w:rFonts w:cstheme="minorHAnsi"/>
          <w:szCs w:val="15"/>
        </w:rPr>
      </w:pPr>
      <w:r w:rsidRPr="00C37C19">
        <w:rPr>
          <w:rStyle w:val="EndnoteReference"/>
          <w:rFonts w:cstheme="minorHAnsi"/>
          <w:szCs w:val="15"/>
        </w:rPr>
        <w:endnoteRef/>
      </w:r>
      <w:r w:rsidRPr="00C37C19">
        <w:rPr>
          <w:rFonts w:cstheme="minorHAnsi"/>
          <w:szCs w:val="15"/>
        </w:rPr>
        <w:t xml:space="preserve"> Northern Integrated Family Violence Services, </w:t>
      </w:r>
      <w:hyperlink r:id="rId668">
        <w:r w:rsidRPr="00C37C19">
          <w:rPr>
            <w:rStyle w:val="Hyperlink"/>
            <w:rFonts w:cstheme="minorHAnsi"/>
            <w:i/>
            <w:iCs/>
            <w:szCs w:val="15"/>
          </w:rPr>
          <w:t>Additional Specialist Family Violence Courts Gazetted</w:t>
        </w:r>
      </w:hyperlink>
      <w:r w:rsidRPr="00C37C19">
        <w:rPr>
          <w:rFonts w:cstheme="minorHAnsi"/>
          <w:szCs w:val="15"/>
        </w:rPr>
        <w:t xml:space="preserve"> </w:t>
      </w:r>
      <w:r w:rsidRPr="00C37C19">
        <w:rPr>
          <w:rFonts w:cstheme="minorHAnsi"/>
          <w:szCs w:val="15"/>
          <w:lang w:val="en-GB"/>
        </w:rPr>
        <w:t>(website), 10 October 2022, accessed 25 July 2023</w:t>
      </w:r>
      <w:r>
        <w:rPr>
          <w:rFonts w:cstheme="minorHAnsi"/>
          <w:szCs w:val="15"/>
          <w:lang w:val="en-GB"/>
        </w:rPr>
        <w:t>.</w:t>
      </w:r>
    </w:p>
  </w:endnote>
  <w:endnote w:id="547">
    <w:p w14:paraId="1E0DF133" w14:textId="77777777" w:rsidR="00373ED9" w:rsidRPr="00C37C19" w:rsidRDefault="00373ED9" w:rsidP="00373ED9">
      <w:pPr>
        <w:pStyle w:val="EndnoteText"/>
        <w:rPr>
          <w:rFonts w:cstheme="minorHAnsi"/>
          <w:szCs w:val="15"/>
        </w:rPr>
      </w:pPr>
      <w:r w:rsidRPr="00C37C19">
        <w:rPr>
          <w:rStyle w:val="EndnoteReference"/>
          <w:rFonts w:cstheme="minorHAnsi"/>
          <w:szCs w:val="15"/>
        </w:rPr>
        <w:endnoteRef/>
      </w:r>
      <w:r w:rsidRPr="00C37C19">
        <w:rPr>
          <w:rFonts w:cstheme="minorHAnsi"/>
          <w:szCs w:val="15"/>
        </w:rPr>
        <w:t xml:space="preserve"> Northern Integrated Family Violence Services, </w:t>
      </w:r>
      <w:hyperlink r:id="rId669">
        <w:r w:rsidRPr="00C37C19">
          <w:rPr>
            <w:rStyle w:val="Hyperlink"/>
            <w:rFonts w:cstheme="minorHAnsi"/>
            <w:i/>
            <w:iCs/>
            <w:szCs w:val="15"/>
          </w:rPr>
          <w:t>Additional Specialist Family Violence Courts Gazetted</w:t>
        </w:r>
      </w:hyperlink>
      <w:r w:rsidRPr="00C37C19">
        <w:rPr>
          <w:rFonts w:cstheme="minorHAnsi"/>
          <w:szCs w:val="15"/>
        </w:rPr>
        <w:t xml:space="preserve"> (website), 10 October 2022, accessed 25 July 2023</w:t>
      </w:r>
      <w:r>
        <w:rPr>
          <w:rFonts w:cstheme="minorHAnsi"/>
          <w:szCs w:val="15"/>
        </w:rPr>
        <w:t>.</w:t>
      </w:r>
    </w:p>
  </w:endnote>
  <w:endnote w:id="548">
    <w:p w14:paraId="17EB0287" w14:textId="77777777" w:rsidR="00373ED9" w:rsidRPr="00C37C19" w:rsidRDefault="00373ED9" w:rsidP="00373ED9">
      <w:pPr>
        <w:pStyle w:val="EndnoteText"/>
        <w:rPr>
          <w:rFonts w:cstheme="minorHAnsi"/>
          <w:szCs w:val="15"/>
        </w:rPr>
      </w:pPr>
      <w:r w:rsidRPr="00C37C19">
        <w:rPr>
          <w:rStyle w:val="EndnoteReference"/>
          <w:rFonts w:cstheme="minorHAnsi"/>
          <w:szCs w:val="15"/>
        </w:rPr>
        <w:endnoteRef/>
      </w:r>
      <w:r w:rsidRPr="00C37C19">
        <w:rPr>
          <w:rFonts w:cstheme="minorHAnsi"/>
          <w:szCs w:val="15"/>
        </w:rPr>
        <w:t xml:space="preserve"> </w:t>
      </w:r>
      <w:r w:rsidRPr="00C37C19">
        <w:rPr>
          <w:rFonts w:eastAsia="Calibri Light" w:cstheme="minorHAnsi"/>
          <w:szCs w:val="15"/>
        </w:rPr>
        <w:t xml:space="preserve">Infrastructure Victoria, </w:t>
      </w:r>
      <w:hyperlink r:id="rId670">
        <w:r w:rsidRPr="00C37C19">
          <w:rPr>
            <w:rStyle w:val="Hyperlink"/>
            <w:rFonts w:eastAsia="Calibri Light" w:cstheme="minorHAnsi"/>
            <w:i/>
            <w:szCs w:val="15"/>
          </w:rPr>
          <w:t>Victoria’s infrastructure strategy 2021</w:t>
        </w:r>
        <w:r>
          <w:rPr>
            <w:rStyle w:val="Hyperlink"/>
            <w:rFonts w:eastAsia="Calibri Light" w:cstheme="minorHAnsi"/>
            <w:i/>
            <w:szCs w:val="15"/>
          </w:rPr>
          <w:t>–</w:t>
        </w:r>
        <w:r w:rsidRPr="00C37C19">
          <w:rPr>
            <w:rStyle w:val="Hyperlink"/>
            <w:rFonts w:eastAsia="Calibri Light" w:cstheme="minorHAnsi"/>
            <w:i/>
            <w:szCs w:val="15"/>
          </w:rPr>
          <w:t>2051</w:t>
        </w:r>
      </w:hyperlink>
      <w:r w:rsidRPr="00C37C19">
        <w:rPr>
          <w:rFonts w:eastAsia="Calibri Light" w:cstheme="minorHAnsi"/>
          <w:szCs w:val="15"/>
        </w:rPr>
        <w:t>, 2021, p.88</w:t>
      </w:r>
      <w:r>
        <w:rPr>
          <w:rFonts w:eastAsia="Calibri Light" w:cstheme="minorHAnsi"/>
          <w:szCs w:val="15"/>
        </w:rPr>
        <w:t>–</w:t>
      </w:r>
      <w:r w:rsidRPr="00C37C19">
        <w:rPr>
          <w:rFonts w:eastAsia="Calibri Light" w:cstheme="minorHAnsi"/>
          <w:szCs w:val="15"/>
        </w:rPr>
        <w:t>146, accessed 25 July 2023</w:t>
      </w:r>
      <w:r>
        <w:rPr>
          <w:rFonts w:cstheme="minorHAnsi"/>
          <w:szCs w:val="15"/>
          <w:lang w:val="en-GB"/>
        </w:rPr>
        <w:t>.</w:t>
      </w:r>
    </w:p>
  </w:endnote>
  <w:endnote w:id="549">
    <w:p w14:paraId="2DCCB615" w14:textId="77777777" w:rsidR="00373ED9" w:rsidRPr="00C37C19" w:rsidRDefault="00373ED9" w:rsidP="00373ED9">
      <w:pPr>
        <w:pStyle w:val="EndnoteText"/>
        <w:rPr>
          <w:rFonts w:cstheme="minorHAnsi"/>
          <w:szCs w:val="15"/>
        </w:rPr>
      </w:pPr>
      <w:r w:rsidRPr="00C37C19">
        <w:rPr>
          <w:rStyle w:val="EndnoteReference"/>
          <w:rFonts w:cstheme="minorHAnsi"/>
          <w:szCs w:val="15"/>
        </w:rPr>
        <w:endnoteRef/>
      </w:r>
      <w:r w:rsidRPr="00C37C19">
        <w:rPr>
          <w:rFonts w:cstheme="minorHAnsi"/>
          <w:szCs w:val="15"/>
        </w:rPr>
        <w:t xml:space="preserve"> </w:t>
      </w:r>
      <w:r w:rsidRPr="00C37C19">
        <w:rPr>
          <w:rFonts w:eastAsia="Calibri Light" w:cstheme="minorHAnsi"/>
          <w:szCs w:val="15"/>
        </w:rPr>
        <w:t xml:space="preserve">Infrastructure Victoria, </w:t>
      </w:r>
      <w:hyperlink r:id="rId671">
        <w:r w:rsidRPr="00C37C19">
          <w:rPr>
            <w:rStyle w:val="Hyperlink"/>
            <w:rFonts w:eastAsia="Calibri Light" w:cstheme="minorHAnsi"/>
            <w:i/>
            <w:szCs w:val="15"/>
          </w:rPr>
          <w:t>Victoria’s infrastructure strategy 2021</w:t>
        </w:r>
        <w:r>
          <w:rPr>
            <w:rStyle w:val="Hyperlink"/>
            <w:rFonts w:eastAsia="Calibri Light" w:cstheme="minorHAnsi"/>
            <w:i/>
            <w:szCs w:val="15"/>
          </w:rPr>
          <w:t>–</w:t>
        </w:r>
        <w:r w:rsidRPr="00C37C19">
          <w:rPr>
            <w:rStyle w:val="Hyperlink"/>
            <w:rFonts w:eastAsia="Calibri Light" w:cstheme="minorHAnsi"/>
            <w:i/>
            <w:szCs w:val="15"/>
          </w:rPr>
          <w:t>2051</w:t>
        </w:r>
      </w:hyperlink>
      <w:r w:rsidRPr="00C37C19">
        <w:rPr>
          <w:rFonts w:eastAsia="Calibri Light" w:cstheme="minorHAnsi"/>
          <w:szCs w:val="15"/>
        </w:rPr>
        <w:t>, 2021, p.88</w:t>
      </w:r>
      <w:r>
        <w:rPr>
          <w:rFonts w:eastAsia="Calibri Light" w:cstheme="minorHAnsi"/>
          <w:szCs w:val="15"/>
        </w:rPr>
        <w:t>–</w:t>
      </w:r>
      <w:r w:rsidRPr="00C37C19">
        <w:rPr>
          <w:rFonts w:eastAsia="Calibri Light" w:cstheme="minorHAnsi"/>
          <w:szCs w:val="15"/>
        </w:rPr>
        <w:t>146, accessed 25 July 2023</w:t>
      </w:r>
      <w:r>
        <w:rPr>
          <w:rFonts w:eastAsia="Calibri Light" w:cstheme="minorHAnsi"/>
          <w:szCs w:val="15"/>
        </w:rPr>
        <w:t>.</w:t>
      </w:r>
    </w:p>
  </w:endnote>
  <w:endnote w:id="550">
    <w:p w14:paraId="21721095" w14:textId="77777777" w:rsidR="00373ED9" w:rsidRPr="00474F49" w:rsidRDefault="00373ED9" w:rsidP="00373ED9">
      <w:pPr>
        <w:pStyle w:val="EndnoteText"/>
        <w:rPr>
          <w:szCs w:val="15"/>
        </w:rPr>
      </w:pPr>
      <w:r w:rsidRPr="07EAF901">
        <w:rPr>
          <w:rStyle w:val="EndnoteReference"/>
        </w:rPr>
        <w:endnoteRef/>
      </w:r>
      <w:r>
        <w:t xml:space="preserve"> </w:t>
      </w:r>
      <w:r w:rsidRPr="00282FD2">
        <w:rPr>
          <w:color w:val="000000"/>
          <w:szCs w:val="15"/>
        </w:rPr>
        <w:t>Department of Justice and Community Safety,</w:t>
      </w:r>
      <w:hyperlink r:id="rId672" w:tooltip="https://www.corrections.vic.gov.au/monthly-time-series-prison-and-community-corrections-data" w:history="1">
        <w:r w:rsidRPr="00282FD2">
          <w:rPr>
            <w:rStyle w:val="Hyperlink"/>
            <w:i/>
            <w:iCs/>
            <w:szCs w:val="15"/>
          </w:rPr>
          <w:t xml:space="preserve"> Monthly time series prison and Community Corrections data</w:t>
        </w:r>
      </w:hyperlink>
      <w:r w:rsidRPr="00282FD2">
        <w:rPr>
          <w:color w:val="000000"/>
          <w:szCs w:val="15"/>
        </w:rPr>
        <w:t>, May 2023, accessed 27 July 2023</w:t>
      </w:r>
      <w:r>
        <w:rPr>
          <w:color w:val="000000"/>
          <w:szCs w:val="15"/>
        </w:rPr>
        <w:t>.</w:t>
      </w:r>
    </w:p>
  </w:endnote>
  <w:endnote w:id="551">
    <w:p w14:paraId="2FF2EC83" w14:textId="77777777" w:rsidR="00373ED9" w:rsidRPr="00474F49" w:rsidRDefault="00373ED9" w:rsidP="00373ED9">
      <w:pPr>
        <w:pStyle w:val="EndnoteText"/>
        <w:rPr>
          <w:szCs w:val="15"/>
        </w:rPr>
      </w:pPr>
      <w:r w:rsidRPr="07EAF901">
        <w:rPr>
          <w:rStyle w:val="EndnoteReference"/>
        </w:rPr>
        <w:endnoteRef/>
      </w:r>
      <w:r>
        <w:t xml:space="preserve"> </w:t>
      </w:r>
      <w:r w:rsidRPr="00511791">
        <w:rPr>
          <w:color w:val="000000"/>
          <w:szCs w:val="15"/>
        </w:rPr>
        <w:t>Department of Justice and Community Safety,</w:t>
      </w:r>
      <w:hyperlink r:id="rId673" w:tooltip="https://www.corrections.vic.gov.au/monthly-time-series-prison-and-community-corrections-data" w:history="1">
        <w:r w:rsidRPr="00511791">
          <w:rPr>
            <w:rStyle w:val="Hyperlink"/>
            <w:i/>
            <w:iCs/>
            <w:szCs w:val="15"/>
          </w:rPr>
          <w:t xml:space="preserve"> Monthly time series prison and Community Corrections data</w:t>
        </w:r>
      </w:hyperlink>
      <w:r w:rsidRPr="00511791">
        <w:rPr>
          <w:color w:val="000000"/>
          <w:szCs w:val="15"/>
        </w:rPr>
        <w:t>, May 2023, accessed 27 July 2023</w:t>
      </w:r>
      <w:r>
        <w:rPr>
          <w:color w:val="000000"/>
          <w:szCs w:val="15"/>
        </w:rPr>
        <w:t>.</w:t>
      </w:r>
    </w:p>
  </w:endnote>
  <w:endnote w:id="552">
    <w:p w14:paraId="156822E7" w14:textId="77777777" w:rsidR="00373ED9" w:rsidRDefault="00373ED9" w:rsidP="00373ED9">
      <w:pPr>
        <w:pStyle w:val="EndnoteText"/>
      </w:pPr>
      <w:r w:rsidRPr="06D95050">
        <w:rPr>
          <w:rStyle w:val="EndnoteReference"/>
        </w:rPr>
        <w:endnoteRef/>
      </w:r>
      <w:r>
        <w:t xml:space="preserve"> Community Safety Building Authority, </w:t>
      </w:r>
      <w:hyperlink r:id="rId674">
        <w:r w:rsidRPr="00816D4A">
          <w:rPr>
            <w:rStyle w:val="Hyperlink"/>
            <w:i/>
            <w:iCs/>
          </w:rPr>
          <w:t>Western Plains Correctional Centre</w:t>
        </w:r>
      </w:hyperlink>
      <w:r w:rsidRPr="270C830E">
        <w:t xml:space="preserve"> (website), 16 February 2023, accessed 25 July 2023</w:t>
      </w:r>
      <w:r>
        <w:t>.</w:t>
      </w:r>
      <w:r w:rsidRPr="270C830E">
        <w:t xml:space="preserve"> </w:t>
      </w:r>
    </w:p>
  </w:endnote>
  <w:endnote w:id="553">
    <w:p w14:paraId="570FAC11" w14:textId="77777777" w:rsidR="00373ED9" w:rsidRDefault="00373ED9" w:rsidP="00373ED9">
      <w:pPr>
        <w:pStyle w:val="EndnoteText"/>
      </w:pPr>
      <w:r w:rsidRPr="06D95050">
        <w:rPr>
          <w:rStyle w:val="EndnoteReference"/>
        </w:rPr>
        <w:endnoteRef/>
      </w:r>
      <w:r>
        <w:t xml:space="preserve"> Community Safety Building Authority, </w:t>
      </w:r>
      <w:hyperlink r:id="rId675">
        <w:r w:rsidRPr="00816D4A">
          <w:rPr>
            <w:rStyle w:val="Hyperlink"/>
            <w:i/>
            <w:iCs/>
          </w:rPr>
          <w:t>Western Plains Correctional Centre</w:t>
        </w:r>
      </w:hyperlink>
      <w:r w:rsidRPr="270C830E">
        <w:t xml:space="preserve"> (website), 16 February 2023, accessed </w:t>
      </w:r>
      <w:r>
        <w:t>26</w:t>
      </w:r>
      <w:r w:rsidRPr="270C830E">
        <w:t xml:space="preserve"> July 2023</w:t>
      </w:r>
      <w:r>
        <w:t>.</w:t>
      </w:r>
    </w:p>
  </w:endnote>
  <w:endnote w:id="554">
    <w:p w14:paraId="0F48F234" w14:textId="77777777" w:rsidR="00373ED9" w:rsidRDefault="00373ED9" w:rsidP="00373ED9">
      <w:pPr>
        <w:pStyle w:val="EndnoteText"/>
      </w:pPr>
      <w:r w:rsidRPr="06D95050">
        <w:rPr>
          <w:rStyle w:val="EndnoteReference"/>
        </w:rPr>
        <w:endnoteRef/>
      </w:r>
      <w:r>
        <w:t xml:space="preserve"> Community Safety Building Authority, </w:t>
      </w:r>
      <w:hyperlink r:id="rId676">
        <w:r w:rsidRPr="00816D4A">
          <w:rPr>
            <w:rStyle w:val="Hyperlink"/>
            <w:i/>
            <w:iCs/>
            <w:lang w:val="en-GB"/>
          </w:rPr>
          <w:t>Dame Phyllis Frost Centre</w:t>
        </w:r>
      </w:hyperlink>
      <w:r>
        <w:t xml:space="preserve"> (website), 21 February 2023, accessed 26 July 2023.</w:t>
      </w:r>
    </w:p>
  </w:endnote>
  <w:endnote w:id="555">
    <w:p w14:paraId="7C806930" w14:textId="77777777" w:rsidR="00373ED9" w:rsidRDefault="00373ED9" w:rsidP="00373ED9">
      <w:pPr>
        <w:pStyle w:val="EndnoteText"/>
      </w:pPr>
      <w:r w:rsidRPr="270C830E">
        <w:rPr>
          <w:rStyle w:val="EndnoteReference"/>
        </w:rPr>
        <w:endnoteRef/>
      </w:r>
      <w:r>
        <w:t xml:space="preserve"> Community Safety Building Authority, </w:t>
      </w:r>
      <w:hyperlink r:id="rId677">
        <w:r w:rsidRPr="00816D4A">
          <w:rPr>
            <w:rStyle w:val="Hyperlink"/>
            <w:i/>
            <w:iCs/>
            <w:lang w:val="en-GB"/>
          </w:rPr>
          <w:t>Dame Phyllis Frost Centre</w:t>
        </w:r>
      </w:hyperlink>
      <w:r>
        <w:t xml:space="preserve"> (website), 21 February 2023, accessed 26 July 2023.</w:t>
      </w:r>
    </w:p>
  </w:endnote>
  <w:endnote w:id="556">
    <w:p w14:paraId="65504E65" w14:textId="77777777" w:rsidR="00373ED9" w:rsidRDefault="00373ED9" w:rsidP="00373ED9">
      <w:pPr>
        <w:pStyle w:val="EndnoteText"/>
      </w:pPr>
      <w:r w:rsidRPr="07EAF901">
        <w:rPr>
          <w:rStyle w:val="EndnoteReference"/>
        </w:rPr>
        <w:endnoteRef/>
      </w:r>
      <w:r>
        <w:t xml:space="preserve"> Community Safety Building Authority, </w:t>
      </w:r>
      <w:hyperlink r:id="rId678">
        <w:r w:rsidRPr="00816D4A">
          <w:rPr>
            <w:rStyle w:val="Hyperlink"/>
            <w:i/>
            <w:iCs/>
            <w:lang w:val="en-GB"/>
          </w:rPr>
          <w:t>Dame Phyllis Frost Centre</w:t>
        </w:r>
      </w:hyperlink>
      <w:r>
        <w:t xml:space="preserve"> (website), 21 February 2023, accessed 26 July 2023.</w:t>
      </w:r>
    </w:p>
  </w:endnote>
  <w:endnote w:id="557">
    <w:p w14:paraId="54DC718D" w14:textId="77777777" w:rsidR="00373ED9" w:rsidRDefault="00373ED9" w:rsidP="00373ED9">
      <w:pPr>
        <w:pStyle w:val="EndnoteText"/>
      </w:pPr>
      <w:r w:rsidRPr="07EAF901">
        <w:rPr>
          <w:rStyle w:val="EndnoteReference"/>
        </w:rPr>
        <w:endnoteRef/>
      </w:r>
      <w:r>
        <w:t xml:space="preserve"> Community Safety Building Authority, </w:t>
      </w:r>
      <w:hyperlink r:id="rId679">
        <w:r w:rsidRPr="00816D4A">
          <w:rPr>
            <w:rStyle w:val="Hyperlink"/>
            <w:i/>
            <w:iCs/>
            <w:lang w:val="en-GB"/>
          </w:rPr>
          <w:t>Dame Phyllis Frost Centre</w:t>
        </w:r>
      </w:hyperlink>
      <w:r>
        <w:t xml:space="preserve"> (website), 21 February 2023, accessed 26 July 2023.</w:t>
      </w:r>
    </w:p>
  </w:endnote>
  <w:endnote w:id="558">
    <w:p w14:paraId="27FD078A" w14:textId="77777777" w:rsidR="00373ED9" w:rsidRDefault="00373ED9" w:rsidP="00373ED9">
      <w:pPr>
        <w:pStyle w:val="EndnoteText"/>
      </w:pPr>
      <w:r w:rsidRPr="270C830E">
        <w:rPr>
          <w:rStyle w:val="EndnoteReference"/>
        </w:rPr>
        <w:endnoteRef/>
      </w:r>
      <w:r>
        <w:t xml:space="preserve"> Community Safety Building Authority, </w:t>
      </w:r>
      <w:hyperlink r:id="rId680">
        <w:r w:rsidRPr="00816D4A">
          <w:rPr>
            <w:rStyle w:val="Hyperlink"/>
            <w:i/>
            <w:iCs/>
          </w:rPr>
          <w:t>Cherry Creek Youth Justice Centre</w:t>
        </w:r>
      </w:hyperlink>
      <w:r>
        <w:t xml:space="preserve"> (website), 28 March 2023, accessed 26 July 2023. </w:t>
      </w:r>
    </w:p>
  </w:endnote>
  <w:endnote w:id="559">
    <w:p w14:paraId="31170064" w14:textId="77777777" w:rsidR="00373ED9" w:rsidRDefault="00373ED9" w:rsidP="00373ED9">
      <w:pPr>
        <w:pStyle w:val="EndnoteText"/>
      </w:pPr>
      <w:r w:rsidRPr="07EAF901">
        <w:rPr>
          <w:rStyle w:val="EndnoteReference"/>
        </w:rPr>
        <w:endnoteRef/>
      </w:r>
      <w:r>
        <w:t xml:space="preserve"> Community Safety Building Authority, </w:t>
      </w:r>
      <w:hyperlink r:id="rId681">
        <w:r w:rsidRPr="00816D4A">
          <w:rPr>
            <w:rStyle w:val="Hyperlink"/>
            <w:i/>
            <w:iCs/>
          </w:rPr>
          <w:t>Cherry Creek Youth Justice Centre</w:t>
        </w:r>
      </w:hyperlink>
      <w:r>
        <w:t xml:space="preserve"> (website), 28 March 2023, accessed 26 July 2023.</w:t>
      </w:r>
    </w:p>
  </w:endnote>
  <w:endnote w:id="560">
    <w:p w14:paraId="5A76CC33" w14:textId="77777777" w:rsidR="00373ED9" w:rsidRDefault="00373ED9" w:rsidP="00373ED9">
      <w:pPr>
        <w:pStyle w:val="EndnoteText"/>
      </w:pPr>
      <w:r w:rsidRPr="07EAF901">
        <w:rPr>
          <w:rStyle w:val="EndnoteReference"/>
        </w:rPr>
        <w:endnoteRef/>
      </w:r>
      <w:r>
        <w:t xml:space="preserve"> Community Safety Building Authority, </w:t>
      </w:r>
      <w:hyperlink r:id="rId682">
        <w:r w:rsidRPr="07EAF901">
          <w:rPr>
            <w:rStyle w:val="Hyperlink"/>
          </w:rPr>
          <w:t>Cherry Creek Youth Justice Centre</w:t>
        </w:r>
      </w:hyperlink>
      <w:r>
        <w:t xml:space="preserve"> (website), 28 March 2023, accessed 26 July 2023.</w:t>
      </w:r>
    </w:p>
  </w:endnote>
  <w:endnote w:id="561">
    <w:p w14:paraId="1A84B27F" w14:textId="77777777" w:rsidR="00373ED9" w:rsidRPr="00E96187" w:rsidRDefault="00373ED9" w:rsidP="00373ED9">
      <w:pPr>
        <w:pStyle w:val="EndnoteText"/>
        <w:rPr>
          <w:szCs w:val="15"/>
        </w:rPr>
      </w:pPr>
      <w:r>
        <w:rPr>
          <w:rStyle w:val="EndnoteReference"/>
        </w:rPr>
        <w:endnoteRef/>
      </w:r>
      <w:r>
        <w:t xml:space="preserve"> </w:t>
      </w:r>
      <w:r w:rsidRPr="00282FD2">
        <w:rPr>
          <w:rStyle w:val="normaltextrun"/>
          <w:color w:val="000000"/>
          <w:szCs w:val="15"/>
          <w:lang w:val="en-GB"/>
        </w:rPr>
        <w:t>Department of Treasury and Finance Victoria, </w:t>
      </w:r>
      <w:hyperlink r:id="rId683" w:tgtFrame="_blank" w:history="1">
        <w:r w:rsidRPr="00282FD2">
          <w:rPr>
            <w:rStyle w:val="normaltextrun"/>
            <w:i/>
            <w:iCs/>
            <w:color w:val="0563C1"/>
            <w:szCs w:val="15"/>
            <w:u w:val="single"/>
            <w:lang w:val="en-GB"/>
          </w:rPr>
          <w:t>Department of Justice and Community Safety output performance measures 2022</w:t>
        </w:r>
        <w:r>
          <w:rPr>
            <w:rStyle w:val="normaltextrun"/>
            <w:i/>
            <w:iCs/>
            <w:color w:val="0563C1"/>
            <w:szCs w:val="15"/>
            <w:u w:val="single"/>
            <w:lang w:val="en-GB"/>
          </w:rPr>
          <w:t>–</w:t>
        </w:r>
        <w:r w:rsidRPr="00282FD2">
          <w:rPr>
            <w:rStyle w:val="normaltextrun"/>
            <w:i/>
            <w:iCs/>
            <w:color w:val="0563C1"/>
            <w:szCs w:val="15"/>
            <w:u w:val="single"/>
            <w:lang w:val="en-GB"/>
          </w:rPr>
          <w:t>23,</w:t>
        </w:r>
      </w:hyperlink>
      <w:r w:rsidRPr="00282FD2">
        <w:rPr>
          <w:rStyle w:val="normaltextrun"/>
          <w:color w:val="000000"/>
          <w:szCs w:val="15"/>
          <w:lang w:val="en-GB"/>
        </w:rPr>
        <w:t> 2 June 2023, accessed</w:t>
      </w:r>
      <w:r w:rsidRPr="00E96187">
        <w:rPr>
          <w:rStyle w:val="contentpasted5"/>
          <w:color w:val="000000"/>
          <w:szCs w:val="15"/>
          <w:lang w:val="en-GB"/>
        </w:rPr>
        <w:t> </w:t>
      </w:r>
      <w:r w:rsidRPr="00282FD2">
        <w:rPr>
          <w:rStyle w:val="normaltextrun"/>
          <w:color w:val="000000"/>
          <w:szCs w:val="15"/>
          <w:lang w:val="en-GB"/>
        </w:rPr>
        <w:t>27 July 2023</w:t>
      </w:r>
      <w:r>
        <w:rPr>
          <w:rStyle w:val="normaltextrun"/>
          <w:color w:val="000000"/>
          <w:szCs w:val="15"/>
          <w:lang w:val="en-GB"/>
        </w:rPr>
        <w:t>.</w:t>
      </w:r>
    </w:p>
  </w:endnote>
  <w:endnote w:id="562">
    <w:p w14:paraId="6FC0702D" w14:textId="77777777" w:rsidR="00373ED9" w:rsidRPr="004B0535" w:rsidRDefault="00373ED9" w:rsidP="00373ED9">
      <w:pPr>
        <w:pStyle w:val="EndnoteText"/>
        <w:rPr>
          <w:szCs w:val="15"/>
        </w:rPr>
      </w:pPr>
      <w:r w:rsidRPr="06D95050">
        <w:rPr>
          <w:rStyle w:val="EndnoteReference"/>
        </w:rPr>
        <w:endnoteRef/>
      </w:r>
      <w:r>
        <w:t xml:space="preserve"> </w:t>
      </w:r>
      <w:r w:rsidRPr="00282FD2">
        <w:rPr>
          <w:rFonts w:ascii="Calibri" w:eastAsia="Calibri" w:hAnsi="Calibri" w:cs="Calibri"/>
          <w:szCs w:val="15"/>
        </w:rPr>
        <w:t xml:space="preserve">Infrastructure Victoria, </w:t>
      </w:r>
      <w:hyperlink r:id="rId684">
        <w:r w:rsidRPr="00282FD2">
          <w:rPr>
            <w:rStyle w:val="Hyperlink"/>
            <w:rFonts w:ascii="Calibri" w:eastAsia="Calibri" w:hAnsi="Calibri" w:cs="Calibri"/>
            <w:i/>
            <w:iCs/>
            <w:szCs w:val="15"/>
          </w:rPr>
          <w:t>Victoria’s infrastructure strategy 2021</w:t>
        </w:r>
        <w:r>
          <w:rPr>
            <w:rStyle w:val="Hyperlink"/>
            <w:rFonts w:ascii="Calibri" w:eastAsia="Calibri" w:hAnsi="Calibri" w:cs="Calibri"/>
            <w:i/>
            <w:iCs/>
            <w:szCs w:val="15"/>
          </w:rPr>
          <w:t>–</w:t>
        </w:r>
        <w:r w:rsidRPr="00282FD2">
          <w:rPr>
            <w:rStyle w:val="Hyperlink"/>
            <w:rFonts w:ascii="Calibri" w:eastAsia="Calibri" w:hAnsi="Calibri" w:cs="Calibri"/>
            <w:i/>
            <w:iCs/>
            <w:szCs w:val="15"/>
          </w:rPr>
          <w:t>2051</w:t>
        </w:r>
      </w:hyperlink>
      <w:r w:rsidRPr="00282FD2">
        <w:rPr>
          <w:rFonts w:ascii="Calibri" w:eastAsia="Calibri" w:hAnsi="Calibri" w:cs="Calibri"/>
          <w:szCs w:val="15"/>
        </w:rPr>
        <w:t>, 2021, p.194, accessed 25 July 2023</w:t>
      </w:r>
      <w:r>
        <w:rPr>
          <w:rFonts w:ascii="Calibri" w:eastAsia="Calibri" w:hAnsi="Calibri" w:cs="Calibri"/>
          <w:szCs w:val="15"/>
        </w:rPr>
        <w:t>.</w:t>
      </w:r>
    </w:p>
  </w:endnote>
  <w:endnote w:id="563">
    <w:p w14:paraId="449C5779" w14:textId="77777777" w:rsidR="00373ED9" w:rsidRPr="004B0535" w:rsidRDefault="00373ED9" w:rsidP="00373ED9">
      <w:pPr>
        <w:pStyle w:val="EndnoteText"/>
        <w:rPr>
          <w:szCs w:val="15"/>
        </w:rPr>
      </w:pPr>
      <w:r w:rsidRPr="06D95050">
        <w:rPr>
          <w:rStyle w:val="EndnoteReference"/>
        </w:rPr>
        <w:endnoteRef/>
      </w:r>
      <w:r>
        <w:t xml:space="preserve"> </w:t>
      </w:r>
      <w:r w:rsidRPr="00282FD2">
        <w:rPr>
          <w:rFonts w:ascii="Calibri" w:eastAsia="Calibri" w:hAnsi="Calibri" w:cs="Calibri"/>
          <w:szCs w:val="15"/>
        </w:rPr>
        <w:t xml:space="preserve">Infrastructure Victoria, </w:t>
      </w:r>
      <w:hyperlink r:id="rId685">
        <w:r w:rsidRPr="00282FD2">
          <w:rPr>
            <w:rStyle w:val="Hyperlink"/>
            <w:rFonts w:ascii="Calibri" w:eastAsia="Calibri" w:hAnsi="Calibri" w:cs="Calibri"/>
            <w:i/>
            <w:iCs/>
            <w:szCs w:val="15"/>
          </w:rPr>
          <w:t>Victoria’s infrastructure strategy 2021</w:t>
        </w:r>
        <w:r>
          <w:rPr>
            <w:rStyle w:val="Hyperlink"/>
            <w:rFonts w:ascii="Calibri" w:eastAsia="Calibri" w:hAnsi="Calibri" w:cs="Calibri"/>
            <w:i/>
            <w:iCs/>
            <w:szCs w:val="15"/>
          </w:rPr>
          <w:t>–</w:t>
        </w:r>
        <w:r w:rsidRPr="00282FD2">
          <w:rPr>
            <w:rStyle w:val="Hyperlink"/>
            <w:rFonts w:ascii="Calibri" w:eastAsia="Calibri" w:hAnsi="Calibri" w:cs="Calibri"/>
            <w:i/>
            <w:iCs/>
            <w:szCs w:val="15"/>
          </w:rPr>
          <w:t>2051</w:t>
        </w:r>
      </w:hyperlink>
      <w:r w:rsidRPr="00282FD2">
        <w:rPr>
          <w:rFonts w:ascii="Calibri" w:eastAsia="Calibri" w:hAnsi="Calibri" w:cs="Calibri"/>
          <w:szCs w:val="15"/>
        </w:rPr>
        <w:t>, 2021, p.194, accessed 25 July 2023</w:t>
      </w:r>
      <w:r>
        <w:rPr>
          <w:rFonts w:ascii="Calibri" w:eastAsia="Calibri" w:hAnsi="Calibri" w:cs="Calibri"/>
          <w:szCs w:val="15"/>
        </w:rPr>
        <w:t>.</w:t>
      </w:r>
    </w:p>
  </w:endnote>
  <w:endnote w:id="564">
    <w:p w14:paraId="3CD490CD" w14:textId="77777777" w:rsidR="00373ED9" w:rsidRPr="005C699C" w:rsidRDefault="00373ED9" w:rsidP="00373ED9">
      <w:pPr>
        <w:pStyle w:val="EndnoteText"/>
      </w:pPr>
      <w:r>
        <w:rPr>
          <w:rStyle w:val="EndnoteReference"/>
        </w:rPr>
        <w:endnoteRef/>
      </w:r>
      <w:r>
        <w:t xml:space="preserve"> Court Services Victoria, </w:t>
      </w:r>
      <w:hyperlink r:id="rId686" w:history="1">
        <w:r w:rsidRPr="005F420B">
          <w:rPr>
            <w:rStyle w:val="Hyperlink"/>
            <w:i/>
            <w:iCs/>
          </w:rPr>
          <w:t>Court Services Victoria strategic plan</w:t>
        </w:r>
      </w:hyperlink>
      <w:r>
        <w:t>, 2020, p.4, accessed 25 July 2023.</w:t>
      </w:r>
    </w:p>
  </w:endnote>
  <w:endnote w:id="565">
    <w:p w14:paraId="41C3EC21" w14:textId="77777777" w:rsidR="00373ED9" w:rsidRDefault="00373ED9" w:rsidP="00373ED9">
      <w:pPr>
        <w:pStyle w:val="EndnoteText"/>
      </w:pPr>
      <w:r>
        <w:rPr>
          <w:rStyle w:val="EndnoteReference"/>
        </w:rPr>
        <w:endnoteRef/>
      </w:r>
      <w:r>
        <w:t xml:space="preserve"> I</w:t>
      </w:r>
      <w:r>
        <w:rPr>
          <w:rStyle w:val="normaltextrun"/>
          <w:rFonts w:ascii="Calibri" w:hAnsi="Calibri" w:cs="Calibri"/>
          <w:color w:val="000000"/>
          <w:shd w:val="clear" w:color="auto" w:fill="FFFFFF"/>
        </w:rPr>
        <w:t xml:space="preserve">nfrastructure Victoria, </w:t>
      </w:r>
      <w:hyperlink r:id="rId687" w:tgtFrame="_blank" w:history="1">
        <w:r>
          <w:rPr>
            <w:rStyle w:val="normaltextrun"/>
            <w:rFonts w:ascii="Calibri" w:hAnsi="Calibri" w:cs="Calibri"/>
            <w:i/>
            <w:iCs/>
            <w:color w:val="0563C1"/>
            <w:u w:val="single"/>
            <w:shd w:val="clear" w:color="auto" w:fill="FFFFFF"/>
          </w:rPr>
          <w:t>Victoria’s infrastructure strategy 2021–2051</w:t>
        </w:r>
      </w:hyperlink>
      <w:r>
        <w:rPr>
          <w:rStyle w:val="normaltextrun"/>
          <w:rFonts w:ascii="Calibri" w:hAnsi="Calibri" w:cs="Calibri"/>
          <w:color w:val="000000"/>
          <w:shd w:val="clear" w:color="auto" w:fill="FFFFFF"/>
        </w:rPr>
        <w:t>, 2021, p.88, accessed 21 July 2023.</w:t>
      </w:r>
    </w:p>
  </w:endnote>
  <w:endnote w:id="566">
    <w:p w14:paraId="144677CC" w14:textId="77777777" w:rsidR="00373ED9" w:rsidRDefault="00373ED9" w:rsidP="00373ED9">
      <w:pPr>
        <w:pStyle w:val="EndnoteText"/>
      </w:pPr>
      <w:r w:rsidRPr="005C699C">
        <w:rPr>
          <w:rStyle w:val="EndnoteReference"/>
        </w:rPr>
        <w:endnoteRef/>
      </w:r>
      <w:r w:rsidRPr="005C699C">
        <w:t xml:space="preserve"> </w:t>
      </w:r>
      <w:r>
        <w:t xml:space="preserve">Court Services Victoria, </w:t>
      </w:r>
      <w:hyperlink r:id="rId688" w:history="1">
        <w:r w:rsidRPr="005F420B">
          <w:rPr>
            <w:rStyle w:val="Hyperlink"/>
            <w:i/>
            <w:iCs/>
          </w:rPr>
          <w:t>Court Services Victoria strategic plan</w:t>
        </w:r>
      </w:hyperlink>
      <w:r>
        <w:t>, 2020, p.4, accessed 25 July 2023.</w:t>
      </w:r>
    </w:p>
  </w:endnote>
  <w:endnote w:id="567">
    <w:p w14:paraId="6E6E7D5C" w14:textId="77777777" w:rsidR="00373ED9" w:rsidRPr="00140B3B" w:rsidRDefault="00373ED9" w:rsidP="00373ED9">
      <w:pPr>
        <w:pStyle w:val="EndnoteText"/>
      </w:pPr>
      <w:r>
        <w:rPr>
          <w:rStyle w:val="EndnoteReference"/>
        </w:rPr>
        <w:endnoteRef/>
      </w:r>
      <w:r>
        <w:t xml:space="preserve"> Victorian Auditor-General’s Office, </w:t>
      </w:r>
      <w:hyperlink r:id="rId689" w:history="1">
        <w:r w:rsidRPr="00862B48">
          <w:rPr>
            <w:rStyle w:val="Hyperlink"/>
            <w:i/>
            <w:iCs/>
          </w:rPr>
          <w:t>Administration of Victorian courts</w:t>
        </w:r>
      </w:hyperlink>
      <w:r>
        <w:rPr>
          <w:i/>
          <w:iCs/>
        </w:rPr>
        <w:t xml:space="preserve">, </w:t>
      </w:r>
      <w:r>
        <w:t>2021, p.33, accessed 21 July 2023.</w:t>
      </w:r>
    </w:p>
  </w:endnote>
  <w:endnote w:id="568">
    <w:p w14:paraId="1FCC31BA" w14:textId="77777777" w:rsidR="00373ED9" w:rsidRPr="00140B3B" w:rsidRDefault="00373ED9" w:rsidP="00373ED9">
      <w:pPr>
        <w:pStyle w:val="EndnoteText"/>
      </w:pPr>
      <w:r>
        <w:rPr>
          <w:rStyle w:val="EndnoteReference"/>
        </w:rPr>
        <w:endnoteRef/>
      </w:r>
      <w:r>
        <w:t xml:space="preserve"> Victorian Auditor-General’s Office, </w:t>
      </w:r>
      <w:hyperlink r:id="rId690" w:history="1">
        <w:r w:rsidRPr="00862B48">
          <w:rPr>
            <w:rStyle w:val="Hyperlink"/>
            <w:i/>
            <w:iCs/>
          </w:rPr>
          <w:t>Administration of Victorian courts</w:t>
        </w:r>
      </w:hyperlink>
      <w:r>
        <w:rPr>
          <w:i/>
          <w:iCs/>
        </w:rPr>
        <w:t xml:space="preserve">, </w:t>
      </w:r>
      <w:r>
        <w:t>2021, p.33, accessed 21 July 2023.</w:t>
      </w:r>
    </w:p>
  </w:endnote>
  <w:endnote w:id="569">
    <w:p w14:paraId="779C776C" w14:textId="77777777" w:rsidR="00373ED9" w:rsidRPr="00140B3B" w:rsidRDefault="00373ED9" w:rsidP="00373ED9">
      <w:pPr>
        <w:pStyle w:val="EndnoteText"/>
      </w:pPr>
      <w:r>
        <w:rPr>
          <w:rStyle w:val="EndnoteReference"/>
        </w:rPr>
        <w:endnoteRef/>
      </w:r>
      <w:r>
        <w:t xml:space="preserve"> Victorian Auditor-General’s Office, </w:t>
      </w:r>
      <w:hyperlink r:id="rId691" w:history="1">
        <w:r w:rsidRPr="00862B48">
          <w:rPr>
            <w:rStyle w:val="Hyperlink"/>
            <w:i/>
            <w:iCs/>
          </w:rPr>
          <w:t>Administration of Victorian courts</w:t>
        </w:r>
      </w:hyperlink>
      <w:r>
        <w:rPr>
          <w:i/>
          <w:iCs/>
        </w:rPr>
        <w:t xml:space="preserve">, </w:t>
      </w:r>
      <w:r>
        <w:t>2021, p.33, accessed 21 July 2023.</w:t>
      </w:r>
    </w:p>
  </w:endnote>
  <w:endnote w:id="570">
    <w:p w14:paraId="489E55AE" w14:textId="77777777" w:rsidR="00373ED9" w:rsidRPr="00140B3B" w:rsidRDefault="00373ED9" w:rsidP="00373ED9">
      <w:pPr>
        <w:pStyle w:val="EndnoteText"/>
      </w:pPr>
      <w:r>
        <w:rPr>
          <w:rStyle w:val="EndnoteReference"/>
        </w:rPr>
        <w:endnoteRef/>
      </w:r>
      <w:r>
        <w:t xml:space="preserve"> Victorian Auditor-General’s Office, </w:t>
      </w:r>
      <w:hyperlink r:id="rId692" w:history="1">
        <w:r w:rsidRPr="00862B48">
          <w:rPr>
            <w:rStyle w:val="Hyperlink"/>
            <w:i/>
            <w:iCs/>
          </w:rPr>
          <w:t>Administration of Victorian courts</w:t>
        </w:r>
      </w:hyperlink>
      <w:r>
        <w:rPr>
          <w:i/>
          <w:iCs/>
        </w:rPr>
        <w:t xml:space="preserve">, </w:t>
      </w:r>
      <w:r>
        <w:t>2021, p.33, accessed 21 July 2023.</w:t>
      </w:r>
    </w:p>
  </w:endnote>
  <w:endnote w:id="571">
    <w:p w14:paraId="7D49E02E" w14:textId="77777777" w:rsidR="00373ED9" w:rsidRPr="00140B3B" w:rsidRDefault="00373ED9" w:rsidP="00373ED9">
      <w:pPr>
        <w:pStyle w:val="EndnoteText"/>
      </w:pPr>
      <w:r>
        <w:rPr>
          <w:rStyle w:val="EndnoteReference"/>
        </w:rPr>
        <w:endnoteRef/>
      </w:r>
      <w:r>
        <w:t xml:space="preserve"> Victorian Auditor-General’s Office, </w:t>
      </w:r>
      <w:hyperlink r:id="rId693" w:history="1">
        <w:r w:rsidRPr="00862B48">
          <w:rPr>
            <w:rStyle w:val="Hyperlink"/>
            <w:i/>
            <w:iCs/>
          </w:rPr>
          <w:t>Administration of Victorian courts</w:t>
        </w:r>
      </w:hyperlink>
      <w:r>
        <w:rPr>
          <w:i/>
          <w:iCs/>
        </w:rPr>
        <w:t xml:space="preserve">, </w:t>
      </w:r>
      <w:r>
        <w:t>2021, p.34, accessed 21 July 2023.</w:t>
      </w:r>
    </w:p>
  </w:endnote>
  <w:endnote w:id="572">
    <w:p w14:paraId="162A3B1A" w14:textId="77777777" w:rsidR="00373ED9" w:rsidRPr="00140B3B" w:rsidRDefault="00373ED9" w:rsidP="00373ED9">
      <w:pPr>
        <w:pStyle w:val="EndnoteText"/>
      </w:pPr>
      <w:r>
        <w:rPr>
          <w:rStyle w:val="EndnoteReference"/>
        </w:rPr>
        <w:endnoteRef/>
      </w:r>
      <w:r>
        <w:t xml:space="preserve"> Victorian Auditor-General’s Office, </w:t>
      </w:r>
      <w:hyperlink r:id="rId694" w:history="1">
        <w:r w:rsidRPr="00862B48">
          <w:rPr>
            <w:rStyle w:val="Hyperlink"/>
            <w:i/>
            <w:iCs/>
          </w:rPr>
          <w:t>Administration of Victorian courts</w:t>
        </w:r>
      </w:hyperlink>
      <w:r>
        <w:rPr>
          <w:i/>
          <w:iCs/>
        </w:rPr>
        <w:t xml:space="preserve">, </w:t>
      </w:r>
      <w:r>
        <w:t>2021, p.34, accessed 21 July 2023.</w:t>
      </w:r>
    </w:p>
  </w:endnote>
  <w:endnote w:id="573">
    <w:p w14:paraId="6D2A079E" w14:textId="77777777" w:rsidR="00373ED9" w:rsidRPr="00140B3B" w:rsidRDefault="00373ED9" w:rsidP="00373ED9">
      <w:pPr>
        <w:pStyle w:val="EndnoteText"/>
      </w:pPr>
      <w:r>
        <w:rPr>
          <w:rStyle w:val="EndnoteReference"/>
        </w:rPr>
        <w:endnoteRef/>
      </w:r>
      <w:r>
        <w:t xml:space="preserve"> Victorian Auditor-General’s Office, </w:t>
      </w:r>
      <w:hyperlink r:id="rId695" w:history="1">
        <w:r w:rsidRPr="00862B48">
          <w:rPr>
            <w:rStyle w:val="Hyperlink"/>
            <w:i/>
            <w:iCs/>
          </w:rPr>
          <w:t>Administration of Victorian courts</w:t>
        </w:r>
      </w:hyperlink>
      <w:r>
        <w:rPr>
          <w:i/>
          <w:iCs/>
        </w:rPr>
        <w:t xml:space="preserve">, </w:t>
      </w:r>
      <w:r>
        <w:t>2021, p.34, accessed 21 July 2023.</w:t>
      </w:r>
    </w:p>
  </w:endnote>
  <w:endnote w:id="574">
    <w:p w14:paraId="00733AED" w14:textId="78C1BBBD" w:rsidR="00373ED9" w:rsidRPr="00F63280" w:rsidRDefault="00373ED9" w:rsidP="00373ED9">
      <w:pPr>
        <w:pStyle w:val="EndnoteText"/>
      </w:pPr>
      <w:r>
        <w:rPr>
          <w:rStyle w:val="EndnoteReference"/>
        </w:rPr>
        <w:endnoteRef/>
      </w:r>
      <w:r>
        <w:t xml:space="preserve"> Court Services Victoria, </w:t>
      </w:r>
      <w:hyperlink r:id="rId696" w:history="1">
        <w:r w:rsidRPr="00F63280">
          <w:rPr>
            <w:rStyle w:val="Hyperlink"/>
            <w:i/>
            <w:iCs/>
          </w:rPr>
          <w:t>Bendigo Law Courts official opening</w:t>
        </w:r>
      </w:hyperlink>
      <w:r>
        <w:t xml:space="preserve"> (</w:t>
      </w:r>
      <w:r w:rsidRPr="00F63280">
        <w:t>website</w:t>
      </w:r>
      <w:r>
        <w:t>)</w:t>
      </w:r>
      <w:r w:rsidRPr="00F63280">
        <w:t>, 2023, accessed 21 July 2023</w:t>
      </w:r>
      <w:r>
        <w:t>.</w:t>
      </w:r>
    </w:p>
  </w:endnote>
  <w:endnote w:id="575">
    <w:p w14:paraId="5FA8599B" w14:textId="77777777" w:rsidR="00373ED9" w:rsidRDefault="00373ED9" w:rsidP="00373ED9">
      <w:pPr>
        <w:pStyle w:val="EndnoteText"/>
      </w:pPr>
      <w:r>
        <w:rPr>
          <w:rStyle w:val="EndnoteReference"/>
        </w:rPr>
        <w:endnoteRef/>
      </w:r>
      <w:r>
        <w:t xml:space="preserve"> Court Services Victoria, </w:t>
      </w:r>
      <w:hyperlink r:id="rId697" w:history="1">
        <w:r w:rsidRPr="001717B3">
          <w:rPr>
            <w:rStyle w:val="Hyperlink"/>
            <w:i/>
            <w:iCs/>
          </w:rPr>
          <w:t>Bendigo Law Courts development</w:t>
        </w:r>
      </w:hyperlink>
      <w:r>
        <w:t xml:space="preserve"> (</w:t>
      </w:r>
      <w:r w:rsidRPr="00F63280">
        <w:t>website</w:t>
      </w:r>
      <w:r>
        <w:t>)</w:t>
      </w:r>
      <w:r w:rsidRPr="00F63280">
        <w:t>, 2023, accessed 21 July 2023</w:t>
      </w:r>
      <w:r>
        <w:t>.</w:t>
      </w:r>
    </w:p>
  </w:endnote>
  <w:endnote w:id="576">
    <w:p w14:paraId="58828266" w14:textId="77777777" w:rsidR="00373ED9" w:rsidRDefault="00373ED9" w:rsidP="00373ED9">
      <w:pPr>
        <w:pStyle w:val="EndnoteText"/>
      </w:pPr>
      <w:r>
        <w:rPr>
          <w:rStyle w:val="EndnoteReference"/>
        </w:rPr>
        <w:endnoteRef/>
      </w:r>
      <w:r>
        <w:t xml:space="preserve"> </w:t>
      </w:r>
      <w:r w:rsidRPr="00CB31B1">
        <w:rPr>
          <w:rFonts w:eastAsia="Calibri Light" w:cstheme="minorHAnsi"/>
          <w:szCs w:val="15"/>
        </w:rPr>
        <w:t xml:space="preserve">Department of Treasury and Finance, </w:t>
      </w:r>
      <w:hyperlink r:id="rId698" w:anchor="budget-paper-3-service-delivery">
        <w:r>
          <w:rPr>
            <w:rStyle w:val="Hyperlink"/>
            <w:rFonts w:eastAsia="Calibri Light" w:cstheme="minorHAnsi"/>
            <w:i/>
            <w:szCs w:val="15"/>
          </w:rPr>
          <w:t>Victorian Budget 2023–24 – Budget Paper No. 3</w:t>
        </w:r>
      </w:hyperlink>
      <w:r w:rsidRPr="00CB31B1">
        <w:rPr>
          <w:rFonts w:eastAsia="Calibri Light" w:cstheme="minorHAnsi"/>
          <w:szCs w:val="15"/>
        </w:rPr>
        <w:t>, 2023, p.</w:t>
      </w:r>
      <w:r>
        <w:rPr>
          <w:rFonts w:eastAsia="Calibri Light" w:cstheme="minorHAnsi"/>
          <w:szCs w:val="15"/>
        </w:rPr>
        <w:t>12</w:t>
      </w:r>
      <w:r w:rsidRPr="00CB31B1">
        <w:rPr>
          <w:rFonts w:eastAsia="Calibri Light" w:cstheme="minorHAnsi"/>
          <w:szCs w:val="15"/>
        </w:rPr>
        <w:t xml:space="preserve">, accessed </w:t>
      </w:r>
      <w:r>
        <w:rPr>
          <w:rFonts w:eastAsia="Calibri Light" w:cstheme="minorHAnsi"/>
          <w:szCs w:val="15"/>
        </w:rPr>
        <w:t>21</w:t>
      </w:r>
      <w:r w:rsidRPr="00CB31B1">
        <w:rPr>
          <w:rFonts w:eastAsia="Calibri Light" w:cstheme="minorHAnsi"/>
          <w:szCs w:val="15"/>
        </w:rPr>
        <w:t xml:space="preserve"> July 2023 (</w:t>
      </w:r>
      <w:hyperlink r:id="rId699">
        <w:r w:rsidRPr="00CB31B1">
          <w:rPr>
            <w:rStyle w:val="Hyperlink"/>
            <w:rFonts w:eastAsia="Calibri Light" w:cstheme="minorHAnsi"/>
            <w:szCs w:val="15"/>
          </w:rPr>
          <w:t>https://s3.ap-southeast-2.amazonaws.com/</w:t>
        </w:r>
        <w:r>
          <w:rPr>
            <w:rStyle w:val="Hyperlink"/>
            <w:rFonts w:eastAsia="Calibri Light" w:cstheme="minorHAnsi"/>
            <w:szCs w:val="15"/>
          </w:rPr>
          <w:t xml:space="preserve">Budget </w:t>
        </w:r>
        <w:r w:rsidRPr="00CB31B1">
          <w:rPr>
            <w:rStyle w:val="Hyperlink"/>
            <w:rFonts w:eastAsia="Calibri Light" w:cstheme="minorHAnsi"/>
            <w:szCs w:val="15"/>
          </w:rPr>
          <w:t>files202324.</w:t>
        </w:r>
        <w:r>
          <w:rPr>
            <w:rStyle w:val="Hyperlink"/>
            <w:rFonts w:eastAsia="Calibri Light" w:cstheme="minorHAnsi"/>
            <w:szCs w:val="15"/>
          </w:rPr>
          <w:t xml:space="preserve">Budget </w:t>
        </w:r>
        <w:r w:rsidRPr="00CB31B1">
          <w:rPr>
            <w:rStyle w:val="Hyperlink"/>
            <w:rFonts w:eastAsia="Calibri Light" w:cstheme="minorHAnsi"/>
            <w:szCs w:val="15"/>
          </w:rPr>
          <w:t>.vic.gov.au/2023</w:t>
        </w:r>
        <w:r>
          <w:rPr>
            <w:rStyle w:val="Hyperlink"/>
            <w:rFonts w:eastAsia="Calibri Light" w:cstheme="minorHAnsi"/>
            <w:szCs w:val="15"/>
          </w:rPr>
          <w:t>–</w:t>
        </w:r>
        <w:r w:rsidRPr="00CB31B1">
          <w:rPr>
            <w:rStyle w:val="Hyperlink"/>
            <w:rFonts w:eastAsia="Calibri Light" w:cstheme="minorHAnsi"/>
            <w:szCs w:val="15"/>
          </w:rPr>
          <w:t>24+State+</w:t>
        </w:r>
        <w:r>
          <w:rPr>
            <w:rStyle w:val="Hyperlink"/>
            <w:rFonts w:eastAsia="Calibri Light" w:cstheme="minorHAnsi"/>
            <w:szCs w:val="15"/>
          </w:rPr>
          <w:t xml:space="preserve">Budget </w:t>
        </w:r>
        <w:r w:rsidRPr="00CB31B1">
          <w:rPr>
            <w:rStyle w:val="Hyperlink"/>
            <w:rFonts w:eastAsia="Calibri Light" w:cstheme="minorHAnsi"/>
            <w:szCs w:val="15"/>
          </w:rPr>
          <w:t>+-+Service+Delivery.pdf</w:t>
        </w:r>
      </w:hyperlink>
      <w:r w:rsidRPr="00CB31B1">
        <w:rPr>
          <w:rFonts w:eastAsia="Calibri Light" w:cstheme="minorHAnsi"/>
          <w:szCs w:val="15"/>
        </w:rPr>
        <w:t>)</w:t>
      </w:r>
      <w:r>
        <w:rPr>
          <w:rFonts w:eastAsia="Calibri Light" w:cstheme="minorHAnsi"/>
          <w:szCs w:val="15"/>
        </w:rPr>
        <w:t>.</w:t>
      </w:r>
    </w:p>
  </w:endnote>
  <w:endnote w:id="577">
    <w:p w14:paraId="21D1685C" w14:textId="77777777" w:rsidR="00373ED9" w:rsidRDefault="00373ED9" w:rsidP="00373ED9">
      <w:pPr>
        <w:pStyle w:val="EndnoteText"/>
      </w:pPr>
      <w:r>
        <w:rPr>
          <w:rStyle w:val="EndnoteReference"/>
        </w:rPr>
        <w:endnoteRef/>
      </w:r>
      <w:r>
        <w:t xml:space="preserve"> </w:t>
      </w:r>
      <w:r w:rsidRPr="00CB31B1">
        <w:rPr>
          <w:rFonts w:eastAsia="Calibri Light" w:cstheme="minorHAnsi"/>
          <w:szCs w:val="15"/>
        </w:rPr>
        <w:t xml:space="preserve">Department of Treasury and Finance, </w:t>
      </w:r>
      <w:hyperlink r:id="rId700" w:anchor="budget-paper-3-service-delivery">
        <w:r>
          <w:rPr>
            <w:rStyle w:val="Hyperlink"/>
            <w:rFonts w:eastAsia="Calibri Light" w:cstheme="minorHAnsi"/>
            <w:i/>
            <w:szCs w:val="15"/>
          </w:rPr>
          <w:t>Victorian Budget 2023–24 – Budget Paper No. 3</w:t>
        </w:r>
      </w:hyperlink>
      <w:r w:rsidRPr="00CB31B1">
        <w:rPr>
          <w:rFonts w:eastAsia="Calibri Light" w:cstheme="minorHAnsi"/>
          <w:szCs w:val="15"/>
        </w:rPr>
        <w:t>, 2023, p.</w:t>
      </w:r>
      <w:r>
        <w:rPr>
          <w:rFonts w:eastAsia="Calibri Light" w:cstheme="minorHAnsi"/>
          <w:szCs w:val="15"/>
        </w:rPr>
        <w:t>12</w:t>
      </w:r>
      <w:r w:rsidRPr="00CB31B1">
        <w:rPr>
          <w:rFonts w:eastAsia="Calibri Light" w:cstheme="minorHAnsi"/>
          <w:szCs w:val="15"/>
        </w:rPr>
        <w:t xml:space="preserve">, accessed </w:t>
      </w:r>
      <w:r>
        <w:rPr>
          <w:rFonts w:eastAsia="Calibri Light" w:cstheme="minorHAnsi"/>
          <w:szCs w:val="15"/>
        </w:rPr>
        <w:t>21</w:t>
      </w:r>
      <w:r w:rsidRPr="00CB31B1">
        <w:rPr>
          <w:rFonts w:eastAsia="Calibri Light" w:cstheme="minorHAnsi"/>
          <w:szCs w:val="15"/>
        </w:rPr>
        <w:t xml:space="preserve"> July 2023 (</w:t>
      </w:r>
      <w:hyperlink r:id="rId701">
        <w:r w:rsidRPr="00CB31B1">
          <w:rPr>
            <w:rStyle w:val="Hyperlink"/>
            <w:rFonts w:eastAsia="Calibri Light" w:cstheme="minorHAnsi"/>
            <w:szCs w:val="15"/>
          </w:rPr>
          <w:t>https://s3.ap-southeast-2.amazonaws.com/</w:t>
        </w:r>
        <w:r>
          <w:rPr>
            <w:rStyle w:val="Hyperlink"/>
            <w:rFonts w:eastAsia="Calibri Light" w:cstheme="minorHAnsi"/>
            <w:szCs w:val="15"/>
          </w:rPr>
          <w:t xml:space="preserve">Budget </w:t>
        </w:r>
        <w:r w:rsidRPr="00CB31B1">
          <w:rPr>
            <w:rStyle w:val="Hyperlink"/>
            <w:rFonts w:eastAsia="Calibri Light" w:cstheme="minorHAnsi"/>
            <w:szCs w:val="15"/>
          </w:rPr>
          <w:t>files202324.</w:t>
        </w:r>
        <w:r>
          <w:rPr>
            <w:rStyle w:val="Hyperlink"/>
            <w:rFonts w:eastAsia="Calibri Light" w:cstheme="minorHAnsi"/>
            <w:szCs w:val="15"/>
          </w:rPr>
          <w:t xml:space="preserve">Budget </w:t>
        </w:r>
        <w:r w:rsidRPr="00CB31B1">
          <w:rPr>
            <w:rStyle w:val="Hyperlink"/>
            <w:rFonts w:eastAsia="Calibri Light" w:cstheme="minorHAnsi"/>
            <w:szCs w:val="15"/>
          </w:rPr>
          <w:t>.vic.gov.au/2023</w:t>
        </w:r>
        <w:r>
          <w:rPr>
            <w:rStyle w:val="Hyperlink"/>
            <w:rFonts w:eastAsia="Calibri Light" w:cstheme="minorHAnsi"/>
            <w:szCs w:val="15"/>
          </w:rPr>
          <w:t>–</w:t>
        </w:r>
        <w:r w:rsidRPr="00CB31B1">
          <w:rPr>
            <w:rStyle w:val="Hyperlink"/>
            <w:rFonts w:eastAsia="Calibri Light" w:cstheme="minorHAnsi"/>
            <w:szCs w:val="15"/>
          </w:rPr>
          <w:t>24+State+</w:t>
        </w:r>
        <w:r>
          <w:rPr>
            <w:rStyle w:val="Hyperlink"/>
            <w:rFonts w:eastAsia="Calibri Light" w:cstheme="minorHAnsi"/>
            <w:szCs w:val="15"/>
          </w:rPr>
          <w:t xml:space="preserve">Budget </w:t>
        </w:r>
        <w:r w:rsidRPr="00CB31B1">
          <w:rPr>
            <w:rStyle w:val="Hyperlink"/>
            <w:rFonts w:eastAsia="Calibri Light" w:cstheme="minorHAnsi"/>
            <w:szCs w:val="15"/>
          </w:rPr>
          <w:t>+-+Service+Delivery.pdf</w:t>
        </w:r>
      </w:hyperlink>
      <w:r w:rsidRPr="00CB31B1">
        <w:rPr>
          <w:rFonts w:eastAsia="Calibri Light" w:cstheme="minorHAnsi"/>
          <w:szCs w:val="15"/>
        </w:rPr>
        <w:t>)</w:t>
      </w:r>
      <w:r>
        <w:rPr>
          <w:rFonts w:eastAsia="Calibri Light" w:cstheme="minorHAnsi"/>
          <w:szCs w:val="15"/>
        </w:rPr>
        <w:t>.</w:t>
      </w:r>
    </w:p>
  </w:endnote>
  <w:endnote w:id="578">
    <w:p w14:paraId="799D5B13" w14:textId="77777777" w:rsidR="00373ED9" w:rsidRDefault="00373ED9" w:rsidP="00373ED9">
      <w:pPr>
        <w:pStyle w:val="EndnoteText"/>
      </w:pPr>
      <w:r>
        <w:rPr>
          <w:rStyle w:val="EndnoteReference"/>
        </w:rPr>
        <w:endnoteRef/>
      </w:r>
      <w:r>
        <w:t xml:space="preserve"> Attorney-General, </w:t>
      </w:r>
      <w:hyperlink r:id="rId702" w:history="1">
        <w:r w:rsidRPr="0069180A">
          <w:rPr>
            <w:rStyle w:val="Hyperlink"/>
            <w:i/>
            <w:iCs/>
          </w:rPr>
          <w:t xml:space="preserve">Koori Court officially </w:t>
        </w:r>
        <w:bookmarkStart w:id="98" w:name="_Hlt142925023"/>
        <w:bookmarkStart w:id="99" w:name="_Hlt142925024"/>
        <w:r w:rsidRPr="0069180A">
          <w:rPr>
            <w:rStyle w:val="Hyperlink"/>
            <w:i/>
            <w:iCs/>
          </w:rPr>
          <w:t>o</w:t>
        </w:r>
        <w:bookmarkEnd w:id="98"/>
        <w:bookmarkEnd w:id="99"/>
        <w:r w:rsidRPr="0069180A">
          <w:rPr>
            <w:rStyle w:val="Hyperlink"/>
            <w:i/>
            <w:iCs/>
          </w:rPr>
          <w:t>pens in Wodonga</w:t>
        </w:r>
      </w:hyperlink>
      <w:r w:rsidRPr="0069180A">
        <w:rPr>
          <w:i/>
          <w:iCs/>
        </w:rPr>
        <w:t xml:space="preserve"> </w:t>
      </w:r>
      <w:r w:rsidRPr="0069180A">
        <w:t>(media release),</w:t>
      </w:r>
      <w:r>
        <w:t xml:space="preserve"> 29 July 2023, accessed 21 July 2023.</w:t>
      </w:r>
    </w:p>
  </w:endnote>
  <w:endnote w:id="579">
    <w:p w14:paraId="24BBD6F3" w14:textId="77777777" w:rsidR="00373ED9" w:rsidRDefault="00373ED9" w:rsidP="00373ED9">
      <w:pPr>
        <w:pStyle w:val="EndnoteText"/>
      </w:pPr>
      <w:r>
        <w:rPr>
          <w:rStyle w:val="EndnoteReference"/>
        </w:rPr>
        <w:endnoteRef/>
      </w:r>
      <w:r>
        <w:t xml:space="preserve"> Attorney-General, </w:t>
      </w:r>
      <w:hyperlink r:id="rId703" w:history="1">
        <w:r w:rsidRPr="0069180A">
          <w:rPr>
            <w:rStyle w:val="Hyperlink"/>
            <w:i/>
            <w:iCs/>
          </w:rPr>
          <w:t>Koori Court officially opens in Wodonga</w:t>
        </w:r>
      </w:hyperlink>
      <w:r w:rsidRPr="0069180A">
        <w:rPr>
          <w:i/>
          <w:iCs/>
        </w:rPr>
        <w:t xml:space="preserve"> </w:t>
      </w:r>
      <w:r w:rsidRPr="0069180A">
        <w:t>(media release),</w:t>
      </w:r>
      <w:r>
        <w:t xml:space="preserve"> 29 July 2023, accessed 21 July 2023.</w:t>
      </w:r>
    </w:p>
  </w:endnote>
  <w:endnote w:id="580">
    <w:p w14:paraId="5531E318" w14:textId="77777777" w:rsidR="00373ED9" w:rsidRPr="002D2706" w:rsidRDefault="00373ED9" w:rsidP="00373ED9">
      <w:pPr>
        <w:pStyle w:val="EndnoteText"/>
      </w:pPr>
      <w:r>
        <w:rPr>
          <w:rStyle w:val="EndnoteReference"/>
        </w:rPr>
        <w:endnoteRef/>
      </w:r>
      <w:r>
        <w:t xml:space="preserve"> </w:t>
      </w:r>
      <w:r w:rsidRPr="00CB31B1">
        <w:rPr>
          <w:rFonts w:eastAsia="Calibri Light" w:cstheme="minorHAnsi"/>
          <w:szCs w:val="15"/>
        </w:rPr>
        <w:t xml:space="preserve">Department of Treasury and Finance, </w:t>
      </w:r>
      <w:hyperlink r:id="rId704" w:anchor="budget-paper-3-service-delivery">
        <w:r>
          <w:rPr>
            <w:rStyle w:val="Hyperlink"/>
            <w:rFonts w:eastAsia="Calibri Light" w:cstheme="minorHAnsi"/>
            <w:i/>
            <w:szCs w:val="15"/>
          </w:rPr>
          <w:t>Victorian Budget 2023–24 – Budget Paper No. 3</w:t>
        </w:r>
      </w:hyperlink>
      <w:r w:rsidRPr="00CB31B1">
        <w:rPr>
          <w:rFonts w:eastAsia="Calibri Light" w:cstheme="minorHAnsi"/>
          <w:szCs w:val="15"/>
        </w:rPr>
        <w:t>, 2023, p.</w:t>
      </w:r>
      <w:r>
        <w:rPr>
          <w:rFonts w:eastAsia="Calibri Light" w:cstheme="minorHAnsi"/>
          <w:szCs w:val="15"/>
        </w:rPr>
        <w:t xml:space="preserve"> 12</w:t>
      </w:r>
      <w:r w:rsidRPr="00CB31B1">
        <w:rPr>
          <w:rFonts w:eastAsia="Calibri Light" w:cstheme="minorHAnsi"/>
          <w:szCs w:val="15"/>
        </w:rPr>
        <w:t xml:space="preserve">, accessed </w:t>
      </w:r>
      <w:r>
        <w:rPr>
          <w:rFonts w:eastAsia="Calibri Light" w:cstheme="minorHAnsi"/>
          <w:szCs w:val="15"/>
        </w:rPr>
        <w:t>21</w:t>
      </w:r>
      <w:r w:rsidRPr="00CB31B1">
        <w:rPr>
          <w:rFonts w:eastAsia="Calibri Light" w:cstheme="minorHAnsi"/>
          <w:szCs w:val="15"/>
        </w:rPr>
        <w:t xml:space="preserve"> July 2023 (</w:t>
      </w:r>
      <w:hyperlink r:id="rId705">
        <w:r w:rsidRPr="00CB31B1">
          <w:rPr>
            <w:rStyle w:val="Hyperlink"/>
            <w:rFonts w:eastAsia="Calibri Light" w:cstheme="minorHAnsi"/>
            <w:szCs w:val="15"/>
          </w:rPr>
          <w:t>https://s3.ap-southeast-2.amazonaws.com/</w:t>
        </w:r>
        <w:r>
          <w:rPr>
            <w:rStyle w:val="Hyperlink"/>
            <w:rFonts w:eastAsia="Calibri Light" w:cstheme="minorHAnsi"/>
            <w:szCs w:val="15"/>
          </w:rPr>
          <w:t xml:space="preserve">Budget </w:t>
        </w:r>
        <w:r w:rsidRPr="00CB31B1">
          <w:rPr>
            <w:rStyle w:val="Hyperlink"/>
            <w:rFonts w:eastAsia="Calibri Light" w:cstheme="minorHAnsi"/>
            <w:szCs w:val="15"/>
          </w:rPr>
          <w:t>files202324.</w:t>
        </w:r>
        <w:r>
          <w:rPr>
            <w:rStyle w:val="Hyperlink"/>
            <w:rFonts w:eastAsia="Calibri Light" w:cstheme="minorHAnsi"/>
            <w:szCs w:val="15"/>
          </w:rPr>
          <w:t xml:space="preserve">Budget </w:t>
        </w:r>
        <w:r w:rsidRPr="00CB31B1">
          <w:rPr>
            <w:rStyle w:val="Hyperlink"/>
            <w:rFonts w:eastAsia="Calibri Light" w:cstheme="minorHAnsi"/>
            <w:szCs w:val="15"/>
          </w:rPr>
          <w:t>.vic.gov.au/2023</w:t>
        </w:r>
        <w:r>
          <w:rPr>
            <w:rStyle w:val="Hyperlink"/>
            <w:rFonts w:eastAsia="Calibri Light" w:cstheme="minorHAnsi"/>
            <w:szCs w:val="15"/>
          </w:rPr>
          <w:t>–</w:t>
        </w:r>
        <w:r w:rsidRPr="00CB31B1">
          <w:rPr>
            <w:rStyle w:val="Hyperlink"/>
            <w:rFonts w:eastAsia="Calibri Light" w:cstheme="minorHAnsi"/>
            <w:szCs w:val="15"/>
          </w:rPr>
          <w:t>24+State+</w:t>
        </w:r>
        <w:r>
          <w:rPr>
            <w:rStyle w:val="Hyperlink"/>
            <w:rFonts w:eastAsia="Calibri Light" w:cstheme="minorHAnsi"/>
            <w:szCs w:val="15"/>
          </w:rPr>
          <w:t xml:space="preserve">Budget </w:t>
        </w:r>
        <w:r w:rsidRPr="00CB31B1">
          <w:rPr>
            <w:rStyle w:val="Hyperlink"/>
            <w:rFonts w:eastAsia="Calibri Light" w:cstheme="minorHAnsi"/>
            <w:szCs w:val="15"/>
          </w:rPr>
          <w:t>+-+Service+Delivery.pdf</w:t>
        </w:r>
      </w:hyperlink>
      <w:r w:rsidRPr="00CB31B1">
        <w:rPr>
          <w:rFonts w:eastAsia="Calibri Light" w:cstheme="minorHAnsi"/>
          <w:szCs w:val="15"/>
        </w:rPr>
        <w:t>)</w:t>
      </w:r>
      <w:r>
        <w:rPr>
          <w:rFonts w:eastAsia="Calibri Light" w:cstheme="minorHAnsi"/>
          <w:szCs w:val="15"/>
        </w:rPr>
        <w:t>.</w:t>
      </w:r>
    </w:p>
  </w:endnote>
  <w:endnote w:id="581">
    <w:p w14:paraId="75E2001C" w14:textId="77777777" w:rsidR="00373ED9" w:rsidRPr="002D2706" w:rsidRDefault="00373ED9" w:rsidP="00373ED9">
      <w:pPr>
        <w:pStyle w:val="EndnoteText"/>
      </w:pPr>
      <w:r w:rsidRPr="002D2706">
        <w:rPr>
          <w:rStyle w:val="EndnoteReference"/>
        </w:rPr>
        <w:endnoteRef/>
      </w:r>
      <w:r w:rsidRPr="002D2706">
        <w:t xml:space="preserve"> </w:t>
      </w:r>
      <w:r w:rsidRPr="00CB31B1">
        <w:rPr>
          <w:rFonts w:eastAsia="Calibri Light" w:cstheme="minorHAnsi"/>
          <w:szCs w:val="15"/>
        </w:rPr>
        <w:t xml:space="preserve">Department of Treasury and Finance, </w:t>
      </w:r>
      <w:hyperlink r:id="rId706" w:anchor="budget-paper-3-service-delivery">
        <w:r>
          <w:rPr>
            <w:rStyle w:val="Hyperlink"/>
            <w:rFonts w:eastAsia="Calibri Light" w:cstheme="minorHAnsi"/>
            <w:i/>
            <w:szCs w:val="15"/>
          </w:rPr>
          <w:t>Victorian Budget 2023–24 – Budget Paper No. 3</w:t>
        </w:r>
      </w:hyperlink>
      <w:r w:rsidRPr="00CB31B1">
        <w:rPr>
          <w:rFonts w:eastAsia="Calibri Light" w:cstheme="minorHAnsi"/>
          <w:szCs w:val="15"/>
        </w:rPr>
        <w:t>, 2023, p.</w:t>
      </w:r>
      <w:r>
        <w:rPr>
          <w:rFonts w:eastAsia="Calibri Light" w:cstheme="minorHAnsi"/>
          <w:szCs w:val="15"/>
        </w:rPr>
        <w:t xml:space="preserve"> 12</w:t>
      </w:r>
      <w:r w:rsidRPr="00CB31B1">
        <w:rPr>
          <w:rFonts w:eastAsia="Calibri Light" w:cstheme="minorHAnsi"/>
          <w:szCs w:val="15"/>
        </w:rPr>
        <w:t xml:space="preserve">, accessed </w:t>
      </w:r>
      <w:r>
        <w:rPr>
          <w:rFonts w:eastAsia="Calibri Light" w:cstheme="minorHAnsi"/>
          <w:szCs w:val="15"/>
        </w:rPr>
        <w:t>21</w:t>
      </w:r>
      <w:r w:rsidRPr="00CB31B1">
        <w:rPr>
          <w:rFonts w:eastAsia="Calibri Light" w:cstheme="minorHAnsi"/>
          <w:szCs w:val="15"/>
        </w:rPr>
        <w:t xml:space="preserve"> July 2023 (</w:t>
      </w:r>
      <w:hyperlink r:id="rId707">
        <w:r w:rsidRPr="00CB31B1">
          <w:rPr>
            <w:rStyle w:val="Hyperlink"/>
            <w:rFonts w:eastAsia="Calibri Light" w:cstheme="minorHAnsi"/>
            <w:szCs w:val="15"/>
          </w:rPr>
          <w:t>https://s3.ap-southeast-2.amazonaws.com/</w:t>
        </w:r>
        <w:r>
          <w:rPr>
            <w:rStyle w:val="Hyperlink"/>
            <w:rFonts w:eastAsia="Calibri Light" w:cstheme="minorHAnsi"/>
            <w:szCs w:val="15"/>
          </w:rPr>
          <w:t xml:space="preserve">Budget </w:t>
        </w:r>
        <w:r w:rsidRPr="00CB31B1">
          <w:rPr>
            <w:rStyle w:val="Hyperlink"/>
            <w:rFonts w:eastAsia="Calibri Light" w:cstheme="minorHAnsi"/>
            <w:szCs w:val="15"/>
          </w:rPr>
          <w:t>files202324.</w:t>
        </w:r>
        <w:r>
          <w:rPr>
            <w:rStyle w:val="Hyperlink"/>
            <w:rFonts w:eastAsia="Calibri Light" w:cstheme="minorHAnsi"/>
            <w:szCs w:val="15"/>
          </w:rPr>
          <w:t xml:space="preserve">Budget </w:t>
        </w:r>
        <w:r w:rsidRPr="00CB31B1">
          <w:rPr>
            <w:rStyle w:val="Hyperlink"/>
            <w:rFonts w:eastAsia="Calibri Light" w:cstheme="minorHAnsi"/>
            <w:szCs w:val="15"/>
          </w:rPr>
          <w:t>.vic.gov.au/2023</w:t>
        </w:r>
        <w:r>
          <w:rPr>
            <w:rStyle w:val="Hyperlink"/>
            <w:rFonts w:eastAsia="Calibri Light" w:cstheme="minorHAnsi"/>
            <w:szCs w:val="15"/>
          </w:rPr>
          <w:t>–</w:t>
        </w:r>
        <w:r w:rsidRPr="00CB31B1">
          <w:rPr>
            <w:rStyle w:val="Hyperlink"/>
            <w:rFonts w:eastAsia="Calibri Light" w:cstheme="minorHAnsi"/>
            <w:szCs w:val="15"/>
          </w:rPr>
          <w:t>24+State+</w:t>
        </w:r>
        <w:r>
          <w:rPr>
            <w:rStyle w:val="Hyperlink"/>
            <w:rFonts w:eastAsia="Calibri Light" w:cstheme="minorHAnsi"/>
            <w:szCs w:val="15"/>
          </w:rPr>
          <w:t xml:space="preserve">Budget </w:t>
        </w:r>
        <w:r w:rsidRPr="00CB31B1">
          <w:rPr>
            <w:rStyle w:val="Hyperlink"/>
            <w:rFonts w:eastAsia="Calibri Light" w:cstheme="minorHAnsi"/>
            <w:szCs w:val="15"/>
          </w:rPr>
          <w:t>+-+Service+Delivery.pdf</w:t>
        </w:r>
      </w:hyperlink>
      <w:r w:rsidRPr="00CB31B1">
        <w:rPr>
          <w:rFonts w:eastAsia="Calibri Light" w:cstheme="minorHAnsi"/>
          <w:szCs w:val="15"/>
        </w:rPr>
        <w:t>)</w:t>
      </w:r>
      <w:r>
        <w:rPr>
          <w:rFonts w:eastAsia="Calibri Light" w:cstheme="minorHAnsi"/>
          <w:szCs w:val="15"/>
        </w:rPr>
        <w:t>.</w:t>
      </w:r>
    </w:p>
  </w:endnote>
  <w:endnote w:id="582">
    <w:p w14:paraId="7A2B1DB1" w14:textId="77777777" w:rsidR="00373ED9" w:rsidRDefault="00373ED9" w:rsidP="00373ED9">
      <w:pPr>
        <w:pStyle w:val="EndnoteText"/>
      </w:pPr>
      <w:r w:rsidRPr="002D2706">
        <w:rPr>
          <w:rStyle w:val="EndnoteReference"/>
        </w:rPr>
        <w:endnoteRef/>
      </w:r>
      <w:r w:rsidRPr="002D2706">
        <w:t xml:space="preserve"> </w:t>
      </w:r>
      <w:r w:rsidRPr="00CB31B1">
        <w:rPr>
          <w:rFonts w:eastAsia="Calibri Light" w:cstheme="minorHAnsi"/>
          <w:szCs w:val="15"/>
        </w:rPr>
        <w:t xml:space="preserve">Department of Treasury and Finance, </w:t>
      </w:r>
      <w:hyperlink r:id="rId708" w:anchor="budget-paper-3-service-delivery">
        <w:r>
          <w:rPr>
            <w:rStyle w:val="Hyperlink"/>
            <w:rFonts w:eastAsia="Calibri Light" w:cstheme="minorHAnsi"/>
            <w:i/>
            <w:szCs w:val="15"/>
          </w:rPr>
          <w:t>Victorian Budget 2023–24 – Budget Paper No. 3</w:t>
        </w:r>
      </w:hyperlink>
      <w:r w:rsidRPr="00CB31B1">
        <w:rPr>
          <w:rFonts w:eastAsia="Calibri Light" w:cstheme="minorHAnsi"/>
          <w:szCs w:val="15"/>
        </w:rPr>
        <w:t xml:space="preserve">, 2023, </w:t>
      </w:r>
      <w:r>
        <w:rPr>
          <w:rFonts w:eastAsia="Calibri Light" w:cstheme="minorHAnsi"/>
          <w:szCs w:val="15"/>
        </w:rPr>
        <w:t>p</w:t>
      </w:r>
      <w:r w:rsidRPr="00CB31B1">
        <w:rPr>
          <w:rFonts w:eastAsia="Calibri Light" w:cstheme="minorHAnsi"/>
          <w:szCs w:val="15"/>
        </w:rPr>
        <w:t>p.</w:t>
      </w:r>
      <w:r>
        <w:rPr>
          <w:rFonts w:eastAsia="Calibri Light" w:cstheme="minorHAnsi"/>
          <w:szCs w:val="15"/>
        </w:rPr>
        <w:t xml:space="preserve"> 82, 83</w:t>
      </w:r>
      <w:r w:rsidRPr="00CB31B1">
        <w:rPr>
          <w:rFonts w:eastAsia="Calibri Light" w:cstheme="minorHAnsi"/>
          <w:szCs w:val="15"/>
        </w:rPr>
        <w:t>,</w:t>
      </w:r>
      <w:r>
        <w:rPr>
          <w:rFonts w:eastAsia="Calibri Light" w:cstheme="minorHAnsi"/>
          <w:szCs w:val="15"/>
        </w:rPr>
        <w:t xml:space="preserve"> 112,</w:t>
      </w:r>
      <w:r w:rsidRPr="00CB31B1">
        <w:rPr>
          <w:rFonts w:eastAsia="Calibri Light" w:cstheme="minorHAnsi"/>
          <w:szCs w:val="15"/>
        </w:rPr>
        <w:t xml:space="preserve"> accessed </w:t>
      </w:r>
      <w:r>
        <w:rPr>
          <w:rFonts w:eastAsia="Calibri Light" w:cstheme="minorHAnsi"/>
          <w:szCs w:val="15"/>
        </w:rPr>
        <w:t>21</w:t>
      </w:r>
      <w:r w:rsidRPr="00CB31B1">
        <w:rPr>
          <w:rFonts w:eastAsia="Calibri Light" w:cstheme="minorHAnsi"/>
          <w:szCs w:val="15"/>
        </w:rPr>
        <w:t xml:space="preserve"> July 2023 (</w:t>
      </w:r>
      <w:hyperlink r:id="rId709">
        <w:r w:rsidRPr="00CB31B1">
          <w:rPr>
            <w:rStyle w:val="Hyperlink"/>
            <w:rFonts w:eastAsia="Calibri Light" w:cstheme="minorHAnsi"/>
            <w:szCs w:val="15"/>
          </w:rPr>
          <w:t>https://s3.ap-southeast-2.amazonaws.com/</w:t>
        </w:r>
        <w:r>
          <w:rPr>
            <w:rStyle w:val="Hyperlink"/>
            <w:rFonts w:eastAsia="Calibri Light" w:cstheme="minorHAnsi"/>
            <w:szCs w:val="15"/>
          </w:rPr>
          <w:t xml:space="preserve">Budget </w:t>
        </w:r>
        <w:r w:rsidRPr="00CB31B1">
          <w:rPr>
            <w:rStyle w:val="Hyperlink"/>
            <w:rFonts w:eastAsia="Calibri Light" w:cstheme="minorHAnsi"/>
            <w:szCs w:val="15"/>
          </w:rPr>
          <w:t>files202324.</w:t>
        </w:r>
        <w:r>
          <w:rPr>
            <w:rStyle w:val="Hyperlink"/>
            <w:rFonts w:eastAsia="Calibri Light" w:cstheme="minorHAnsi"/>
            <w:szCs w:val="15"/>
          </w:rPr>
          <w:t xml:space="preserve">Budget </w:t>
        </w:r>
        <w:r w:rsidRPr="00CB31B1">
          <w:rPr>
            <w:rStyle w:val="Hyperlink"/>
            <w:rFonts w:eastAsia="Calibri Light" w:cstheme="minorHAnsi"/>
            <w:szCs w:val="15"/>
          </w:rPr>
          <w:t>.vic.gov.au/2023</w:t>
        </w:r>
        <w:r>
          <w:rPr>
            <w:rStyle w:val="Hyperlink"/>
            <w:rFonts w:eastAsia="Calibri Light" w:cstheme="minorHAnsi"/>
            <w:szCs w:val="15"/>
          </w:rPr>
          <w:t>–</w:t>
        </w:r>
        <w:r w:rsidRPr="00CB31B1">
          <w:rPr>
            <w:rStyle w:val="Hyperlink"/>
            <w:rFonts w:eastAsia="Calibri Light" w:cstheme="minorHAnsi"/>
            <w:szCs w:val="15"/>
          </w:rPr>
          <w:t>24+State+</w:t>
        </w:r>
        <w:r>
          <w:rPr>
            <w:rStyle w:val="Hyperlink"/>
            <w:rFonts w:eastAsia="Calibri Light" w:cstheme="minorHAnsi"/>
            <w:szCs w:val="15"/>
          </w:rPr>
          <w:t xml:space="preserve">Budget </w:t>
        </w:r>
        <w:r w:rsidRPr="00CB31B1">
          <w:rPr>
            <w:rStyle w:val="Hyperlink"/>
            <w:rFonts w:eastAsia="Calibri Light" w:cstheme="minorHAnsi"/>
            <w:szCs w:val="15"/>
          </w:rPr>
          <w:t>+-+Service+Delivery.pdf</w:t>
        </w:r>
      </w:hyperlink>
      <w:r w:rsidRPr="00CB31B1">
        <w:rPr>
          <w:rFonts w:eastAsia="Calibri Light" w:cstheme="minorHAnsi"/>
          <w:szCs w:val="15"/>
        </w:rPr>
        <w:t>)</w:t>
      </w:r>
      <w:r>
        <w:rPr>
          <w:rFonts w:eastAsia="Calibri Light" w:cstheme="minorHAnsi"/>
          <w:szCs w:val="15"/>
        </w:rPr>
        <w:t>.</w:t>
      </w:r>
    </w:p>
  </w:endnote>
  <w:endnote w:id="583">
    <w:p w14:paraId="631F0250" w14:textId="77777777" w:rsidR="00373ED9" w:rsidRDefault="00373ED9" w:rsidP="00373ED9">
      <w:pPr>
        <w:pStyle w:val="EndnoteText"/>
      </w:pPr>
      <w:r>
        <w:rPr>
          <w:rStyle w:val="EndnoteReference"/>
        </w:rPr>
        <w:endnoteRef/>
      </w:r>
      <w:r>
        <w:t xml:space="preserve"> </w:t>
      </w:r>
      <w:r w:rsidRPr="00CB31B1">
        <w:rPr>
          <w:rFonts w:eastAsia="Calibri Light" w:cstheme="minorHAnsi"/>
          <w:szCs w:val="15"/>
        </w:rPr>
        <w:t xml:space="preserve">Department of Treasury and Finance, </w:t>
      </w:r>
      <w:hyperlink r:id="rId710" w:anchor="budget-paper-3-service-delivery">
        <w:r>
          <w:rPr>
            <w:rStyle w:val="Hyperlink"/>
            <w:rFonts w:eastAsia="Calibri Light" w:cstheme="minorHAnsi"/>
            <w:i/>
            <w:szCs w:val="15"/>
          </w:rPr>
          <w:t>Victorian Budget 2023–24 – Budget Paper No. 3</w:t>
        </w:r>
      </w:hyperlink>
      <w:r w:rsidRPr="00CB31B1">
        <w:rPr>
          <w:rFonts w:eastAsia="Calibri Light" w:cstheme="minorHAnsi"/>
          <w:szCs w:val="15"/>
        </w:rPr>
        <w:t>, 2023, p.</w:t>
      </w:r>
      <w:r>
        <w:rPr>
          <w:rFonts w:eastAsia="Calibri Light" w:cstheme="minorHAnsi"/>
          <w:szCs w:val="15"/>
        </w:rPr>
        <w:t xml:space="preserve"> 83</w:t>
      </w:r>
      <w:r w:rsidRPr="00CB31B1">
        <w:rPr>
          <w:rFonts w:eastAsia="Calibri Light" w:cstheme="minorHAnsi"/>
          <w:szCs w:val="15"/>
        </w:rPr>
        <w:t xml:space="preserve">, accessed </w:t>
      </w:r>
      <w:r>
        <w:rPr>
          <w:rFonts w:eastAsia="Calibri Light" w:cstheme="minorHAnsi"/>
          <w:szCs w:val="15"/>
        </w:rPr>
        <w:t>21</w:t>
      </w:r>
      <w:r w:rsidRPr="00CB31B1">
        <w:rPr>
          <w:rFonts w:eastAsia="Calibri Light" w:cstheme="minorHAnsi"/>
          <w:szCs w:val="15"/>
        </w:rPr>
        <w:t xml:space="preserve"> July 2023 (</w:t>
      </w:r>
      <w:hyperlink r:id="rId711">
        <w:r w:rsidRPr="00CB31B1">
          <w:rPr>
            <w:rStyle w:val="Hyperlink"/>
            <w:rFonts w:eastAsia="Calibri Light" w:cstheme="minorHAnsi"/>
            <w:szCs w:val="15"/>
          </w:rPr>
          <w:t>https://s3.ap-southeast-2.amazonaws.com/</w:t>
        </w:r>
        <w:r>
          <w:rPr>
            <w:rStyle w:val="Hyperlink"/>
            <w:rFonts w:eastAsia="Calibri Light" w:cstheme="minorHAnsi"/>
            <w:szCs w:val="15"/>
          </w:rPr>
          <w:t xml:space="preserve">Budget </w:t>
        </w:r>
        <w:r w:rsidRPr="00CB31B1">
          <w:rPr>
            <w:rStyle w:val="Hyperlink"/>
            <w:rFonts w:eastAsia="Calibri Light" w:cstheme="minorHAnsi"/>
            <w:szCs w:val="15"/>
          </w:rPr>
          <w:t>files202324.</w:t>
        </w:r>
        <w:r>
          <w:rPr>
            <w:rStyle w:val="Hyperlink"/>
            <w:rFonts w:eastAsia="Calibri Light" w:cstheme="minorHAnsi"/>
            <w:szCs w:val="15"/>
          </w:rPr>
          <w:t xml:space="preserve">Budget </w:t>
        </w:r>
        <w:r w:rsidRPr="00CB31B1">
          <w:rPr>
            <w:rStyle w:val="Hyperlink"/>
            <w:rFonts w:eastAsia="Calibri Light" w:cstheme="minorHAnsi"/>
            <w:szCs w:val="15"/>
          </w:rPr>
          <w:t>.vic.gov.au/2023</w:t>
        </w:r>
        <w:r>
          <w:rPr>
            <w:rStyle w:val="Hyperlink"/>
            <w:rFonts w:eastAsia="Calibri Light" w:cstheme="minorHAnsi"/>
            <w:szCs w:val="15"/>
          </w:rPr>
          <w:t>–</w:t>
        </w:r>
        <w:r w:rsidRPr="00CB31B1">
          <w:rPr>
            <w:rStyle w:val="Hyperlink"/>
            <w:rFonts w:eastAsia="Calibri Light" w:cstheme="minorHAnsi"/>
            <w:szCs w:val="15"/>
          </w:rPr>
          <w:t>24+State+</w:t>
        </w:r>
        <w:r>
          <w:rPr>
            <w:rStyle w:val="Hyperlink"/>
            <w:rFonts w:eastAsia="Calibri Light" w:cstheme="minorHAnsi"/>
            <w:szCs w:val="15"/>
          </w:rPr>
          <w:t xml:space="preserve">Budget </w:t>
        </w:r>
        <w:r w:rsidRPr="00CB31B1">
          <w:rPr>
            <w:rStyle w:val="Hyperlink"/>
            <w:rFonts w:eastAsia="Calibri Light" w:cstheme="minorHAnsi"/>
            <w:szCs w:val="15"/>
          </w:rPr>
          <w:t>+-+Service+Delivery.pdf</w:t>
        </w:r>
      </w:hyperlink>
      <w:r w:rsidRPr="00CB31B1">
        <w:rPr>
          <w:rFonts w:eastAsia="Calibri Light" w:cstheme="minorHAnsi"/>
          <w:szCs w:val="15"/>
        </w:rPr>
        <w:t>)</w:t>
      </w:r>
      <w:r>
        <w:rPr>
          <w:rFonts w:eastAsia="Calibri Light" w:cstheme="minorHAnsi"/>
          <w:szCs w:val="15"/>
        </w:rPr>
        <w:t>.</w:t>
      </w:r>
    </w:p>
  </w:endnote>
  <w:endnote w:id="584">
    <w:p w14:paraId="37A8B05F" w14:textId="77777777" w:rsidR="00373ED9" w:rsidRDefault="00373ED9" w:rsidP="00373ED9">
      <w:pPr>
        <w:pStyle w:val="EndnoteText"/>
      </w:pPr>
      <w:r>
        <w:rPr>
          <w:rStyle w:val="EndnoteReference"/>
        </w:rPr>
        <w:endnoteRef/>
      </w:r>
      <w:r>
        <w:t xml:space="preserve"> I</w:t>
      </w:r>
      <w:r>
        <w:rPr>
          <w:rStyle w:val="normaltextrun"/>
          <w:rFonts w:ascii="Calibri" w:hAnsi="Calibri" w:cs="Calibri"/>
          <w:color w:val="000000"/>
          <w:shd w:val="clear" w:color="auto" w:fill="FFFFFF"/>
        </w:rPr>
        <w:t xml:space="preserve">nfrastructure Victoria, </w:t>
      </w:r>
      <w:hyperlink r:id="rId712" w:tgtFrame="_blank" w:history="1">
        <w:r>
          <w:rPr>
            <w:rStyle w:val="normaltextrun"/>
            <w:rFonts w:ascii="Calibri" w:hAnsi="Calibri" w:cs="Calibri"/>
            <w:i/>
            <w:iCs/>
            <w:color w:val="0563C1"/>
            <w:u w:val="single"/>
            <w:shd w:val="clear" w:color="auto" w:fill="FFFFFF"/>
          </w:rPr>
          <w:t>Victoria’s infrastructure strategy 2021–2051</w:t>
        </w:r>
      </w:hyperlink>
      <w:r>
        <w:rPr>
          <w:rStyle w:val="normaltextrun"/>
          <w:rFonts w:ascii="Calibri" w:hAnsi="Calibri" w:cs="Calibri"/>
          <w:color w:val="000000"/>
          <w:shd w:val="clear" w:color="auto" w:fill="FFFFFF"/>
        </w:rPr>
        <w:t>, 2021, p.88, accessed 21 July 2023.</w:t>
      </w:r>
    </w:p>
  </w:endnote>
  <w:endnote w:id="585">
    <w:p w14:paraId="5D830945" w14:textId="77777777" w:rsidR="00373ED9" w:rsidRDefault="00373ED9" w:rsidP="00373ED9">
      <w:pPr>
        <w:pStyle w:val="EndnoteText"/>
      </w:pPr>
      <w:r>
        <w:rPr>
          <w:rStyle w:val="EndnoteReference"/>
        </w:rPr>
        <w:endnoteRef/>
      </w:r>
      <w:r>
        <w:t xml:space="preserve"> I</w:t>
      </w:r>
      <w:r>
        <w:rPr>
          <w:rStyle w:val="normaltextrun"/>
          <w:rFonts w:ascii="Calibri" w:hAnsi="Calibri" w:cs="Calibri"/>
          <w:color w:val="000000"/>
          <w:shd w:val="clear" w:color="auto" w:fill="FFFFFF"/>
        </w:rPr>
        <w:t xml:space="preserve">nfrastructure Victoria, </w:t>
      </w:r>
      <w:hyperlink r:id="rId713" w:tgtFrame="_blank" w:history="1">
        <w:r>
          <w:rPr>
            <w:rStyle w:val="normaltextrun"/>
            <w:rFonts w:ascii="Calibri" w:hAnsi="Calibri" w:cs="Calibri"/>
            <w:i/>
            <w:iCs/>
            <w:color w:val="0563C1"/>
            <w:u w:val="single"/>
            <w:shd w:val="clear" w:color="auto" w:fill="FFFFFF"/>
          </w:rPr>
          <w:t>Victoria’s infrastructure strategy 2021–2051</w:t>
        </w:r>
      </w:hyperlink>
      <w:r>
        <w:rPr>
          <w:rStyle w:val="normaltextrun"/>
          <w:rFonts w:ascii="Calibri" w:hAnsi="Calibri" w:cs="Calibri"/>
          <w:color w:val="000000"/>
          <w:shd w:val="clear" w:color="auto" w:fill="FFFFFF"/>
        </w:rPr>
        <w:t>, 2021, p.88, accessed 21 July 2023.</w:t>
      </w:r>
    </w:p>
  </w:endnote>
  <w:endnote w:id="586">
    <w:p w14:paraId="07079754" w14:textId="77777777" w:rsidR="00373ED9" w:rsidRPr="00C37C19" w:rsidRDefault="00373ED9" w:rsidP="00373ED9">
      <w:pPr>
        <w:spacing w:before="84" w:after="84" w:line="190" w:lineRule="atLeast"/>
        <w:ind w:left="340" w:hanging="340"/>
        <w:rPr>
          <w:rFonts w:eastAsia="Calibri Light" w:cstheme="minorHAnsi"/>
          <w:sz w:val="15"/>
          <w:szCs w:val="15"/>
        </w:rPr>
      </w:pPr>
      <w:r w:rsidRPr="00C37C19">
        <w:rPr>
          <w:rStyle w:val="EndnoteReference"/>
          <w:rFonts w:cstheme="minorHAnsi"/>
          <w:sz w:val="15"/>
          <w:szCs w:val="15"/>
        </w:rPr>
        <w:endnoteRef/>
      </w:r>
      <w:r w:rsidRPr="00C37C19">
        <w:rPr>
          <w:rFonts w:cstheme="minorHAnsi"/>
          <w:sz w:val="15"/>
          <w:szCs w:val="15"/>
        </w:rPr>
        <w:t xml:space="preserve"> </w:t>
      </w:r>
      <w:r w:rsidRPr="00C37C19">
        <w:rPr>
          <w:rFonts w:eastAsia="Calibri Light" w:cstheme="minorHAnsi"/>
          <w:sz w:val="15"/>
          <w:szCs w:val="15"/>
        </w:rPr>
        <w:t xml:space="preserve">Department of Justice and Community Safety, </w:t>
      </w:r>
      <w:hyperlink r:id="rId714">
        <w:r w:rsidRPr="00C37C19">
          <w:rPr>
            <w:rStyle w:val="Hyperlink"/>
            <w:rFonts w:eastAsia="Calibri Light" w:cstheme="minorHAnsi"/>
            <w:i/>
            <w:sz w:val="15"/>
            <w:szCs w:val="15"/>
          </w:rPr>
          <w:t>Department of Justice and Community Safety Corporate Plan 2022</w:t>
        </w:r>
        <w:r>
          <w:rPr>
            <w:rStyle w:val="Hyperlink"/>
            <w:rFonts w:eastAsia="Calibri Light" w:cstheme="minorHAnsi"/>
            <w:i/>
            <w:sz w:val="15"/>
            <w:szCs w:val="15"/>
          </w:rPr>
          <w:t>–</w:t>
        </w:r>
        <w:r w:rsidRPr="00C37C19">
          <w:rPr>
            <w:rStyle w:val="Hyperlink"/>
            <w:rFonts w:eastAsia="Calibri Light" w:cstheme="minorHAnsi"/>
            <w:i/>
            <w:sz w:val="15"/>
            <w:szCs w:val="15"/>
          </w:rPr>
          <w:t>2026</w:t>
        </w:r>
      </w:hyperlink>
      <w:r w:rsidRPr="00C37C19">
        <w:rPr>
          <w:rFonts w:eastAsia="Calibri Light" w:cstheme="minorHAnsi"/>
          <w:i/>
          <w:sz w:val="15"/>
          <w:szCs w:val="15"/>
        </w:rPr>
        <w:t xml:space="preserve">, </w:t>
      </w:r>
      <w:r w:rsidRPr="00C37C19">
        <w:rPr>
          <w:rFonts w:eastAsia="Calibri Light" w:cstheme="minorHAnsi"/>
          <w:sz w:val="15"/>
          <w:szCs w:val="15"/>
        </w:rPr>
        <w:t>p</w:t>
      </w:r>
      <w:r>
        <w:rPr>
          <w:rFonts w:eastAsia="Calibri Light" w:cstheme="minorHAnsi"/>
          <w:sz w:val="15"/>
          <w:szCs w:val="15"/>
        </w:rPr>
        <w:t>.</w:t>
      </w:r>
      <w:r w:rsidRPr="00C37C19">
        <w:rPr>
          <w:rFonts w:eastAsia="Calibri Light" w:cstheme="minorHAnsi"/>
          <w:sz w:val="15"/>
          <w:szCs w:val="15"/>
        </w:rPr>
        <w:t xml:space="preserve"> 8, accessed 29 June 2023</w:t>
      </w:r>
      <w:r>
        <w:rPr>
          <w:rFonts w:eastAsia="Calibri Light" w:cstheme="minorHAnsi"/>
          <w:sz w:val="15"/>
          <w:szCs w:val="15"/>
        </w:rPr>
        <w:t>.</w:t>
      </w:r>
    </w:p>
  </w:endnote>
  <w:endnote w:id="587">
    <w:p w14:paraId="49451D46" w14:textId="77777777" w:rsidR="00373ED9" w:rsidRPr="00C37C19" w:rsidRDefault="00373ED9" w:rsidP="00373ED9">
      <w:pPr>
        <w:spacing w:before="84" w:after="84" w:line="190" w:lineRule="atLeast"/>
        <w:ind w:left="340" w:hanging="340"/>
        <w:rPr>
          <w:rFonts w:eastAsia="Calibri Light" w:cstheme="minorHAnsi"/>
          <w:sz w:val="15"/>
          <w:szCs w:val="15"/>
        </w:rPr>
      </w:pPr>
      <w:r w:rsidRPr="00C37C19">
        <w:rPr>
          <w:rStyle w:val="EndnoteReference"/>
          <w:rFonts w:cstheme="minorHAnsi"/>
          <w:sz w:val="15"/>
          <w:szCs w:val="15"/>
        </w:rPr>
        <w:endnoteRef/>
      </w:r>
      <w:r w:rsidRPr="00C37C19">
        <w:rPr>
          <w:rFonts w:eastAsia="Calibri Light" w:cstheme="minorHAnsi"/>
          <w:sz w:val="15"/>
          <w:szCs w:val="15"/>
        </w:rPr>
        <w:t xml:space="preserve"> Department of Justice and Community Safety, </w:t>
      </w:r>
      <w:hyperlink r:id="rId715">
        <w:r w:rsidRPr="00C37C19">
          <w:rPr>
            <w:rStyle w:val="Hyperlink"/>
            <w:rFonts w:eastAsia="Calibri Light" w:cstheme="minorHAnsi"/>
            <w:i/>
            <w:sz w:val="15"/>
            <w:szCs w:val="15"/>
          </w:rPr>
          <w:t>Department of Justice and Community Safety Corporate Plan 2022</w:t>
        </w:r>
        <w:r>
          <w:rPr>
            <w:rStyle w:val="Hyperlink"/>
            <w:rFonts w:eastAsia="Calibri Light" w:cstheme="minorHAnsi"/>
            <w:i/>
            <w:sz w:val="15"/>
            <w:szCs w:val="15"/>
          </w:rPr>
          <w:t>–</w:t>
        </w:r>
        <w:r w:rsidRPr="00C37C19">
          <w:rPr>
            <w:rStyle w:val="Hyperlink"/>
            <w:rFonts w:eastAsia="Calibri Light" w:cstheme="minorHAnsi"/>
            <w:i/>
            <w:sz w:val="15"/>
            <w:szCs w:val="15"/>
          </w:rPr>
          <w:t>2026</w:t>
        </w:r>
      </w:hyperlink>
      <w:r w:rsidRPr="00C37C19">
        <w:rPr>
          <w:rFonts w:eastAsia="Calibri Light" w:cstheme="minorHAnsi"/>
          <w:i/>
          <w:sz w:val="15"/>
          <w:szCs w:val="15"/>
        </w:rPr>
        <w:t xml:space="preserve">, </w:t>
      </w:r>
      <w:r w:rsidRPr="00C37C19">
        <w:rPr>
          <w:rFonts w:eastAsia="Calibri Light" w:cstheme="minorHAnsi"/>
          <w:sz w:val="15"/>
          <w:szCs w:val="15"/>
        </w:rPr>
        <w:t>p.8, accessed 29 June 2023</w:t>
      </w:r>
      <w:r>
        <w:rPr>
          <w:rFonts w:eastAsia="Calibri Light" w:cstheme="minorHAnsi"/>
          <w:sz w:val="15"/>
          <w:szCs w:val="15"/>
        </w:rPr>
        <w:t>.</w:t>
      </w:r>
    </w:p>
  </w:endnote>
  <w:endnote w:id="588">
    <w:p w14:paraId="7B80E343" w14:textId="25098C1B" w:rsidR="00373ED9" w:rsidRPr="00C37C19" w:rsidRDefault="00373ED9" w:rsidP="00373ED9">
      <w:pPr>
        <w:pStyle w:val="EndnoteText"/>
        <w:rPr>
          <w:rFonts w:cstheme="minorHAnsi"/>
          <w:szCs w:val="15"/>
        </w:rPr>
      </w:pPr>
      <w:r w:rsidRPr="00C37C19">
        <w:rPr>
          <w:rStyle w:val="EndnoteReference"/>
          <w:rFonts w:eastAsia="Calibri Light" w:cstheme="minorHAnsi"/>
          <w:szCs w:val="15"/>
        </w:rPr>
        <w:endnoteRef/>
      </w:r>
      <w:r w:rsidRPr="00C37C19">
        <w:rPr>
          <w:rFonts w:eastAsia="Calibri Light" w:cstheme="minorHAnsi"/>
          <w:szCs w:val="15"/>
        </w:rPr>
        <w:t xml:space="preserve"> Department of Premier and Cabinet, </w:t>
      </w:r>
      <w:hyperlink r:id="rId716" w:anchor="!/projectView">
        <w:r w:rsidRPr="00C37C19">
          <w:rPr>
            <w:rStyle w:val="Hyperlink"/>
            <w:rFonts w:eastAsia="Calibri Light" w:cstheme="minorHAnsi"/>
            <w:szCs w:val="15"/>
          </w:rPr>
          <w:t>Digital Dashboard - Project View Digital Strategy and Transformation</w:t>
        </w:r>
      </w:hyperlink>
      <w:r w:rsidRPr="00C37C19">
        <w:rPr>
          <w:rFonts w:eastAsia="Calibri Light" w:cstheme="minorHAnsi"/>
          <w:szCs w:val="15"/>
        </w:rPr>
        <w:t xml:space="preserve"> (website), accessed 20 July 2023</w:t>
      </w:r>
      <w:r>
        <w:rPr>
          <w:rFonts w:eastAsia="Calibri Light" w:cstheme="minorHAnsi"/>
          <w:szCs w:val="15"/>
        </w:rPr>
        <w:t>.</w:t>
      </w:r>
    </w:p>
  </w:endnote>
  <w:endnote w:id="589">
    <w:p w14:paraId="1A9B8391" w14:textId="2901C80C" w:rsidR="00373ED9" w:rsidRPr="00C37C19" w:rsidRDefault="00373ED9" w:rsidP="00373ED9">
      <w:pPr>
        <w:pStyle w:val="EndnoteText"/>
        <w:rPr>
          <w:rFonts w:cstheme="minorHAnsi"/>
          <w:szCs w:val="15"/>
        </w:rPr>
      </w:pPr>
      <w:r w:rsidRPr="00C37C19">
        <w:rPr>
          <w:rStyle w:val="EndnoteReference"/>
          <w:rFonts w:eastAsia="Calibri Light" w:cstheme="minorHAnsi"/>
          <w:szCs w:val="15"/>
        </w:rPr>
        <w:endnoteRef/>
      </w:r>
      <w:r w:rsidRPr="00C37C19">
        <w:rPr>
          <w:rFonts w:eastAsia="Calibri Light" w:cstheme="minorHAnsi"/>
          <w:szCs w:val="15"/>
        </w:rPr>
        <w:t xml:space="preserve"> Department of Premier and Cabinet, </w:t>
      </w:r>
      <w:hyperlink r:id="rId717" w:anchor="!/projectView">
        <w:r w:rsidRPr="00C37C19">
          <w:rPr>
            <w:rStyle w:val="Hyperlink"/>
            <w:rFonts w:eastAsia="Calibri Light" w:cstheme="minorHAnsi"/>
            <w:szCs w:val="15"/>
          </w:rPr>
          <w:t>Digital Dashboard - Project View Digital Strategy and Transformation</w:t>
        </w:r>
      </w:hyperlink>
      <w:r w:rsidRPr="00C37C19">
        <w:rPr>
          <w:rFonts w:eastAsia="Calibri Light" w:cstheme="minorHAnsi"/>
          <w:szCs w:val="15"/>
        </w:rPr>
        <w:t xml:space="preserve"> (website), accessed 20 July 2023</w:t>
      </w:r>
      <w:r>
        <w:rPr>
          <w:rFonts w:eastAsia="Calibri Light" w:cstheme="minorHAnsi"/>
          <w:szCs w:val="15"/>
        </w:rPr>
        <w:t>.</w:t>
      </w:r>
    </w:p>
  </w:endnote>
  <w:endnote w:id="590">
    <w:p w14:paraId="5B131FAD" w14:textId="77777777" w:rsidR="00373ED9" w:rsidRPr="00C37C19" w:rsidRDefault="00373ED9" w:rsidP="00373ED9">
      <w:pPr>
        <w:spacing w:before="84" w:after="84" w:line="190" w:lineRule="atLeast"/>
        <w:ind w:left="340" w:hanging="340"/>
        <w:rPr>
          <w:rFonts w:eastAsia="Calibri Light" w:cstheme="minorHAnsi"/>
          <w:sz w:val="15"/>
          <w:szCs w:val="15"/>
        </w:rPr>
      </w:pPr>
      <w:r w:rsidRPr="00C37C19">
        <w:rPr>
          <w:rStyle w:val="EndnoteReference"/>
          <w:rFonts w:cstheme="minorHAnsi"/>
          <w:sz w:val="15"/>
          <w:szCs w:val="15"/>
        </w:rPr>
        <w:endnoteRef/>
      </w:r>
      <w:r w:rsidRPr="00C37C19">
        <w:rPr>
          <w:rFonts w:cstheme="minorHAnsi"/>
          <w:sz w:val="15"/>
          <w:szCs w:val="15"/>
        </w:rPr>
        <w:t xml:space="preserve"> </w:t>
      </w:r>
      <w:r>
        <w:rPr>
          <w:rFonts w:eastAsia="Calibri Light" w:cstheme="minorHAnsi"/>
          <w:sz w:val="15"/>
          <w:szCs w:val="15"/>
        </w:rPr>
        <w:t>Minister for Police</w:t>
      </w:r>
      <w:r w:rsidRPr="00C37C19">
        <w:rPr>
          <w:rFonts w:eastAsia="Calibri Light" w:cstheme="minorHAnsi"/>
          <w:sz w:val="15"/>
          <w:szCs w:val="15"/>
        </w:rPr>
        <w:t>,</w:t>
      </w:r>
      <w:r w:rsidRPr="00C37C19">
        <w:rPr>
          <w:rFonts w:eastAsia="Calibri Light" w:cstheme="minorHAnsi"/>
          <w:i/>
          <w:sz w:val="15"/>
          <w:szCs w:val="15"/>
        </w:rPr>
        <w:t xml:space="preserve"> </w:t>
      </w:r>
      <w:hyperlink r:id="rId718">
        <w:r w:rsidRPr="00C37C19">
          <w:rPr>
            <w:rStyle w:val="Hyperlink"/>
            <w:rFonts w:eastAsia="Calibri Light" w:cstheme="minorHAnsi"/>
            <w:i/>
            <w:sz w:val="15"/>
            <w:szCs w:val="15"/>
          </w:rPr>
          <w:t>New Driver Distraction Cameras Switched On</w:t>
        </w:r>
      </w:hyperlink>
      <w:r w:rsidRPr="00C37C19">
        <w:rPr>
          <w:rFonts w:eastAsia="Calibri Light" w:cstheme="minorHAnsi"/>
          <w:sz w:val="15"/>
          <w:szCs w:val="15"/>
        </w:rPr>
        <w:t xml:space="preserve"> (media release), 1 April 2023, accessed 6 July 2023</w:t>
      </w:r>
      <w:r>
        <w:rPr>
          <w:rFonts w:eastAsia="Calibri Light" w:cstheme="minorHAnsi"/>
          <w:sz w:val="15"/>
          <w:szCs w:val="15"/>
        </w:rPr>
        <w:t>.</w:t>
      </w:r>
    </w:p>
  </w:endnote>
  <w:endnote w:id="591">
    <w:p w14:paraId="07B30D10" w14:textId="77777777" w:rsidR="00373ED9" w:rsidRDefault="00373ED9" w:rsidP="00373ED9">
      <w:pPr>
        <w:pStyle w:val="EndnoteText"/>
      </w:pPr>
      <w:r>
        <w:rPr>
          <w:rStyle w:val="EndnoteReference"/>
        </w:rPr>
        <w:endnoteRef/>
      </w:r>
      <w:r>
        <w:t xml:space="preserve"> </w:t>
      </w:r>
      <w:r>
        <w:rPr>
          <w:rFonts w:eastAsia="Calibri Light" w:cstheme="minorHAnsi"/>
          <w:szCs w:val="15"/>
        </w:rPr>
        <w:t>Minister for Police</w:t>
      </w:r>
      <w:r w:rsidRPr="00C37C19">
        <w:rPr>
          <w:rFonts w:eastAsia="Calibri Light" w:cstheme="minorHAnsi"/>
          <w:szCs w:val="15"/>
        </w:rPr>
        <w:t>,</w:t>
      </w:r>
      <w:r w:rsidRPr="00C37C19">
        <w:rPr>
          <w:rFonts w:eastAsia="Calibri Light" w:cstheme="minorHAnsi"/>
          <w:i/>
          <w:szCs w:val="15"/>
        </w:rPr>
        <w:t xml:space="preserve"> </w:t>
      </w:r>
      <w:hyperlink r:id="rId719">
        <w:r w:rsidRPr="00C37C19">
          <w:rPr>
            <w:rStyle w:val="Hyperlink"/>
            <w:rFonts w:eastAsia="Calibri Light" w:cstheme="minorHAnsi"/>
            <w:i/>
            <w:szCs w:val="15"/>
          </w:rPr>
          <w:t>New Driver Distraction Cameras Switched On</w:t>
        </w:r>
      </w:hyperlink>
      <w:r w:rsidRPr="00C37C19">
        <w:rPr>
          <w:rFonts w:eastAsia="Calibri Light" w:cstheme="minorHAnsi"/>
          <w:szCs w:val="15"/>
        </w:rPr>
        <w:t xml:space="preserve"> (media release), 1 April 2023, accessed 6 July 2023</w:t>
      </w:r>
      <w:r>
        <w:rPr>
          <w:rFonts w:eastAsia="Calibri Light" w:cstheme="minorHAnsi"/>
          <w:szCs w:val="15"/>
        </w:rPr>
        <w:t>.</w:t>
      </w:r>
    </w:p>
  </w:endnote>
  <w:endnote w:id="592">
    <w:p w14:paraId="7B08D0C9" w14:textId="77777777" w:rsidR="00373ED9" w:rsidRPr="00C37C19" w:rsidRDefault="00373ED9" w:rsidP="00373ED9">
      <w:pPr>
        <w:spacing w:before="84" w:after="84" w:line="190" w:lineRule="atLeast"/>
        <w:ind w:left="340" w:hanging="340"/>
        <w:rPr>
          <w:rFonts w:cstheme="minorHAnsi"/>
          <w:sz w:val="15"/>
          <w:szCs w:val="15"/>
        </w:rPr>
      </w:pPr>
      <w:r w:rsidRPr="00C37C19">
        <w:rPr>
          <w:rStyle w:val="EndnoteReference"/>
          <w:rFonts w:eastAsia="Calibri Light" w:cstheme="minorHAnsi"/>
          <w:sz w:val="15"/>
          <w:szCs w:val="15"/>
        </w:rPr>
        <w:endnoteRef/>
      </w:r>
      <w:r w:rsidRPr="00C37C19">
        <w:rPr>
          <w:rFonts w:eastAsia="Calibri Light" w:cstheme="minorHAnsi"/>
          <w:sz w:val="15"/>
          <w:szCs w:val="15"/>
        </w:rPr>
        <w:t xml:space="preserve"> </w:t>
      </w:r>
      <w:r>
        <w:rPr>
          <w:rFonts w:eastAsia="Calibri Light" w:cstheme="minorHAnsi"/>
          <w:sz w:val="15"/>
          <w:szCs w:val="15"/>
        </w:rPr>
        <w:t>Minister for Police</w:t>
      </w:r>
      <w:r w:rsidRPr="00C37C19">
        <w:rPr>
          <w:rFonts w:eastAsia="Calibri Light" w:cstheme="minorHAnsi"/>
          <w:sz w:val="15"/>
          <w:szCs w:val="15"/>
        </w:rPr>
        <w:t>,</w:t>
      </w:r>
      <w:r w:rsidRPr="00C37C19">
        <w:rPr>
          <w:rFonts w:eastAsia="Calibri Light" w:cstheme="minorHAnsi"/>
          <w:i/>
          <w:sz w:val="15"/>
          <w:szCs w:val="15"/>
        </w:rPr>
        <w:t xml:space="preserve"> </w:t>
      </w:r>
      <w:hyperlink r:id="rId720">
        <w:r w:rsidRPr="00C37C19">
          <w:rPr>
            <w:rStyle w:val="Hyperlink"/>
            <w:rFonts w:eastAsia="Calibri Light" w:cstheme="minorHAnsi"/>
            <w:i/>
            <w:sz w:val="15"/>
            <w:szCs w:val="15"/>
          </w:rPr>
          <w:t>New Driver Distraction Cameras Switched On</w:t>
        </w:r>
      </w:hyperlink>
      <w:r w:rsidRPr="00C37C19">
        <w:rPr>
          <w:rFonts w:eastAsia="Calibri Light" w:cstheme="minorHAnsi"/>
          <w:sz w:val="15"/>
          <w:szCs w:val="15"/>
        </w:rPr>
        <w:t xml:space="preserve"> (media release), 1 April 2023, accessed 6 July 2023</w:t>
      </w:r>
      <w:r>
        <w:rPr>
          <w:rFonts w:eastAsia="Calibri Light" w:cstheme="minorHAnsi"/>
          <w:sz w:val="15"/>
          <w:szCs w:val="15"/>
        </w:rPr>
        <w:t>.</w:t>
      </w:r>
      <w:r w:rsidRPr="00C37C19">
        <w:rPr>
          <w:rFonts w:eastAsia="Calibri Light" w:cstheme="minorHAnsi"/>
          <w:sz w:val="15"/>
          <w:szCs w:val="15"/>
        </w:rPr>
        <w:t xml:space="preserve"> </w:t>
      </w:r>
    </w:p>
  </w:endnote>
  <w:endnote w:id="593">
    <w:p w14:paraId="1C3EB525" w14:textId="77777777" w:rsidR="00373ED9" w:rsidRPr="00C37C19" w:rsidRDefault="00373ED9" w:rsidP="00373ED9">
      <w:pPr>
        <w:pStyle w:val="EndnoteText"/>
        <w:rPr>
          <w:rFonts w:cstheme="minorHAnsi"/>
          <w:szCs w:val="15"/>
        </w:rPr>
      </w:pPr>
      <w:r w:rsidRPr="00C37C19">
        <w:rPr>
          <w:rStyle w:val="EndnoteReference"/>
          <w:rFonts w:eastAsia="Calibri Light" w:cstheme="minorHAnsi"/>
          <w:szCs w:val="15"/>
        </w:rPr>
        <w:endnoteRef/>
      </w:r>
      <w:r w:rsidRPr="00C37C19">
        <w:rPr>
          <w:rFonts w:eastAsia="Calibri Light" w:cstheme="minorHAnsi"/>
          <w:szCs w:val="15"/>
        </w:rPr>
        <w:t xml:space="preserve"> Department of Treasury and Finance, </w:t>
      </w:r>
      <w:hyperlink r:id="rId721" w:anchor="budget-paper-3-service-delivery">
        <w:r w:rsidRPr="00C37C19">
          <w:rPr>
            <w:rStyle w:val="Hyperlink"/>
            <w:rFonts w:eastAsia="Calibri Light" w:cstheme="minorHAnsi"/>
            <w:i/>
            <w:szCs w:val="15"/>
          </w:rPr>
          <w:t xml:space="preserve">Victorian </w:t>
        </w:r>
        <w:r>
          <w:rPr>
            <w:rStyle w:val="Hyperlink"/>
            <w:rFonts w:eastAsia="Calibri Light" w:cstheme="minorHAnsi"/>
            <w:i/>
            <w:szCs w:val="15"/>
          </w:rPr>
          <w:t xml:space="preserve">Budget </w:t>
        </w:r>
        <w:r w:rsidRPr="00C37C19">
          <w:rPr>
            <w:rStyle w:val="Hyperlink"/>
            <w:rFonts w:eastAsia="Calibri Light" w:cstheme="minorHAnsi"/>
            <w:i/>
            <w:szCs w:val="15"/>
          </w:rPr>
          <w:t xml:space="preserve"> 2023</w:t>
        </w:r>
        <w:r>
          <w:rPr>
            <w:rStyle w:val="Hyperlink"/>
            <w:rFonts w:eastAsia="Calibri Light" w:cstheme="minorHAnsi"/>
            <w:i/>
            <w:szCs w:val="15"/>
          </w:rPr>
          <w:t>–</w:t>
        </w:r>
        <w:r w:rsidRPr="00C37C19">
          <w:rPr>
            <w:rStyle w:val="Hyperlink"/>
            <w:rFonts w:eastAsia="Calibri Light" w:cstheme="minorHAnsi"/>
            <w:i/>
            <w:szCs w:val="15"/>
          </w:rPr>
          <w:t xml:space="preserve">24 – </w:t>
        </w:r>
        <w:r>
          <w:rPr>
            <w:rStyle w:val="Hyperlink"/>
            <w:rFonts w:eastAsia="Calibri Light" w:cstheme="minorHAnsi"/>
            <w:i/>
            <w:szCs w:val="15"/>
          </w:rPr>
          <w:t xml:space="preserve">Budget </w:t>
        </w:r>
        <w:r w:rsidRPr="00C37C19">
          <w:rPr>
            <w:rStyle w:val="Hyperlink"/>
            <w:rFonts w:eastAsia="Calibri Light" w:cstheme="minorHAnsi"/>
            <w:i/>
            <w:szCs w:val="15"/>
          </w:rPr>
          <w:t xml:space="preserve"> Paper No. 3</w:t>
        </w:r>
      </w:hyperlink>
      <w:r w:rsidRPr="00C37C19">
        <w:rPr>
          <w:rFonts w:eastAsia="Calibri Light" w:cstheme="minorHAnsi"/>
          <w:szCs w:val="15"/>
        </w:rPr>
        <w:t>, 2023, p. 92, accessed 14 July 2023 (</w:t>
      </w:r>
      <w:hyperlink r:id="rId722">
        <w:r w:rsidRPr="00C37C19">
          <w:rPr>
            <w:rStyle w:val="Hyperlink"/>
            <w:rFonts w:eastAsia="Calibri Light" w:cstheme="minorHAnsi"/>
            <w:szCs w:val="15"/>
          </w:rPr>
          <w:t>https://s3.ap-southeast-2.amazonaws.com/</w:t>
        </w:r>
        <w:r>
          <w:rPr>
            <w:rStyle w:val="Hyperlink"/>
            <w:rFonts w:eastAsia="Calibri Light" w:cstheme="minorHAnsi"/>
            <w:szCs w:val="15"/>
          </w:rPr>
          <w:t xml:space="preserve">Budget </w:t>
        </w:r>
        <w:r w:rsidRPr="00C37C19">
          <w:rPr>
            <w:rStyle w:val="Hyperlink"/>
            <w:rFonts w:eastAsia="Calibri Light" w:cstheme="minorHAnsi"/>
            <w:szCs w:val="15"/>
          </w:rPr>
          <w:t>files202324.</w:t>
        </w:r>
        <w:r>
          <w:rPr>
            <w:rStyle w:val="Hyperlink"/>
            <w:rFonts w:eastAsia="Calibri Light" w:cstheme="minorHAnsi"/>
            <w:szCs w:val="15"/>
          </w:rPr>
          <w:t xml:space="preserve">Budget </w:t>
        </w:r>
        <w:r w:rsidRPr="00C37C19">
          <w:rPr>
            <w:rStyle w:val="Hyperlink"/>
            <w:rFonts w:eastAsia="Calibri Light" w:cstheme="minorHAnsi"/>
            <w:szCs w:val="15"/>
          </w:rPr>
          <w:t>.vic.gov.au/2023</w:t>
        </w:r>
        <w:r>
          <w:rPr>
            <w:rStyle w:val="Hyperlink"/>
            <w:rFonts w:eastAsia="Calibri Light" w:cstheme="minorHAnsi"/>
            <w:szCs w:val="15"/>
          </w:rPr>
          <w:t>–</w:t>
        </w:r>
        <w:r w:rsidRPr="00C37C19">
          <w:rPr>
            <w:rStyle w:val="Hyperlink"/>
            <w:rFonts w:eastAsia="Calibri Light" w:cstheme="minorHAnsi"/>
            <w:szCs w:val="15"/>
          </w:rPr>
          <w:t>24+State+</w:t>
        </w:r>
        <w:r>
          <w:rPr>
            <w:rStyle w:val="Hyperlink"/>
            <w:rFonts w:eastAsia="Calibri Light" w:cstheme="minorHAnsi"/>
            <w:szCs w:val="15"/>
          </w:rPr>
          <w:t xml:space="preserve">Budget </w:t>
        </w:r>
        <w:r w:rsidRPr="00C37C19">
          <w:rPr>
            <w:rStyle w:val="Hyperlink"/>
            <w:rFonts w:eastAsia="Calibri Light" w:cstheme="minorHAnsi"/>
            <w:szCs w:val="15"/>
          </w:rPr>
          <w:t>+-+Service+Delivery.pdf</w:t>
        </w:r>
      </w:hyperlink>
      <w:r w:rsidRPr="00C37C19">
        <w:rPr>
          <w:rFonts w:eastAsia="Calibri Light" w:cstheme="minorHAnsi"/>
          <w:szCs w:val="15"/>
        </w:rPr>
        <w:t>)</w:t>
      </w:r>
      <w:r>
        <w:rPr>
          <w:rFonts w:eastAsia="Calibri Light" w:cstheme="minorHAnsi"/>
          <w:szCs w:val="15"/>
        </w:rPr>
        <w:t>.</w:t>
      </w:r>
    </w:p>
  </w:endnote>
  <w:endnote w:id="594">
    <w:p w14:paraId="2CB8052A" w14:textId="556AE1DE" w:rsidR="00373ED9" w:rsidRPr="00C37C19" w:rsidRDefault="00373ED9" w:rsidP="00373ED9">
      <w:pPr>
        <w:pStyle w:val="EndnoteText"/>
        <w:rPr>
          <w:rFonts w:eastAsia="Calibri Light" w:cstheme="minorHAnsi"/>
          <w:szCs w:val="15"/>
        </w:rPr>
      </w:pPr>
      <w:r w:rsidRPr="00C37C19">
        <w:rPr>
          <w:rStyle w:val="EndnoteReference"/>
          <w:rFonts w:eastAsia="Calibri Light" w:cstheme="minorHAnsi"/>
          <w:szCs w:val="15"/>
        </w:rPr>
        <w:endnoteRef/>
      </w:r>
      <w:r w:rsidRPr="00C37C19">
        <w:rPr>
          <w:rFonts w:eastAsia="Calibri Light" w:cstheme="minorHAnsi"/>
          <w:szCs w:val="15"/>
        </w:rPr>
        <w:t xml:space="preserve"> Department of Treasury and Finance, </w:t>
      </w:r>
      <w:hyperlink r:id="rId723" w:history="1">
        <w:r w:rsidRPr="00240E6C">
          <w:rPr>
            <w:rStyle w:val="Hyperlink"/>
            <w:rFonts w:cstheme="minorHAnsi"/>
            <w:i/>
            <w:iCs/>
            <w:szCs w:val="15"/>
          </w:rPr>
          <w:t>Victorian Infrastructure Plan 2021</w:t>
        </w:r>
        <w:r w:rsidRPr="00240E6C">
          <w:rPr>
            <w:rStyle w:val="Hyperlink"/>
            <w:rFonts w:eastAsia="Calibri Light" w:cstheme="minorHAnsi"/>
            <w:szCs w:val="15"/>
          </w:rPr>
          <w:t>,</w:t>
        </w:r>
      </w:hyperlink>
      <w:r w:rsidRPr="00C37C19">
        <w:rPr>
          <w:rFonts w:eastAsia="Calibri Light" w:cstheme="minorHAnsi"/>
          <w:szCs w:val="15"/>
        </w:rPr>
        <w:t xml:space="preserve"> 2021, p.80, accessed 6 July 2023</w:t>
      </w:r>
      <w:r>
        <w:rPr>
          <w:rFonts w:eastAsia="Calibri Light" w:cstheme="minorHAnsi"/>
          <w:szCs w:val="15"/>
        </w:rPr>
        <w:t>.</w:t>
      </w:r>
      <w:r w:rsidRPr="00C37C19">
        <w:rPr>
          <w:rFonts w:eastAsia="Calibri Light" w:cstheme="minorHAnsi"/>
          <w:szCs w:val="15"/>
        </w:rPr>
        <w:t xml:space="preserve"> </w:t>
      </w:r>
    </w:p>
  </w:endnote>
  <w:endnote w:id="595">
    <w:p w14:paraId="2AAAE2FE" w14:textId="4B59D19E" w:rsidR="00373ED9" w:rsidRPr="00C37C19" w:rsidRDefault="00373ED9" w:rsidP="00373ED9">
      <w:pPr>
        <w:pStyle w:val="EndnoteText"/>
        <w:rPr>
          <w:rFonts w:cstheme="minorHAnsi"/>
          <w:szCs w:val="15"/>
        </w:rPr>
      </w:pPr>
      <w:r w:rsidRPr="00C37C19">
        <w:rPr>
          <w:rStyle w:val="EndnoteReference"/>
          <w:rFonts w:cstheme="minorHAnsi"/>
          <w:szCs w:val="15"/>
        </w:rPr>
        <w:endnoteRef/>
      </w:r>
      <w:r w:rsidRPr="00C37C19">
        <w:rPr>
          <w:rFonts w:eastAsia="Calibri Light" w:cstheme="minorHAnsi"/>
          <w:szCs w:val="15"/>
        </w:rPr>
        <w:t xml:space="preserve"> Victorian Government, </w:t>
      </w:r>
      <w:hyperlink r:id="rId724" w:anchor="!/projectView">
        <w:r w:rsidRPr="009A669B">
          <w:rPr>
            <w:rStyle w:val="Hyperlink"/>
            <w:rFonts w:eastAsia="Calibri Light" w:cstheme="minorHAnsi"/>
            <w:i/>
            <w:szCs w:val="15"/>
          </w:rPr>
          <w:t>Victorian Government Information Technology Dashboard</w:t>
        </w:r>
      </w:hyperlink>
      <w:r w:rsidRPr="00C37C19">
        <w:rPr>
          <w:rFonts w:eastAsia="Calibri Light" w:cstheme="minorHAnsi"/>
          <w:szCs w:val="15"/>
        </w:rPr>
        <w:t xml:space="preserve"> (website), </w:t>
      </w:r>
      <w:r w:rsidRPr="009A669B">
        <w:rPr>
          <w:rFonts w:eastAsia="Calibri Light" w:cstheme="minorHAnsi"/>
          <w:i/>
          <w:szCs w:val="15"/>
        </w:rPr>
        <w:t>Courts Case Management System project details</w:t>
      </w:r>
      <w:r>
        <w:rPr>
          <w:rFonts w:eastAsia="Calibri Light" w:cstheme="minorHAnsi"/>
          <w:i/>
          <w:szCs w:val="15"/>
        </w:rPr>
        <w:t xml:space="preserve"> – Q1 2022–23 current report status</w:t>
      </w:r>
      <w:r>
        <w:rPr>
          <w:rFonts w:eastAsia="Calibri Light" w:cstheme="minorHAnsi"/>
          <w:szCs w:val="15"/>
        </w:rPr>
        <w:t xml:space="preserve">, </w:t>
      </w:r>
      <w:r w:rsidRPr="00C37C19">
        <w:rPr>
          <w:rFonts w:eastAsia="Calibri Light" w:cstheme="minorHAnsi"/>
          <w:szCs w:val="15"/>
        </w:rPr>
        <w:t>accessed 19 July 2023</w:t>
      </w:r>
      <w:r>
        <w:rPr>
          <w:rFonts w:eastAsia="Calibri Light" w:cstheme="minorHAnsi"/>
          <w:szCs w:val="15"/>
        </w:rPr>
        <w:t>.</w:t>
      </w:r>
      <w:r w:rsidRPr="00C37C19">
        <w:rPr>
          <w:rFonts w:eastAsia="Calibri Light" w:cstheme="minorHAnsi"/>
          <w:szCs w:val="15"/>
        </w:rPr>
        <w:t xml:space="preserve"> </w:t>
      </w:r>
    </w:p>
  </w:endnote>
  <w:endnote w:id="596">
    <w:p w14:paraId="78D2EFBB" w14:textId="77777777" w:rsidR="00373ED9" w:rsidRPr="00C37C19" w:rsidRDefault="00373ED9" w:rsidP="00373ED9">
      <w:pPr>
        <w:pStyle w:val="EndnoteText"/>
        <w:rPr>
          <w:rFonts w:cstheme="minorHAnsi"/>
          <w:szCs w:val="15"/>
        </w:rPr>
      </w:pPr>
      <w:r w:rsidRPr="00C37C19">
        <w:rPr>
          <w:rStyle w:val="EndnoteReference"/>
          <w:rFonts w:eastAsia="Calibri Light" w:cstheme="minorHAnsi"/>
          <w:szCs w:val="15"/>
        </w:rPr>
        <w:endnoteRef/>
      </w:r>
      <w:r w:rsidRPr="00C37C19">
        <w:rPr>
          <w:rFonts w:eastAsia="Calibri Light" w:cstheme="minorHAnsi"/>
          <w:szCs w:val="15"/>
        </w:rPr>
        <w:t xml:space="preserve"> Department of Treasury and Finance, </w:t>
      </w:r>
      <w:hyperlink r:id="rId725" w:anchor="budget-paper-3-service-delivery">
        <w:r w:rsidRPr="00C37C19">
          <w:rPr>
            <w:rStyle w:val="Hyperlink"/>
            <w:rFonts w:eastAsia="Calibri Light" w:cstheme="minorHAnsi"/>
            <w:i/>
            <w:szCs w:val="15"/>
          </w:rPr>
          <w:t xml:space="preserve">Victorian </w:t>
        </w:r>
        <w:r>
          <w:rPr>
            <w:rStyle w:val="Hyperlink"/>
            <w:rFonts w:eastAsia="Calibri Light" w:cstheme="minorHAnsi"/>
            <w:i/>
            <w:szCs w:val="15"/>
          </w:rPr>
          <w:t xml:space="preserve">Budget </w:t>
        </w:r>
        <w:r w:rsidRPr="00C37C19">
          <w:rPr>
            <w:rStyle w:val="Hyperlink"/>
            <w:rFonts w:eastAsia="Calibri Light" w:cstheme="minorHAnsi"/>
            <w:i/>
            <w:szCs w:val="15"/>
          </w:rPr>
          <w:t xml:space="preserve"> 2023</w:t>
        </w:r>
        <w:r>
          <w:rPr>
            <w:rStyle w:val="Hyperlink"/>
            <w:rFonts w:eastAsia="Calibri Light" w:cstheme="minorHAnsi"/>
            <w:i/>
            <w:szCs w:val="15"/>
          </w:rPr>
          <w:t>–</w:t>
        </w:r>
        <w:r w:rsidRPr="00C37C19">
          <w:rPr>
            <w:rStyle w:val="Hyperlink"/>
            <w:rFonts w:eastAsia="Calibri Light" w:cstheme="minorHAnsi"/>
            <w:i/>
            <w:szCs w:val="15"/>
          </w:rPr>
          <w:t xml:space="preserve">24 – </w:t>
        </w:r>
        <w:r>
          <w:rPr>
            <w:rStyle w:val="Hyperlink"/>
            <w:rFonts w:eastAsia="Calibri Light" w:cstheme="minorHAnsi"/>
            <w:i/>
            <w:szCs w:val="15"/>
          </w:rPr>
          <w:t xml:space="preserve">Budget </w:t>
        </w:r>
        <w:r w:rsidRPr="00C37C19">
          <w:rPr>
            <w:rStyle w:val="Hyperlink"/>
            <w:rFonts w:eastAsia="Calibri Light" w:cstheme="minorHAnsi"/>
            <w:i/>
            <w:szCs w:val="15"/>
          </w:rPr>
          <w:t xml:space="preserve"> Paper No. 3</w:t>
        </w:r>
      </w:hyperlink>
      <w:r w:rsidRPr="00C37C19">
        <w:rPr>
          <w:rFonts w:eastAsia="Calibri Light" w:cstheme="minorHAnsi"/>
          <w:szCs w:val="15"/>
        </w:rPr>
        <w:t>, 2023, pp. 112, accessed 14 July 2023 (</w:t>
      </w:r>
      <w:hyperlink r:id="rId726">
        <w:r w:rsidRPr="00C37C19">
          <w:rPr>
            <w:rStyle w:val="Hyperlink"/>
            <w:rFonts w:eastAsia="Calibri Light" w:cstheme="minorHAnsi"/>
            <w:szCs w:val="15"/>
          </w:rPr>
          <w:t>https://s3.ap-southeast-2.amazonaws.com/</w:t>
        </w:r>
        <w:r>
          <w:rPr>
            <w:rStyle w:val="Hyperlink"/>
            <w:rFonts w:eastAsia="Calibri Light" w:cstheme="minorHAnsi"/>
            <w:szCs w:val="15"/>
          </w:rPr>
          <w:t xml:space="preserve">Budget </w:t>
        </w:r>
        <w:r w:rsidRPr="00C37C19">
          <w:rPr>
            <w:rStyle w:val="Hyperlink"/>
            <w:rFonts w:eastAsia="Calibri Light" w:cstheme="minorHAnsi"/>
            <w:szCs w:val="15"/>
          </w:rPr>
          <w:t>files202324.</w:t>
        </w:r>
        <w:r>
          <w:rPr>
            <w:rStyle w:val="Hyperlink"/>
            <w:rFonts w:eastAsia="Calibri Light" w:cstheme="minorHAnsi"/>
            <w:szCs w:val="15"/>
          </w:rPr>
          <w:t xml:space="preserve">Budget </w:t>
        </w:r>
        <w:r w:rsidRPr="00C37C19">
          <w:rPr>
            <w:rStyle w:val="Hyperlink"/>
            <w:rFonts w:eastAsia="Calibri Light" w:cstheme="minorHAnsi"/>
            <w:szCs w:val="15"/>
          </w:rPr>
          <w:t>.vic.gov.au/2023</w:t>
        </w:r>
        <w:r>
          <w:rPr>
            <w:rStyle w:val="Hyperlink"/>
            <w:rFonts w:eastAsia="Calibri Light" w:cstheme="minorHAnsi"/>
            <w:szCs w:val="15"/>
          </w:rPr>
          <w:t>–</w:t>
        </w:r>
        <w:r w:rsidRPr="00C37C19">
          <w:rPr>
            <w:rStyle w:val="Hyperlink"/>
            <w:rFonts w:eastAsia="Calibri Light" w:cstheme="minorHAnsi"/>
            <w:szCs w:val="15"/>
          </w:rPr>
          <w:t>24+State+</w:t>
        </w:r>
        <w:r>
          <w:rPr>
            <w:rStyle w:val="Hyperlink"/>
            <w:rFonts w:eastAsia="Calibri Light" w:cstheme="minorHAnsi"/>
            <w:szCs w:val="15"/>
          </w:rPr>
          <w:t xml:space="preserve">Budget </w:t>
        </w:r>
        <w:r w:rsidRPr="00C37C19">
          <w:rPr>
            <w:rStyle w:val="Hyperlink"/>
            <w:rFonts w:eastAsia="Calibri Light" w:cstheme="minorHAnsi"/>
            <w:szCs w:val="15"/>
          </w:rPr>
          <w:t>+-+Service+Delivery.pdf</w:t>
        </w:r>
      </w:hyperlink>
      <w:r w:rsidRPr="00C37C19">
        <w:rPr>
          <w:rFonts w:eastAsia="Calibri Light" w:cstheme="minorHAnsi"/>
          <w:szCs w:val="15"/>
        </w:rPr>
        <w:t>)</w:t>
      </w:r>
      <w:r>
        <w:rPr>
          <w:rFonts w:eastAsia="Calibri Light" w:cstheme="minorHAnsi"/>
          <w:szCs w:val="15"/>
        </w:rPr>
        <w:t>.</w:t>
      </w:r>
    </w:p>
  </w:endnote>
  <w:endnote w:id="597">
    <w:p w14:paraId="4F43C162" w14:textId="77777777" w:rsidR="00373ED9" w:rsidRPr="00C37C19" w:rsidRDefault="00373ED9" w:rsidP="00373ED9">
      <w:pPr>
        <w:pStyle w:val="EndnoteText"/>
        <w:rPr>
          <w:rFonts w:cstheme="minorHAnsi"/>
          <w:szCs w:val="15"/>
        </w:rPr>
      </w:pPr>
      <w:r w:rsidRPr="00C37C19">
        <w:rPr>
          <w:rStyle w:val="EndnoteReference"/>
          <w:rFonts w:eastAsia="Calibri Light" w:cstheme="minorHAnsi"/>
          <w:szCs w:val="15"/>
        </w:rPr>
        <w:endnoteRef/>
      </w:r>
      <w:r w:rsidRPr="00C37C19">
        <w:rPr>
          <w:rFonts w:eastAsia="Calibri Light" w:cstheme="minorHAnsi"/>
          <w:szCs w:val="15"/>
        </w:rPr>
        <w:t xml:space="preserve"> Department of Treasury and Finance, </w:t>
      </w:r>
      <w:hyperlink r:id="rId727" w:anchor="budget-paper-3-service-delivery">
        <w:r w:rsidRPr="00C37C19">
          <w:rPr>
            <w:rStyle w:val="Hyperlink"/>
            <w:rFonts w:eastAsia="Calibri Light" w:cstheme="minorHAnsi"/>
            <w:i/>
            <w:szCs w:val="15"/>
          </w:rPr>
          <w:t xml:space="preserve">Victorian </w:t>
        </w:r>
        <w:r>
          <w:rPr>
            <w:rStyle w:val="Hyperlink"/>
            <w:rFonts w:eastAsia="Calibri Light" w:cstheme="minorHAnsi"/>
            <w:i/>
            <w:szCs w:val="15"/>
          </w:rPr>
          <w:t xml:space="preserve">Budget </w:t>
        </w:r>
        <w:r w:rsidRPr="00C37C19">
          <w:rPr>
            <w:rStyle w:val="Hyperlink"/>
            <w:rFonts w:eastAsia="Calibri Light" w:cstheme="minorHAnsi"/>
            <w:i/>
            <w:szCs w:val="15"/>
          </w:rPr>
          <w:t xml:space="preserve"> 2023</w:t>
        </w:r>
        <w:r>
          <w:rPr>
            <w:rStyle w:val="Hyperlink"/>
            <w:rFonts w:eastAsia="Calibri Light" w:cstheme="minorHAnsi"/>
            <w:i/>
            <w:szCs w:val="15"/>
          </w:rPr>
          <w:t>–</w:t>
        </w:r>
        <w:r w:rsidRPr="00C37C19">
          <w:rPr>
            <w:rStyle w:val="Hyperlink"/>
            <w:rFonts w:eastAsia="Calibri Light" w:cstheme="minorHAnsi"/>
            <w:i/>
            <w:szCs w:val="15"/>
          </w:rPr>
          <w:t xml:space="preserve">24 – </w:t>
        </w:r>
        <w:r>
          <w:rPr>
            <w:rStyle w:val="Hyperlink"/>
            <w:rFonts w:eastAsia="Calibri Light" w:cstheme="minorHAnsi"/>
            <w:i/>
            <w:szCs w:val="15"/>
          </w:rPr>
          <w:t xml:space="preserve">Budget </w:t>
        </w:r>
        <w:r w:rsidRPr="00C37C19">
          <w:rPr>
            <w:rStyle w:val="Hyperlink"/>
            <w:rFonts w:eastAsia="Calibri Light" w:cstheme="minorHAnsi"/>
            <w:i/>
            <w:szCs w:val="15"/>
          </w:rPr>
          <w:t xml:space="preserve"> Paper No. 3</w:t>
        </w:r>
      </w:hyperlink>
      <w:r w:rsidRPr="00C37C19">
        <w:rPr>
          <w:rFonts w:eastAsia="Calibri Light" w:cstheme="minorHAnsi"/>
          <w:szCs w:val="15"/>
        </w:rPr>
        <w:t>, 2023, pp. 112, accessed 14 July 2023 (</w:t>
      </w:r>
      <w:hyperlink r:id="rId728">
        <w:r w:rsidRPr="00C37C19">
          <w:rPr>
            <w:rStyle w:val="Hyperlink"/>
            <w:rFonts w:eastAsia="Calibri Light" w:cstheme="minorHAnsi"/>
            <w:szCs w:val="15"/>
          </w:rPr>
          <w:t>https://s3.ap-southeast-2.amazonaws.com/</w:t>
        </w:r>
        <w:r>
          <w:rPr>
            <w:rStyle w:val="Hyperlink"/>
            <w:rFonts w:eastAsia="Calibri Light" w:cstheme="minorHAnsi"/>
            <w:szCs w:val="15"/>
          </w:rPr>
          <w:t xml:space="preserve">Budget </w:t>
        </w:r>
        <w:r w:rsidRPr="00C37C19">
          <w:rPr>
            <w:rStyle w:val="Hyperlink"/>
            <w:rFonts w:eastAsia="Calibri Light" w:cstheme="minorHAnsi"/>
            <w:szCs w:val="15"/>
          </w:rPr>
          <w:t>files202324.</w:t>
        </w:r>
        <w:r>
          <w:rPr>
            <w:rStyle w:val="Hyperlink"/>
            <w:rFonts w:eastAsia="Calibri Light" w:cstheme="minorHAnsi"/>
            <w:szCs w:val="15"/>
          </w:rPr>
          <w:t xml:space="preserve">Budget </w:t>
        </w:r>
        <w:r w:rsidRPr="00C37C19">
          <w:rPr>
            <w:rStyle w:val="Hyperlink"/>
            <w:rFonts w:eastAsia="Calibri Light" w:cstheme="minorHAnsi"/>
            <w:szCs w:val="15"/>
          </w:rPr>
          <w:t>.vic.gov.au/2023</w:t>
        </w:r>
        <w:r>
          <w:rPr>
            <w:rStyle w:val="Hyperlink"/>
            <w:rFonts w:eastAsia="Calibri Light" w:cstheme="minorHAnsi"/>
            <w:szCs w:val="15"/>
          </w:rPr>
          <w:t>–</w:t>
        </w:r>
        <w:r w:rsidRPr="00C37C19">
          <w:rPr>
            <w:rStyle w:val="Hyperlink"/>
            <w:rFonts w:eastAsia="Calibri Light" w:cstheme="minorHAnsi"/>
            <w:szCs w:val="15"/>
          </w:rPr>
          <w:t>24+State+</w:t>
        </w:r>
        <w:r>
          <w:rPr>
            <w:rStyle w:val="Hyperlink"/>
            <w:rFonts w:eastAsia="Calibri Light" w:cstheme="minorHAnsi"/>
            <w:szCs w:val="15"/>
          </w:rPr>
          <w:t xml:space="preserve">Budget </w:t>
        </w:r>
        <w:r w:rsidRPr="00C37C19">
          <w:rPr>
            <w:rStyle w:val="Hyperlink"/>
            <w:rFonts w:eastAsia="Calibri Light" w:cstheme="minorHAnsi"/>
            <w:szCs w:val="15"/>
          </w:rPr>
          <w:t>+-+Service+Delivery.pdf</w:t>
        </w:r>
      </w:hyperlink>
      <w:r w:rsidRPr="00C37C19">
        <w:rPr>
          <w:rFonts w:eastAsia="Calibri Light" w:cstheme="minorHAnsi"/>
          <w:szCs w:val="15"/>
        </w:rPr>
        <w:t>)</w:t>
      </w:r>
      <w:r>
        <w:rPr>
          <w:rFonts w:eastAsia="Calibri Light" w:cstheme="minorHAnsi"/>
          <w:szCs w:val="15"/>
        </w:rPr>
        <w:t>.</w:t>
      </w:r>
    </w:p>
  </w:endnote>
  <w:endnote w:id="598">
    <w:p w14:paraId="755EAE61" w14:textId="77777777" w:rsidR="00373ED9" w:rsidRPr="00C37C19" w:rsidRDefault="00373ED9" w:rsidP="00373ED9">
      <w:pPr>
        <w:pStyle w:val="EndnoteText"/>
        <w:rPr>
          <w:rFonts w:cstheme="minorHAnsi"/>
          <w:szCs w:val="15"/>
        </w:rPr>
      </w:pPr>
      <w:r w:rsidRPr="00C37C19">
        <w:rPr>
          <w:rStyle w:val="EndnoteReference"/>
          <w:rFonts w:eastAsia="Calibri Light" w:cstheme="minorHAnsi"/>
          <w:szCs w:val="15"/>
        </w:rPr>
        <w:endnoteRef/>
      </w:r>
      <w:r w:rsidRPr="00C37C19">
        <w:rPr>
          <w:rFonts w:eastAsia="Calibri Light" w:cstheme="minorHAnsi"/>
          <w:szCs w:val="15"/>
        </w:rPr>
        <w:t xml:space="preserve"> Infrastructure Victoria, </w:t>
      </w:r>
      <w:hyperlink r:id="rId729">
        <w:r w:rsidRPr="00C37C19">
          <w:rPr>
            <w:rStyle w:val="Hyperlink"/>
            <w:rFonts w:eastAsia="Calibri Light" w:cstheme="minorHAnsi"/>
            <w:i/>
            <w:szCs w:val="15"/>
          </w:rPr>
          <w:t>Victoria’s infrastructure strategy 2021</w:t>
        </w:r>
        <w:r>
          <w:rPr>
            <w:rStyle w:val="Hyperlink"/>
            <w:rFonts w:eastAsia="Calibri Light" w:cstheme="minorHAnsi"/>
            <w:i/>
            <w:szCs w:val="15"/>
          </w:rPr>
          <w:t>–</w:t>
        </w:r>
        <w:r w:rsidRPr="00C37C19">
          <w:rPr>
            <w:rStyle w:val="Hyperlink"/>
            <w:rFonts w:eastAsia="Calibri Light" w:cstheme="minorHAnsi"/>
            <w:i/>
            <w:szCs w:val="15"/>
          </w:rPr>
          <w:t>2051</w:t>
        </w:r>
      </w:hyperlink>
      <w:r w:rsidRPr="00C37C19">
        <w:rPr>
          <w:rFonts w:eastAsia="Calibri Light" w:cstheme="minorHAnsi"/>
          <w:szCs w:val="15"/>
        </w:rPr>
        <w:t>, 2021, p.159, accessed 14 July 2023</w:t>
      </w:r>
      <w:r>
        <w:rPr>
          <w:rFonts w:eastAsia="Calibri Light" w:cstheme="minorHAnsi"/>
          <w:szCs w:val="15"/>
        </w:rPr>
        <w:t>.</w:t>
      </w:r>
      <w:r w:rsidRPr="00C37C19">
        <w:rPr>
          <w:rFonts w:eastAsia="Calibri Light" w:cstheme="minorHAnsi"/>
          <w:szCs w:val="15"/>
        </w:rPr>
        <w:t xml:space="preserve"> </w:t>
      </w:r>
    </w:p>
  </w:endnote>
  <w:endnote w:id="599">
    <w:p w14:paraId="4C54C103" w14:textId="29B138D5" w:rsidR="00373ED9" w:rsidRPr="00F94251" w:rsidRDefault="00373ED9" w:rsidP="00373ED9">
      <w:pPr>
        <w:pStyle w:val="EndnoteText"/>
      </w:pPr>
      <w:r>
        <w:rPr>
          <w:rStyle w:val="EndnoteReference"/>
        </w:rPr>
        <w:endnoteRef/>
      </w:r>
      <w:r>
        <w:t xml:space="preserve"> Emergency Management Victoria, </w:t>
      </w:r>
      <w:hyperlink r:id="rId730" w:history="1">
        <w:r w:rsidRPr="00C62B67">
          <w:rPr>
            <w:rStyle w:val="Hyperlink"/>
            <w:i/>
            <w:iCs/>
          </w:rPr>
          <w:t>About us</w:t>
        </w:r>
      </w:hyperlink>
      <w:r>
        <w:t xml:space="preserve"> (website), n.d., accessed 26 July 2023.</w:t>
      </w:r>
    </w:p>
  </w:endnote>
  <w:endnote w:id="600">
    <w:p w14:paraId="6A7D8101" w14:textId="77777777" w:rsidR="00373ED9" w:rsidRPr="009B6BAD" w:rsidRDefault="00373ED9" w:rsidP="00373ED9">
      <w:pPr>
        <w:pStyle w:val="EndnoteText"/>
      </w:pPr>
      <w:r>
        <w:rPr>
          <w:rStyle w:val="EndnoteReference"/>
        </w:rPr>
        <w:endnoteRef/>
      </w:r>
      <w:r>
        <w:t xml:space="preserve"> Victorian State Emergency Services, </w:t>
      </w:r>
      <w:hyperlink r:id="rId731" w:history="1">
        <w:r w:rsidRPr="009B6BAD">
          <w:rPr>
            <w:rStyle w:val="Hyperlink"/>
            <w:i/>
            <w:iCs/>
          </w:rPr>
          <w:t>VICSES Community Matters Summer 2022</w:t>
        </w:r>
      </w:hyperlink>
      <w:r>
        <w:rPr>
          <w:i/>
          <w:iCs/>
        </w:rPr>
        <w:t xml:space="preserve">, </w:t>
      </w:r>
      <w:r>
        <w:t>2022, p.4, accessed 26 July 2023.</w:t>
      </w:r>
    </w:p>
  </w:endnote>
  <w:endnote w:id="601">
    <w:p w14:paraId="6BCAF94C" w14:textId="77777777" w:rsidR="00373ED9" w:rsidRPr="009B6BAD" w:rsidRDefault="00373ED9" w:rsidP="00373ED9">
      <w:pPr>
        <w:pStyle w:val="EndnoteText"/>
      </w:pPr>
      <w:r>
        <w:rPr>
          <w:rStyle w:val="EndnoteReference"/>
        </w:rPr>
        <w:endnoteRef/>
      </w:r>
      <w:r>
        <w:t xml:space="preserve"> Victorian State Emergency Services, </w:t>
      </w:r>
      <w:hyperlink r:id="rId732" w:history="1">
        <w:r w:rsidRPr="009B6BAD">
          <w:rPr>
            <w:rStyle w:val="Hyperlink"/>
            <w:i/>
            <w:iCs/>
          </w:rPr>
          <w:t>VICSES Community Matters Summer 2022</w:t>
        </w:r>
      </w:hyperlink>
      <w:r>
        <w:rPr>
          <w:i/>
          <w:iCs/>
        </w:rPr>
        <w:t xml:space="preserve">, </w:t>
      </w:r>
      <w:r>
        <w:t>2022, p.4, accessed 26 July 2023.</w:t>
      </w:r>
    </w:p>
  </w:endnote>
  <w:endnote w:id="602">
    <w:p w14:paraId="64CAD510" w14:textId="77777777" w:rsidR="00373ED9" w:rsidRDefault="00373ED9" w:rsidP="00373ED9">
      <w:pPr>
        <w:pStyle w:val="EndnoteText"/>
      </w:pPr>
      <w:r>
        <w:rPr>
          <w:rStyle w:val="EndnoteReference"/>
        </w:rPr>
        <w:endnoteRef/>
      </w:r>
      <w:r>
        <w:t xml:space="preserve"> Victorian State Emergency Services, </w:t>
      </w:r>
      <w:hyperlink r:id="rId733" w:history="1">
        <w:r w:rsidRPr="009B6BAD">
          <w:rPr>
            <w:rStyle w:val="Hyperlink"/>
            <w:i/>
            <w:iCs/>
          </w:rPr>
          <w:t>VICSES Community Matters Summer 2022</w:t>
        </w:r>
      </w:hyperlink>
      <w:r>
        <w:rPr>
          <w:i/>
          <w:iCs/>
        </w:rPr>
        <w:t xml:space="preserve">, </w:t>
      </w:r>
      <w:r>
        <w:t>2022, p.4, accessed 26 July 2023.</w:t>
      </w:r>
    </w:p>
  </w:endnote>
  <w:endnote w:id="603">
    <w:p w14:paraId="545CBBC6" w14:textId="77777777" w:rsidR="00373ED9" w:rsidRDefault="00373ED9" w:rsidP="00373ED9">
      <w:pPr>
        <w:pStyle w:val="EndnoteText"/>
      </w:pPr>
      <w:r>
        <w:rPr>
          <w:rStyle w:val="EndnoteReference"/>
        </w:rPr>
        <w:endnoteRef/>
      </w:r>
      <w:r>
        <w:t xml:space="preserve"> Victoria State Emergency Services, </w:t>
      </w:r>
      <w:hyperlink r:id="rId734" w:history="1">
        <w:r w:rsidRPr="009B6BAD">
          <w:rPr>
            <w:rStyle w:val="Hyperlink"/>
            <w:i/>
            <w:iCs/>
          </w:rPr>
          <w:t>VICSES Community Matters Summer 2022</w:t>
        </w:r>
      </w:hyperlink>
      <w:r>
        <w:rPr>
          <w:i/>
          <w:iCs/>
        </w:rPr>
        <w:t xml:space="preserve">, </w:t>
      </w:r>
      <w:r>
        <w:t>2022, p.7, accessed 26 July 2023.</w:t>
      </w:r>
    </w:p>
  </w:endnote>
  <w:endnote w:id="604">
    <w:p w14:paraId="049C8987" w14:textId="77777777" w:rsidR="00373ED9" w:rsidRPr="00B41CD0" w:rsidRDefault="00373ED9" w:rsidP="00373ED9">
      <w:pPr>
        <w:pStyle w:val="EndnoteText"/>
      </w:pPr>
      <w:r>
        <w:rPr>
          <w:rStyle w:val="EndnoteReference"/>
        </w:rPr>
        <w:endnoteRef/>
      </w:r>
      <w:r>
        <w:t xml:space="preserve"> Minister for Emergency Services, </w:t>
      </w:r>
      <w:hyperlink r:id="rId735" w:history="1">
        <w:r w:rsidRPr="002D24ED">
          <w:rPr>
            <w:rStyle w:val="Hyperlink"/>
            <w:i/>
            <w:iCs/>
          </w:rPr>
          <w:t>H</w:t>
        </w:r>
        <w:r>
          <w:rPr>
            <w:rStyle w:val="Hyperlink"/>
            <w:i/>
            <w:iCs/>
          </w:rPr>
          <w:t>elping</w:t>
        </w:r>
        <w:r w:rsidRPr="002D24ED">
          <w:rPr>
            <w:rStyle w:val="Hyperlink"/>
            <w:i/>
            <w:iCs/>
          </w:rPr>
          <w:t xml:space="preserve"> flood-affected Shepparton resident</w:t>
        </w:r>
        <w:r>
          <w:rPr>
            <w:rStyle w:val="Hyperlink"/>
            <w:i/>
            <w:iCs/>
          </w:rPr>
          <w:t>s</w:t>
        </w:r>
        <w:r w:rsidRPr="002D24ED">
          <w:rPr>
            <w:rStyle w:val="Hyperlink"/>
            <w:i/>
            <w:iCs/>
          </w:rPr>
          <w:t xml:space="preserve"> return home</w:t>
        </w:r>
      </w:hyperlink>
      <w:r>
        <w:rPr>
          <w:i/>
          <w:iCs/>
        </w:rPr>
        <w:t xml:space="preserve"> </w:t>
      </w:r>
      <w:r>
        <w:t>(media release), 6 April 2023, accessed 26 July 2023.</w:t>
      </w:r>
    </w:p>
  </w:endnote>
  <w:endnote w:id="605">
    <w:p w14:paraId="0454B76B" w14:textId="77777777" w:rsidR="00373ED9" w:rsidRDefault="00373ED9" w:rsidP="00373ED9">
      <w:pPr>
        <w:pStyle w:val="EndnoteText"/>
      </w:pPr>
      <w:r>
        <w:rPr>
          <w:rStyle w:val="EndnoteReference"/>
        </w:rPr>
        <w:endnoteRef/>
      </w:r>
      <w:r>
        <w:t xml:space="preserve"> </w:t>
      </w:r>
      <w:r>
        <w:rPr>
          <w:rStyle w:val="normaltextrun"/>
          <w:rFonts w:ascii="Calibri" w:hAnsi="Calibri" w:cs="Calibri"/>
          <w:color w:val="000000"/>
          <w:shd w:val="clear" w:color="auto" w:fill="FFFFFF"/>
        </w:rPr>
        <w:t xml:space="preserve">Department of Treasury and Finance, </w:t>
      </w:r>
      <w:hyperlink r:id="rId736" w:history="1">
        <w:r w:rsidRPr="00932FDF">
          <w:rPr>
            <w:rStyle w:val="Hyperlink"/>
            <w:rFonts w:ascii="Calibri" w:hAnsi="Calibri" w:cs="Calibri"/>
            <w:i/>
            <w:iCs/>
            <w:shd w:val="clear" w:color="auto" w:fill="FFFFFF"/>
          </w:rPr>
          <w:t>2022 Victorian Economic and Fiscal Update</w:t>
        </w:r>
      </w:hyperlink>
      <w:r>
        <w:rPr>
          <w:rStyle w:val="normaltextrun"/>
          <w:rFonts w:ascii="Calibri" w:hAnsi="Calibri" w:cs="Calibri"/>
          <w:color w:val="000000"/>
          <w:shd w:val="clear" w:color="auto" w:fill="FFFFFF"/>
        </w:rPr>
        <w:t xml:space="preserve">, 2022, p.78, </w:t>
      </w:r>
      <w:r w:rsidRPr="00AB5765">
        <w:rPr>
          <w:rStyle w:val="normaltextrun"/>
          <w:rFonts w:ascii="Calibri" w:hAnsi="Calibri" w:cs="Calibri"/>
          <w:color w:val="000000"/>
          <w:shd w:val="clear" w:color="auto" w:fill="FFFFFF"/>
        </w:rPr>
        <w:t>acc</w:t>
      </w:r>
      <w:r w:rsidRPr="00AB5765">
        <w:rPr>
          <w:rStyle w:val="normaltextrun"/>
          <w:rFonts w:ascii="Calibri" w:hAnsi="Calibri" w:cs="Calibri"/>
          <w:color w:val="000000"/>
        </w:rPr>
        <w:t>essed 26 July 2023</w:t>
      </w:r>
      <w:r>
        <w:rPr>
          <w:rStyle w:val="normaltextrun"/>
          <w:rFonts w:ascii="Calibri" w:hAnsi="Calibri" w:cs="Calibri"/>
          <w:color w:val="000000"/>
        </w:rPr>
        <w:t>.</w:t>
      </w:r>
    </w:p>
  </w:endnote>
  <w:endnote w:id="606">
    <w:p w14:paraId="410D4043" w14:textId="77777777" w:rsidR="00373ED9" w:rsidRDefault="00373ED9" w:rsidP="00373ED9">
      <w:pPr>
        <w:pStyle w:val="EndnoteText"/>
      </w:pPr>
      <w:r>
        <w:rPr>
          <w:rStyle w:val="EndnoteReference"/>
        </w:rPr>
        <w:endnoteRef/>
      </w:r>
      <w:r>
        <w:t xml:space="preserve"> </w:t>
      </w:r>
      <w:r>
        <w:rPr>
          <w:rStyle w:val="normaltextrun"/>
          <w:rFonts w:ascii="Calibri" w:hAnsi="Calibri" w:cs="Calibri"/>
          <w:color w:val="000000"/>
          <w:shd w:val="clear" w:color="auto" w:fill="FFFFFF"/>
        </w:rPr>
        <w:t xml:space="preserve">Department of Treasury and Finance, </w:t>
      </w:r>
      <w:hyperlink r:id="rId737" w:history="1">
        <w:r w:rsidRPr="00932FDF">
          <w:rPr>
            <w:rStyle w:val="Hyperlink"/>
            <w:rFonts w:ascii="Calibri" w:hAnsi="Calibri" w:cs="Calibri"/>
            <w:i/>
            <w:iCs/>
            <w:shd w:val="clear" w:color="auto" w:fill="FFFFFF"/>
          </w:rPr>
          <w:t>2022 Victorian Economic and Fiscal Update</w:t>
        </w:r>
      </w:hyperlink>
      <w:r>
        <w:rPr>
          <w:rStyle w:val="normaltextrun"/>
          <w:rFonts w:ascii="Calibri" w:hAnsi="Calibri" w:cs="Calibri"/>
          <w:color w:val="000000"/>
          <w:shd w:val="clear" w:color="auto" w:fill="FFFFFF"/>
        </w:rPr>
        <w:t xml:space="preserve">, 2022, p.78, </w:t>
      </w:r>
      <w:r w:rsidRPr="00AB5765">
        <w:rPr>
          <w:rStyle w:val="normaltextrun"/>
          <w:rFonts w:ascii="Calibri" w:hAnsi="Calibri" w:cs="Calibri"/>
          <w:color w:val="000000"/>
          <w:shd w:val="clear" w:color="auto" w:fill="FFFFFF"/>
        </w:rPr>
        <w:t>acc</w:t>
      </w:r>
      <w:r w:rsidRPr="00AB5765">
        <w:rPr>
          <w:rStyle w:val="normaltextrun"/>
          <w:rFonts w:ascii="Calibri" w:hAnsi="Calibri" w:cs="Calibri"/>
          <w:color w:val="000000"/>
        </w:rPr>
        <w:t>essed 26 July 2023</w:t>
      </w:r>
      <w:r>
        <w:rPr>
          <w:rStyle w:val="normaltextrun"/>
          <w:rFonts w:ascii="Calibri" w:hAnsi="Calibri" w:cs="Calibri"/>
          <w:color w:val="000000"/>
        </w:rPr>
        <w:t>.</w:t>
      </w:r>
    </w:p>
  </w:endnote>
  <w:endnote w:id="607">
    <w:p w14:paraId="3467339D" w14:textId="77777777" w:rsidR="00373ED9" w:rsidRDefault="00373ED9" w:rsidP="00373ED9">
      <w:pPr>
        <w:pStyle w:val="EndnoteText"/>
      </w:pPr>
      <w:r>
        <w:rPr>
          <w:rStyle w:val="EndnoteReference"/>
        </w:rPr>
        <w:endnoteRef/>
      </w:r>
      <w:r>
        <w:t xml:space="preserve"> </w:t>
      </w:r>
      <w:r w:rsidRPr="00C37C19">
        <w:rPr>
          <w:rFonts w:eastAsia="Calibri Light" w:cstheme="minorHAnsi"/>
          <w:szCs w:val="15"/>
        </w:rPr>
        <w:t xml:space="preserve">Department of Treasury and Finance, </w:t>
      </w:r>
      <w:hyperlink r:id="rId738" w:anchor="budget-paper-3-service-delivery">
        <w:r w:rsidRPr="00C37C19">
          <w:rPr>
            <w:rStyle w:val="Hyperlink"/>
            <w:rFonts w:eastAsia="Calibri Light" w:cstheme="minorHAnsi"/>
            <w:i/>
            <w:szCs w:val="15"/>
          </w:rPr>
          <w:t xml:space="preserve">Victorian </w:t>
        </w:r>
        <w:r>
          <w:rPr>
            <w:rStyle w:val="Hyperlink"/>
            <w:rFonts w:eastAsia="Calibri Light" w:cstheme="minorHAnsi"/>
            <w:i/>
            <w:szCs w:val="15"/>
          </w:rPr>
          <w:t xml:space="preserve">Budget </w:t>
        </w:r>
        <w:r w:rsidRPr="00C37C19">
          <w:rPr>
            <w:rStyle w:val="Hyperlink"/>
            <w:rFonts w:eastAsia="Calibri Light" w:cstheme="minorHAnsi"/>
            <w:i/>
            <w:szCs w:val="15"/>
          </w:rPr>
          <w:t xml:space="preserve"> 2023</w:t>
        </w:r>
        <w:r>
          <w:rPr>
            <w:rStyle w:val="Hyperlink"/>
            <w:rFonts w:eastAsia="Calibri Light" w:cstheme="minorHAnsi"/>
            <w:i/>
            <w:szCs w:val="15"/>
          </w:rPr>
          <w:t>–</w:t>
        </w:r>
        <w:r w:rsidRPr="00C37C19">
          <w:rPr>
            <w:rStyle w:val="Hyperlink"/>
            <w:rFonts w:eastAsia="Calibri Light" w:cstheme="minorHAnsi"/>
            <w:i/>
            <w:szCs w:val="15"/>
          </w:rPr>
          <w:t xml:space="preserve">24 – </w:t>
        </w:r>
        <w:r>
          <w:rPr>
            <w:rStyle w:val="Hyperlink"/>
            <w:rFonts w:eastAsia="Calibri Light" w:cstheme="minorHAnsi"/>
            <w:i/>
            <w:szCs w:val="15"/>
          </w:rPr>
          <w:t xml:space="preserve">Budget </w:t>
        </w:r>
        <w:r w:rsidRPr="00C37C19">
          <w:rPr>
            <w:rStyle w:val="Hyperlink"/>
            <w:rFonts w:eastAsia="Calibri Light" w:cstheme="minorHAnsi"/>
            <w:i/>
            <w:szCs w:val="15"/>
          </w:rPr>
          <w:t xml:space="preserve"> Paper No. 3</w:t>
        </w:r>
      </w:hyperlink>
      <w:r w:rsidRPr="00C37C19">
        <w:rPr>
          <w:rFonts w:eastAsia="Calibri Light" w:cstheme="minorHAnsi"/>
          <w:szCs w:val="15"/>
        </w:rPr>
        <w:t>, 2023, p</w:t>
      </w:r>
      <w:r>
        <w:rPr>
          <w:rFonts w:eastAsia="Calibri Light" w:cstheme="minorHAnsi"/>
          <w:szCs w:val="15"/>
        </w:rPr>
        <w:t>p</w:t>
      </w:r>
      <w:r w:rsidRPr="00C37C19">
        <w:rPr>
          <w:rFonts w:eastAsia="Calibri Light" w:cstheme="minorHAnsi"/>
          <w:szCs w:val="15"/>
        </w:rPr>
        <w:t xml:space="preserve">. </w:t>
      </w:r>
      <w:r>
        <w:rPr>
          <w:rFonts w:eastAsia="Calibri Light" w:cstheme="minorHAnsi"/>
          <w:szCs w:val="15"/>
        </w:rPr>
        <w:t>7, 10</w:t>
      </w:r>
      <w:r w:rsidRPr="00C37C19">
        <w:rPr>
          <w:rFonts w:eastAsia="Calibri Light" w:cstheme="minorHAnsi"/>
          <w:szCs w:val="15"/>
        </w:rPr>
        <w:t xml:space="preserve">, accessed </w:t>
      </w:r>
      <w:r>
        <w:rPr>
          <w:rFonts w:eastAsia="Calibri Light" w:cstheme="minorHAnsi"/>
          <w:szCs w:val="15"/>
        </w:rPr>
        <w:t>26</w:t>
      </w:r>
      <w:r w:rsidRPr="00C37C19">
        <w:rPr>
          <w:rFonts w:eastAsia="Calibri Light" w:cstheme="minorHAnsi"/>
          <w:szCs w:val="15"/>
        </w:rPr>
        <w:t xml:space="preserve"> July 2023 (</w:t>
      </w:r>
      <w:hyperlink r:id="rId739">
        <w:r w:rsidRPr="00C37C19">
          <w:rPr>
            <w:rStyle w:val="Hyperlink"/>
            <w:rFonts w:eastAsia="Calibri Light" w:cstheme="minorHAnsi"/>
            <w:szCs w:val="15"/>
          </w:rPr>
          <w:t>https://s3.ap-southeast-2.amazonaws.com/</w:t>
        </w:r>
        <w:r>
          <w:rPr>
            <w:rStyle w:val="Hyperlink"/>
            <w:rFonts w:eastAsia="Calibri Light" w:cstheme="minorHAnsi"/>
            <w:szCs w:val="15"/>
          </w:rPr>
          <w:t xml:space="preserve">Budget </w:t>
        </w:r>
        <w:r w:rsidRPr="00C37C19">
          <w:rPr>
            <w:rStyle w:val="Hyperlink"/>
            <w:rFonts w:eastAsia="Calibri Light" w:cstheme="minorHAnsi"/>
            <w:szCs w:val="15"/>
          </w:rPr>
          <w:t>files202324.</w:t>
        </w:r>
        <w:r>
          <w:rPr>
            <w:rStyle w:val="Hyperlink"/>
            <w:rFonts w:eastAsia="Calibri Light" w:cstheme="minorHAnsi"/>
            <w:szCs w:val="15"/>
          </w:rPr>
          <w:t xml:space="preserve">Budget </w:t>
        </w:r>
        <w:r w:rsidRPr="00C37C19">
          <w:rPr>
            <w:rStyle w:val="Hyperlink"/>
            <w:rFonts w:eastAsia="Calibri Light" w:cstheme="minorHAnsi"/>
            <w:szCs w:val="15"/>
          </w:rPr>
          <w:t>.vic.gov.au/2023</w:t>
        </w:r>
        <w:r>
          <w:rPr>
            <w:rStyle w:val="Hyperlink"/>
            <w:rFonts w:eastAsia="Calibri Light" w:cstheme="minorHAnsi"/>
            <w:szCs w:val="15"/>
          </w:rPr>
          <w:t>–</w:t>
        </w:r>
        <w:r w:rsidRPr="00C37C19">
          <w:rPr>
            <w:rStyle w:val="Hyperlink"/>
            <w:rFonts w:eastAsia="Calibri Light" w:cstheme="minorHAnsi"/>
            <w:szCs w:val="15"/>
          </w:rPr>
          <w:t>24+State+</w:t>
        </w:r>
        <w:r>
          <w:rPr>
            <w:rStyle w:val="Hyperlink"/>
            <w:rFonts w:eastAsia="Calibri Light" w:cstheme="minorHAnsi"/>
            <w:szCs w:val="15"/>
          </w:rPr>
          <w:t xml:space="preserve">Budget </w:t>
        </w:r>
        <w:r w:rsidRPr="00C37C19">
          <w:rPr>
            <w:rStyle w:val="Hyperlink"/>
            <w:rFonts w:eastAsia="Calibri Light" w:cstheme="minorHAnsi"/>
            <w:szCs w:val="15"/>
          </w:rPr>
          <w:t>+-+Service+Delivery.pdf</w:t>
        </w:r>
      </w:hyperlink>
      <w:r w:rsidRPr="00C37C19">
        <w:rPr>
          <w:rFonts w:eastAsia="Calibri Light" w:cstheme="minorHAnsi"/>
          <w:szCs w:val="15"/>
        </w:rPr>
        <w:t>)</w:t>
      </w:r>
      <w:r>
        <w:rPr>
          <w:rFonts w:eastAsia="Calibri Light" w:cstheme="minorHAnsi"/>
          <w:szCs w:val="15"/>
        </w:rPr>
        <w:t>.</w:t>
      </w:r>
    </w:p>
  </w:endnote>
  <w:endnote w:id="608">
    <w:p w14:paraId="7633EFBD" w14:textId="77777777" w:rsidR="00373ED9" w:rsidRDefault="00373ED9" w:rsidP="00373ED9">
      <w:pPr>
        <w:pStyle w:val="EndnoteText"/>
      </w:pPr>
      <w:r>
        <w:rPr>
          <w:rStyle w:val="EndnoteReference"/>
        </w:rPr>
        <w:endnoteRef/>
      </w:r>
      <w:r>
        <w:t xml:space="preserve"> </w:t>
      </w:r>
      <w:r w:rsidRPr="00C37C19">
        <w:rPr>
          <w:rFonts w:eastAsia="Calibri Light" w:cstheme="minorHAnsi"/>
          <w:szCs w:val="15"/>
        </w:rPr>
        <w:t xml:space="preserve">Department of Treasury and Finance, </w:t>
      </w:r>
      <w:hyperlink r:id="rId740" w:anchor="budget-paper-3-service-delivery">
        <w:r w:rsidRPr="00C37C19">
          <w:rPr>
            <w:rStyle w:val="Hyperlink"/>
            <w:rFonts w:eastAsia="Calibri Light" w:cstheme="minorHAnsi"/>
            <w:i/>
            <w:szCs w:val="15"/>
          </w:rPr>
          <w:t xml:space="preserve">Victorian </w:t>
        </w:r>
        <w:r>
          <w:rPr>
            <w:rStyle w:val="Hyperlink"/>
            <w:rFonts w:eastAsia="Calibri Light" w:cstheme="minorHAnsi"/>
            <w:i/>
            <w:szCs w:val="15"/>
          </w:rPr>
          <w:t xml:space="preserve">Budget </w:t>
        </w:r>
        <w:r w:rsidRPr="00C37C19">
          <w:rPr>
            <w:rStyle w:val="Hyperlink"/>
            <w:rFonts w:eastAsia="Calibri Light" w:cstheme="minorHAnsi"/>
            <w:i/>
            <w:szCs w:val="15"/>
          </w:rPr>
          <w:t xml:space="preserve"> 2023</w:t>
        </w:r>
        <w:r>
          <w:rPr>
            <w:rStyle w:val="Hyperlink"/>
            <w:rFonts w:eastAsia="Calibri Light" w:cstheme="minorHAnsi"/>
            <w:i/>
            <w:szCs w:val="15"/>
          </w:rPr>
          <w:t>–</w:t>
        </w:r>
        <w:r w:rsidRPr="00C37C19">
          <w:rPr>
            <w:rStyle w:val="Hyperlink"/>
            <w:rFonts w:eastAsia="Calibri Light" w:cstheme="minorHAnsi"/>
            <w:i/>
            <w:szCs w:val="15"/>
          </w:rPr>
          <w:t xml:space="preserve">24 – </w:t>
        </w:r>
        <w:r>
          <w:rPr>
            <w:rStyle w:val="Hyperlink"/>
            <w:rFonts w:eastAsia="Calibri Light" w:cstheme="minorHAnsi"/>
            <w:i/>
            <w:szCs w:val="15"/>
          </w:rPr>
          <w:t xml:space="preserve">Budget </w:t>
        </w:r>
        <w:r w:rsidRPr="00C37C19">
          <w:rPr>
            <w:rStyle w:val="Hyperlink"/>
            <w:rFonts w:eastAsia="Calibri Light" w:cstheme="minorHAnsi"/>
            <w:i/>
            <w:szCs w:val="15"/>
          </w:rPr>
          <w:t xml:space="preserve"> Paper No. 3</w:t>
        </w:r>
      </w:hyperlink>
      <w:r w:rsidRPr="00C37C19">
        <w:rPr>
          <w:rFonts w:eastAsia="Calibri Light" w:cstheme="minorHAnsi"/>
          <w:szCs w:val="15"/>
        </w:rPr>
        <w:t xml:space="preserve">, 2023, p. </w:t>
      </w:r>
      <w:r>
        <w:rPr>
          <w:rFonts w:eastAsia="Calibri Light" w:cstheme="minorHAnsi"/>
          <w:szCs w:val="15"/>
        </w:rPr>
        <w:t>10</w:t>
      </w:r>
      <w:r w:rsidRPr="00C37C19">
        <w:rPr>
          <w:rFonts w:eastAsia="Calibri Light" w:cstheme="minorHAnsi"/>
          <w:szCs w:val="15"/>
        </w:rPr>
        <w:t xml:space="preserve">, accessed </w:t>
      </w:r>
      <w:r>
        <w:rPr>
          <w:rFonts w:eastAsia="Calibri Light" w:cstheme="minorHAnsi"/>
          <w:szCs w:val="15"/>
        </w:rPr>
        <w:t>26</w:t>
      </w:r>
      <w:r w:rsidRPr="00C37C19">
        <w:rPr>
          <w:rFonts w:eastAsia="Calibri Light" w:cstheme="minorHAnsi"/>
          <w:szCs w:val="15"/>
        </w:rPr>
        <w:t xml:space="preserve"> July 2023 (</w:t>
      </w:r>
      <w:hyperlink r:id="rId741">
        <w:r w:rsidRPr="00C37C19">
          <w:rPr>
            <w:rStyle w:val="Hyperlink"/>
            <w:rFonts w:eastAsia="Calibri Light" w:cstheme="minorHAnsi"/>
            <w:szCs w:val="15"/>
          </w:rPr>
          <w:t>https://s3.ap-southeast-2.amazonaws.com/</w:t>
        </w:r>
        <w:r>
          <w:rPr>
            <w:rStyle w:val="Hyperlink"/>
            <w:rFonts w:eastAsia="Calibri Light" w:cstheme="minorHAnsi"/>
            <w:szCs w:val="15"/>
          </w:rPr>
          <w:t xml:space="preserve">Budget </w:t>
        </w:r>
        <w:r w:rsidRPr="00C37C19">
          <w:rPr>
            <w:rStyle w:val="Hyperlink"/>
            <w:rFonts w:eastAsia="Calibri Light" w:cstheme="minorHAnsi"/>
            <w:szCs w:val="15"/>
          </w:rPr>
          <w:t>files202324.</w:t>
        </w:r>
        <w:r>
          <w:rPr>
            <w:rStyle w:val="Hyperlink"/>
            <w:rFonts w:eastAsia="Calibri Light" w:cstheme="minorHAnsi"/>
            <w:szCs w:val="15"/>
          </w:rPr>
          <w:t xml:space="preserve">Budget </w:t>
        </w:r>
        <w:r w:rsidRPr="00C37C19">
          <w:rPr>
            <w:rStyle w:val="Hyperlink"/>
            <w:rFonts w:eastAsia="Calibri Light" w:cstheme="minorHAnsi"/>
            <w:szCs w:val="15"/>
          </w:rPr>
          <w:t>.vic.gov.au/2023</w:t>
        </w:r>
        <w:r>
          <w:rPr>
            <w:rStyle w:val="Hyperlink"/>
            <w:rFonts w:eastAsia="Calibri Light" w:cstheme="minorHAnsi"/>
            <w:szCs w:val="15"/>
          </w:rPr>
          <w:t>–</w:t>
        </w:r>
        <w:r w:rsidRPr="00C37C19">
          <w:rPr>
            <w:rStyle w:val="Hyperlink"/>
            <w:rFonts w:eastAsia="Calibri Light" w:cstheme="minorHAnsi"/>
            <w:szCs w:val="15"/>
          </w:rPr>
          <w:t>24+State+</w:t>
        </w:r>
        <w:r>
          <w:rPr>
            <w:rStyle w:val="Hyperlink"/>
            <w:rFonts w:eastAsia="Calibri Light" w:cstheme="minorHAnsi"/>
            <w:szCs w:val="15"/>
          </w:rPr>
          <w:t xml:space="preserve">Budget </w:t>
        </w:r>
        <w:r w:rsidRPr="00C37C19">
          <w:rPr>
            <w:rStyle w:val="Hyperlink"/>
            <w:rFonts w:eastAsia="Calibri Light" w:cstheme="minorHAnsi"/>
            <w:szCs w:val="15"/>
          </w:rPr>
          <w:t>+-+Service+Delivery.pdf</w:t>
        </w:r>
      </w:hyperlink>
      <w:r w:rsidRPr="00C37C19">
        <w:rPr>
          <w:rFonts w:eastAsia="Calibri Light" w:cstheme="minorHAnsi"/>
          <w:szCs w:val="15"/>
        </w:rPr>
        <w:t>)</w:t>
      </w:r>
      <w:r>
        <w:rPr>
          <w:rFonts w:eastAsia="Calibri Light" w:cstheme="minorHAnsi"/>
          <w:szCs w:val="15"/>
        </w:rPr>
        <w:t>.</w:t>
      </w:r>
    </w:p>
  </w:endnote>
  <w:endnote w:id="609">
    <w:p w14:paraId="41812078" w14:textId="77777777" w:rsidR="00373ED9" w:rsidRPr="00E2727D" w:rsidRDefault="00373ED9" w:rsidP="00373ED9">
      <w:pPr>
        <w:pStyle w:val="EndnoteText"/>
      </w:pPr>
      <w:r>
        <w:rPr>
          <w:rStyle w:val="EndnoteReference"/>
        </w:rPr>
        <w:endnoteRef/>
      </w:r>
      <w:r>
        <w:t xml:space="preserve"> Victorian Government, </w:t>
      </w:r>
      <w:hyperlink r:id="rId742" w:history="1">
        <w:r w:rsidRPr="009838C2">
          <w:rPr>
            <w:rStyle w:val="Hyperlink"/>
            <w:i/>
            <w:iCs/>
          </w:rPr>
          <w:t>Bushfire recovery grants for community facilities</w:t>
        </w:r>
      </w:hyperlink>
      <w:r>
        <w:t xml:space="preserve"> (website), n.d., accessed 26 July 2023.</w:t>
      </w:r>
    </w:p>
  </w:endnote>
  <w:endnote w:id="610">
    <w:p w14:paraId="11C76A59" w14:textId="77777777" w:rsidR="00373ED9" w:rsidRPr="00E2727D" w:rsidRDefault="00373ED9" w:rsidP="00373ED9">
      <w:pPr>
        <w:pStyle w:val="EndnoteText"/>
      </w:pPr>
      <w:r>
        <w:rPr>
          <w:rStyle w:val="EndnoteReference"/>
        </w:rPr>
        <w:endnoteRef/>
      </w:r>
      <w:r>
        <w:t xml:space="preserve"> Victorian Government, </w:t>
      </w:r>
      <w:hyperlink r:id="rId743" w:history="1">
        <w:r w:rsidRPr="009838C2">
          <w:rPr>
            <w:rStyle w:val="Hyperlink"/>
            <w:i/>
            <w:iCs/>
          </w:rPr>
          <w:t>Bushfire recovery grants for community facilities</w:t>
        </w:r>
      </w:hyperlink>
      <w:r>
        <w:t xml:space="preserve"> (website), n.d., accessed 26 July 2023.</w:t>
      </w:r>
    </w:p>
  </w:endnote>
  <w:endnote w:id="611">
    <w:p w14:paraId="2A478823" w14:textId="77777777" w:rsidR="00373ED9" w:rsidRPr="00553072" w:rsidRDefault="00373ED9" w:rsidP="00373ED9">
      <w:pPr>
        <w:pStyle w:val="EndnoteText"/>
      </w:pPr>
      <w:r>
        <w:rPr>
          <w:rStyle w:val="EndnoteReference"/>
        </w:rPr>
        <w:endnoteRef/>
      </w:r>
      <w:r>
        <w:t xml:space="preserve"> Minister for Emergency Services, </w:t>
      </w:r>
      <w:hyperlink r:id="rId744" w:history="1">
        <w:r w:rsidRPr="000226CE">
          <w:rPr>
            <w:rStyle w:val="Hyperlink"/>
            <w:i/>
            <w:iCs/>
          </w:rPr>
          <w:t>First relief centre for Aborigina</w:t>
        </w:r>
        <w:bookmarkStart w:id="103" w:name="_Hlt142925310"/>
        <w:bookmarkStart w:id="104" w:name="_Hlt142925311"/>
        <w:r w:rsidRPr="000226CE">
          <w:rPr>
            <w:rStyle w:val="Hyperlink"/>
            <w:i/>
            <w:iCs/>
          </w:rPr>
          <w:t>l</w:t>
        </w:r>
        <w:bookmarkEnd w:id="103"/>
        <w:bookmarkEnd w:id="104"/>
        <w:r w:rsidRPr="000226CE">
          <w:rPr>
            <w:rStyle w:val="Hyperlink"/>
            <w:i/>
            <w:iCs/>
          </w:rPr>
          <w:t xml:space="preserve"> </w:t>
        </w:r>
        <w:r>
          <w:rPr>
            <w:rStyle w:val="Hyperlink"/>
            <w:i/>
            <w:iCs/>
          </w:rPr>
          <w:t>c</w:t>
        </w:r>
        <w:r w:rsidRPr="000226CE">
          <w:rPr>
            <w:rStyle w:val="Hyperlink"/>
            <w:i/>
            <w:iCs/>
          </w:rPr>
          <w:t>ommunity in Gippsland</w:t>
        </w:r>
      </w:hyperlink>
      <w:r>
        <w:rPr>
          <w:i/>
          <w:iCs/>
        </w:rPr>
        <w:t xml:space="preserve"> </w:t>
      </w:r>
      <w:r>
        <w:t>(media release), 8 September 2022, accessed 26 July 2023.</w:t>
      </w:r>
    </w:p>
  </w:endnote>
  <w:endnote w:id="612">
    <w:p w14:paraId="153E7C36" w14:textId="77777777" w:rsidR="00373ED9" w:rsidRPr="00553072" w:rsidRDefault="00373ED9" w:rsidP="00373ED9">
      <w:pPr>
        <w:pStyle w:val="EndnoteText"/>
      </w:pPr>
      <w:r>
        <w:rPr>
          <w:rStyle w:val="EndnoteReference"/>
        </w:rPr>
        <w:endnoteRef/>
      </w:r>
      <w:r>
        <w:t xml:space="preserve"> Minister for Emergency Services, </w:t>
      </w:r>
      <w:hyperlink r:id="rId745" w:history="1">
        <w:r w:rsidRPr="000226CE">
          <w:rPr>
            <w:rStyle w:val="Hyperlink"/>
            <w:i/>
            <w:iCs/>
          </w:rPr>
          <w:t xml:space="preserve">First relief centre for Aboriginal </w:t>
        </w:r>
        <w:r>
          <w:rPr>
            <w:rStyle w:val="Hyperlink"/>
            <w:i/>
            <w:iCs/>
          </w:rPr>
          <w:t>c</w:t>
        </w:r>
        <w:r w:rsidRPr="000226CE">
          <w:rPr>
            <w:rStyle w:val="Hyperlink"/>
            <w:i/>
            <w:iCs/>
          </w:rPr>
          <w:t>ommunity in Gippsland</w:t>
        </w:r>
      </w:hyperlink>
      <w:r>
        <w:rPr>
          <w:i/>
          <w:iCs/>
        </w:rPr>
        <w:t xml:space="preserve"> </w:t>
      </w:r>
      <w:r>
        <w:t>(media release), 8 September 2022, accessed 26 July 2023.</w:t>
      </w:r>
    </w:p>
  </w:endnote>
  <w:endnote w:id="613">
    <w:p w14:paraId="192FE0C3" w14:textId="77777777" w:rsidR="00373ED9" w:rsidRDefault="00373ED9" w:rsidP="00373ED9">
      <w:pPr>
        <w:pStyle w:val="EndnoteText"/>
      </w:pPr>
      <w:r>
        <w:rPr>
          <w:rStyle w:val="EndnoteReference"/>
        </w:rPr>
        <w:endnoteRef/>
      </w:r>
      <w:r>
        <w:t xml:space="preserve"> </w:t>
      </w:r>
      <w:r w:rsidRPr="00C37C19">
        <w:rPr>
          <w:rFonts w:eastAsia="Calibri Light" w:cstheme="minorHAnsi"/>
          <w:szCs w:val="15"/>
        </w:rPr>
        <w:t xml:space="preserve">Department of Treasury and Finance, </w:t>
      </w:r>
      <w:hyperlink r:id="rId746" w:anchor="budget-paper-3-service-delivery">
        <w:r w:rsidRPr="00C37C19">
          <w:rPr>
            <w:rStyle w:val="Hyperlink"/>
            <w:rFonts w:eastAsia="Calibri Light" w:cstheme="minorHAnsi"/>
            <w:i/>
            <w:szCs w:val="15"/>
          </w:rPr>
          <w:t xml:space="preserve">Victorian </w:t>
        </w:r>
        <w:r>
          <w:rPr>
            <w:rStyle w:val="Hyperlink"/>
            <w:rFonts w:eastAsia="Calibri Light" w:cstheme="minorHAnsi"/>
            <w:i/>
            <w:szCs w:val="15"/>
          </w:rPr>
          <w:t xml:space="preserve">Budget </w:t>
        </w:r>
        <w:r w:rsidRPr="00C37C19">
          <w:rPr>
            <w:rStyle w:val="Hyperlink"/>
            <w:rFonts w:eastAsia="Calibri Light" w:cstheme="minorHAnsi"/>
            <w:i/>
            <w:szCs w:val="15"/>
          </w:rPr>
          <w:t xml:space="preserve"> 2023</w:t>
        </w:r>
        <w:r>
          <w:rPr>
            <w:rStyle w:val="Hyperlink"/>
            <w:rFonts w:eastAsia="Calibri Light" w:cstheme="minorHAnsi"/>
            <w:i/>
            <w:szCs w:val="15"/>
          </w:rPr>
          <w:t>–</w:t>
        </w:r>
        <w:r w:rsidRPr="00C37C19">
          <w:rPr>
            <w:rStyle w:val="Hyperlink"/>
            <w:rFonts w:eastAsia="Calibri Light" w:cstheme="minorHAnsi"/>
            <w:i/>
            <w:szCs w:val="15"/>
          </w:rPr>
          <w:t xml:space="preserve">24 – </w:t>
        </w:r>
        <w:r>
          <w:rPr>
            <w:rStyle w:val="Hyperlink"/>
            <w:rFonts w:eastAsia="Calibri Light" w:cstheme="minorHAnsi"/>
            <w:i/>
            <w:szCs w:val="15"/>
          </w:rPr>
          <w:t xml:space="preserve">Budget </w:t>
        </w:r>
        <w:r w:rsidRPr="00C37C19">
          <w:rPr>
            <w:rStyle w:val="Hyperlink"/>
            <w:rFonts w:eastAsia="Calibri Light" w:cstheme="minorHAnsi"/>
            <w:i/>
            <w:szCs w:val="15"/>
          </w:rPr>
          <w:t xml:space="preserve"> Paper No. 3</w:t>
        </w:r>
      </w:hyperlink>
      <w:r w:rsidRPr="00C37C19">
        <w:rPr>
          <w:rFonts w:eastAsia="Calibri Light" w:cstheme="minorHAnsi"/>
          <w:szCs w:val="15"/>
        </w:rPr>
        <w:t xml:space="preserve">, 2023, p. </w:t>
      </w:r>
      <w:r>
        <w:rPr>
          <w:rFonts w:eastAsia="Calibri Light" w:cstheme="minorHAnsi"/>
          <w:szCs w:val="15"/>
        </w:rPr>
        <w:t>96</w:t>
      </w:r>
      <w:r w:rsidRPr="00C37C19">
        <w:rPr>
          <w:rFonts w:eastAsia="Calibri Light" w:cstheme="minorHAnsi"/>
          <w:szCs w:val="15"/>
        </w:rPr>
        <w:t xml:space="preserve">, accessed </w:t>
      </w:r>
      <w:r>
        <w:rPr>
          <w:rFonts w:eastAsia="Calibri Light" w:cstheme="minorHAnsi"/>
          <w:szCs w:val="15"/>
        </w:rPr>
        <w:t>27</w:t>
      </w:r>
      <w:r w:rsidRPr="00C37C19">
        <w:rPr>
          <w:rFonts w:eastAsia="Calibri Light" w:cstheme="minorHAnsi"/>
          <w:szCs w:val="15"/>
        </w:rPr>
        <w:t xml:space="preserve"> July 2023 (</w:t>
      </w:r>
      <w:hyperlink r:id="rId747">
        <w:r w:rsidRPr="00C37C19">
          <w:rPr>
            <w:rStyle w:val="Hyperlink"/>
            <w:rFonts w:eastAsia="Calibri Light" w:cstheme="minorHAnsi"/>
            <w:szCs w:val="15"/>
          </w:rPr>
          <w:t>https://s3.ap-southeast-2.amazonaws.com/</w:t>
        </w:r>
        <w:r>
          <w:rPr>
            <w:rStyle w:val="Hyperlink"/>
            <w:rFonts w:eastAsia="Calibri Light" w:cstheme="minorHAnsi"/>
            <w:szCs w:val="15"/>
          </w:rPr>
          <w:t xml:space="preserve">Budget </w:t>
        </w:r>
        <w:r w:rsidRPr="00C37C19">
          <w:rPr>
            <w:rStyle w:val="Hyperlink"/>
            <w:rFonts w:eastAsia="Calibri Light" w:cstheme="minorHAnsi"/>
            <w:szCs w:val="15"/>
          </w:rPr>
          <w:t>files202324.</w:t>
        </w:r>
        <w:r>
          <w:rPr>
            <w:rStyle w:val="Hyperlink"/>
            <w:rFonts w:eastAsia="Calibri Light" w:cstheme="minorHAnsi"/>
            <w:szCs w:val="15"/>
          </w:rPr>
          <w:t xml:space="preserve">Budget </w:t>
        </w:r>
        <w:r w:rsidRPr="00C37C19">
          <w:rPr>
            <w:rStyle w:val="Hyperlink"/>
            <w:rFonts w:eastAsia="Calibri Light" w:cstheme="minorHAnsi"/>
            <w:szCs w:val="15"/>
          </w:rPr>
          <w:t>.vic.gov.au/2023</w:t>
        </w:r>
        <w:r>
          <w:rPr>
            <w:rStyle w:val="Hyperlink"/>
            <w:rFonts w:eastAsia="Calibri Light" w:cstheme="minorHAnsi"/>
            <w:szCs w:val="15"/>
          </w:rPr>
          <w:t>–</w:t>
        </w:r>
        <w:r w:rsidRPr="00C37C19">
          <w:rPr>
            <w:rStyle w:val="Hyperlink"/>
            <w:rFonts w:eastAsia="Calibri Light" w:cstheme="minorHAnsi"/>
            <w:szCs w:val="15"/>
          </w:rPr>
          <w:t>24+State+</w:t>
        </w:r>
        <w:r>
          <w:rPr>
            <w:rStyle w:val="Hyperlink"/>
            <w:rFonts w:eastAsia="Calibri Light" w:cstheme="minorHAnsi"/>
            <w:szCs w:val="15"/>
          </w:rPr>
          <w:t xml:space="preserve">Budget </w:t>
        </w:r>
        <w:r w:rsidRPr="00C37C19">
          <w:rPr>
            <w:rStyle w:val="Hyperlink"/>
            <w:rFonts w:eastAsia="Calibri Light" w:cstheme="minorHAnsi"/>
            <w:szCs w:val="15"/>
          </w:rPr>
          <w:t>+-+Service+Delivery.pdf</w:t>
        </w:r>
      </w:hyperlink>
      <w:r w:rsidRPr="00C37C19">
        <w:rPr>
          <w:rFonts w:eastAsia="Calibri Light" w:cstheme="minorHAnsi"/>
          <w:szCs w:val="15"/>
        </w:rPr>
        <w:t>)</w:t>
      </w:r>
      <w:r>
        <w:rPr>
          <w:rFonts w:eastAsia="Calibri Light" w:cstheme="minorHAnsi"/>
          <w:szCs w:val="15"/>
        </w:rPr>
        <w:t>.</w:t>
      </w:r>
    </w:p>
  </w:endnote>
  <w:endnote w:id="614">
    <w:p w14:paraId="5CCE54B5" w14:textId="77777777" w:rsidR="00373ED9" w:rsidRDefault="00373ED9" w:rsidP="00373ED9">
      <w:pPr>
        <w:pStyle w:val="EndnoteText"/>
      </w:pPr>
      <w:r>
        <w:rPr>
          <w:rStyle w:val="EndnoteReference"/>
        </w:rPr>
        <w:endnoteRef/>
      </w:r>
      <w:r>
        <w:t xml:space="preserve"> </w:t>
      </w:r>
      <w:r w:rsidRPr="00C37C19">
        <w:rPr>
          <w:rFonts w:eastAsia="Calibri Light" w:cstheme="minorHAnsi"/>
          <w:szCs w:val="15"/>
        </w:rPr>
        <w:t xml:space="preserve">Department of Treasury and Finance, </w:t>
      </w:r>
      <w:hyperlink r:id="rId748" w:anchor="budget-paper-3-service-delivery">
        <w:r w:rsidRPr="00C37C19">
          <w:rPr>
            <w:rStyle w:val="Hyperlink"/>
            <w:rFonts w:eastAsia="Calibri Light" w:cstheme="minorHAnsi"/>
            <w:i/>
            <w:szCs w:val="15"/>
          </w:rPr>
          <w:t xml:space="preserve">Victorian </w:t>
        </w:r>
        <w:r>
          <w:rPr>
            <w:rStyle w:val="Hyperlink"/>
            <w:rFonts w:eastAsia="Calibri Light" w:cstheme="minorHAnsi"/>
            <w:i/>
            <w:szCs w:val="15"/>
          </w:rPr>
          <w:t xml:space="preserve">Budget </w:t>
        </w:r>
        <w:r w:rsidRPr="00C37C19">
          <w:rPr>
            <w:rStyle w:val="Hyperlink"/>
            <w:rFonts w:eastAsia="Calibri Light" w:cstheme="minorHAnsi"/>
            <w:i/>
            <w:szCs w:val="15"/>
          </w:rPr>
          <w:t xml:space="preserve"> 2023</w:t>
        </w:r>
        <w:r>
          <w:rPr>
            <w:rStyle w:val="Hyperlink"/>
            <w:rFonts w:eastAsia="Calibri Light" w:cstheme="minorHAnsi"/>
            <w:i/>
            <w:szCs w:val="15"/>
          </w:rPr>
          <w:t>–</w:t>
        </w:r>
        <w:r w:rsidRPr="00C37C19">
          <w:rPr>
            <w:rStyle w:val="Hyperlink"/>
            <w:rFonts w:eastAsia="Calibri Light" w:cstheme="minorHAnsi"/>
            <w:i/>
            <w:szCs w:val="15"/>
          </w:rPr>
          <w:t xml:space="preserve">24 – </w:t>
        </w:r>
        <w:r>
          <w:rPr>
            <w:rStyle w:val="Hyperlink"/>
            <w:rFonts w:eastAsia="Calibri Light" w:cstheme="minorHAnsi"/>
            <w:i/>
            <w:szCs w:val="15"/>
          </w:rPr>
          <w:t xml:space="preserve">Budget </w:t>
        </w:r>
        <w:r w:rsidRPr="00C37C19">
          <w:rPr>
            <w:rStyle w:val="Hyperlink"/>
            <w:rFonts w:eastAsia="Calibri Light" w:cstheme="minorHAnsi"/>
            <w:i/>
            <w:szCs w:val="15"/>
          </w:rPr>
          <w:t xml:space="preserve"> Paper No. 3</w:t>
        </w:r>
      </w:hyperlink>
      <w:r w:rsidRPr="00C37C19">
        <w:rPr>
          <w:rFonts w:eastAsia="Calibri Light" w:cstheme="minorHAnsi"/>
          <w:szCs w:val="15"/>
        </w:rPr>
        <w:t>, 2023, p</w:t>
      </w:r>
      <w:r>
        <w:rPr>
          <w:rFonts w:eastAsia="Calibri Light" w:cstheme="minorHAnsi"/>
          <w:szCs w:val="15"/>
        </w:rPr>
        <w:t>p</w:t>
      </w:r>
      <w:r w:rsidRPr="00C37C19">
        <w:rPr>
          <w:rFonts w:eastAsia="Calibri Light" w:cstheme="minorHAnsi"/>
          <w:szCs w:val="15"/>
        </w:rPr>
        <w:t xml:space="preserve">. </w:t>
      </w:r>
      <w:r>
        <w:rPr>
          <w:rFonts w:eastAsia="Calibri Light" w:cstheme="minorHAnsi"/>
          <w:szCs w:val="15"/>
        </w:rPr>
        <w:t>82, 91</w:t>
      </w:r>
      <w:r w:rsidRPr="00C37C19">
        <w:rPr>
          <w:rFonts w:eastAsia="Calibri Light" w:cstheme="minorHAnsi"/>
          <w:szCs w:val="15"/>
        </w:rPr>
        <w:t xml:space="preserve">, accessed </w:t>
      </w:r>
      <w:r>
        <w:rPr>
          <w:rFonts w:eastAsia="Calibri Light" w:cstheme="minorHAnsi"/>
          <w:szCs w:val="15"/>
        </w:rPr>
        <w:t>26</w:t>
      </w:r>
      <w:r w:rsidRPr="00C37C19">
        <w:rPr>
          <w:rFonts w:eastAsia="Calibri Light" w:cstheme="minorHAnsi"/>
          <w:szCs w:val="15"/>
        </w:rPr>
        <w:t xml:space="preserve"> July 2023 (</w:t>
      </w:r>
      <w:hyperlink r:id="rId749">
        <w:r w:rsidRPr="00C37C19">
          <w:rPr>
            <w:rStyle w:val="Hyperlink"/>
            <w:rFonts w:eastAsia="Calibri Light" w:cstheme="minorHAnsi"/>
            <w:szCs w:val="15"/>
          </w:rPr>
          <w:t>https://s3.ap-southeast-2.amazonaws.com/</w:t>
        </w:r>
        <w:r>
          <w:rPr>
            <w:rStyle w:val="Hyperlink"/>
            <w:rFonts w:eastAsia="Calibri Light" w:cstheme="minorHAnsi"/>
            <w:szCs w:val="15"/>
          </w:rPr>
          <w:t xml:space="preserve">Budget </w:t>
        </w:r>
        <w:r w:rsidRPr="00C37C19">
          <w:rPr>
            <w:rStyle w:val="Hyperlink"/>
            <w:rFonts w:eastAsia="Calibri Light" w:cstheme="minorHAnsi"/>
            <w:szCs w:val="15"/>
          </w:rPr>
          <w:t>files202324.</w:t>
        </w:r>
        <w:r>
          <w:rPr>
            <w:rStyle w:val="Hyperlink"/>
            <w:rFonts w:eastAsia="Calibri Light" w:cstheme="minorHAnsi"/>
            <w:szCs w:val="15"/>
          </w:rPr>
          <w:t xml:space="preserve">Budget </w:t>
        </w:r>
        <w:r w:rsidRPr="00C37C19">
          <w:rPr>
            <w:rStyle w:val="Hyperlink"/>
            <w:rFonts w:eastAsia="Calibri Light" w:cstheme="minorHAnsi"/>
            <w:szCs w:val="15"/>
          </w:rPr>
          <w:t>.vic.gov.au/2023</w:t>
        </w:r>
        <w:r>
          <w:rPr>
            <w:rStyle w:val="Hyperlink"/>
            <w:rFonts w:eastAsia="Calibri Light" w:cstheme="minorHAnsi"/>
            <w:szCs w:val="15"/>
          </w:rPr>
          <w:t>–</w:t>
        </w:r>
        <w:r w:rsidRPr="00C37C19">
          <w:rPr>
            <w:rStyle w:val="Hyperlink"/>
            <w:rFonts w:eastAsia="Calibri Light" w:cstheme="minorHAnsi"/>
            <w:szCs w:val="15"/>
          </w:rPr>
          <w:t>24+State+</w:t>
        </w:r>
        <w:r>
          <w:rPr>
            <w:rStyle w:val="Hyperlink"/>
            <w:rFonts w:eastAsia="Calibri Light" w:cstheme="minorHAnsi"/>
            <w:szCs w:val="15"/>
          </w:rPr>
          <w:t xml:space="preserve">Budget </w:t>
        </w:r>
        <w:r w:rsidRPr="00C37C19">
          <w:rPr>
            <w:rStyle w:val="Hyperlink"/>
            <w:rFonts w:eastAsia="Calibri Light" w:cstheme="minorHAnsi"/>
            <w:szCs w:val="15"/>
          </w:rPr>
          <w:t>+-+Service+Delivery.pdf</w:t>
        </w:r>
      </w:hyperlink>
      <w:r w:rsidRPr="00C37C19">
        <w:rPr>
          <w:rFonts w:eastAsia="Calibri Light" w:cstheme="minorHAnsi"/>
          <w:szCs w:val="15"/>
        </w:rPr>
        <w:t>)</w:t>
      </w:r>
      <w:r>
        <w:rPr>
          <w:rFonts w:eastAsia="Calibri Light" w:cstheme="minorHAnsi"/>
          <w:szCs w:val="15"/>
        </w:rPr>
        <w:t>.</w:t>
      </w:r>
    </w:p>
  </w:endnote>
  <w:endnote w:id="615">
    <w:p w14:paraId="7294829C" w14:textId="77777777" w:rsidR="00373ED9" w:rsidRDefault="00373ED9" w:rsidP="00373ED9">
      <w:pPr>
        <w:pStyle w:val="EndnoteText"/>
      </w:pPr>
      <w:r>
        <w:rPr>
          <w:rStyle w:val="EndnoteReference"/>
        </w:rPr>
        <w:endnoteRef/>
      </w:r>
      <w:r>
        <w:t xml:space="preserve"> </w:t>
      </w:r>
      <w:r w:rsidRPr="00C37C19">
        <w:rPr>
          <w:rFonts w:eastAsia="Calibri Light" w:cstheme="minorHAnsi"/>
          <w:szCs w:val="15"/>
        </w:rPr>
        <w:t xml:space="preserve">Department of Treasury and Finance, </w:t>
      </w:r>
      <w:hyperlink r:id="rId750" w:anchor="budget-paper-3-service-delivery">
        <w:r w:rsidRPr="00C37C19">
          <w:rPr>
            <w:rStyle w:val="Hyperlink"/>
            <w:rFonts w:eastAsia="Calibri Light" w:cstheme="minorHAnsi"/>
            <w:i/>
            <w:szCs w:val="15"/>
          </w:rPr>
          <w:t xml:space="preserve">Victorian </w:t>
        </w:r>
        <w:r>
          <w:rPr>
            <w:rStyle w:val="Hyperlink"/>
            <w:rFonts w:eastAsia="Calibri Light" w:cstheme="minorHAnsi"/>
            <w:i/>
            <w:szCs w:val="15"/>
          </w:rPr>
          <w:t xml:space="preserve">Budget </w:t>
        </w:r>
        <w:r w:rsidRPr="00C37C19">
          <w:rPr>
            <w:rStyle w:val="Hyperlink"/>
            <w:rFonts w:eastAsia="Calibri Light" w:cstheme="minorHAnsi"/>
            <w:i/>
            <w:szCs w:val="15"/>
          </w:rPr>
          <w:t xml:space="preserve"> 2023</w:t>
        </w:r>
        <w:r>
          <w:rPr>
            <w:rStyle w:val="Hyperlink"/>
            <w:rFonts w:eastAsia="Calibri Light" w:cstheme="minorHAnsi"/>
            <w:i/>
            <w:szCs w:val="15"/>
          </w:rPr>
          <w:t>–</w:t>
        </w:r>
        <w:r w:rsidRPr="00C37C19">
          <w:rPr>
            <w:rStyle w:val="Hyperlink"/>
            <w:rFonts w:eastAsia="Calibri Light" w:cstheme="minorHAnsi"/>
            <w:i/>
            <w:szCs w:val="15"/>
          </w:rPr>
          <w:t xml:space="preserve">24 – </w:t>
        </w:r>
        <w:r>
          <w:rPr>
            <w:rStyle w:val="Hyperlink"/>
            <w:rFonts w:eastAsia="Calibri Light" w:cstheme="minorHAnsi"/>
            <w:i/>
            <w:szCs w:val="15"/>
          </w:rPr>
          <w:t xml:space="preserve">Budget </w:t>
        </w:r>
        <w:r w:rsidRPr="00C37C19">
          <w:rPr>
            <w:rStyle w:val="Hyperlink"/>
            <w:rFonts w:eastAsia="Calibri Light" w:cstheme="minorHAnsi"/>
            <w:i/>
            <w:szCs w:val="15"/>
          </w:rPr>
          <w:t xml:space="preserve"> Paper No. 3</w:t>
        </w:r>
      </w:hyperlink>
      <w:r w:rsidRPr="00C37C19">
        <w:rPr>
          <w:rFonts w:eastAsia="Calibri Light" w:cstheme="minorHAnsi"/>
          <w:szCs w:val="15"/>
        </w:rPr>
        <w:t xml:space="preserve">, 2023, p. </w:t>
      </w:r>
      <w:r>
        <w:rPr>
          <w:rFonts w:eastAsia="Calibri Light" w:cstheme="minorHAnsi"/>
          <w:szCs w:val="15"/>
        </w:rPr>
        <w:t>91</w:t>
      </w:r>
      <w:r w:rsidRPr="00C37C19">
        <w:rPr>
          <w:rFonts w:eastAsia="Calibri Light" w:cstheme="minorHAnsi"/>
          <w:szCs w:val="15"/>
        </w:rPr>
        <w:t xml:space="preserve">, accessed </w:t>
      </w:r>
      <w:r>
        <w:rPr>
          <w:rFonts w:eastAsia="Calibri Light" w:cstheme="minorHAnsi"/>
          <w:szCs w:val="15"/>
        </w:rPr>
        <w:t>26</w:t>
      </w:r>
      <w:r w:rsidRPr="00C37C19">
        <w:rPr>
          <w:rFonts w:eastAsia="Calibri Light" w:cstheme="minorHAnsi"/>
          <w:szCs w:val="15"/>
        </w:rPr>
        <w:t xml:space="preserve"> July 2023 (</w:t>
      </w:r>
      <w:hyperlink r:id="rId751">
        <w:r w:rsidRPr="00C37C19">
          <w:rPr>
            <w:rStyle w:val="Hyperlink"/>
            <w:rFonts w:eastAsia="Calibri Light" w:cstheme="minorHAnsi"/>
            <w:szCs w:val="15"/>
          </w:rPr>
          <w:t>https://s3.ap-southeast-2.amazonaws.com/</w:t>
        </w:r>
        <w:r>
          <w:rPr>
            <w:rStyle w:val="Hyperlink"/>
            <w:rFonts w:eastAsia="Calibri Light" w:cstheme="minorHAnsi"/>
            <w:szCs w:val="15"/>
          </w:rPr>
          <w:t xml:space="preserve">Budget </w:t>
        </w:r>
        <w:r w:rsidRPr="00C37C19">
          <w:rPr>
            <w:rStyle w:val="Hyperlink"/>
            <w:rFonts w:eastAsia="Calibri Light" w:cstheme="minorHAnsi"/>
            <w:szCs w:val="15"/>
          </w:rPr>
          <w:t>files202324.</w:t>
        </w:r>
        <w:r>
          <w:rPr>
            <w:rStyle w:val="Hyperlink"/>
            <w:rFonts w:eastAsia="Calibri Light" w:cstheme="minorHAnsi"/>
            <w:szCs w:val="15"/>
          </w:rPr>
          <w:t xml:space="preserve">Budget </w:t>
        </w:r>
        <w:r w:rsidRPr="00C37C19">
          <w:rPr>
            <w:rStyle w:val="Hyperlink"/>
            <w:rFonts w:eastAsia="Calibri Light" w:cstheme="minorHAnsi"/>
            <w:szCs w:val="15"/>
          </w:rPr>
          <w:t>.vic.gov.au/2023</w:t>
        </w:r>
        <w:r>
          <w:rPr>
            <w:rStyle w:val="Hyperlink"/>
            <w:rFonts w:eastAsia="Calibri Light" w:cstheme="minorHAnsi"/>
            <w:szCs w:val="15"/>
          </w:rPr>
          <w:t>–</w:t>
        </w:r>
        <w:r w:rsidRPr="00C37C19">
          <w:rPr>
            <w:rStyle w:val="Hyperlink"/>
            <w:rFonts w:eastAsia="Calibri Light" w:cstheme="minorHAnsi"/>
            <w:szCs w:val="15"/>
          </w:rPr>
          <w:t>24+State+</w:t>
        </w:r>
        <w:r>
          <w:rPr>
            <w:rStyle w:val="Hyperlink"/>
            <w:rFonts w:eastAsia="Calibri Light" w:cstheme="minorHAnsi"/>
            <w:szCs w:val="15"/>
          </w:rPr>
          <w:t xml:space="preserve">Budget </w:t>
        </w:r>
        <w:r w:rsidRPr="00C37C19">
          <w:rPr>
            <w:rStyle w:val="Hyperlink"/>
            <w:rFonts w:eastAsia="Calibri Light" w:cstheme="minorHAnsi"/>
            <w:szCs w:val="15"/>
          </w:rPr>
          <w:t>+-+Service+Delivery.pdf</w:t>
        </w:r>
      </w:hyperlink>
      <w:r w:rsidRPr="00C37C19">
        <w:rPr>
          <w:rFonts w:eastAsia="Calibri Light" w:cstheme="minorHAnsi"/>
          <w:szCs w:val="15"/>
        </w:rPr>
        <w:t>)</w:t>
      </w:r>
      <w:r>
        <w:rPr>
          <w:rFonts w:eastAsia="Calibri Light" w:cstheme="minorHAnsi"/>
          <w:szCs w:val="15"/>
        </w:rPr>
        <w:t>.</w:t>
      </w:r>
    </w:p>
  </w:endnote>
  <w:endnote w:id="616">
    <w:p w14:paraId="4663993A" w14:textId="77777777" w:rsidR="00373ED9" w:rsidRPr="005E0C5F" w:rsidRDefault="00373ED9" w:rsidP="00373ED9">
      <w:pPr>
        <w:pStyle w:val="EndnoteText"/>
      </w:pPr>
      <w:r>
        <w:rPr>
          <w:rStyle w:val="EndnoteReference"/>
        </w:rPr>
        <w:endnoteRef/>
      </w:r>
      <w:r>
        <w:t xml:space="preserve"> Minister for Emergency Services, </w:t>
      </w:r>
      <w:hyperlink r:id="rId752" w:history="1">
        <w:r w:rsidRPr="005E0C5F">
          <w:rPr>
            <w:rStyle w:val="Hyperlink"/>
            <w:i/>
            <w:iCs/>
          </w:rPr>
          <w:t>Victoria’s firefighting fleet ready for the fire season</w:t>
        </w:r>
      </w:hyperlink>
      <w:r>
        <w:rPr>
          <w:i/>
          <w:iCs/>
        </w:rPr>
        <w:t xml:space="preserve"> </w:t>
      </w:r>
      <w:r>
        <w:t>(media release), 14 December 2022, accessed 26 July 2023.</w:t>
      </w:r>
    </w:p>
  </w:endnote>
  <w:endnote w:id="617">
    <w:p w14:paraId="75FA17F7" w14:textId="77777777" w:rsidR="00373ED9" w:rsidRPr="00CB4EEC" w:rsidRDefault="00373ED9" w:rsidP="00373ED9">
      <w:pPr>
        <w:pStyle w:val="EndnoteText"/>
      </w:pPr>
      <w:r>
        <w:rPr>
          <w:rStyle w:val="EndnoteReference"/>
        </w:rPr>
        <w:endnoteRef/>
      </w:r>
      <w:r>
        <w:t xml:space="preserve"> Acting Minister for Emergency Services, </w:t>
      </w:r>
      <w:hyperlink r:id="rId753" w:history="1">
        <w:r w:rsidRPr="00E26C0F">
          <w:rPr>
            <w:rStyle w:val="Hyperlink"/>
            <w:i/>
            <w:iCs/>
          </w:rPr>
          <w:t>More heavy tanke</w:t>
        </w:r>
        <w:bookmarkStart w:id="105" w:name="_Hlt142925431"/>
        <w:bookmarkStart w:id="106" w:name="_Hlt142925432"/>
        <w:r w:rsidRPr="00E26C0F">
          <w:rPr>
            <w:rStyle w:val="Hyperlink"/>
            <w:i/>
            <w:iCs/>
          </w:rPr>
          <w:t>r</w:t>
        </w:r>
        <w:bookmarkEnd w:id="105"/>
        <w:bookmarkEnd w:id="106"/>
        <w:r w:rsidRPr="00E26C0F">
          <w:rPr>
            <w:rStyle w:val="Hyperlink"/>
            <w:i/>
            <w:iCs/>
          </w:rPr>
          <w:t>s for our hardworking volunteers</w:t>
        </w:r>
      </w:hyperlink>
      <w:r>
        <w:t xml:space="preserve"> (media release), 12 January 2023, accessed 26 July 2023.</w:t>
      </w:r>
    </w:p>
  </w:endnote>
  <w:endnote w:id="618">
    <w:p w14:paraId="16764D07" w14:textId="77777777" w:rsidR="00373ED9" w:rsidRPr="0051300B" w:rsidRDefault="00373ED9" w:rsidP="00373ED9">
      <w:pPr>
        <w:pStyle w:val="EndnoteText"/>
      </w:pPr>
      <w:r>
        <w:rPr>
          <w:rStyle w:val="EndnoteReference"/>
        </w:rPr>
        <w:endnoteRef/>
      </w:r>
      <w:r>
        <w:t xml:space="preserve"> Minister for Emergency Services, </w:t>
      </w:r>
      <w:hyperlink r:id="rId754" w:history="1">
        <w:r w:rsidRPr="00D44279">
          <w:rPr>
            <w:rStyle w:val="Hyperlink"/>
            <w:i/>
            <w:iCs/>
          </w:rPr>
          <w:t>Funding boost f</w:t>
        </w:r>
        <w:bookmarkStart w:id="107" w:name="_Hlt142925459"/>
        <w:bookmarkStart w:id="108" w:name="_Hlt142925460"/>
        <w:r w:rsidRPr="00D44279">
          <w:rPr>
            <w:rStyle w:val="Hyperlink"/>
            <w:i/>
            <w:iCs/>
          </w:rPr>
          <w:t>o</w:t>
        </w:r>
        <w:bookmarkEnd w:id="107"/>
        <w:bookmarkEnd w:id="108"/>
        <w:r w:rsidRPr="00D44279">
          <w:rPr>
            <w:rStyle w:val="Hyperlink"/>
            <w:i/>
            <w:iCs/>
          </w:rPr>
          <w:t>r volunteer emergency services</w:t>
        </w:r>
      </w:hyperlink>
      <w:r>
        <w:t xml:space="preserve"> (media release), 28 October 2022, accessed 26 July 2023.</w:t>
      </w:r>
    </w:p>
  </w:endnote>
  <w:endnote w:id="619">
    <w:p w14:paraId="5375C767" w14:textId="77777777" w:rsidR="00373ED9" w:rsidRPr="0051300B" w:rsidRDefault="00373ED9" w:rsidP="00373ED9">
      <w:pPr>
        <w:pStyle w:val="EndnoteText"/>
      </w:pPr>
      <w:r>
        <w:rPr>
          <w:rStyle w:val="EndnoteReference"/>
        </w:rPr>
        <w:endnoteRef/>
      </w:r>
      <w:r>
        <w:t xml:space="preserve"> Minister for Emergency Services, </w:t>
      </w:r>
      <w:hyperlink r:id="rId755" w:history="1">
        <w:r w:rsidRPr="00D44279">
          <w:rPr>
            <w:rStyle w:val="Hyperlink"/>
            <w:i/>
            <w:iCs/>
          </w:rPr>
          <w:t>Funding boost for volunteer emergency services</w:t>
        </w:r>
      </w:hyperlink>
      <w:r>
        <w:t xml:space="preserve"> (media release), 28 October 2022, accessed 26 July 2023.</w:t>
      </w:r>
    </w:p>
  </w:endnote>
  <w:endnote w:id="620">
    <w:p w14:paraId="686FADA8" w14:textId="4E469A12" w:rsidR="00373ED9" w:rsidRPr="00F440BF" w:rsidRDefault="00373ED9" w:rsidP="00373ED9">
      <w:pPr>
        <w:pStyle w:val="EndnoteText"/>
      </w:pPr>
      <w:r>
        <w:rPr>
          <w:rStyle w:val="EndnoteReference"/>
        </w:rPr>
        <w:endnoteRef/>
      </w:r>
      <w:r>
        <w:t xml:space="preserve"> Emergency Management Victoria, </w:t>
      </w:r>
      <w:hyperlink r:id="rId756" w:history="1">
        <w:r>
          <w:rPr>
            <w:rStyle w:val="Hyperlink"/>
            <w:i/>
            <w:iCs/>
          </w:rPr>
          <w:t>Safer and More Resilient Communities: Strategic Roadmap for Emergency Management in Victoria 2022–28</w:t>
        </w:r>
      </w:hyperlink>
      <w:r>
        <w:t>, 2022, accessed 26 July 2023.</w:t>
      </w:r>
    </w:p>
  </w:endnote>
  <w:endnote w:id="621">
    <w:p w14:paraId="1F65EDCF" w14:textId="16254FAD" w:rsidR="00373ED9" w:rsidRPr="00EB4F72" w:rsidRDefault="00373ED9" w:rsidP="00373ED9">
      <w:pPr>
        <w:pStyle w:val="EndnoteText"/>
      </w:pPr>
      <w:r>
        <w:rPr>
          <w:rStyle w:val="EndnoteReference"/>
        </w:rPr>
        <w:endnoteRef/>
      </w:r>
      <w:r>
        <w:t xml:space="preserve"> Emergency Management Victoria, </w:t>
      </w:r>
      <w:hyperlink r:id="rId757" w:history="1">
        <w:r>
          <w:rPr>
            <w:rStyle w:val="Hyperlink"/>
            <w:i/>
            <w:iCs/>
          </w:rPr>
          <w:t>Safer and More Resilient Communities: Strategic Roadmap for Emergency Management in Victoria 2022–28</w:t>
        </w:r>
      </w:hyperlink>
      <w:r>
        <w:t>, 2022, p.4 , accessed 26 July 2023.</w:t>
      </w:r>
    </w:p>
  </w:endnote>
  <w:endnote w:id="622">
    <w:p w14:paraId="2460E7A2" w14:textId="77777777" w:rsidR="00373ED9" w:rsidRDefault="00373ED9" w:rsidP="00373ED9">
      <w:pPr>
        <w:pStyle w:val="EndnoteText"/>
      </w:pPr>
      <w:r>
        <w:rPr>
          <w:rStyle w:val="EndnoteReference"/>
        </w:rPr>
        <w:endnoteRef/>
      </w:r>
      <w:r>
        <w:t xml:space="preserve"> Emergency Management Victoria, </w:t>
      </w:r>
      <w:hyperlink r:id="rId758" w:history="1">
        <w:r w:rsidRPr="0068251C">
          <w:rPr>
            <w:rStyle w:val="Hyperlink"/>
            <w:i/>
            <w:iCs/>
          </w:rPr>
          <w:t>Strategic Action</w:t>
        </w:r>
        <w:bookmarkStart w:id="109" w:name="_Hlt142936293"/>
        <w:bookmarkStart w:id="110" w:name="_Hlt142936294"/>
        <w:r w:rsidRPr="0068251C">
          <w:rPr>
            <w:rStyle w:val="Hyperlink"/>
            <w:i/>
            <w:iCs/>
          </w:rPr>
          <w:t xml:space="preserve"> </w:t>
        </w:r>
        <w:bookmarkEnd w:id="109"/>
        <w:bookmarkEnd w:id="110"/>
        <w:r w:rsidRPr="0068251C">
          <w:rPr>
            <w:rStyle w:val="Hyperlink"/>
            <w:i/>
            <w:iCs/>
          </w:rPr>
          <w:t>Plan (SAP) 2022–25</w:t>
        </w:r>
      </w:hyperlink>
      <w:r>
        <w:t>, 2022, accessed 31 July 2023.</w:t>
      </w:r>
    </w:p>
  </w:endnote>
  <w:endnote w:id="623">
    <w:p w14:paraId="34A2E5A1" w14:textId="77777777" w:rsidR="00373ED9" w:rsidRPr="00883D1C" w:rsidRDefault="00373ED9" w:rsidP="00373ED9">
      <w:pPr>
        <w:pStyle w:val="EndnoteText"/>
      </w:pPr>
      <w:r>
        <w:rPr>
          <w:rStyle w:val="EndnoteReference"/>
        </w:rPr>
        <w:endnoteRef/>
      </w:r>
      <w:r>
        <w:t xml:space="preserve"> Emergency Management Victoria, </w:t>
      </w:r>
      <w:hyperlink r:id="rId759" w:history="1">
        <w:r w:rsidRPr="00883D1C">
          <w:rPr>
            <w:rStyle w:val="Hyperlink"/>
            <w:i/>
            <w:iCs/>
          </w:rPr>
          <w:t>Year Two to Five Fire Service Reform Implementation Plan</w:t>
        </w:r>
      </w:hyperlink>
      <w:r>
        <w:rPr>
          <w:i/>
          <w:iCs/>
        </w:rPr>
        <w:t xml:space="preserve">, </w:t>
      </w:r>
      <w:r>
        <w:t>2023, accessed 26 July 2023.</w:t>
      </w:r>
    </w:p>
  </w:endnote>
  <w:endnote w:id="624">
    <w:p w14:paraId="685018AB" w14:textId="77777777" w:rsidR="00373ED9" w:rsidRPr="00883D1C" w:rsidRDefault="00373ED9" w:rsidP="00373ED9">
      <w:pPr>
        <w:pStyle w:val="EndnoteText"/>
      </w:pPr>
      <w:r>
        <w:rPr>
          <w:rStyle w:val="EndnoteReference"/>
        </w:rPr>
        <w:endnoteRef/>
      </w:r>
      <w:r>
        <w:t xml:space="preserve"> Emergency Management Victoria, </w:t>
      </w:r>
      <w:hyperlink r:id="rId760" w:history="1">
        <w:r w:rsidRPr="00883D1C">
          <w:rPr>
            <w:rStyle w:val="Hyperlink"/>
            <w:i/>
            <w:iCs/>
          </w:rPr>
          <w:t>Year Two to Five Fire Service Reform Implementation Plan</w:t>
        </w:r>
      </w:hyperlink>
      <w:r>
        <w:rPr>
          <w:i/>
          <w:iCs/>
        </w:rPr>
        <w:t xml:space="preserve">, </w:t>
      </w:r>
      <w:r>
        <w:t>2023, accessed 26 July 2023.</w:t>
      </w:r>
    </w:p>
  </w:endnote>
  <w:endnote w:id="625">
    <w:p w14:paraId="63CF4763" w14:textId="77777777" w:rsidR="00373ED9" w:rsidRDefault="00373ED9" w:rsidP="00373ED9">
      <w:pPr>
        <w:pStyle w:val="EndnoteText"/>
      </w:pPr>
      <w:r>
        <w:rPr>
          <w:rStyle w:val="EndnoteReference"/>
        </w:rPr>
        <w:endnoteRef/>
      </w:r>
      <w:r>
        <w:t xml:space="preserve"> </w:t>
      </w:r>
      <w:r w:rsidRPr="004A1190">
        <w:rPr>
          <w:szCs w:val="15"/>
        </w:rPr>
        <w:t xml:space="preserve">Department of Treasury and Finance, </w:t>
      </w:r>
      <w:hyperlink r:id="rId761" w:anchor="budget-paper-3-service-delivery" w:history="1">
        <w:r w:rsidRPr="004A1190">
          <w:rPr>
            <w:rStyle w:val="Hyperlink"/>
            <w:i/>
            <w:iCs/>
            <w:szCs w:val="15"/>
          </w:rPr>
          <w:t>Victorian Budget 2023</w:t>
        </w:r>
        <w:r>
          <w:rPr>
            <w:rStyle w:val="Hyperlink"/>
            <w:i/>
            <w:iCs/>
            <w:szCs w:val="15"/>
          </w:rPr>
          <w:t>–</w:t>
        </w:r>
        <w:r w:rsidRPr="004A1190">
          <w:rPr>
            <w:rStyle w:val="Hyperlink"/>
            <w:i/>
            <w:iCs/>
            <w:szCs w:val="15"/>
          </w:rPr>
          <w:t>24 – Budget Paper No. 3</w:t>
        </w:r>
      </w:hyperlink>
      <w:r w:rsidRPr="004A1190">
        <w:rPr>
          <w:szCs w:val="15"/>
        </w:rPr>
        <w:t>, 2023, p</w:t>
      </w:r>
      <w:r>
        <w:rPr>
          <w:szCs w:val="15"/>
        </w:rPr>
        <w:t>p.</w:t>
      </w:r>
      <w:r w:rsidRPr="004A1190">
        <w:rPr>
          <w:szCs w:val="15"/>
        </w:rPr>
        <w:t xml:space="preserve"> </w:t>
      </w:r>
      <w:r>
        <w:rPr>
          <w:szCs w:val="15"/>
        </w:rPr>
        <w:t>82, 84</w:t>
      </w:r>
      <w:r w:rsidRPr="004A1190">
        <w:rPr>
          <w:szCs w:val="15"/>
        </w:rPr>
        <w:t>, accessed</w:t>
      </w:r>
      <w:r>
        <w:rPr>
          <w:szCs w:val="15"/>
        </w:rPr>
        <w:t xml:space="preserve"> 26 July 2023</w:t>
      </w:r>
      <w:r w:rsidRPr="004A1190">
        <w:rPr>
          <w:szCs w:val="15"/>
        </w:rPr>
        <w:t xml:space="preserve"> (</w:t>
      </w:r>
      <w:hyperlink r:id="rId762" w:history="1">
        <w:r w:rsidRPr="004A1190">
          <w:rPr>
            <w:rStyle w:val="Hyperlink"/>
            <w:szCs w:val="15"/>
          </w:rPr>
          <w:t>https://s3.ap-southeast-2.amazonaws.com/budgetfiles202324.budget.vic.gov.au/2023</w:t>
        </w:r>
        <w:r>
          <w:rPr>
            <w:rStyle w:val="Hyperlink"/>
            <w:szCs w:val="15"/>
          </w:rPr>
          <w:t>–</w:t>
        </w:r>
        <w:r w:rsidRPr="004A1190">
          <w:rPr>
            <w:rStyle w:val="Hyperlink"/>
            <w:szCs w:val="15"/>
          </w:rPr>
          <w:t>24+State+Budget+-+Service+Delivery.pdf</w:t>
        </w:r>
      </w:hyperlink>
      <w:r w:rsidRPr="004A1190">
        <w:rPr>
          <w:szCs w:val="15"/>
        </w:rPr>
        <w:t>)</w:t>
      </w:r>
      <w:r>
        <w:rPr>
          <w:szCs w:val="15"/>
        </w:rPr>
        <w:t>.</w:t>
      </w:r>
    </w:p>
  </w:endnote>
  <w:endnote w:id="626">
    <w:p w14:paraId="21F2970E" w14:textId="77777777" w:rsidR="00373ED9" w:rsidRDefault="00373ED9" w:rsidP="00373ED9">
      <w:pPr>
        <w:pStyle w:val="EndnoteText"/>
      </w:pPr>
      <w:r>
        <w:rPr>
          <w:rStyle w:val="EndnoteReference"/>
        </w:rPr>
        <w:endnoteRef/>
      </w:r>
      <w:r>
        <w:t xml:space="preserve"> </w:t>
      </w:r>
      <w:r w:rsidRPr="004A1190">
        <w:rPr>
          <w:szCs w:val="15"/>
        </w:rPr>
        <w:t xml:space="preserve">Department of Treasury and Finance, </w:t>
      </w:r>
      <w:hyperlink r:id="rId763" w:anchor="budget-paper-3-service-delivery" w:history="1">
        <w:r w:rsidRPr="004A1190">
          <w:rPr>
            <w:rStyle w:val="Hyperlink"/>
            <w:i/>
            <w:iCs/>
            <w:szCs w:val="15"/>
          </w:rPr>
          <w:t>Victorian Budget 2023</w:t>
        </w:r>
        <w:r>
          <w:rPr>
            <w:rStyle w:val="Hyperlink"/>
            <w:i/>
            <w:iCs/>
            <w:szCs w:val="15"/>
          </w:rPr>
          <w:t>–</w:t>
        </w:r>
        <w:r w:rsidRPr="004A1190">
          <w:rPr>
            <w:rStyle w:val="Hyperlink"/>
            <w:i/>
            <w:iCs/>
            <w:szCs w:val="15"/>
          </w:rPr>
          <w:t>24 – Budget Paper No. 3</w:t>
        </w:r>
      </w:hyperlink>
      <w:r w:rsidRPr="004A1190">
        <w:rPr>
          <w:szCs w:val="15"/>
        </w:rPr>
        <w:t>, 2023, p</w:t>
      </w:r>
      <w:r>
        <w:rPr>
          <w:szCs w:val="15"/>
        </w:rPr>
        <w:t>p.</w:t>
      </w:r>
      <w:r w:rsidRPr="004A1190">
        <w:rPr>
          <w:szCs w:val="15"/>
        </w:rPr>
        <w:t xml:space="preserve"> </w:t>
      </w:r>
      <w:r>
        <w:rPr>
          <w:szCs w:val="15"/>
        </w:rPr>
        <w:t>82, 84</w:t>
      </w:r>
      <w:r w:rsidRPr="004A1190">
        <w:rPr>
          <w:szCs w:val="15"/>
        </w:rPr>
        <w:t>, accessed</w:t>
      </w:r>
      <w:r>
        <w:rPr>
          <w:szCs w:val="15"/>
        </w:rPr>
        <w:t xml:space="preserve"> 26 July 2023</w:t>
      </w:r>
      <w:r w:rsidRPr="004A1190">
        <w:rPr>
          <w:szCs w:val="15"/>
        </w:rPr>
        <w:t xml:space="preserve"> (</w:t>
      </w:r>
      <w:hyperlink r:id="rId764" w:history="1">
        <w:r w:rsidRPr="004A1190">
          <w:rPr>
            <w:rStyle w:val="Hyperlink"/>
            <w:szCs w:val="15"/>
          </w:rPr>
          <w:t>https://s3.ap-southeast-2.amazonaws.com/budgetfiles202324.budget.vic.gov.au/2023</w:t>
        </w:r>
        <w:r>
          <w:rPr>
            <w:rStyle w:val="Hyperlink"/>
            <w:szCs w:val="15"/>
          </w:rPr>
          <w:t>–</w:t>
        </w:r>
        <w:r w:rsidRPr="004A1190">
          <w:rPr>
            <w:rStyle w:val="Hyperlink"/>
            <w:szCs w:val="15"/>
          </w:rPr>
          <w:t>24+State+Budget+-+Service+Delivery.pdf</w:t>
        </w:r>
      </w:hyperlink>
      <w:r w:rsidRPr="004A1190">
        <w:rPr>
          <w:szCs w:val="15"/>
        </w:rPr>
        <w:t>)</w:t>
      </w:r>
      <w:r>
        <w:rPr>
          <w:szCs w:val="15"/>
        </w:rPr>
        <w:t>.</w:t>
      </w:r>
    </w:p>
  </w:endnote>
  <w:endnote w:id="627">
    <w:p w14:paraId="7299B1C0" w14:textId="77777777" w:rsidR="00373ED9" w:rsidRDefault="00373ED9" w:rsidP="00373ED9">
      <w:pPr>
        <w:pStyle w:val="EndnoteText"/>
      </w:pPr>
      <w:r>
        <w:rPr>
          <w:rStyle w:val="EndnoteReference"/>
        </w:rPr>
        <w:endnoteRef/>
      </w:r>
      <w:r>
        <w:t xml:space="preserve"> I</w:t>
      </w:r>
      <w:r w:rsidRPr="00A452B3">
        <w:rPr>
          <w:rStyle w:val="normaltextrun"/>
          <w:rFonts w:ascii="Calibri" w:hAnsi="Calibri" w:cs="Calibri"/>
          <w:color w:val="000000"/>
          <w:shd w:val="clear" w:color="auto" w:fill="FFFFFF"/>
        </w:rPr>
        <w:t xml:space="preserve">nfrastructure Victoria, </w:t>
      </w:r>
      <w:hyperlink r:id="rId765" w:tgtFrame="_blank" w:history="1">
        <w:r w:rsidRPr="00A452B3">
          <w:rPr>
            <w:rStyle w:val="normaltextrun"/>
            <w:rFonts w:ascii="Calibri" w:hAnsi="Calibri" w:cs="Calibri"/>
            <w:i/>
            <w:iCs/>
            <w:color w:val="0563C1"/>
            <w:u w:val="single"/>
            <w:shd w:val="clear" w:color="auto" w:fill="FFFFFF"/>
          </w:rPr>
          <w:t>Victoria’s infrastructure strategy 2021</w:t>
        </w:r>
        <w:r>
          <w:rPr>
            <w:rStyle w:val="normaltextrun"/>
            <w:rFonts w:ascii="Calibri" w:hAnsi="Calibri" w:cs="Calibri"/>
            <w:i/>
            <w:iCs/>
            <w:color w:val="0563C1"/>
            <w:u w:val="single"/>
            <w:shd w:val="clear" w:color="auto" w:fill="FFFFFF"/>
          </w:rPr>
          <w:t>–</w:t>
        </w:r>
        <w:r w:rsidRPr="00A452B3">
          <w:rPr>
            <w:rStyle w:val="normaltextrun"/>
            <w:rFonts w:ascii="Calibri" w:hAnsi="Calibri" w:cs="Calibri"/>
            <w:i/>
            <w:iCs/>
            <w:color w:val="0563C1"/>
            <w:u w:val="single"/>
            <w:shd w:val="clear" w:color="auto" w:fill="FFFFFF"/>
          </w:rPr>
          <w:t>2051</w:t>
        </w:r>
      </w:hyperlink>
      <w:r w:rsidRPr="00A452B3">
        <w:rPr>
          <w:rStyle w:val="normaltextrun"/>
          <w:rFonts w:ascii="Calibri" w:hAnsi="Calibri" w:cs="Calibri"/>
          <w:color w:val="000000"/>
          <w:shd w:val="clear" w:color="auto" w:fill="FFFFFF"/>
        </w:rPr>
        <w:t>, 2021, p.</w:t>
      </w:r>
      <w:r>
        <w:rPr>
          <w:rStyle w:val="normaltextrun"/>
          <w:rFonts w:ascii="Calibri" w:hAnsi="Calibri" w:cs="Calibri"/>
          <w:color w:val="000000"/>
          <w:shd w:val="clear" w:color="auto" w:fill="FFFFFF"/>
        </w:rPr>
        <w:t xml:space="preserve">72, </w:t>
      </w:r>
      <w:r w:rsidRPr="00A452B3">
        <w:rPr>
          <w:rStyle w:val="normaltextrun"/>
          <w:rFonts w:ascii="Calibri" w:hAnsi="Calibri" w:cs="Calibri"/>
          <w:color w:val="000000"/>
          <w:shd w:val="clear" w:color="auto" w:fill="FFFFFF"/>
        </w:rPr>
        <w:t>accessed</w:t>
      </w:r>
      <w:r>
        <w:rPr>
          <w:rStyle w:val="normaltextrun"/>
          <w:rFonts w:ascii="Calibri" w:hAnsi="Calibri" w:cs="Calibri"/>
          <w:color w:val="000000"/>
          <w:shd w:val="clear" w:color="auto" w:fill="FFFFFF"/>
        </w:rPr>
        <w:t xml:space="preserve"> 26 July 2023.</w:t>
      </w:r>
    </w:p>
  </w:endnote>
  <w:endnote w:id="628">
    <w:p w14:paraId="0D44FF66" w14:textId="77777777" w:rsidR="00373ED9" w:rsidRDefault="00373ED9" w:rsidP="00373ED9">
      <w:pPr>
        <w:pStyle w:val="EndnoteText"/>
      </w:pPr>
      <w:r>
        <w:rPr>
          <w:rStyle w:val="EndnoteReference"/>
        </w:rPr>
        <w:endnoteRef/>
      </w:r>
      <w:r>
        <w:t xml:space="preserve"> I</w:t>
      </w:r>
      <w:r w:rsidRPr="00A452B3">
        <w:rPr>
          <w:rStyle w:val="normaltextrun"/>
          <w:rFonts w:ascii="Calibri" w:hAnsi="Calibri" w:cs="Calibri"/>
          <w:color w:val="000000"/>
          <w:shd w:val="clear" w:color="auto" w:fill="FFFFFF"/>
        </w:rPr>
        <w:t xml:space="preserve">nfrastructure Victoria, </w:t>
      </w:r>
      <w:hyperlink r:id="rId766" w:tgtFrame="_blank" w:history="1">
        <w:r w:rsidRPr="00A452B3">
          <w:rPr>
            <w:rStyle w:val="normaltextrun"/>
            <w:rFonts w:ascii="Calibri" w:hAnsi="Calibri" w:cs="Calibri"/>
            <w:i/>
            <w:iCs/>
            <w:color w:val="0563C1"/>
            <w:u w:val="single"/>
            <w:shd w:val="clear" w:color="auto" w:fill="FFFFFF"/>
          </w:rPr>
          <w:t>Victoria’s infrastructure strategy 2021</w:t>
        </w:r>
        <w:r>
          <w:rPr>
            <w:rStyle w:val="normaltextrun"/>
            <w:rFonts w:ascii="Calibri" w:hAnsi="Calibri" w:cs="Calibri"/>
            <w:i/>
            <w:iCs/>
            <w:color w:val="0563C1"/>
            <w:u w:val="single"/>
            <w:shd w:val="clear" w:color="auto" w:fill="FFFFFF"/>
          </w:rPr>
          <w:t>–</w:t>
        </w:r>
        <w:r w:rsidRPr="00A452B3">
          <w:rPr>
            <w:rStyle w:val="normaltextrun"/>
            <w:rFonts w:ascii="Calibri" w:hAnsi="Calibri" w:cs="Calibri"/>
            <w:i/>
            <w:iCs/>
            <w:color w:val="0563C1"/>
            <w:u w:val="single"/>
            <w:shd w:val="clear" w:color="auto" w:fill="FFFFFF"/>
          </w:rPr>
          <w:t>2051</w:t>
        </w:r>
      </w:hyperlink>
      <w:r w:rsidRPr="00A452B3">
        <w:rPr>
          <w:rStyle w:val="normaltextrun"/>
          <w:rFonts w:ascii="Calibri" w:hAnsi="Calibri" w:cs="Calibri"/>
          <w:color w:val="000000"/>
          <w:shd w:val="clear" w:color="auto" w:fill="FFFFFF"/>
        </w:rPr>
        <w:t>, 2021, p.</w:t>
      </w:r>
      <w:r>
        <w:rPr>
          <w:rStyle w:val="normaltextrun"/>
          <w:rFonts w:ascii="Calibri" w:hAnsi="Calibri" w:cs="Calibri"/>
          <w:color w:val="000000"/>
          <w:shd w:val="clear" w:color="auto" w:fill="FFFFFF"/>
        </w:rPr>
        <w:t xml:space="preserve">72, </w:t>
      </w:r>
      <w:r w:rsidRPr="00A452B3">
        <w:rPr>
          <w:rStyle w:val="normaltextrun"/>
          <w:rFonts w:ascii="Calibri" w:hAnsi="Calibri" w:cs="Calibri"/>
          <w:color w:val="000000"/>
          <w:shd w:val="clear" w:color="auto" w:fill="FFFFFF"/>
        </w:rPr>
        <w:t>accessed</w:t>
      </w:r>
      <w:r>
        <w:rPr>
          <w:rStyle w:val="normaltextrun"/>
          <w:rFonts w:ascii="Calibri" w:hAnsi="Calibri" w:cs="Calibri"/>
          <w:color w:val="000000"/>
          <w:shd w:val="clear" w:color="auto" w:fill="FFFFFF"/>
        </w:rPr>
        <w:t xml:space="preserve"> 26 July 2023.</w:t>
      </w:r>
    </w:p>
  </w:endnote>
  <w:endnote w:id="629">
    <w:p w14:paraId="2B06AE11" w14:textId="77777777" w:rsidR="00373ED9" w:rsidRDefault="00373ED9" w:rsidP="00373ED9">
      <w:pPr>
        <w:pStyle w:val="EndnoteText"/>
      </w:pPr>
      <w:r>
        <w:rPr>
          <w:rStyle w:val="EndnoteReference"/>
        </w:rPr>
        <w:endnoteRef/>
      </w:r>
      <w:r>
        <w:t xml:space="preserve"> I</w:t>
      </w:r>
      <w:r w:rsidRPr="00A452B3">
        <w:rPr>
          <w:rStyle w:val="normaltextrun"/>
          <w:rFonts w:ascii="Calibri" w:hAnsi="Calibri" w:cs="Calibri"/>
          <w:color w:val="000000"/>
          <w:shd w:val="clear" w:color="auto" w:fill="FFFFFF"/>
        </w:rPr>
        <w:t xml:space="preserve">nfrastructure Victoria, </w:t>
      </w:r>
      <w:hyperlink r:id="rId767" w:tgtFrame="_blank" w:history="1">
        <w:r w:rsidRPr="00A452B3">
          <w:rPr>
            <w:rStyle w:val="normaltextrun"/>
            <w:rFonts w:ascii="Calibri" w:hAnsi="Calibri" w:cs="Calibri"/>
            <w:i/>
            <w:iCs/>
            <w:color w:val="0563C1"/>
            <w:u w:val="single"/>
            <w:shd w:val="clear" w:color="auto" w:fill="FFFFFF"/>
          </w:rPr>
          <w:t>Victoria’s infrastructure strategy 2021</w:t>
        </w:r>
        <w:r>
          <w:rPr>
            <w:rStyle w:val="normaltextrun"/>
            <w:rFonts w:ascii="Calibri" w:hAnsi="Calibri" w:cs="Calibri"/>
            <w:i/>
            <w:iCs/>
            <w:color w:val="0563C1"/>
            <w:u w:val="single"/>
            <w:shd w:val="clear" w:color="auto" w:fill="FFFFFF"/>
          </w:rPr>
          <w:t>–</w:t>
        </w:r>
        <w:r w:rsidRPr="00A452B3">
          <w:rPr>
            <w:rStyle w:val="normaltextrun"/>
            <w:rFonts w:ascii="Calibri" w:hAnsi="Calibri" w:cs="Calibri"/>
            <w:i/>
            <w:iCs/>
            <w:color w:val="0563C1"/>
            <w:u w:val="single"/>
            <w:shd w:val="clear" w:color="auto" w:fill="FFFFFF"/>
          </w:rPr>
          <w:t>2051</w:t>
        </w:r>
      </w:hyperlink>
      <w:r w:rsidRPr="00A452B3">
        <w:rPr>
          <w:rStyle w:val="normaltextrun"/>
          <w:rFonts w:ascii="Calibri" w:hAnsi="Calibri" w:cs="Calibri"/>
          <w:color w:val="000000"/>
          <w:shd w:val="clear" w:color="auto" w:fill="FFFFFF"/>
        </w:rPr>
        <w:t>, 2021, p.</w:t>
      </w:r>
      <w:r>
        <w:rPr>
          <w:rStyle w:val="normaltextrun"/>
          <w:rFonts w:ascii="Calibri" w:hAnsi="Calibri" w:cs="Calibri"/>
          <w:color w:val="000000"/>
          <w:shd w:val="clear" w:color="auto" w:fill="FFFFFF"/>
        </w:rPr>
        <w:t xml:space="preserve"> 234, </w:t>
      </w:r>
      <w:r w:rsidRPr="00A452B3">
        <w:rPr>
          <w:rStyle w:val="normaltextrun"/>
          <w:rFonts w:ascii="Calibri" w:hAnsi="Calibri" w:cs="Calibri"/>
          <w:color w:val="000000"/>
          <w:shd w:val="clear" w:color="auto" w:fill="FFFFFF"/>
        </w:rPr>
        <w:t>accessed</w:t>
      </w:r>
      <w:r>
        <w:rPr>
          <w:rStyle w:val="normaltextrun"/>
          <w:rFonts w:ascii="Calibri" w:hAnsi="Calibri" w:cs="Calibri"/>
          <w:color w:val="000000"/>
          <w:shd w:val="clear" w:color="auto" w:fill="FFFFFF"/>
        </w:rPr>
        <w:t xml:space="preserve"> 17 August 2023.</w:t>
      </w:r>
    </w:p>
  </w:endnote>
  <w:endnote w:id="630">
    <w:p w14:paraId="3A509CFD" w14:textId="77777777" w:rsidR="00373ED9" w:rsidRDefault="00373ED9" w:rsidP="00373ED9">
      <w:pPr>
        <w:pStyle w:val="EndnoteText"/>
      </w:pPr>
      <w:r>
        <w:rPr>
          <w:rStyle w:val="EndnoteReference"/>
        </w:rPr>
        <w:endnoteRef/>
      </w:r>
      <w:r>
        <w:t xml:space="preserve"> </w:t>
      </w:r>
      <w:hyperlink r:id="rId768" w:history="1">
        <w:r w:rsidRPr="00511791">
          <w:rPr>
            <w:rStyle w:val="Hyperlink"/>
            <w:i/>
            <w:iCs/>
          </w:rPr>
          <w:t>The Water Act 1989</w:t>
        </w:r>
      </w:hyperlink>
      <w:r>
        <w:t>, Section 22I Review of Sustainable Water Strategy.</w:t>
      </w:r>
    </w:p>
  </w:endnote>
  <w:endnote w:id="631">
    <w:p w14:paraId="41A37572" w14:textId="23ED8574" w:rsidR="00373ED9" w:rsidRDefault="00373ED9" w:rsidP="00373ED9">
      <w:pPr>
        <w:pStyle w:val="EndnoteText"/>
      </w:pPr>
      <w:r>
        <w:rPr>
          <w:rStyle w:val="EndnoteReference"/>
        </w:rPr>
        <w:endnoteRef/>
      </w:r>
      <w:r>
        <w:t xml:space="preserve"> The Northern Region Sustainable Water Strategy was published in 2009 (source: Department of Sustainability and Environment, </w:t>
      </w:r>
      <w:hyperlink r:id="rId769" w:history="1">
        <w:r w:rsidRPr="00511791">
          <w:rPr>
            <w:rStyle w:val="Hyperlink"/>
            <w:i/>
            <w:iCs/>
          </w:rPr>
          <w:t>Northern Region Sustainable Water Strategy</w:t>
        </w:r>
      </w:hyperlink>
      <w:r>
        <w:t xml:space="preserve">, 2009, accessed 1 August 2023). The Western Region Sustainable Water Strategy was published in 2011 with a 5-yearly assessment report published in 2018(source: Department of Sustainability and the Environment, </w:t>
      </w:r>
      <w:hyperlink r:id="rId770" w:history="1">
        <w:r w:rsidRPr="00511791">
          <w:rPr>
            <w:rStyle w:val="Hyperlink"/>
            <w:i/>
            <w:iCs/>
          </w:rPr>
          <w:t>Western Region Sustainable Water Strategy</w:t>
        </w:r>
      </w:hyperlink>
      <w:r>
        <w:t xml:space="preserve">, 2011, accessed 1 August 2023). </w:t>
      </w:r>
    </w:p>
  </w:endnote>
  <w:endnote w:id="632">
    <w:p w14:paraId="36DD6098" w14:textId="77777777" w:rsidR="00373ED9" w:rsidRPr="00C37C19" w:rsidRDefault="00373ED9" w:rsidP="00373ED9">
      <w:pPr>
        <w:pStyle w:val="EndnoteText"/>
        <w:rPr>
          <w:rFonts w:cstheme="minorHAnsi"/>
          <w:szCs w:val="15"/>
        </w:rPr>
      </w:pPr>
      <w:r w:rsidRPr="00C37C19">
        <w:rPr>
          <w:rStyle w:val="EndnoteReference"/>
          <w:rFonts w:cstheme="minorHAnsi"/>
          <w:szCs w:val="15"/>
        </w:rPr>
        <w:endnoteRef/>
      </w:r>
      <w:r w:rsidRPr="00C37C19">
        <w:rPr>
          <w:rFonts w:cstheme="minorHAnsi"/>
          <w:szCs w:val="15"/>
        </w:rPr>
        <w:t xml:space="preserve"> Minister for Water, </w:t>
      </w:r>
      <w:hyperlink r:id="rId771" w:history="1">
        <w:r w:rsidRPr="00E27A36">
          <w:rPr>
            <w:rStyle w:val="Hyperlink"/>
            <w:rFonts w:cstheme="minorHAnsi"/>
            <w:i/>
            <w:iCs/>
            <w:szCs w:val="15"/>
          </w:rPr>
          <w:t>Water is Life – Part of Victoria’s Water Future</w:t>
        </w:r>
      </w:hyperlink>
      <w:r w:rsidRPr="00C37C19">
        <w:rPr>
          <w:rFonts w:cstheme="minorHAnsi"/>
          <w:szCs w:val="15"/>
        </w:rPr>
        <w:t xml:space="preserve"> (media release), 29 September 2022, accessed 26 July 2023</w:t>
      </w:r>
      <w:r>
        <w:rPr>
          <w:rFonts w:cstheme="minorHAnsi"/>
          <w:szCs w:val="15"/>
        </w:rPr>
        <w:t>.</w:t>
      </w:r>
    </w:p>
  </w:endnote>
  <w:endnote w:id="633">
    <w:p w14:paraId="65CF7A50" w14:textId="77777777" w:rsidR="00373ED9" w:rsidRDefault="00373ED9" w:rsidP="00373ED9">
      <w:pPr>
        <w:pStyle w:val="EndnoteText"/>
      </w:pPr>
      <w:r>
        <w:rPr>
          <w:rStyle w:val="EndnoteReference"/>
        </w:rPr>
        <w:endnoteRef/>
      </w:r>
      <w:r>
        <w:t xml:space="preserve"> Department of Environment, Land, Water and Planning, </w:t>
      </w:r>
      <w:hyperlink r:id="rId772" w:history="1">
        <w:r w:rsidRPr="00804249">
          <w:rPr>
            <w:rStyle w:val="Hyperlink"/>
            <w:i/>
            <w:iCs/>
          </w:rPr>
          <w:t xml:space="preserve">Water is life: Traditional Owner </w:t>
        </w:r>
        <w:bookmarkStart w:id="113" w:name="_Hlt142936405"/>
        <w:bookmarkStart w:id="114" w:name="_Hlt142936406"/>
        <w:r w:rsidRPr="00804249">
          <w:rPr>
            <w:rStyle w:val="Hyperlink"/>
            <w:i/>
            <w:iCs/>
          </w:rPr>
          <w:t>a</w:t>
        </w:r>
        <w:bookmarkEnd w:id="113"/>
        <w:bookmarkEnd w:id="114"/>
        <w:r w:rsidRPr="00804249">
          <w:rPr>
            <w:rStyle w:val="Hyperlink"/>
            <w:i/>
            <w:iCs/>
          </w:rPr>
          <w:t>ccess to water roadmap</w:t>
        </w:r>
      </w:hyperlink>
      <w:r>
        <w:t>, 2022, p. 18, accessed 1 August 2023.</w:t>
      </w:r>
    </w:p>
  </w:endnote>
  <w:endnote w:id="634">
    <w:p w14:paraId="639439C2" w14:textId="77777777" w:rsidR="00373ED9" w:rsidRDefault="00373ED9" w:rsidP="00373ED9">
      <w:pPr>
        <w:pStyle w:val="EndnoteText"/>
      </w:pPr>
      <w:r>
        <w:rPr>
          <w:rStyle w:val="EndnoteReference"/>
        </w:rPr>
        <w:endnoteRef/>
      </w:r>
      <w:r>
        <w:t xml:space="preserve"> Department of Environment, Land, Water and Planning, </w:t>
      </w:r>
      <w:hyperlink r:id="rId773" w:history="1">
        <w:r w:rsidRPr="00804249">
          <w:rPr>
            <w:rStyle w:val="Hyperlink"/>
            <w:i/>
            <w:iCs/>
          </w:rPr>
          <w:t>Water is life: Traditional Owner access to water roadmap</w:t>
        </w:r>
      </w:hyperlink>
      <w:r>
        <w:t>, 2022, p. 18, accessed 1 August 2023.</w:t>
      </w:r>
    </w:p>
  </w:endnote>
  <w:endnote w:id="635">
    <w:p w14:paraId="4878BA7E" w14:textId="77777777" w:rsidR="00373ED9" w:rsidRDefault="00373ED9" w:rsidP="00373ED9">
      <w:pPr>
        <w:pStyle w:val="EndnoteText"/>
      </w:pPr>
      <w:r>
        <w:rPr>
          <w:rStyle w:val="EndnoteReference"/>
        </w:rPr>
        <w:endnoteRef/>
      </w:r>
      <w:r>
        <w:t xml:space="preserve"> Department of Environment, Land, Water and Planning, </w:t>
      </w:r>
      <w:hyperlink r:id="rId774" w:history="1">
        <w:r w:rsidRPr="00511791">
          <w:rPr>
            <w:rStyle w:val="Hyperlink"/>
            <w:i/>
            <w:iCs/>
          </w:rPr>
          <w:t>Water is life: Traditional Owner access to water roadmap</w:t>
        </w:r>
      </w:hyperlink>
      <w:r>
        <w:t>, 2022, p. 10, accessed 1 August 2023.</w:t>
      </w:r>
    </w:p>
  </w:endnote>
  <w:endnote w:id="636">
    <w:p w14:paraId="5A9746A5" w14:textId="28C119C3" w:rsidR="00373ED9" w:rsidRPr="00C37C19" w:rsidRDefault="00373ED9" w:rsidP="00373ED9">
      <w:pPr>
        <w:pStyle w:val="EndnoteText"/>
        <w:rPr>
          <w:rFonts w:cstheme="minorHAnsi"/>
          <w:szCs w:val="15"/>
        </w:rPr>
      </w:pPr>
      <w:r w:rsidRPr="00C37C19">
        <w:rPr>
          <w:rStyle w:val="EndnoteReference"/>
          <w:rFonts w:cstheme="minorHAnsi"/>
          <w:szCs w:val="15"/>
        </w:rPr>
        <w:endnoteRef/>
      </w:r>
      <w:r w:rsidRPr="00C37C19">
        <w:rPr>
          <w:rFonts w:cstheme="minorHAnsi"/>
          <w:szCs w:val="15"/>
        </w:rPr>
        <w:t xml:space="preserve"> Department of Energy, Environment and Climate Action, </w:t>
      </w:r>
      <w:hyperlink r:id="rId775" w:history="1">
        <w:r w:rsidRPr="00C37C19">
          <w:rPr>
            <w:rStyle w:val="Hyperlink"/>
            <w:rFonts w:cstheme="minorHAnsi"/>
            <w:i/>
            <w:iCs/>
            <w:szCs w:val="15"/>
          </w:rPr>
          <w:t>Victorian Annual Water Outlook</w:t>
        </w:r>
      </w:hyperlink>
      <w:r w:rsidRPr="00C37C19">
        <w:rPr>
          <w:rFonts w:cstheme="minorHAnsi"/>
          <w:szCs w:val="15"/>
        </w:rPr>
        <w:t>, Feb</w:t>
      </w:r>
      <w:r>
        <w:rPr>
          <w:rFonts w:cstheme="minorHAnsi"/>
          <w:szCs w:val="15"/>
        </w:rPr>
        <w:t>ruary</w:t>
      </w:r>
      <w:r w:rsidRPr="00C37C19">
        <w:rPr>
          <w:rFonts w:cstheme="minorHAnsi"/>
          <w:szCs w:val="15"/>
        </w:rPr>
        <w:t xml:space="preserve"> 2023, p. 9, accessed 4 May 2023.</w:t>
      </w:r>
    </w:p>
  </w:endnote>
  <w:endnote w:id="637">
    <w:p w14:paraId="787DFDBB" w14:textId="20978D50" w:rsidR="00373ED9" w:rsidRPr="00C37C19" w:rsidRDefault="00373ED9" w:rsidP="00373ED9">
      <w:pPr>
        <w:pStyle w:val="EndnoteText"/>
        <w:rPr>
          <w:rFonts w:cstheme="minorHAnsi"/>
          <w:szCs w:val="15"/>
        </w:rPr>
      </w:pPr>
      <w:r w:rsidRPr="00C37C19">
        <w:rPr>
          <w:rStyle w:val="EndnoteReference"/>
          <w:rFonts w:cstheme="minorHAnsi"/>
          <w:szCs w:val="15"/>
        </w:rPr>
        <w:endnoteRef/>
      </w:r>
      <w:r w:rsidRPr="00C37C19">
        <w:rPr>
          <w:rFonts w:cstheme="minorHAnsi"/>
          <w:szCs w:val="15"/>
        </w:rPr>
        <w:t xml:space="preserve"> Department of Energy, Environment and Climate Action, </w:t>
      </w:r>
      <w:hyperlink r:id="rId776" w:history="1">
        <w:r w:rsidRPr="00C37C19">
          <w:rPr>
            <w:rStyle w:val="Hyperlink"/>
            <w:rFonts w:cstheme="minorHAnsi"/>
            <w:i/>
            <w:iCs/>
            <w:szCs w:val="15"/>
          </w:rPr>
          <w:t>Victorian Annual Water Outlook</w:t>
        </w:r>
      </w:hyperlink>
      <w:r w:rsidRPr="00C37C19">
        <w:rPr>
          <w:rFonts w:cstheme="minorHAnsi"/>
          <w:szCs w:val="15"/>
        </w:rPr>
        <w:t>, Feb</w:t>
      </w:r>
      <w:r>
        <w:rPr>
          <w:rFonts w:cstheme="minorHAnsi"/>
          <w:szCs w:val="15"/>
        </w:rPr>
        <w:t>ruary</w:t>
      </w:r>
      <w:r w:rsidRPr="00C37C19">
        <w:rPr>
          <w:rFonts w:cstheme="minorHAnsi"/>
          <w:szCs w:val="15"/>
        </w:rPr>
        <w:t xml:space="preserve"> 2023, p. 9, accessed 4 May 2023. </w:t>
      </w:r>
    </w:p>
  </w:endnote>
  <w:endnote w:id="638">
    <w:p w14:paraId="147BEE51" w14:textId="728A4379" w:rsidR="00373ED9" w:rsidRPr="00C37C19" w:rsidRDefault="00373ED9" w:rsidP="00373ED9">
      <w:pPr>
        <w:pStyle w:val="EndnoteText"/>
        <w:rPr>
          <w:rFonts w:cstheme="minorHAnsi"/>
          <w:szCs w:val="15"/>
        </w:rPr>
      </w:pPr>
      <w:r w:rsidRPr="00C37C19">
        <w:rPr>
          <w:rStyle w:val="EndnoteReference"/>
          <w:rFonts w:cstheme="minorHAnsi"/>
          <w:szCs w:val="15"/>
        </w:rPr>
        <w:endnoteRef/>
      </w:r>
      <w:r w:rsidRPr="00C37C19">
        <w:rPr>
          <w:rFonts w:cstheme="minorHAnsi"/>
          <w:szCs w:val="15"/>
        </w:rPr>
        <w:t xml:space="preserve"> Infrastructure Victoria, </w:t>
      </w:r>
      <w:hyperlink r:id="rId777" w:history="1">
        <w:r w:rsidRPr="00C37C19">
          <w:rPr>
            <w:rStyle w:val="Hyperlink"/>
            <w:rFonts w:cstheme="minorHAnsi"/>
            <w:i/>
            <w:iCs/>
            <w:szCs w:val="15"/>
          </w:rPr>
          <w:t>Drought, fire and floods. How is the Victorian water sector planning for a changing climate</w:t>
        </w:r>
      </w:hyperlink>
      <w:r w:rsidRPr="00C37C19">
        <w:rPr>
          <w:rFonts w:cstheme="minorHAnsi"/>
          <w:szCs w:val="15"/>
        </w:rPr>
        <w:t>, September 2022, accessed 4 May 2023</w:t>
      </w:r>
      <w:r>
        <w:rPr>
          <w:rFonts w:cstheme="minorHAnsi"/>
          <w:szCs w:val="15"/>
        </w:rPr>
        <w:t xml:space="preserve">; Department of Energy, Environment and Climate Action, </w:t>
      </w:r>
      <w:hyperlink r:id="rId778" w:history="1">
        <w:r w:rsidRPr="00282FD2">
          <w:rPr>
            <w:rStyle w:val="Hyperlink"/>
            <w:i/>
          </w:rPr>
          <w:t>Victoria’s water grid</w:t>
        </w:r>
      </w:hyperlink>
      <w:r>
        <w:rPr>
          <w:rFonts w:cstheme="minorHAnsi"/>
          <w:szCs w:val="15"/>
        </w:rPr>
        <w:t xml:space="preserve"> (website), n.d., accessed 2 August 2023</w:t>
      </w:r>
      <w:r w:rsidRPr="00C37C19">
        <w:rPr>
          <w:rFonts w:cstheme="minorHAnsi"/>
          <w:szCs w:val="15"/>
        </w:rPr>
        <w:t>.</w:t>
      </w:r>
    </w:p>
  </w:endnote>
  <w:endnote w:id="639">
    <w:p w14:paraId="717244CE" w14:textId="7EA213DC" w:rsidR="00373ED9" w:rsidRPr="00C37C19" w:rsidRDefault="00373ED9" w:rsidP="00373ED9">
      <w:pPr>
        <w:pStyle w:val="EndnoteText"/>
        <w:rPr>
          <w:rFonts w:cstheme="minorHAnsi"/>
          <w:szCs w:val="15"/>
        </w:rPr>
      </w:pPr>
      <w:r w:rsidRPr="00C37C19">
        <w:rPr>
          <w:rStyle w:val="EndnoteReference"/>
          <w:rFonts w:cstheme="minorHAnsi"/>
          <w:szCs w:val="15"/>
        </w:rPr>
        <w:endnoteRef/>
      </w:r>
      <w:r w:rsidRPr="00C37C19">
        <w:rPr>
          <w:rFonts w:cstheme="minorHAnsi"/>
          <w:szCs w:val="15"/>
        </w:rPr>
        <w:t xml:space="preserve"> Essential Services Commission, </w:t>
      </w:r>
      <w:hyperlink r:id="rId779" w:anchor="tabs-container2" w:history="1">
        <w:r>
          <w:rPr>
            <w:rStyle w:val="Hyperlink"/>
            <w:rFonts w:cstheme="minorHAnsi"/>
            <w:i/>
            <w:iCs/>
            <w:szCs w:val="15"/>
          </w:rPr>
          <w:t>Water performance report 2021–22 - data summary</w:t>
        </w:r>
      </w:hyperlink>
      <w:r w:rsidRPr="00C37C19">
        <w:rPr>
          <w:rFonts w:cstheme="minorHAnsi"/>
          <w:szCs w:val="15"/>
        </w:rPr>
        <w:t xml:space="preserve">, February 2023, accessed 4 May 2023. </w:t>
      </w:r>
    </w:p>
  </w:endnote>
  <w:endnote w:id="640">
    <w:p w14:paraId="47C6998F" w14:textId="77777777" w:rsidR="00373ED9" w:rsidRPr="00C37C19" w:rsidRDefault="00373ED9" w:rsidP="00373ED9">
      <w:pPr>
        <w:pStyle w:val="EndnoteText"/>
        <w:rPr>
          <w:rFonts w:cstheme="minorHAnsi"/>
          <w:szCs w:val="15"/>
        </w:rPr>
      </w:pPr>
      <w:r w:rsidRPr="00C37C19">
        <w:rPr>
          <w:rStyle w:val="EndnoteReference"/>
          <w:rFonts w:cstheme="minorHAnsi"/>
          <w:szCs w:val="15"/>
        </w:rPr>
        <w:endnoteRef/>
      </w:r>
      <w:r w:rsidRPr="00C37C19">
        <w:rPr>
          <w:rFonts w:cstheme="minorHAnsi"/>
          <w:szCs w:val="15"/>
        </w:rPr>
        <w:t xml:space="preserve"> Department of Health, </w:t>
      </w:r>
      <w:hyperlink r:id="rId780" w:history="1">
        <w:r w:rsidRPr="00C37C19">
          <w:rPr>
            <w:rStyle w:val="Hyperlink"/>
            <w:rFonts w:cstheme="minorHAnsi"/>
            <w:i/>
            <w:iCs/>
            <w:szCs w:val="15"/>
          </w:rPr>
          <w:t>Annual report on drinking water quality in Victoria 2021</w:t>
        </w:r>
        <w:r>
          <w:rPr>
            <w:rStyle w:val="Hyperlink"/>
            <w:rFonts w:cstheme="minorHAnsi"/>
            <w:i/>
            <w:iCs/>
            <w:szCs w:val="15"/>
          </w:rPr>
          <w:t>–</w:t>
        </w:r>
        <w:r w:rsidRPr="00C37C19">
          <w:rPr>
            <w:rStyle w:val="Hyperlink"/>
            <w:rFonts w:cstheme="minorHAnsi"/>
            <w:i/>
            <w:iCs/>
            <w:szCs w:val="15"/>
          </w:rPr>
          <w:t>22</w:t>
        </w:r>
      </w:hyperlink>
      <w:r w:rsidRPr="00C37C19">
        <w:rPr>
          <w:rFonts w:cstheme="minorHAnsi"/>
          <w:szCs w:val="15"/>
        </w:rPr>
        <w:t xml:space="preserve">, February 2023, p. 5, accessed 4 May 2023. </w:t>
      </w:r>
    </w:p>
  </w:endnote>
  <w:endnote w:id="641">
    <w:p w14:paraId="28FDCD0E" w14:textId="66B7163D" w:rsidR="00373ED9" w:rsidRPr="00C37C19" w:rsidRDefault="00373ED9" w:rsidP="00373ED9">
      <w:pPr>
        <w:pStyle w:val="EndnoteText"/>
        <w:rPr>
          <w:rFonts w:cstheme="minorHAnsi"/>
          <w:szCs w:val="15"/>
        </w:rPr>
      </w:pPr>
      <w:r w:rsidRPr="00C37C19">
        <w:rPr>
          <w:rStyle w:val="EndnoteReference"/>
          <w:rFonts w:cstheme="minorHAnsi"/>
          <w:szCs w:val="15"/>
        </w:rPr>
        <w:endnoteRef/>
      </w:r>
      <w:r w:rsidRPr="00C37C19">
        <w:rPr>
          <w:rFonts w:cstheme="minorHAnsi"/>
          <w:szCs w:val="15"/>
        </w:rPr>
        <w:t xml:space="preserve"> Department of Energy, Environment and Climate Action, </w:t>
      </w:r>
      <w:hyperlink r:id="rId781" w:history="1">
        <w:r w:rsidRPr="00C37C19">
          <w:rPr>
            <w:rStyle w:val="Hyperlink"/>
            <w:rFonts w:cstheme="minorHAnsi"/>
            <w:i/>
            <w:iCs/>
            <w:szCs w:val="15"/>
          </w:rPr>
          <w:t>Macalister Irrigation District modernisation project – Phase 2</w:t>
        </w:r>
      </w:hyperlink>
      <w:r>
        <w:rPr>
          <w:rFonts w:cstheme="minorHAnsi"/>
          <w:szCs w:val="15"/>
        </w:rPr>
        <w:t>,</w:t>
      </w:r>
      <w:r w:rsidRPr="00C37C19">
        <w:rPr>
          <w:rFonts w:cstheme="minorHAnsi"/>
          <w:szCs w:val="15"/>
        </w:rPr>
        <w:t xml:space="preserve"> </w:t>
      </w:r>
      <w:hyperlink r:id="rId782" w:history="1">
        <w:r w:rsidRPr="00C37C19">
          <w:rPr>
            <w:rFonts w:cstheme="minorHAnsi"/>
            <w:szCs w:val="15"/>
          </w:rPr>
          <w:t>Oct</w:t>
        </w:r>
      </w:hyperlink>
      <w:r>
        <w:rPr>
          <w:rFonts w:cstheme="minorHAnsi"/>
          <w:szCs w:val="15"/>
        </w:rPr>
        <w:t>ober</w:t>
      </w:r>
      <w:r w:rsidRPr="00C37C19">
        <w:rPr>
          <w:rFonts w:cstheme="minorHAnsi"/>
          <w:szCs w:val="15"/>
        </w:rPr>
        <w:t xml:space="preserve"> 2022, accessed 5 May 2023. </w:t>
      </w:r>
    </w:p>
  </w:endnote>
  <w:endnote w:id="642">
    <w:p w14:paraId="2BB05E37" w14:textId="77777777" w:rsidR="00373ED9" w:rsidRPr="00C37C19" w:rsidRDefault="00373ED9" w:rsidP="00373ED9">
      <w:pPr>
        <w:pStyle w:val="EndnoteText"/>
        <w:rPr>
          <w:rFonts w:cstheme="minorHAnsi"/>
          <w:szCs w:val="15"/>
        </w:rPr>
      </w:pPr>
      <w:r w:rsidRPr="00C37C19">
        <w:rPr>
          <w:rStyle w:val="EndnoteReference"/>
          <w:rFonts w:cstheme="minorHAnsi"/>
          <w:szCs w:val="15"/>
        </w:rPr>
        <w:endnoteRef/>
      </w:r>
      <w:r w:rsidRPr="00C37C19">
        <w:rPr>
          <w:rFonts w:cstheme="minorHAnsi"/>
          <w:szCs w:val="15"/>
        </w:rPr>
        <w:t xml:space="preserve"> GWMWater, </w:t>
      </w:r>
      <w:hyperlink r:id="rId783" w:history="1">
        <w:r w:rsidRPr="00C37C19">
          <w:rPr>
            <w:rStyle w:val="Hyperlink"/>
            <w:rFonts w:cstheme="minorHAnsi"/>
            <w:i/>
            <w:iCs/>
            <w:szCs w:val="15"/>
          </w:rPr>
          <w:t>East Grampians Rural Pipeline e-Newsletter</w:t>
        </w:r>
      </w:hyperlink>
      <w:r w:rsidRPr="00C37C19">
        <w:rPr>
          <w:rFonts w:cstheme="minorHAnsi"/>
          <w:szCs w:val="15"/>
        </w:rPr>
        <w:t xml:space="preserve">, June 2023, accessed 12 July 2023. </w:t>
      </w:r>
    </w:p>
  </w:endnote>
  <w:endnote w:id="643">
    <w:p w14:paraId="281B2C70" w14:textId="77777777" w:rsidR="00373ED9" w:rsidRPr="00C37C19" w:rsidRDefault="00373ED9" w:rsidP="00373ED9">
      <w:pPr>
        <w:pStyle w:val="EndnoteText"/>
        <w:rPr>
          <w:rFonts w:cstheme="minorHAnsi"/>
          <w:szCs w:val="15"/>
        </w:rPr>
      </w:pPr>
      <w:r w:rsidRPr="00C37C19">
        <w:rPr>
          <w:rStyle w:val="EndnoteReference"/>
          <w:rFonts w:cstheme="minorHAnsi"/>
          <w:szCs w:val="15"/>
        </w:rPr>
        <w:endnoteRef/>
      </w:r>
      <w:r w:rsidRPr="00C37C19">
        <w:rPr>
          <w:rFonts w:cstheme="minorHAnsi"/>
          <w:szCs w:val="15"/>
        </w:rPr>
        <w:t xml:space="preserve"> Water Efficiency Project, </w:t>
      </w:r>
      <w:hyperlink r:id="rId784" w:history="1">
        <w:r w:rsidRPr="00C37C19">
          <w:rPr>
            <w:rStyle w:val="Hyperlink"/>
            <w:rFonts w:cstheme="minorHAnsi"/>
            <w:szCs w:val="15"/>
          </w:rPr>
          <w:t>Water Efficiency Project</w:t>
        </w:r>
      </w:hyperlink>
      <w:r w:rsidRPr="00C37C19">
        <w:rPr>
          <w:rFonts w:cstheme="minorHAnsi"/>
          <w:szCs w:val="15"/>
        </w:rPr>
        <w:t>, accessed 15 June 2023.</w:t>
      </w:r>
    </w:p>
  </w:endnote>
  <w:endnote w:id="644">
    <w:p w14:paraId="358490F7" w14:textId="40F29D19" w:rsidR="00373ED9" w:rsidRPr="00C37C19" w:rsidRDefault="00373ED9" w:rsidP="00373ED9">
      <w:pPr>
        <w:pStyle w:val="EndnoteText"/>
        <w:rPr>
          <w:rFonts w:cstheme="minorHAnsi"/>
          <w:szCs w:val="15"/>
        </w:rPr>
      </w:pPr>
      <w:r w:rsidRPr="00C37C19">
        <w:rPr>
          <w:rStyle w:val="EndnoteReference"/>
          <w:rFonts w:cstheme="minorHAnsi"/>
          <w:szCs w:val="15"/>
        </w:rPr>
        <w:endnoteRef/>
      </w:r>
      <w:r w:rsidRPr="00C37C19">
        <w:rPr>
          <w:rFonts w:cstheme="minorHAnsi"/>
          <w:szCs w:val="15"/>
        </w:rPr>
        <w:t xml:space="preserve"> Infrastructure Victoria, </w:t>
      </w:r>
      <w:hyperlink r:id="rId785" w:history="1">
        <w:r w:rsidRPr="00C37C19">
          <w:rPr>
            <w:rStyle w:val="Hyperlink"/>
            <w:rFonts w:cstheme="minorHAnsi"/>
            <w:i/>
            <w:iCs/>
            <w:szCs w:val="15"/>
          </w:rPr>
          <w:t>Victoria’s infrastructure strategy 2021</w:t>
        </w:r>
        <w:r>
          <w:rPr>
            <w:rStyle w:val="Hyperlink"/>
            <w:rFonts w:cstheme="minorHAnsi"/>
            <w:i/>
            <w:iCs/>
            <w:szCs w:val="15"/>
          </w:rPr>
          <w:t>–</w:t>
        </w:r>
        <w:r w:rsidRPr="00C37C19">
          <w:rPr>
            <w:rStyle w:val="Hyperlink"/>
            <w:rFonts w:cstheme="minorHAnsi"/>
            <w:i/>
            <w:iCs/>
            <w:szCs w:val="15"/>
          </w:rPr>
          <w:t>2051</w:t>
        </w:r>
      </w:hyperlink>
      <w:r w:rsidRPr="00C37C19">
        <w:rPr>
          <w:rFonts w:cstheme="minorHAnsi"/>
          <w:szCs w:val="15"/>
        </w:rPr>
        <w:t>, 2021, p. 60</w:t>
      </w:r>
      <w:r>
        <w:rPr>
          <w:rFonts w:cstheme="minorHAnsi"/>
          <w:szCs w:val="15"/>
        </w:rPr>
        <w:t>–</w:t>
      </w:r>
      <w:r w:rsidRPr="00C37C19">
        <w:rPr>
          <w:rFonts w:cstheme="minorHAnsi"/>
          <w:szCs w:val="15"/>
        </w:rPr>
        <w:t xml:space="preserve">63, accessed 8 May 2023. </w:t>
      </w:r>
    </w:p>
  </w:endnote>
  <w:endnote w:id="645">
    <w:p w14:paraId="39BA2A20" w14:textId="77777777" w:rsidR="00373ED9" w:rsidRPr="00C37C19" w:rsidRDefault="00373ED9" w:rsidP="00373ED9">
      <w:pPr>
        <w:pStyle w:val="EndnoteText"/>
        <w:rPr>
          <w:rFonts w:cstheme="minorHAnsi"/>
          <w:szCs w:val="15"/>
        </w:rPr>
      </w:pPr>
      <w:r w:rsidRPr="00C37C19">
        <w:rPr>
          <w:rStyle w:val="EndnoteReference"/>
          <w:rFonts w:cstheme="minorHAnsi"/>
          <w:szCs w:val="15"/>
        </w:rPr>
        <w:endnoteRef/>
      </w:r>
      <w:r w:rsidRPr="00C37C19">
        <w:rPr>
          <w:rFonts w:cstheme="minorHAnsi"/>
          <w:szCs w:val="15"/>
        </w:rPr>
        <w:t xml:space="preserve"> Department of Environment, Land, Water and Planning, </w:t>
      </w:r>
      <w:hyperlink r:id="rId786" w:history="1">
        <w:r w:rsidRPr="00C37C19">
          <w:rPr>
            <w:rStyle w:val="Hyperlink"/>
            <w:rFonts w:cstheme="minorHAnsi"/>
            <w:i/>
            <w:iCs/>
            <w:szCs w:val="15"/>
          </w:rPr>
          <w:t>Central and Gippsland region sustainable water strategy Final Strategy</w:t>
        </w:r>
      </w:hyperlink>
      <w:r w:rsidRPr="00C37C19">
        <w:rPr>
          <w:rFonts w:cstheme="minorHAnsi"/>
          <w:szCs w:val="15"/>
        </w:rPr>
        <w:t xml:space="preserve">, 2022, accessed 11 May 2023. </w:t>
      </w:r>
    </w:p>
  </w:endnote>
  <w:endnote w:id="646">
    <w:p w14:paraId="35EED1A9" w14:textId="00936946" w:rsidR="00373ED9" w:rsidRPr="00C37C19" w:rsidRDefault="00373ED9" w:rsidP="00373ED9">
      <w:pPr>
        <w:pStyle w:val="EndnoteText"/>
        <w:rPr>
          <w:rFonts w:cstheme="minorHAnsi"/>
          <w:szCs w:val="15"/>
        </w:rPr>
      </w:pPr>
      <w:r w:rsidRPr="00C37C19">
        <w:rPr>
          <w:rStyle w:val="EndnoteReference"/>
          <w:rFonts w:cstheme="minorHAnsi"/>
          <w:szCs w:val="15"/>
        </w:rPr>
        <w:endnoteRef/>
      </w:r>
      <w:r w:rsidRPr="00C37C19">
        <w:rPr>
          <w:rFonts w:cstheme="minorHAnsi"/>
          <w:szCs w:val="15"/>
        </w:rPr>
        <w:t xml:space="preserve"> Department of Environment, Land, Water and Planning, </w:t>
      </w:r>
      <w:hyperlink r:id="rId787" w:history="1">
        <w:r w:rsidRPr="00C37C19">
          <w:rPr>
            <w:rStyle w:val="Hyperlink"/>
            <w:rFonts w:cstheme="minorHAnsi"/>
            <w:i/>
            <w:iCs/>
            <w:szCs w:val="15"/>
          </w:rPr>
          <w:t>Integrated water management progress report</w:t>
        </w:r>
      </w:hyperlink>
      <w:r w:rsidRPr="00C37C19">
        <w:rPr>
          <w:rFonts w:cstheme="minorHAnsi"/>
          <w:i/>
          <w:iCs/>
          <w:szCs w:val="15"/>
        </w:rPr>
        <w:t xml:space="preserve">, </w:t>
      </w:r>
      <w:r w:rsidRPr="00C37C19">
        <w:rPr>
          <w:rFonts w:cstheme="minorHAnsi"/>
          <w:szCs w:val="15"/>
        </w:rPr>
        <w:t xml:space="preserve">March 2022, accessed 11 May 2023. </w:t>
      </w:r>
    </w:p>
  </w:endnote>
  <w:endnote w:id="647">
    <w:p w14:paraId="25EE178A" w14:textId="093FDE30" w:rsidR="00373ED9" w:rsidRPr="00C37C19" w:rsidRDefault="00373ED9" w:rsidP="00373ED9">
      <w:pPr>
        <w:pStyle w:val="EndnoteText"/>
        <w:rPr>
          <w:rFonts w:cstheme="minorHAnsi"/>
          <w:szCs w:val="15"/>
        </w:rPr>
      </w:pPr>
      <w:r w:rsidRPr="00C37C19">
        <w:rPr>
          <w:rStyle w:val="EndnoteReference"/>
          <w:rFonts w:cstheme="minorHAnsi"/>
          <w:szCs w:val="15"/>
        </w:rPr>
        <w:endnoteRef/>
      </w:r>
      <w:r w:rsidRPr="00C37C19">
        <w:rPr>
          <w:rFonts w:cstheme="minorHAnsi"/>
          <w:szCs w:val="15"/>
        </w:rPr>
        <w:t xml:space="preserve"> Department of Environment, Land, Water and Planning</w:t>
      </w:r>
      <w:r w:rsidRPr="00A915A7">
        <w:rPr>
          <w:rFonts w:cstheme="minorHAnsi"/>
          <w:szCs w:val="15"/>
        </w:rPr>
        <w:t xml:space="preserve">, </w:t>
      </w:r>
      <w:hyperlink r:id="rId788" w:history="1">
        <w:r w:rsidRPr="00A915A7">
          <w:rPr>
            <w:rStyle w:val="Hyperlink"/>
            <w:rFonts w:cstheme="minorHAnsi"/>
            <w:i/>
            <w:iCs/>
            <w:szCs w:val="15"/>
          </w:rPr>
          <w:t>Integrated water management progress report</w:t>
        </w:r>
      </w:hyperlink>
      <w:r>
        <w:rPr>
          <w:rFonts w:cstheme="minorHAnsi"/>
          <w:szCs w:val="15"/>
        </w:rPr>
        <w:t xml:space="preserve">, </w:t>
      </w:r>
      <w:r w:rsidRPr="00C37C19">
        <w:rPr>
          <w:rFonts w:cstheme="minorHAnsi"/>
          <w:szCs w:val="15"/>
        </w:rPr>
        <w:t>March</w:t>
      </w:r>
      <w:r w:rsidRPr="00C37C19">
        <w:rPr>
          <w:rFonts w:cstheme="minorHAnsi"/>
          <w:i/>
          <w:iCs/>
          <w:szCs w:val="15"/>
        </w:rPr>
        <w:t xml:space="preserve"> </w:t>
      </w:r>
      <w:r w:rsidRPr="00C37C19">
        <w:rPr>
          <w:rFonts w:cstheme="minorHAnsi"/>
          <w:szCs w:val="15"/>
        </w:rPr>
        <w:t>2022, p. 13, accessed 11 May 2023</w:t>
      </w:r>
      <w:r>
        <w:rPr>
          <w:rFonts w:cstheme="minorHAnsi"/>
          <w:szCs w:val="15"/>
        </w:rPr>
        <w:t xml:space="preserve">; </w:t>
      </w:r>
      <w:r w:rsidRPr="00C37C19">
        <w:rPr>
          <w:rFonts w:cstheme="minorHAnsi"/>
          <w:szCs w:val="15"/>
        </w:rPr>
        <w:t>Department of Energy, Environment and Climate Action</w:t>
      </w:r>
      <w:r w:rsidRPr="00C37C19" w:rsidDel="004E72F7">
        <w:rPr>
          <w:rFonts w:cstheme="minorHAnsi"/>
          <w:szCs w:val="15"/>
        </w:rPr>
        <w:t>,</w:t>
      </w:r>
      <w:r w:rsidRPr="00C37C19">
        <w:rPr>
          <w:rFonts w:cstheme="minorHAnsi"/>
          <w:szCs w:val="15"/>
        </w:rPr>
        <w:t xml:space="preserve"> </w:t>
      </w:r>
      <w:hyperlink r:id="rId789" w:history="1">
        <w:r w:rsidRPr="00C37C19">
          <w:rPr>
            <w:rStyle w:val="Hyperlink"/>
            <w:rFonts w:cstheme="minorHAnsi"/>
            <w:i/>
            <w:iCs/>
            <w:szCs w:val="15"/>
          </w:rPr>
          <w:t>Integrated water management grants</w:t>
        </w:r>
      </w:hyperlink>
      <w:r w:rsidRPr="00C37C19">
        <w:rPr>
          <w:rFonts w:cstheme="minorHAnsi"/>
          <w:szCs w:val="15"/>
        </w:rPr>
        <w:t>, Sep</w:t>
      </w:r>
      <w:r>
        <w:rPr>
          <w:rFonts w:cstheme="minorHAnsi"/>
          <w:szCs w:val="15"/>
        </w:rPr>
        <w:t>tember</w:t>
      </w:r>
      <w:r w:rsidRPr="00C37C19">
        <w:rPr>
          <w:rFonts w:cstheme="minorHAnsi"/>
          <w:szCs w:val="15"/>
        </w:rPr>
        <w:t xml:space="preserve"> 2022, accessed 25 May 2023</w:t>
      </w:r>
      <w:r>
        <w:rPr>
          <w:rFonts w:cstheme="minorHAnsi"/>
          <w:szCs w:val="15"/>
        </w:rPr>
        <w:t>.</w:t>
      </w:r>
      <w:r w:rsidRPr="00C37C19">
        <w:rPr>
          <w:rFonts w:cstheme="minorHAnsi"/>
          <w:szCs w:val="15"/>
        </w:rPr>
        <w:t xml:space="preserve"> </w:t>
      </w:r>
    </w:p>
  </w:endnote>
  <w:endnote w:id="648">
    <w:p w14:paraId="3A09C620" w14:textId="396C18FE" w:rsidR="00373ED9" w:rsidRPr="00C37C19" w:rsidRDefault="00373ED9" w:rsidP="00373ED9">
      <w:pPr>
        <w:pStyle w:val="EndnoteText"/>
        <w:rPr>
          <w:rFonts w:cstheme="minorHAnsi"/>
          <w:szCs w:val="15"/>
        </w:rPr>
      </w:pPr>
      <w:r w:rsidRPr="00C37C19">
        <w:rPr>
          <w:rStyle w:val="EndnoteReference"/>
          <w:rFonts w:cstheme="minorHAnsi"/>
          <w:szCs w:val="15"/>
        </w:rPr>
        <w:endnoteRef/>
      </w:r>
      <w:r w:rsidRPr="00C37C19">
        <w:rPr>
          <w:rFonts w:cstheme="minorHAnsi"/>
          <w:szCs w:val="15"/>
        </w:rPr>
        <w:t xml:space="preserve"> Department of Environment, Land, Water and Planning</w:t>
      </w:r>
      <w:r w:rsidRPr="00C1797D">
        <w:rPr>
          <w:rFonts w:cstheme="minorHAnsi"/>
          <w:szCs w:val="15"/>
        </w:rPr>
        <w:t xml:space="preserve">, </w:t>
      </w:r>
      <w:hyperlink r:id="rId790" w:history="1">
        <w:r w:rsidRPr="00C1797D">
          <w:rPr>
            <w:rStyle w:val="Hyperlink"/>
            <w:rFonts w:cstheme="minorHAnsi"/>
            <w:i/>
            <w:iCs/>
            <w:szCs w:val="15"/>
          </w:rPr>
          <w:t>Integrated water management progress report</w:t>
        </w:r>
      </w:hyperlink>
      <w:r>
        <w:rPr>
          <w:rFonts w:cstheme="minorHAnsi"/>
          <w:szCs w:val="15"/>
        </w:rPr>
        <w:t xml:space="preserve">, </w:t>
      </w:r>
      <w:r w:rsidRPr="00C37C19">
        <w:rPr>
          <w:rFonts w:cstheme="minorHAnsi"/>
          <w:szCs w:val="15"/>
        </w:rPr>
        <w:t>March</w:t>
      </w:r>
      <w:r w:rsidRPr="00C37C19">
        <w:rPr>
          <w:rFonts w:cstheme="minorHAnsi"/>
          <w:i/>
          <w:iCs/>
          <w:szCs w:val="15"/>
        </w:rPr>
        <w:t xml:space="preserve"> </w:t>
      </w:r>
      <w:r w:rsidRPr="00C37C19">
        <w:rPr>
          <w:rFonts w:cstheme="minorHAnsi"/>
          <w:szCs w:val="15"/>
        </w:rPr>
        <w:t>2022, p. 2, accessed 11 May 2023.</w:t>
      </w:r>
    </w:p>
  </w:endnote>
  <w:endnote w:id="649">
    <w:p w14:paraId="24028DEC" w14:textId="3AE178A3" w:rsidR="00373ED9" w:rsidRDefault="00373ED9" w:rsidP="00373ED9">
      <w:pPr>
        <w:pStyle w:val="EndnoteText"/>
      </w:pPr>
      <w:r>
        <w:rPr>
          <w:rStyle w:val="EndnoteReference"/>
        </w:rPr>
        <w:endnoteRef/>
      </w:r>
      <w:r>
        <w:t xml:space="preserve"> Department of Energy, Environment and Climate Action, </w:t>
      </w:r>
      <w:hyperlink r:id="rId791" w:history="1">
        <w:r w:rsidRPr="00E27A36">
          <w:rPr>
            <w:rStyle w:val="Hyperlink"/>
            <w:i/>
            <w:iCs/>
          </w:rPr>
          <w:t>Integrated Water Management grants</w:t>
        </w:r>
      </w:hyperlink>
      <w:r>
        <w:t xml:space="preserve"> (website), accessed 27 July 2023.</w:t>
      </w:r>
    </w:p>
  </w:endnote>
  <w:endnote w:id="650">
    <w:p w14:paraId="110B577A" w14:textId="77777777" w:rsidR="00373ED9" w:rsidRDefault="00373ED9" w:rsidP="00373ED9">
      <w:pPr>
        <w:pStyle w:val="EndnoteText"/>
      </w:pPr>
      <w:r>
        <w:rPr>
          <w:rStyle w:val="EndnoteReference"/>
        </w:rPr>
        <w:endnoteRef/>
      </w:r>
      <w:r>
        <w:t xml:space="preserve"> Minister for Water, </w:t>
      </w:r>
      <w:hyperlink r:id="rId792" w:history="1">
        <w:r w:rsidRPr="00EF14EE">
          <w:rPr>
            <w:rStyle w:val="Hyperlink"/>
            <w:i/>
            <w:iCs/>
          </w:rPr>
          <w:t>Finding New Ways To Save Water Across Victoria</w:t>
        </w:r>
      </w:hyperlink>
      <w:r>
        <w:t xml:space="preserve"> (media release), 29 September 2022, accessed 27 July 2023.</w:t>
      </w:r>
    </w:p>
  </w:endnote>
  <w:endnote w:id="651">
    <w:p w14:paraId="7B279465" w14:textId="2B63AC53" w:rsidR="00373ED9" w:rsidRPr="00C37C19" w:rsidRDefault="00373ED9" w:rsidP="00373ED9">
      <w:pPr>
        <w:pStyle w:val="EndnoteText"/>
        <w:rPr>
          <w:rFonts w:cstheme="minorHAnsi"/>
          <w:szCs w:val="15"/>
        </w:rPr>
      </w:pPr>
      <w:r w:rsidRPr="00C37C19">
        <w:rPr>
          <w:rStyle w:val="EndnoteReference"/>
          <w:rFonts w:cstheme="minorHAnsi"/>
          <w:szCs w:val="15"/>
        </w:rPr>
        <w:endnoteRef/>
      </w:r>
      <w:r w:rsidRPr="00C37C19">
        <w:rPr>
          <w:rFonts w:cstheme="minorHAnsi"/>
          <w:szCs w:val="15"/>
        </w:rPr>
        <w:t xml:space="preserve"> Infrastructure Victoria, </w:t>
      </w:r>
      <w:hyperlink r:id="rId793" w:history="1">
        <w:r w:rsidRPr="00C37C19">
          <w:rPr>
            <w:rStyle w:val="Hyperlink"/>
            <w:rFonts w:cstheme="minorHAnsi"/>
            <w:i/>
            <w:iCs/>
            <w:szCs w:val="15"/>
          </w:rPr>
          <w:t>Victoria’s infrastructure strategy 2021</w:t>
        </w:r>
        <w:r>
          <w:rPr>
            <w:rStyle w:val="Hyperlink"/>
            <w:rFonts w:cstheme="minorHAnsi"/>
            <w:i/>
            <w:iCs/>
            <w:szCs w:val="15"/>
          </w:rPr>
          <w:t>–</w:t>
        </w:r>
        <w:r w:rsidRPr="00C37C19">
          <w:rPr>
            <w:rStyle w:val="Hyperlink"/>
            <w:rFonts w:cstheme="minorHAnsi"/>
            <w:i/>
            <w:iCs/>
            <w:szCs w:val="15"/>
          </w:rPr>
          <w:t>2051</w:t>
        </w:r>
      </w:hyperlink>
      <w:r w:rsidRPr="00C37C19">
        <w:rPr>
          <w:rFonts w:cstheme="minorHAnsi"/>
          <w:szCs w:val="15"/>
        </w:rPr>
        <w:t>, 2021, pp. 60</w:t>
      </w:r>
      <w:r>
        <w:rPr>
          <w:rFonts w:cstheme="minorHAnsi"/>
          <w:szCs w:val="15"/>
        </w:rPr>
        <w:t>–</w:t>
      </w:r>
      <w:r w:rsidRPr="00C37C19">
        <w:rPr>
          <w:rFonts w:cstheme="minorHAnsi"/>
          <w:szCs w:val="15"/>
        </w:rPr>
        <w:t>62, accessed 16 May 2023.</w:t>
      </w:r>
    </w:p>
  </w:endnote>
  <w:endnote w:id="652">
    <w:p w14:paraId="3874E5EC" w14:textId="77777777" w:rsidR="00373ED9" w:rsidRPr="00C37C19" w:rsidRDefault="00373ED9" w:rsidP="00373ED9">
      <w:pPr>
        <w:pStyle w:val="EndnoteText"/>
        <w:rPr>
          <w:rFonts w:cstheme="minorHAnsi"/>
          <w:szCs w:val="15"/>
        </w:rPr>
      </w:pPr>
      <w:r w:rsidRPr="00C37C19">
        <w:rPr>
          <w:rStyle w:val="EndnoteReference"/>
          <w:rFonts w:eastAsiaTheme="majorEastAsia" w:cstheme="minorHAnsi"/>
          <w:szCs w:val="15"/>
        </w:rPr>
        <w:endnoteRef/>
      </w:r>
      <w:r w:rsidRPr="00C37C19">
        <w:rPr>
          <w:rFonts w:cstheme="minorHAnsi"/>
          <w:szCs w:val="15"/>
        </w:rPr>
        <w:t xml:space="preserve"> Infrastructure Victoria, </w:t>
      </w:r>
      <w:hyperlink r:id="rId794" w:history="1">
        <w:r w:rsidRPr="00C37C19">
          <w:rPr>
            <w:rStyle w:val="Hyperlink"/>
            <w:rFonts w:cstheme="minorHAnsi"/>
            <w:i/>
            <w:iCs/>
            <w:szCs w:val="15"/>
          </w:rPr>
          <w:t>Annual report 2020</w:t>
        </w:r>
        <w:r>
          <w:rPr>
            <w:rStyle w:val="Hyperlink"/>
            <w:rFonts w:cstheme="minorHAnsi"/>
            <w:i/>
            <w:iCs/>
            <w:szCs w:val="15"/>
          </w:rPr>
          <w:t>–</w:t>
        </w:r>
        <w:r w:rsidRPr="00C37C19">
          <w:rPr>
            <w:rStyle w:val="Hyperlink"/>
            <w:rFonts w:cstheme="minorHAnsi"/>
            <w:i/>
            <w:iCs/>
            <w:szCs w:val="15"/>
          </w:rPr>
          <w:t>21</w:t>
        </w:r>
      </w:hyperlink>
      <w:r w:rsidRPr="00C37C19">
        <w:rPr>
          <w:rFonts w:cstheme="minorHAnsi"/>
          <w:szCs w:val="15"/>
        </w:rPr>
        <w:t>, 2021, p. 105, accessed 16 May 2023.</w:t>
      </w:r>
    </w:p>
  </w:endnote>
  <w:endnote w:id="653">
    <w:p w14:paraId="77A5528B" w14:textId="77777777" w:rsidR="00373ED9" w:rsidRPr="00C37C19" w:rsidRDefault="00373ED9" w:rsidP="00373ED9">
      <w:pPr>
        <w:spacing w:before="84" w:after="84" w:line="190" w:lineRule="atLeast"/>
        <w:ind w:left="340" w:hanging="340"/>
        <w:rPr>
          <w:rFonts w:cstheme="minorHAnsi"/>
          <w:sz w:val="15"/>
          <w:szCs w:val="15"/>
        </w:rPr>
      </w:pPr>
      <w:r w:rsidRPr="00C37C19">
        <w:rPr>
          <w:rStyle w:val="EndnoteReference"/>
          <w:rFonts w:cstheme="minorHAnsi"/>
          <w:sz w:val="15"/>
          <w:szCs w:val="15"/>
        </w:rPr>
        <w:endnoteRef/>
      </w:r>
      <w:r w:rsidRPr="00C37C19">
        <w:rPr>
          <w:rFonts w:cstheme="minorHAnsi"/>
          <w:sz w:val="15"/>
          <w:szCs w:val="15"/>
        </w:rPr>
        <w:t xml:space="preserve"> Department of Treasury and Finance, </w:t>
      </w:r>
      <w:hyperlink r:id="rId795" w:history="1">
        <w:r w:rsidRPr="00C37C19">
          <w:rPr>
            <w:rStyle w:val="Hyperlink"/>
            <w:rFonts w:cstheme="minorHAnsi"/>
            <w:i/>
            <w:iCs/>
            <w:sz w:val="15"/>
            <w:szCs w:val="15"/>
          </w:rPr>
          <w:t>Department of Energy, Environment and Climate Action output performance measures</w:t>
        </w:r>
      </w:hyperlink>
      <w:r w:rsidRPr="00C37C19">
        <w:rPr>
          <w:rFonts w:cstheme="minorHAnsi"/>
          <w:sz w:val="15"/>
          <w:szCs w:val="15"/>
        </w:rPr>
        <w:t>, 2023, accessed 17 May 2023</w:t>
      </w:r>
      <w:r>
        <w:rPr>
          <w:rFonts w:cstheme="minorHAnsi"/>
          <w:sz w:val="15"/>
          <w:szCs w:val="15"/>
        </w:rPr>
        <w:t>.</w:t>
      </w:r>
    </w:p>
  </w:endnote>
  <w:endnote w:id="654">
    <w:p w14:paraId="1C5C8719" w14:textId="77777777" w:rsidR="00373ED9" w:rsidRPr="00C37C19" w:rsidRDefault="00373ED9" w:rsidP="00373ED9">
      <w:pPr>
        <w:pStyle w:val="EndnoteText"/>
        <w:rPr>
          <w:rFonts w:cstheme="minorHAnsi"/>
          <w:szCs w:val="15"/>
        </w:rPr>
      </w:pPr>
      <w:r w:rsidRPr="00C37C19">
        <w:rPr>
          <w:rStyle w:val="EndnoteReference"/>
          <w:rFonts w:cstheme="minorHAnsi"/>
          <w:szCs w:val="15"/>
        </w:rPr>
        <w:endnoteRef/>
      </w:r>
      <w:r w:rsidRPr="00C37C19">
        <w:rPr>
          <w:rFonts w:cstheme="minorHAnsi"/>
          <w:szCs w:val="15"/>
        </w:rPr>
        <w:t xml:space="preserve"> Department of Energy, Environment and Climate Action, </w:t>
      </w:r>
      <w:hyperlink r:id="rId796" w:history="1">
        <w:r w:rsidRPr="00C37C19">
          <w:rPr>
            <w:rStyle w:val="Hyperlink"/>
            <w:rFonts w:cstheme="minorHAnsi"/>
            <w:i/>
            <w:iCs/>
            <w:szCs w:val="15"/>
          </w:rPr>
          <w:t>Victorian Waterway Management Strategy</w:t>
        </w:r>
      </w:hyperlink>
      <w:r w:rsidRPr="00C37C19">
        <w:rPr>
          <w:rFonts w:cstheme="minorHAnsi"/>
          <w:szCs w:val="15"/>
        </w:rPr>
        <w:t>, 2023, accessed 1 June 2023</w:t>
      </w:r>
      <w:r>
        <w:rPr>
          <w:rFonts w:cstheme="minorHAnsi"/>
          <w:szCs w:val="15"/>
        </w:rPr>
        <w:t xml:space="preserve">; Department of Energy, Environment and Climate Action, </w:t>
      </w:r>
      <w:hyperlink r:id="rId797" w:history="1">
        <w:r w:rsidRPr="007A2752">
          <w:rPr>
            <w:rStyle w:val="Hyperlink"/>
            <w:rFonts w:cstheme="minorHAnsi"/>
            <w:szCs w:val="15"/>
          </w:rPr>
          <w:t>Your waterways, your say</w:t>
        </w:r>
      </w:hyperlink>
      <w:r>
        <w:t>, Engage Victoria website, accessed 17 August 2023</w:t>
      </w:r>
      <w:r w:rsidRPr="00C37C19">
        <w:rPr>
          <w:rFonts w:cstheme="minorHAnsi"/>
          <w:szCs w:val="15"/>
        </w:rPr>
        <w:t xml:space="preserve">.  </w:t>
      </w:r>
    </w:p>
  </w:endnote>
  <w:endnote w:id="655">
    <w:p w14:paraId="24B79370" w14:textId="7D4E92CE" w:rsidR="00373ED9" w:rsidRPr="00C37C19" w:rsidRDefault="00373ED9" w:rsidP="00373ED9">
      <w:pPr>
        <w:pStyle w:val="EndnoteText"/>
        <w:rPr>
          <w:rFonts w:cstheme="minorHAnsi"/>
          <w:szCs w:val="15"/>
        </w:rPr>
      </w:pPr>
      <w:r w:rsidRPr="00C37C19">
        <w:rPr>
          <w:rStyle w:val="EndnoteReference"/>
          <w:rFonts w:cstheme="minorHAnsi"/>
          <w:szCs w:val="15"/>
        </w:rPr>
        <w:endnoteRef/>
      </w:r>
      <w:r w:rsidRPr="00C37C19">
        <w:rPr>
          <w:rFonts w:cstheme="minorHAnsi"/>
          <w:szCs w:val="15"/>
        </w:rPr>
        <w:t xml:space="preserve"> Department of Energy, Environment and Climate Action, </w:t>
      </w:r>
      <w:hyperlink r:id="rId798" w:history="1">
        <w:r w:rsidRPr="00C37C19">
          <w:rPr>
            <w:rStyle w:val="Hyperlink"/>
            <w:rFonts w:cstheme="minorHAnsi"/>
            <w:i/>
            <w:iCs/>
            <w:szCs w:val="15"/>
          </w:rPr>
          <w:t>Flagship waterways</w:t>
        </w:r>
      </w:hyperlink>
      <w:r>
        <w:rPr>
          <w:rFonts w:cstheme="minorHAnsi"/>
          <w:szCs w:val="15"/>
        </w:rPr>
        <w:t xml:space="preserve"> (website),</w:t>
      </w:r>
      <w:r w:rsidRPr="00C37C19">
        <w:rPr>
          <w:rFonts w:cstheme="minorHAnsi"/>
          <w:i/>
          <w:iCs/>
          <w:szCs w:val="15"/>
        </w:rPr>
        <w:t xml:space="preserve"> </w:t>
      </w:r>
      <w:r w:rsidRPr="00C37C19">
        <w:rPr>
          <w:rFonts w:cstheme="minorHAnsi"/>
          <w:szCs w:val="15"/>
        </w:rPr>
        <w:t xml:space="preserve">2023, accessed 1 June 2023. </w:t>
      </w:r>
    </w:p>
  </w:endnote>
  <w:endnote w:id="656">
    <w:p w14:paraId="31A002DC" w14:textId="77777777" w:rsidR="00373ED9" w:rsidRDefault="00373ED9" w:rsidP="00373ED9">
      <w:pPr>
        <w:pStyle w:val="EndnoteText"/>
      </w:pPr>
      <w:r>
        <w:rPr>
          <w:rStyle w:val="EndnoteReference"/>
        </w:rPr>
        <w:endnoteRef/>
      </w:r>
      <w:r>
        <w:t xml:space="preserve"> Minister for Water, </w:t>
      </w:r>
      <w:hyperlink r:id="rId799" w:history="1">
        <w:r w:rsidRPr="003F4330">
          <w:rPr>
            <w:rStyle w:val="Hyperlink"/>
            <w:i/>
            <w:iCs/>
          </w:rPr>
          <w:t>Delivering Water Security For Our Future</w:t>
        </w:r>
      </w:hyperlink>
      <w:r>
        <w:t xml:space="preserve"> (media release), 4 September 2022, accessed 27 July 2023</w:t>
      </w:r>
    </w:p>
  </w:endnote>
  <w:endnote w:id="657">
    <w:p w14:paraId="629A7D39" w14:textId="77777777" w:rsidR="00373ED9" w:rsidRDefault="00373ED9" w:rsidP="00373ED9">
      <w:pPr>
        <w:pStyle w:val="EndnoteText"/>
      </w:pPr>
      <w:r>
        <w:rPr>
          <w:rStyle w:val="EndnoteReference"/>
        </w:rPr>
        <w:endnoteRef/>
      </w:r>
      <w:r>
        <w:t xml:space="preserve"> Department of Environment, Land, Water and Planning, </w:t>
      </w:r>
      <w:hyperlink r:id="rId800" w:history="1">
        <w:r w:rsidRPr="00E27A36">
          <w:rPr>
            <w:rStyle w:val="Hyperlink"/>
            <w:i/>
            <w:iCs/>
          </w:rPr>
          <w:t>Central and Gippsland Region Sustainable Water Strategy</w:t>
        </w:r>
      </w:hyperlink>
      <w:r>
        <w:t>, 2022, p. 8, accessed 27 July 2023.</w:t>
      </w:r>
    </w:p>
    <w:p w14:paraId="3425531B" w14:textId="77777777" w:rsidR="00186E84" w:rsidRDefault="00186E84" w:rsidP="004311CB">
      <w:pPr>
        <w:pStyle w:val="EndnoteText"/>
        <w:ind w:left="0" w:firstLine="0"/>
      </w:pPr>
    </w:p>
  </w:endnote>
  <w:endnote w:id="658">
    <w:p w14:paraId="53BE59EB" w14:textId="0A3046F0" w:rsidR="004311CB" w:rsidRDefault="004311CB">
      <w:pPr>
        <w:pStyle w:val="EndnoteText"/>
        <w:rPr>
          <w:rFonts w:ascii="Calibri" w:eastAsiaTheme="minorHAnsi" w:hAnsi="Calibri" w:cs="Calibri"/>
          <w:color w:val="000000"/>
          <w:szCs w:val="15"/>
          <w:lang w:val="en-GB"/>
        </w:rPr>
      </w:pPr>
      <w:r>
        <w:rPr>
          <w:rStyle w:val="EndnoteReference"/>
        </w:rPr>
        <w:endnoteRef/>
      </w:r>
      <w:r>
        <w:t xml:space="preserve"> </w:t>
      </w:r>
      <w:r w:rsidRPr="004311CB">
        <w:rPr>
          <w:rFonts w:ascii="Calibri" w:eastAsiaTheme="minorHAnsi" w:hAnsi="Calibri" w:cs="Calibri"/>
          <w:color w:val="000000"/>
          <w:szCs w:val="15"/>
          <w:lang w:val="en-GB"/>
        </w:rPr>
        <w:t xml:space="preserve">Department of Treasury and Finance, </w:t>
      </w:r>
      <w:hyperlink r:id="rId801" w:anchor="budget-paper-3-service-delivery" w:history="1">
        <w:r w:rsidRPr="004311CB">
          <w:rPr>
            <w:rStyle w:val="Hyperlink"/>
            <w:rFonts w:ascii="Calibri" w:eastAsiaTheme="minorHAnsi" w:hAnsi="Calibri" w:cs="Calibri"/>
            <w:szCs w:val="15"/>
            <w:lang w:val="en-GB"/>
          </w:rPr>
          <w:t>Victorian Budget  2023-24 – Budget  Paper No. 3</w:t>
        </w:r>
      </w:hyperlink>
      <w:r w:rsidRPr="004311CB">
        <w:rPr>
          <w:rFonts w:ascii="Calibri" w:eastAsiaTheme="minorHAnsi" w:hAnsi="Calibri" w:cs="Calibri"/>
          <w:color w:val="000000"/>
          <w:szCs w:val="15"/>
          <w:lang w:val="en-GB"/>
        </w:rPr>
        <w:t>, 2023, pp.28,32, accessed 10 August 2023 (</w:t>
      </w:r>
      <w:hyperlink r:id="rId802" w:history="1">
        <w:r w:rsidRPr="004311CB">
          <w:rPr>
            <w:rStyle w:val="Hyperlink"/>
            <w:rFonts w:ascii="Calibri" w:eastAsiaTheme="minorHAnsi" w:hAnsi="Calibri" w:cs="Calibri"/>
            <w:szCs w:val="15"/>
            <w:lang w:val="en-GB"/>
          </w:rPr>
          <w:t>https://s3.ap-southeast-2.amazonaws.com/budgetfiles202324.budget.vic.gov.au/2023-24+State+Budget+-+Service+Delivery.pdf</w:t>
        </w:r>
      </w:hyperlink>
      <w:r w:rsidRPr="004311CB">
        <w:rPr>
          <w:rFonts w:ascii="Calibri" w:eastAsiaTheme="minorHAnsi" w:hAnsi="Calibri" w:cs="Calibri"/>
          <w:color w:val="000000"/>
          <w:szCs w:val="15"/>
          <w:lang w:val="en-GB"/>
        </w:rPr>
        <w:t>).</w:t>
      </w:r>
    </w:p>
    <w:p w14:paraId="2C4E546C" w14:textId="77777777" w:rsidR="004311CB" w:rsidRDefault="004311CB">
      <w:pPr>
        <w:pStyle w:val="EndnoteText"/>
        <w:rPr>
          <w:rFonts w:ascii="Calibri" w:eastAsiaTheme="minorHAnsi" w:hAnsi="Calibri" w:cs="Calibri"/>
          <w:color w:val="000000"/>
          <w:szCs w:val="15"/>
          <w:lang w:val="en-GB"/>
        </w:rPr>
      </w:pPr>
    </w:p>
    <w:p w14:paraId="06B93923" w14:textId="77777777" w:rsidR="00677678" w:rsidRDefault="00677678" w:rsidP="004311CB">
      <w:pPr>
        <w:spacing w:before="85" w:line="218" w:lineRule="auto"/>
        <w:rPr>
          <w:rFonts w:cs="Calibri"/>
          <w:color w:val="414042"/>
          <w:sz w:val="16"/>
        </w:rPr>
      </w:pPr>
    </w:p>
    <w:p w14:paraId="2907A8F7" w14:textId="77777777" w:rsidR="00677678" w:rsidRDefault="00677678" w:rsidP="004311CB">
      <w:pPr>
        <w:spacing w:before="85" w:line="218" w:lineRule="auto"/>
        <w:rPr>
          <w:rFonts w:cs="Calibri"/>
          <w:color w:val="414042"/>
          <w:sz w:val="16"/>
        </w:rPr>
      </w:pPr>
    </w:p>
    <w:p w14:paraId="15CEA99B" w14:textId="77777777" w:rsidR="00677678" w:rsidRDefault="00677678" w:rsidP="004311CB">
      <w:pPr>
        <w:spacing w:before="85" w:line="218" w:lineRule="auto"/>
        <w:rPr>
          <w:rFonts w:cs="Calibri"/>
          <w:color w:val="414042"/>
          <w:sz w:val="16"/>
        </w:rPr>
      </w:pPr>
    </w:p>
    <w:p w14:paraId="1816FC0B" w14:textId="77777777" w:rsidR="00677678" w:rsidRDefault="00677678" w:rsidP="004311CB">
      <w:pPr>
        <w:spacing w:before="85" w:line="218" w:lineRule="auto"/>
        <w:rPr>
          <w:rFonts w:cs="Calibri"/>
          <w:color w:val="414042"/>
          <w:sz w:val="16"/>
        </w:rPr>
      </w:pPr>
    </w:p>
    <w:p w14:paraId="79AE2194" w14:textId="77777777" w:rsidR="00677678" w:rsidRDefault="00677678" w:rsidP="004311CB">
      <w:pPr>
        <w:spacing w:before="85" w:line="218" w:lineRule="auto"/>
        <w:rPr>
          <w:rFonts w:cs="Calibri"/>
          <w:color w:val="414042"/>
          <w:sz w:val="16"/>
        </w:rPr>
      </w:pPr>
    </w:p>
    <w:p w14:paraId="660725E9" w14:textId="77777777" w:rsidR="00677678" w:rsidRDefault="00677678" w:rsidP="004311CB">
      <w:pPr>
        <w:spacing w:before="85" w:line="218" w:lineRule="auto"/>
        <w:rPr>
          <w:rFonts w:cs="Calibri"/>
          <w:color w:val="414042"/>
          <w:sz w:val="16"/>
        </w:rPr>
      </w:pPr>
    </w:p>
    <w:p w14:paraId="13D715AC" w14:textId="77777777" w:rsidR="00677678" w:rsidRDefault="00677678" w:rsidP="004311CB">
      <w:pPr>
        <w:spacing w:before="85" w:line="218" w:lineRule="auto"/>
        <w:rPr>
          <w:rFonts w:cs="Calibri"/>
          <w:color w:val="414042"/>
          <w:sz w:val="16"/>
        </w:rPr>
      </w:pPr>
    </w:p>
    <w:p w14:paraId="39E6657E" w14:textId="77777777" w:rsidR="00677678" w:rsidRDefault="00677678" w:rsidP="004311CB">
      <w:pPr>
        <w:spacing w:before="85" w:line="218" w:lineRule="auto"/>
        <w:rPr>
          <w:rFonts w:cs="Calibri"/>
          <w:color w:val="414042"/>
          <w:sz w:val="16"/>
        </w:rPr>
      </w:pPr>
    </w:p>
    <w:p w14:paraId="1581AD99" w14:textId="77777777" w:rsidR="00677678" w:rsidRDefault="00677678" w:rsidP="004311CB">
      <w:pPr>
        <w:spacing w:before="85" w:line="218" w:lineRule="auto"/>
        <w:rPr>
          <w:rFonts w:cs="Calibri"/>
          <w:color w:val="414042"/>
          <w:sz w:val="16"/>
        </w:rPr>
      </w:pPr>
    </w:p>
    <w:p w14:paraId="73E63DD1" w14:textId="77777777" w:rsidR="00677678" w:rsidRDefault="00677678" w:rsidP="004311CB">
      <w:pPr>
        <w:spacing w:before="85" w:line="218" w:lineRule="auto"/>
        <w:rPr>
          <w:rFonts w:cs="Calibri"/>
          <w:color w:val="414042"/>
          <w:sz w:val="16"/>
        </w:rPr>
      </w:pPr>
    </w:p>
    <w:p w14:paraId="09C22E36" w14:textId="77777777" w:rsidR="00677678" w:rsidRDefault="00677678" w:rsidP="004311CB">
      <w:pPr>
        <w:spacing w:before="85" w:line="218" w:lineRule="auto"/>
        <w:rPr>
          <w:rFonts w:cs="Calibri"/>
          <w:color w:val="414042"/>
          <w:sz w:val="16"/>
        </w:rPr>
      </w:pPr>
    </w:p>
    <w:p w14:paraId="5E6BB00E" w14:textId="77777777" w:rsidR="00677678" w:rsidRDefault="00677678" w:rsidP="004311CB">
      <w:pPr>
        <w:spacing w:before="85" w:line="218" w:lineRule="auto"/>
        <w:rPr>
          <w:rFonts w:cs="Calibri"/>
          <w:color w:val="414042"/>
          <w:sz w:val="16"/>
        </w:rPr>
      </w:pPr>
    </w:p>
    <w:p w14:paraId="1C1B635B" w14:textId="77777777" w:rsidR="00677678" w:rsidRDefault="00677678" w:rsidP="004311CB">
      <w:pPr>
        <w:spacing w:before="85" w:line="218" w:lineRule="auto"/>
        <w:rPr>
          <w:rFonts w:cs="Calibri"/>
          <w:color w:val="414042"/>
          <w:sz w:val="16"/>
        </w:rPr>
      </w:pPr>
    </w:p>
    <w:p w14:paraId="6514F736" w14:textId="644DEA1E" w:rsidR="004311CB" w:rsidRDefault="004311CB" w:rsidP="004311CB">
      <w:pPr>
        <w:spacing w:before="85" w:line="218" w:lineRule="auto"/>
        <w:rPr>
          <w:rFonts w:cs="Calibri"/>
          <w:color w:val="414042"/>
          <w:sz w:val="16"/>
        </w:rPr>
      </w:pPr>
      <w:r w:rsidRPr="000E4B47">
        <w:rPr>
          <w:rFonts w:cs="Calibri"/>
          <w:color w:val="414042"/>
          <w:sz w:val="16"/>
        </w:rPr>
        <w:t>This publication may be of assistance to you, but Infrastructure Victoria</w:t>
      </w:r>
      <w:r w:rsidRPr="000E4B47">
        <w:rPr>
          <w:rFonts w:cs="Calibri"/>
          <w:color w:val="414042"/>
          <w:spacing w:val="-4"/>
          <w:sz w:val="16"/>
        </w:rPr>
        <w:t xml:space="preserve"> </w:t>
      </w:r>
      <w:r w:rsidRPr="000E4B47">
        <w:rPr>
          <w:rFonts w:cs="Calibri"/>
          <w:color w:val="414042"/>
          <w:sz w:val="16"/>
        </w:rPr>
        <w:t>and</w:t>
      </w:r>
      <w:r w:rsidRPr="000E4B47">
        <w:rPr>
          <w:rFonts w:cs="Calibri"/>
          <w:color w:val="414042"/>
          <w:spacing w:val="-4"/>
          <w:sz w:val="16"/>
        </w:rPr>
        <w:t xml:space="preserve"> </w:t>
      </w:r>
      <w:r w:rsidRPr="000E4B47">
        <w:rPr>
          <w:rFonts w:cs="Calibri"/>
          <w:color w:val="414042"/>
          <w:sz w:val="16"/>
        </w:rPr>
        <w:t>its</w:t>
      </w:r>
      <w:r w:rsidRPr="000E4B47">
        <w:rPr>
          <w:rFonts w:cs="Calibri"/>
          <w:color w:val="414042"/>
          <w:spacing w:val="-4"/>
          <w:sz w:val="16"/>
        </w:rPr>
        <w:t xml:space="preserve"> </w:t>
      </w:r>
      <w:r w:rsidRPr="000E4B47">
        <w:rPr>
          <w:rFonts w:cs="Calibri"/>
          <w:color w:val="414042"/>
          <w:sz w:val="16"/>
        </w:rPr>
        <w:t>employees</w:t>
      </w:r>
      <w:r w:rsidRPr="000E4B47">
        <w:rPr>
          <w:rFonts w:cs="Calibri"/>
          <w:color w:val="414042"/>
          <w:spacing w:val="-4"/>
          <w:sz w:val="16"/>
        </w:rPr>
        <w:t xml:space="preserve"> </w:t>
      </w:r>
      <w:r w:rsidRPr="000E4B47">
        <w:rPr>
          <w:rFonts w:cs="Calibri"/>
          <w:color w:val="414042"/>
          <w:sz w:val="16"/>
        </w:rPr>
        <w:t>do</w:t>
      </w:r>
      <w:r w:rsidRPr="000E4B47">
        <w:rPr>
          <w:rFonts w:cs="Calibri"/>
          <w:color w:val="414042"/>
          <w:spacing w:val="-4"/>
          <w:sz w:val="16"/>
        </w:rPr>
        <w:t xml:space="preserve"> </w:t>
      </w:r>
      <w:r w:rsidRPr="000E4B47">
        <w:rPr>
          <w:rFonts w:cs="Calibri"/>
          <w:color w:val="414042"/>
          <w:sz w:val="16"/>
        </w:rPr>
        <w:t>not</w:t>
      </w:r>
      <w:r w:rsidRPr="000E4B47">
        <w:rPr>
          <w:rFonts w:cs="Calibri"/>
          <w:color w:val="414042"/>
          <w:spacing w:val="-4"/>
          <w:sz w:val="16"/>
        </w:rPr>
        <w:t xml:space="preserve"> </w:t>
      </w:r>
      <w:r w:rsidRPr="000E4B47">
        <w:rPr>
          <w:rFonts w:cs="Calibri"/>
          <w:color w:val="414042"/>
          <w:sz w:val="16"/>
        </w:rPr>
        <w:t>guarantee</w:t>
      </w:r>
      <w:r w:rsidRPr="000E4B47">
        <w:rPr>
          <w:rFonts w:cs="Calibri"/>
          <w:color w:val="414042"/>
          <w:spacing w:val="-4"/>
          <w:sz w:val="16"/>
        </w:rPr>
        <w:t xml:space="preserve"> </w:t>
      </w:r>
      <w:r w:rsidRPr="000E4B47">
        <w:rPr>
          <w:rFonts w:cs="Calibri"/>
          <w:color w:val="414042"/>
          <w:sz w:val="16"/>
        </w:rPr>
        <w:t>that</w:t>
      </w:r>
      <w:r w:rsidRPr="000E4B47">
        <w:rPr>
          <w:rFonts w:cs="Calibri"/>
          <w:color w:val="414042"/>
          <w:spacing w:val="-4"/>
          <w:sz w:val="16"/>
        </w:rPr>
        <w:t xml:space="preserve"> </w:t>
      </w:r>
      <w:r w:rsidRPr="000E4B47">
        <w:rPr>
          <w:rFonts w:cs="Calibri"/>
          <w:color w:val="414042"/>
          <w:sz w:val="16"/>
        </w:rPr>
        <w:t>the</w:t>
      </w:r>
      <w:r w:rsidRPr="000E4B47">
        <w:rPr>
          <w:rFonts w:cs="Calibri"/>
          <w:color w:val="414042"/>
          <w:spacing w:val="-4"/>
          <w:sz w:val="16"/>
        </w:rPr>
        <w:t xml:space="preserve"> </w:t>
      </w:r>
      <w:r w:rsidRPr="000E4B47">
        <w:rPr>
          <w:rFonts w:cs="Calibri"/>
          <w:color w:val="414042"/>
          <w:sz w:val="16"/>
        </w:rPr>
        <w:t>publication</w:t>
      </w:r>
      <w:r w:rsidRPr="000E4B47">
        <w:rPr>
          <w:rFonts w:cs="Calibri"/>
          <w:color w:val="414042"/>
          <w:spacing w:val="-4"/>
          <w:sz w:val="16"/>
        </w:rPr>
        <w:t xml:space="preserve"> </w:t>
      </w:r>
      <w:r w:rsidRPr="000E4B47">
        <w:rPr>
          <w:rFonts w:cs="Calibri"/>
          <w:color w:val="414042"/>
          <w:sz w:val="16"/>
        </w:rPr>
        <w:t>is without flaw of any kind or is wholly appropriate for your particular purposes and therefore disclaims all liability for any error, loss</w:t>
      </w:r>
      <w:r>
        <w:rPr>
          <w:rFonts w:cs="Calibri"/>
          <w:sz w:val="16"/>
        </w:rPr>
        <w:t xml:space="preserve"> </w:t>
      </w:r>
      <w:r w:rsidRPr="000E4B47">
        <w:rPr>
          <w:rFonts w:cs="Calibri"/>
          <w:color w:val="414042"/>
          <w:sz w:val="16"/>
        </w:rPr>
        <w:t>or</w:t>
      </w:r>
      <w:r w:rsidRPr="000E4B47">
        <w:rPr>
          <w:rFonts w:cs="Calibri"/>
          <w:color w:val="414042"/>
          <w:spacing w:val="-4"/>
          <w:sz w:val="16"/>
        </w:rPr>
        <w:t xml:space="preserve"> </w:t>
      </w:r>
      <w:r w:rsidRPr="000E4B47">
        <w:rPr>
          <w:rFonts w:cs="Calibri"/>
          <w:color w:val="414042"/>
          <w:sz w:val="16"/>
        </w:rPr>
        <w:t>other</w:t>
      </w:r>
      <w:r w:rsidRPr="000E4B47">
        <w:rPr>
          <w:rFonts w:cs="Calibri"/>
          <w:color w:val="414042"/>
          <w:spacing w:val="-4"/>
          <w:sz w:val="16"/>
        </w:rPr>
        <w:t xml:space="preserve"> </w:t>
      </w:r>
      <w:r w:rsidRPr="000E4B47">
        <w:rPr>
          <w:rFonts w:cs="Calibri"/>
          <w:color w:val="414042"/>
          <w:sz w:val="16"/>
        </w:rPr>
        <w:t>consequence</w:t>
      </w:r>
      <w:r w:rsidRPr="000E4B47">
        <w:rPr>
          <w:rFonts w:cs="Calibri"/>
          <w:color w:val="414042"/>
          <w:spacing w:val="-4"/>
          <w:sz w:val="16"/>
        </w:rPr>
        <w:t xml:space="preserve"> </w:t>
      </w:r>
      <w:r w:rsidRPr="000E4B47">
        <w:rPr>
          <w:rFonts w:cs="Calibri"/>
          <w:color w:val="414042"/>
          <w:sz w:val="16"/>
        </w:rPr>
        <w:t>that</w:t>
      </w:r>
      <w:r w:rsidRPr="000E4B47">
        <w:rPr>
          <w:rFonts w:cs="Calibri"/>
          <w:color w:val="414042"/>
          <w:spacing w:val="-4"/>
          <w:sz w:val="16"/>
        </w:rPr>
        <w:t xml:space="preserve"> </w:t>
      </w:r>
      <w:r w:rsidRPr="000E4B47">
        <w:rPr>
          <w:rFonts w:cs="Calibri"/>
          <w:color w:val="414042"/>
          <w:sz w:val="16"/>
        </w:rPr>
        <w:t>may</w:t>
      </w:r>
      <w:r w:rsidRPr="000E4B47">
        <w:rPr>
          <w:rFonts w:cs="Calibri"/>
          <w:color w:val="414042"/>
          <w:spacing w:val="-4"/>
          <w:sz w:val="16"/>
        </w:rPr>
        <w:t xml:space="preserve"> </w:t>
      </w:r>
      <w:r w:rsidRPr="000E4B47">
        <w:rPr>
          <w:rFonts w:cs="Calibri"/>
          <w:color w:val="414042"/>
          <w:sz w:val="16"/>
        </w:rPr>
        <w:t>arise</w:t>
      </w:r>
      <w:r w:rsidRPr="000E4B47">
        <w:rPr>
          <w:rFonts w:cs="Calibri"/>
          <w:color w:val="414042"/>
          <w:spacing w:val="-4"/>
          <w:sz w:val="16"/>
        </w:rPr>
        <w:t xml:space="preserve"> </w:t>
      </w:r>
      <w:r w:rsidRPr="000E4B47">
        <w:rPr>
          <w:rFonts w:cs="Calibri"/>
          <w:color w:val="414042"/>
          <w:sz w:val="16"/>
        </w:rPr>
        <w:t>from</w:t>
      </w:r>
      <w:r w:rsidRPr="000E4B47">
        <w:rPr>
          <w:rFonts w:cs="Calibri"/>
          <w:color w:val="414042"/>
          <w:spacing w:val="-4"/>
          <w:sz w:val="16"/>
        </w:rPr>
        <w:t xml:space="preserve"> </w:t>
      </w:r>
      <w:r w:rsidRPr="000E4B47">
        <w:rPr>
          <w:rFonts w:cs="Calibri"/>
          <w:color w:val="414042"/>
          <w:sz w:val="16"/>
        </w:rPr>
        <w:t>you</w:t>
      </w:r>
      <w:r w:rsidRPr="000E4B47">
        <w:rPr>
          <w:rFonts w:cs="Calibri"/>
          <w:color w:val="414042"/>
          <w:spacing w:val="-4"/>
          <w:sz w:val="16"/>
        </w:rPr>
        <w:t xml:space="preserve"> </w:t>
      </w:r>
      <w:r w:rsidRPr="000E4B47">
        <w:rPr>
          <w:rFonts w:cs="Calibri"/>
          <w:color w:val="414042"/>
          <w:sz w:val="16"/>
        </w:rPr>
        <w:t>relying</w:t>
      </w:r>
      <w:r w:rsidRPr="000E4B47">
        <w:rPr>
          <w:rFonts w:cs="Calibri"/>
          <w:color w:val="414042"/>
          <w:spacing w:val="-4"/>
          <w:sz w:val="16"/>
        </w:rPr>
        <w:t xml:space="preserve"> </w:t>
      </w:r>
      <w:r w:rsidRPr="000E4B47">
        <w:rPr>
          <w:rFonts w:cs="Calibri"/>
          <w:color w:val="414042"/>
          <w:sz w:val="16"/>
        </w:rPr>
        <w:t>on</w:t>
      </w:r>
      <w:r w:rsidRPr="000E4B47">
        <w:rPr>
          <w:rFonts w:cs="Calibri"/>
          <w:color w:val="414042"/>
          <w:spacing w:val="-4"/>
          <w:sz w:val="16"/>
        </w:rPr>
        <w:t xml:space="preserve"> </w:t>
      </w:r>
      <w:r w:rsidRPr="000E4B47">
        <w:rPr>
          <w:rFonts w:cs="Calibri"/>
          <w:color w:val="414042"/>
          <w:sz w:val="16"/>
        </w:rPr>
        <w:t>any information</w:t>
      </w:r>
      <w:r w:rsidRPr="000E4B47">
        <w:rPr>
          <w:rFonts w:cs="Calibri"/>
          <w:color w:val="414042"/>
          <w:spacing w:val="-6"/>
          <w:sz w:val="16"/>
        </w:rPr>
        <w:t xml:space="preserve"> </w:t>
      </w:r>
      <w:r w:rsidRPr="000E4B47">
        <w:rPr>
          <w:rFonts w:cs="Calibri"/>
          <w:color w:val="414042"/>
          <w:sz w:val="16"/>
        </w:rPr>
        <w:t>in</w:t>
      </w:r>
      <w:r w:rsidRPr="000E4B47">
        <w:rPr>
          <w:rFonts w:cs="Calibri"/>
          <w:color w:val="414042"/>
          <w:spacing w:val="-6"/>
          <w:sz w:val="16"/>
        </w:rPr>
        <w:t xml:space="preserve"> </w:t>
      </w:r>
      <w:r w:rsidRPr="000E4B47">
        <w:rPr>
          <w:rFonts w:cs="Calibri"/>
          <w:color w:val="414042"/>
          <w:sz w:val="16"/>
        </w:rPr>
        <w:t>this</w:t>
      </w:r>
      <w:r w:rsidRPr="000E4B47">
        <w:rPr>
          <w:rFonts w:cs="Calibri"/>
          <w:color w:val="414042"/>
          <w:spacing w:val="-6"/>
          <w:sz w:val="16"/>
        </w:rPr>
        <w:t xml:space="preserve"> </w:t>
      </w:r>
      <w:r w:rsidRPr="000E4B47">
        <w:rPr>
          <w:rFonts w:cs="Calibri"/>
          <w:color w:val="414042"/>
          <w:sz w:val="16"/>
        </w:rPr>
        <w:t>publication.</w:t>
      </w:r>
      <w:r w:rsidRPr="000E4B47">
        <w:rPr>
          <w:rFonts w:cs="Calibri"/>
          <w:color w:val="414042"/>
          <w:spacing w:val="-6"/>
          <w:sz w:val="16"/>
        </w:rPr>
        <w:t xml:space="preserve"> </w:t>
      </w:r>
      <w:r w:rsidRPr="000E4B47">
        <w:rPr>
          <w:rFonts w:cs="Calibri"/>
          <w:color w:val="414042"/>
          <w:sz w:val="16"/>
        </w:rPr>
        <w:t>You</w:t>
      </w:r>
      <w:r w:rsidRPr="000E4B47">
        <w:rPr>
          <w:rFonts w:cs="Calibri"/>
          <w:color w:val="414042"/>
          <w:spacing w:val="-6"/>
          <w:sz w:val="16"/>
        </w:rPr>
        <w:t xml:space="preserve"> </w:t>
      </w:r>
      <w:r w:rsidRPr="000E4B47">
        <w:rPr>
          <w:rFonts w:cs="Calibri"/>
          <w:color w:val="414042"/>
          <w:sz w:val="16"/>
        </w:rPr>
        <w:t>should</w:t>
      </w:r>
      <w:r w:rsidRPr="000E4B47">
        <w:rPr>
          <w:rFonts w:cs="Calibri"/>
          <w:color w:val="414042"/>
          <w:spacing w:val="-6"/>
          <w:sz w:val="16"/>
        </w:rPr>
        <w:t xml:space="preserve"> </w:t>
      </w:r>
      <w:r w:rsidRPr="000E4B47">
        <w:rPr>
          <w:rFonts w:cs="Calibri"/>
          <w:color w:val="414042"/>
          <w:sz w:val="16"/>
        </w:rPr>
        <w:t>seek</w:t>
      </w:r>
      <w:r w:rsidRPr="000E4B47">
        <w:rPr>
          <w:rFonts w:cs="Calibri"/>
          <w:color w:val="414042"/>
          <w:spacing w:val="-6"/>
          <w:sz w:val="16"/>
        </w:rPr>
        <w:t xml:space="preserve"> </w:t>
      </w:r>
      <w:r w:rsidRPr="000E4B47">
        <w:rPr>
          <w:rFonts w:cs="Calibri"/>
          <w:color w:val="414042"/>
          <w:sz w:val="16"/>
        </w:rPr>
        <w:t>appropriately qualified advice before making any decisions regarding your particular project.</w:t>
      </w:r>
    </w:p>
    <w:p w14:paraId="705CC255" w14:textId="77777777" w:rsidR="004311CB" w:rsidRPr="00186E84" w:rsidRDefault="004311CB" w:rsidP="004311CB">
      <w:pPr>
        <w:spacing w:before="85" w:line="218" w:lineRule="auto"/>
        <w:rPr>
          <w:rFonts w:cs="Calibri"/>
          <w:color w:val="414042"/>
          <w:sz w:val="16"/>
        </w:rPr>
      </w:pPr>
    </w:p>
    <w:p w14:paraId="3198306A" w14:textId="77777777" w:rsidR="004311CB" w:rsidRPr="000E4B47" w:rsidRDefault="004311CB" w:rsidP="004311CB">
      <w:pPr>
        <w:spacing w:before="31"/>
        <w:rPr>
          <w:rFonts w:cs="Calibri"/>
          <w:sz w:val="16"/>
        </w:rPr>
      </w:pPr>
      <w:r w:rsidRPr="000E4B47">
        <w:rPr>
          <w:rFonts w:cs="Calibri"/>
          <w:color w:val="414042"/>
          <w:sz w:val="16"/>
        </w:rPr>
        <w:t>Infrastructure</w:t>
      </w:r>
      <w:r w:rsidRPr="000E4B47">
        <w:rPr>
          <w:rFonts w:cs="Calibri"/>
          <w:color w:val="414042"/>
          <w:spacing w:val="-3"/>
          <w:sz w:val="16"/>
        </w:rPr>
        <w:t xml:space="preserve"> </w:t>
      </w:r>
      <w:r w:rsidRPr="000E4B47">
        <w:rPr>
          <w:rFonts w:cs="Calibri"/>
          <w:color w:val="414042"/>
          <w:sz w:val="16"/>
        </w:rPr>
        <w:t>Victoria</w:t>
      </w:r>
      <w:r w:rsidRPr="000E4B47">
        <w:rPr>
          <w:rFonts w:cs="Calibri"/>
          <w:color w:val="414042"/>
          <w:spacing w:val="-1"/>
          <w:sz w:val="16"/>
        </w:rPr>
        <w:t xml:space="preserve"> </w:t>
      </w:r>
      <w:r w:rsidRPr="000E4B47">
        <w:rPr>
          <w:rFonts w:cs="Calibri"/>
          <w:color w:val="414042"/>
          <w:sz w:val="16"/>
        </w:rPr>
        <w:t>October</w:t>
      </w:r>
      <w:r w:rsidRPr="000E4B47">
        <w:rPr>
          <w:rFonts w:cs="Calibri"/>
          <w:color w:val="414042"/>
          <w:spacing w:val="-1"/>
          <w:sz w:val="16"/>
        </w:rPr>
        <w:t xml:space="preserve"> </w:t>
      </w:r>
      <w:r w:rsidRPr="000E4B47">
        <w:rPr>
          <w:rFonts w:cs="Calibri"/>
          <w:color w:val="414042"/>
          <w:spacing w:val="-4"/>
          <w:sz w:val="16"/>
        </w:rPr>
        <w:t>2023</w:t>
      </w:r>
    </w:p>
    <w:p w14:paraId="36861DD0" w14:textId="77777777" w:rsidR="004311CB" w:rsidRPr="00186E84" w:rsidRDefault="004311CB" w:rsidP="004311CB">
      <w:pPr>
        <w:spacing w:before="36"/>
        <w:rPr>
          <w:rFonts w:cs="Calibri"/>
          <w:sz w:val="16"/>
        </w:rPr>
      </w:pPr>
      <w:r w:rsidRPr="000E4B47">
        <w:rPr>
          <w:rFonts w:cs="Calibri"/>
          <w:color w:val="414042"/>
          <w:sz w:val="16"/>
        </w:rPr>
        <w:t>©</w:t>
      </w:r>
      <w:r w:rsidRPr="000E4B47">
        <w:rPr>
          <w:rFonts w:cs="Calibri"/>
          <w:color w:val="414042"/>
          <w:spacing w:val="-3"/>
          <w:sz w:val="16"/>
        </w:rPr>
        <w:t xml:space="preserve"> </w:t>
      </w:r>
      <w:r w:rsidRPr="000E4B47">
        <w:rPr>
          <w:rFonts w:cs="Calibri"/>
          <w:color w:val="414042"/>
          <w:sz w:val="16"/>
        </w:rPr>
        <w:t>Copyright</w:t>
      </w:r>
      <w:r w:rsidRPr="000E4B47">
        <w:rPr>
          <w:rFonts w:cs="Calibri"/>
          <w:color w:val="414042"/>
          <w:spacing w:val="-1"/>
          <w:sz w:val="16"/>
        </w:rPr>
        <w:t xml:space="preserve"> </w:t>
      </w:r>
      <w:r w:rsidRPr="000E4B47">
        <w:rPr>
          <w:rFonts w:cs="Calibri"/>
          <w:color w:val="414042"/>
          <w:sz w:val="16"/>
        </w:rPr>
        <w:t>Infrastructure</w:t>
      </w:r>
      <w:r w:rsidRPr="000E4B47">
        <w:rPr>
          <w:rFonts w:cs="Calibri"/>
          <w:color w:val="414042"/>
          <w:spacing w:val="-1"/>
          <w:sz w:val="16"/>
        </w:rPr>
        <w:t xml:space="preserve"> </w:t>
      </w:r>
      <w:r w:rsidRPr="000E4B47">
        <w:rPr>
          <w:rFonts w:cs="Calibri"/>
          <w:color w:val="414042"/>
          <w:sz w:val="16"/>
        </w:rPr>
        <w:t xml:space="preserve">Victoria </w:t>
      </w:r>
      <w:r w:rsidRPr="000E4B47">
        <w:rPr>
          <w:rFonts w:cs="Calibri"/>
          <w:color w:val="414042"/>
          <w:spacing w:val="-4"/>
          <w:sz w:val="16"/>
        </w:rPr>
        <w:t>2023</w:t>
      </w:r>
    </w:p>
    <w:p w14:paraId="52327D18" w14:textId="77777777" w:rsidR="004311CB" w:rsidRPr="000E4B47" w:rsidRDefault="004311CB" w:rsidP="004311CB">
      <w:pPr>
        <w:pStyle w:val="BodyText"/>
        <w:spacing w:before="11"/>
        <w:rPr>
          <w:rFonts w:cs="Calibri"/>
          <w:sz w:val="14"/>
        </w:rPr>
      </w:pPr>
    </w:p>
    <w:p w14:paraId="75F5D4F6" w14:textId="77777777" w:rsidR="004311CB" w:rsidRPr="000E4B47" w:rsidRDefault="004311CB" w:rsidP="004311CB">
      <w:pPr>
        <w:spacing w:before="85" w:line="218" w:lineRule="auto"/>
        <w:rPr>
          <w:rFonts w:cs="Calibri"/>
          <w:sz w:val="16"/>
        </w:rPr>
      </w:pPr>
      <w:r w:rsidRPr="000E4B47">
        <w:rPr>
          <w:rFonts w:cs="Calibri"/>
          <w:color w:val="414042"/>
          <w:sz w:val="16"/>
        </w:rPr>
        <w:t>Except for any logos, emblems, trademarks, figures and photography, this document is made available under the terms of</w:t>
      </w:r>
      <w:r w:rsidRPr="000E4B47">
        <w:rPr>
          <w:rFonts w:cs="Calibri"/>
          <w:color w:val="414042"/>
          <w:spacing w:val="-3"/>
          <w:sz w:val="16"/>
        </w:rPr>
        <w:t xml:space="preserve"> </w:t>
      </w:r>
      <w:r w:rsidRPr="000E4B47">
        <w:rPr>
          <w:rFonts w:cs="Calibri"/>
          <w:color w:val="414042"/>
          <w:sz w:val="16"/>
        </w:rPr>
        <w:t>the Creative Commons</w:t>
      </w:r>
      <w:r w:rsidRPr="000E4B47">
        <w:rPr>
          <w:rFonts w:cs="Calibri"/>
          <w:color w:val="414042"/>
          <w:spacing w:val="-1"/>
          <w:sz w:val="16"/>
        </w:rPr>
        <w:t xml:space="preserve"> </w:t>
      </w:r>
      <w:r w:rsidRPr="000E4B47">
        <w:rPr>
          <w:rFonts w:cs="Calibri"/>
          <w:color w:val="414042"/>
          <w:sz w:val="16"/>
        </w:rPr>
        <w:t>Attribution 3.0 Australia</w:t>
      </w:r>
      <w:r w:rsidRPr="000E4B47">
        <w:rPr>
          <w:rFonts w:cs="Calibri"/>
          <w:color w:val="414042"/>
          <w:spacing w:val="-1"/>
          <w:sz w:val="16"/>
        </w:rPr>
        <w:t xml:space="preserve"> </w:t>
      </w:r>
      <w:r w:rsidRPr="000E4B47">
        <w:rPr>
          <w:rFonts w:cs="Calibri"/>
          <w:color w:val="414042"/>
          <w:sz w:val="16"/>
        </w:rPr>
        <w:t xml:space="preserve">licence. It is </w:t>
      </w:r>
      <w:r w:rsidRPr="000E4B47">
        <w:rPr>
          <w:rFonts w:cs="Calibri"/>
          <w:color w:val="414042"/>
          <w:spacing w:val="-10"/>
          <w:sz w:val="16"/>
        </w:rPr>
        <w:t>a</w:t>
      </w:r>
      <w:r>
        <w:rPr>
          <w:rFonts w:cs="Calibri"/>
          <w:sz w:val="16"/>
        </w:rPr>
        <w:t xml:space="preserve"> </w:t>
      </w:r>
      <w:r w:rsidRPr="000E4B47">
        <w:rPr>
          <w:rFonts w:cs="Calibri"/>
          <w:color w:val="414042"/>
          <w:sz w:val="16"/>
        </w:rPr>
        <w:t>condition</w:t>
      </w:r>
      <w:r w:rsidRPr="000E4B47">
        <w:rPr>
          <w:rFonts w:cs="Calibri"/>
          <w:color w:val="414042"/>
          <w:spacing w:val="-3"/>
          <w:sz w:val="16"/>
        </w:rPr>
        <w:t xml:space="preserve"> </w:t>
      </w:r>
      <w:r w:rsidRPr="000E4B47">
        <w:rPr>
          <w:rFonts w:cs="Calibri"/>
          <w:color w:val="414042"/>
          <w:sz w:val="16"/>
        </w:rPr>
        <w:t>of</w:t>
      </w:r>
      <w:r w:rsidRPr="000E4B47">
        <w:rPr>
          <w:rFonts w:cs="Calibri"/>
          <w:color w:val="414042"/>
          <w:spacing w:val="-3"/>
          <w:sz w:val="16"/>
        </w:rPr>
        <w:t xml:space="preserve"> </w:t>
      </w:r>
      <w:r w:rsidRPr="000E4B47">
        <w:rPr>
          <w:rFonts w:cs="Calibri"/>
          <w:color w:val="414042"/>
          <w:sz w:val="16"/>
        </w:rPr>
        <w:t>this</w:t>
      </w:r>
      <w:r w:rsidRPr="000E4B47">
        <w:rPr>
          <w:rFonts w:cs="Calibri"/>
          <w:color w:val="414042"/>
          <w:spacing w:val="-3"/>
          <w:sz w:val="16"/>
        </w:rPr>
        <w:t xml:space="preserve"> </w:t>
      </w:r>
      <w:r w:rsidRPr="000E4B47">
        <w:rPr>
          <w:rFonts w:cs="Calibri"/>
          <w:color w:val="414042"/>
          <w:sz w:val="16"/>
        </w:rPr>
        <w:t>Creative</w:t>
      </w:r>
      <w:r w:rsidRPr="000E4B47">
        <w:rPr>
          <w:rFonts w:cs="Calibri"/>
          <w:color w:val="414042"/>
          <w:spacing w:val="-3"/>
          <w:sz w:val="16"/>
        </w:rPr>
        <w:t xml:space="preserve"> </w:t>
      </w:r>
      <w:r w:rsidRPr="000E4B47">
        <w:rPr>
          <w:rFonts w:cs="Calibri"/>
          <w:color w:val="414042"/>
          <w:sz w:val="16"/>
        </w:rPr>
        <w:t>Commons</w:t>
      </w:r>
      <w:r w:rsidRPr="000E4B47">
        <w:rPr>
          <w:rFonts w:cs="Calibri"/>
          <w:color w:val="414042"/>
          <w:spacing w:val="-3"/>
          <w:sz w:val="16"/>
        </w:rPr>
        <w:t xml:space="preserve"> </w:t>
      </w:r>
      <w:r w:rsidRPr="000E4B47">
        <w:rPr>
          <w:rFonts w:cs="Calibri"/>
          <w:color w:val="414042"/>
          <w:sz w:val="16"/>
        </w:rPr>
        <w:t>Attribution</w:t>
      </w:r>
      <w:r w:rsidRPr="000E4B47">
        <w:rPr>
          <w:rFonts w:cs="Calibri"/>
          <w:color w:val="414042"/>
          <w:spacing w:val="-3"/>
          <w:sz w:val="16"/>
        </w:rPr>
        <w:t xml:space="preserve"> </w:t>
      </w:r>
      <w:r w:rsidRPr="000E4B47">
        <w:rPr>
          <w:rFonts w:cs="Calibri"/>
          <w:color w:val="414042"/>
          <w:sz w:val="16"/>
        </w:rPr>
        <w:t>3.0</w:t>
      </w:r>
      <w:r w:rsidRPr="000E4B47">
        <w:rPr>
          <w:rFonts w:cs="Calibri"/>
          <w:color w:val="414042"/>
          <w:spacing w:val="-3"/>
          <w:sz w:val="16"/>
        </w:rPr>
        <w:t xml:space="preserve"> </w:t>
      </w:r>
      <w:r w:rsidRPr="000E4B47">
        <w:rPr>
          <w:rFonts w:cs="Calibri"/>
          <w:color w:val="414042"/>
          <w:sz w:val="16"/>
        </w:rPr>
        <w:t>licence</w:t>
      </w:r>
      <w:r w:rsidRPr="000E4B47">
        <w:rPr>
          <w:rFonts w:cs="Calibri"/>
          <w:color w:val="414042"/>
          <w:spacing w:val="-3"/>
          <w:sz w:val="16"/>
        </w:rPr>
        <w:t xml:space="preserve"> </w:t>
      </w:r>
      <w:r w:rsidRPr="000E4B47">
        <w:rPr>
          <w:rFonts w:cs="Calibri"/>
          <w:color w:val="414042"/>
          <w:sz w:val="16"/>
        </w:rPr>
        <w:t>that</w:t>
      </w:r>
      <w:r w:rsidRPr="000E4B47">
        <w:rPr>
          <w:rFonts w:cs="Calibri"/>
          <w:color w:val="414042"/>
          <w:spacing w:val="-3"/>
          <w:sz w:val="16"/>
        </w:rPr>
        <w:t xml:space="preserve"> </w:t>
      </w:r>
      <w:r w:rsidRPr="000E4B47">
        <w:rPr>
          <w:rFonts w:cs="Calibri"/>
          <w:color w:val="414042"/>
          <w:sz w:val="16"/>
        </w:rPr>
        <w:t>you must</w:t>
      </w:r>
      <w:r w:rsidRPr="000E4B47">
        <w:rPr>
          <w:rFonts w:cs="Calibri"/>
          <w:color w:val="414042"/>
          <w:spacing w:val="-5"/>
          <w:sz w:val="16"/>
        </w:rPr>
        <w:t xml:space="preserve"> </w:t>
      </w:r>
      <w:r w:rsidRPr="000E4B47">
        <w:rPr>
          <w:rFonts w:cs="Calibri"/>
          <w:color w:val="414042"/>
          <w:sz w:val="16"/>
        </w:rPr>
        <w:t>give</w:t>
      </w:r>
      <w:r w:rsidRPr="000E4B47">
        <w:rPr>
          <w:rFonts w:cs="Calibri"/>
          <w:color w:val="414042"/>
          <w:spacing w:val="-2"/>
          <w:sz w:val="16"/>
        </w:rPr>
        <w:t xml:space="preserve"> </w:t>
      </w:r>
      <w:r w:rsidRPr="000E4B47">
        <w:rPr>
          <w:rFonts w:cs="Calibri"/>
          <w:color w:val="414042"/>
          <w:sz w:val="16"/>
        </w:rPr>
        <w:t>credit</w:t>
      </w:r>
      <w:r w:rsidRPr="000E4B47">
        <w:rPr>
          <w:rFonts w:cs="Calibri"/>
          <w:color w:val="414042"/>
          <w:spacing w:val="-2"/>
          <w:sz w:val="16"/>
        </w:rPr>
        <w:t xml:space="preserve"> </w:t>
      </w:r>
      <w:r w:rsidRPr="000E4B47">
        <w:rPr>
          <w:rFonts w:cs="Calibri"/>
          <w:color w:val="414042"/>
          <w:sz w:val="16"/>
        </w:rPr>
        <w:t>to</w:t>
      </w:r>
      <w:r w:rsidRPr="000E4B47">
        <w:rPr>
          <w:rFonts w:cs="Calibri"/>
          <w:color w:val="414042"/>
          <w:spacing w:val="-2"/>
          <w:sz w:val="16"/>
        </w:rPr>
        <w:t xml:space="preserve"> </w:t>
      </w:r>
      <w:r w:rsidRPr="000E4B47">
        <w:rPr>
          <w:rFonts w:cs="Calibri"/>
          <w:color w:val="414042"/>
          <w:sz w:val="16"/>
        </w:rPr>
        <w:t>the</w:t>
      </w:r>
      <w:r w:rsidRPr="000E4B47">
        <w:rPr>
          <w:rFonts w:cs="Calibri"/>
          <w:color w:val="414042"/>
          <w:spacing w:val="-2"/>
          <w:sz w:val="16"/>
        </w:rPr>
        <w:t xml:space="preserve"> </w:t>
      </w:r>
      <w:r w:rsidRPr="000E4B47">
        <w:rPr>
          <w:rFonts w:cs="Calibri"/>
          <w:color w:val="414042"/>
          <w:sz w:val="16"/>
        </w:rPr>
        <w:t>original</w:t>
      </w:r>
      <w:r w:rsidRPr="000E4B47">
        <w:rPr>
          <w:rFonts w:cs="Calibri"/>
          <w:color w:val="414042"/>
          <w:spacing w:val="-2"/>
          <w:sz w:val="16"/>
        </w:rPr>
        <w:t xml:space="preserve"> </w:t>
      </w:r>
      <w:r w:rsidRPr="000E4B47">
        <w:rPr>
          <w:rFonts w:cs="Calibri"/>
          <w:color w:val="414042"/>
          <w:sz w:val="16"/>
        </w:rPr>
        <w:t>author,</w:t>
      </w:r>
      <w:r w:rsidRPr="000E4B47">
        <w:rPr>
          <w:rFonts w:cs="Calibri"/>
          <w:color w:val="414042"/>
          <w:spacing w:val="-2"/>
          <w:sz w:val="16"/>
        </w:rPr>
        <w:t xml:space="preserve"> </w:t>
      </w:r>
      <w:r w:rsidRPr="000E4B47">
        <w:rPr>
          <w:rFonts w:cs="Calibri"/>
          <w:color w:val="414042"/>
          <w:sz w:val="16"/>
        </w:rPr>
        <w:t>who</w:t>
      </w:r>
      <w:r w:rsidRPr="000E4B47">
        <w:rPr>
          <w:rFonts w:cs="Calibri"/>
          <w:color w:val="414042"/>
          <w:spacing w:val="-2"/>
          <w:sz w:val="16"/>
        </w:rPr>
        <w:t xml:space="preserve"> </w:t>
      </w:r>
      <w:r w:rsidRPr="000E4B47">
        <w:rPr>
          <w:rFonts w:cs="Calibri"/>
          <w:color w:val="414042"/>
          <w:sz w:val="16"/>
        </w:rPr>
        <w:t>is</w:t>
      </w:r>
      <w:r w:rsidRPr="000E4B47">
        <w:rPr>
          <w:rFonts w:cs="Calibri"/>
          <w:color w:val="414042"/>
          <w:spacing w:val="-2"/>
          <w:sz w:val="16"/>
        </w:rPr>
        <w:t xml:space="preserve"> </w:t>
      </w:r>
      <w:r w:rsidRPr="000E4B47">
        <w:rPr>
          <w:rFonts w:cs="Calibri"/>
          <w:color w:val="414042"/>
          <w:sz w:val="16"/>
        </w:rPr>
        <w:t>Infrastructure</w:t>
      </w:r>
      <w:r w:rsidRPr="000E4B47">
        <w:rPr>
          <w:rFonts w:cs="Calibri"/>
          <w:color w:val="414042"/>
          <w:spacing w:val="-2"/>
          <w:sz w:val="16"/>
        </w:rPr>
        <w:t xml:space="preserve"> Victoria.</w:t>
      </w:r>
    </w:p>
    <w:p w14:paraId="72F7DA00" w14:textId="77777777" w:rsidR="004311CB" w:rsidRPr="000E4B47" w:rsidRDefault="004311CB" w:rsidP="004311CB">
      <w:pPr>
        <w:spacing w:before="35" w:line="212" w:lineRule="exact"/>
        <w:rPr>
          <w:rFonts w:cs="Calibri"/>
          <w:sz w:val="16"/>
        </w:rPr>
      </w:pPr>
      <w:r w:rsidRPr="000E4B47">
        <w:rPr>
          <w:rFonts w:cs="Calibri"/>
          <w:color w:val="414042"/>
          <w:sz w:val="16"/>
        </w:rPr>
        <w:t>This</w:t>
      </w:r>
      <w:r w:rsidRPr="000E4B47">
        <w:rPr>
          <w:rFonts w:cs="Calibri"/>
          <w:color w:val="414042"/>
          <w:spacing w:val="-1"/>
          <w:sz w:val="16"/>
        </w:rPr>
        <w:t xml:space="preserve"> </w:t>
      </w:r>
      <w:r w:rsidRPr="000E4B47">
        <w:rPr>
          <w:rFonts w:cs="Calibri"/>
          <w:color w:val="414042"/>
          <w:sz w:val="16"/>
        </w:rPr>
        <w:t>document</w:t>
      </w:r>
      <w:r w:rsidRPr="000E4B47">
        <w:rPr>
          <w:rFonts w:cs="Calibri"/>
          <w:color w:val="414042"/>
          <w:spacing w:val="-1"/>
          <w:sz w:val="16"/>
        </w:rPr>
        <w:t xml:space="preserve"> </w:t>
      </w:r>
      <w:r w:rsidRPr="000E4B47">
        <w:rPr>
          <w:rFonts w:cs="Calibri"/>
          <w:color w:val="414042"/>
          <w:sz w:val="16"/>
        </w:rPr>
        <w:t>is available</w:t>
      </w:r>
      <w:r w:rsidRPr="000E4B47">
        <w:rPr>
          <w:rFonts w:cs="Calibri"/>
          <w:color w:val="414042"/>
          <w:spacing w:val="-1"/>
          <w:sz w:val="16"/>
        </w:rPr>
        <w:t xml:space="preserve"> </w:t>
      </w:r>
      <w:r w:rsidRPr="000E4B47">
        <w:rPr>
          <w:rFonts w:cs="Calibri"/>
          <w:color w:val="414042"/>
          <w:sz w:val="16"/>
        </w:rPr>
        <w:t>in PDF</w:t>
      </w:r>
      <w:r w:rsidRPr="000E4B47">
        <w:rPr>
          <w:rFonts w:cs="Calibri"/>
          <w:color w:val="414042"/>
          <w:spacing w:val="-1"/>
          <w:sz w:val="16"/>
        </w:rPr>
        <w:t xml:space="preserve"> </w:t>
      </w:r>
      <w:r w:rsidRPr="000E4B47">
        <w:rPr>
          <w:rFonts w:cs="Calibri"/>
          <w:color w:val="414042"/>
          <w:sz w:val="16"/>
        </w:rPr>
        <w:t>and</w:t>
      </w:r>
      <w:r w:rsidRPr="000E4B47">
        <w:rPr>
          <w:rFonts w:cs="Calibri"/>
          <w:color w:val="414042"/>
          <w:spacing w:val="-1"/>
          <w:sz w:val="16"/>
        </w:rPr>
        <w:t xml:space="preserve"> </w:t>
      </w:r>
      <w:r w:rsidRPr="000E4B47">
        <w:rPr>
          <w:rFonts w:cs="Calibri"/>
          <w:color w:val="414042"/>
          <w:sz w:val="16"/>
        </w:rPr>
        <w:t>accessible Word</w:t>
      </w:r>
      <w:r w:rsidRPr="000E4B47">
        <w:rPr>
          <w:rFonts w:cs="Calibri"/>
          <w:color w:val="414042"/>
          <w:spacing w:val="-1"/>
          <w:sz w:val="16"/>
        </w:rPr>
        <w:t xml:space="preserve"> </w:t>
      </w:r>
      <w:r w:rsidRPr="000E4B47">
        <w:rPr>
          <w:rFonts w:cs="Calibri"/>
          <w:color w:val="414042"/>
          <w:sz w:val="16"/>
        </w:rPr>
        <w:t xml:space="preserve">format </w:t>
      </w:r>
      <w:r w:rsidRPr="000E4B47">
        <w:rPr>
          <w:rFonts w:cs="Calibri"/>
          <w:color w:val="414042"/>
          <w:spacing w:val="-5"/>
          <w:sz w:val="16"/>
        </w:rPr>
        <w:t>at</w:t>
      </w:r>
      <w:r>
        <w:rPr>
          <w:rFonts w:cs="Calibri"/>
          <w:sz w:val="16"/>
        </w:rPr>
        <w:t xml:space="preserve"> </w:t>
      </w:r>
      <w:hyperlink r:id="rId803" w:history="1">
        <w:r w:rsidRPr="002734F3">
          <w:rPr>
            <w:rStyle w:val="Hyperlink"/>
            <w:rFonts w:cs="Calibri"/>
            <w:spacing w:val="-2"/>
            <w:sz w:val="16"/>
          </w:rPr>
          <w:t>www.infrastructurevictoria.com.au</w:t>
        </w:r>
      </w:hyperlink>
    </w:p>
    <w:p w14:paraId="29731CC6" w14:textId="77777777" w:rsidR="004311CB" w:rsidRPr="000E4B47" w:rsidRDefault="004311CB" w:rsidP="004311CB">
      <w:pPr>
        <w:pStyle w:val="BodyText"/>
        <w:spacing w:before="3"/>
        <w:rPr>
          <w:rFonts w:cs="Calibri"/>
          <w:sz w:val="21"/>
        </w:rPr>
      </w:pPr>
    </w:p>
    <w:p w14:paraId="0D508542" w14:textId="2EB41CB3" w:rsidR="004311CB" w:rsidRPr="00DF12BE" w:rsidRDefault="004311CB" w:rsidP="00DF12BE">
      <w:pPr>
        <w:rPr>
          <w:rFonts w:cs="Calibri"/>
          <w:sz w:val="16"/>
        </w:rPr>
      </w:pPr>
      <w:r w:rsidRPr="000E4B47">
        <w:rPr>
          <w:rFonts w:cs="Calibri"/>
          <w:color w:val="51555A"/>
          <w:sz w:val="16"/>
        </w:rPr>
        <w:t>ISSN</w:t>
      </w:r>
      <w:r w:rsidRPr="000E4B47">
        <w:rPr>
          <w:rFonts w:cs="Calibri"/>
          <w:color w:val="51555A"/>
          <w:spacing w:val="-1"/>
          <w:sz w:val="16"/>
        </w:rPr>
        <w:t xml:space="preserve"> </w:t>
      </w:r>
      <w:r w:rsidRPr="000E4B47">
        <w:rPr>
          <w:rFonts w:cs="Calibri"/>
          <w:color w:val="51555A"/>
          <w:sz w:val="16"/>
        </w:rPr>
        <w:t>2207-2489</w:t>
      </w:r>
      <w:r w:rsidRPr="000E4B47">
        <w:rPr>
          <w:rFonts w:cs="Calibri"/>
          <w:color w:val="51555A"/>
          <w:spacing w:val="1"/>
          <w:sz w:val="16"/>
        </w:rPr>
        <w:t xml:space="preserve"> </w:t>
      </w:r>
      <w:r w:rsidRPr="000E4B47">
        <w:rPr>
          <w:rFonts w:cs="Calibri"/>
          <w:color w:val="51555A"/>
          <w:sz w:val="16"/>
        </w:rPr>
        <w:t>–</w:t>
      </w:r>
      <w:r w:rsidRPr="000E4B47">
        <w:rPr>
          <w:rFonts w:cs="Calibri"/>
          <w:color w:val="51555A"/>
          <w:spacing w:val="1"/>
          <w:sz w:val="16"/>
        </w:rPr>
        <w:t xml:space="preserve"> </w:t>
      </w:r>
      <w:r w:rsidRPr="000E4B47">
        <w:rPr>
          <w:rFonts w:cs="Calibri"/>
          <w:color w:val="51555A"/>
          <w:sz w:val="16"/>
        </w:rPr>
        <w:t>Online</w:t>
      </w:r>
      <w:r w:rsidRPr="000E4B47">
        <w:rPr>
          <w:rFonts w:cs="Calibri"/>
          <w:color w:val="51555A"/>
          <w:spacing w:val="1"/>
          <w:sz w:val="16"/>
        </w:rPr>
        <w:t xml:space="preserve"> </w:t>
      </w:r>
      <w:r w:rsidRPr="000E4B47">
        <w:rPr>
          <w:rFonts w:cs="Calibri"/>
          <w:color w:val="51555A"/>
          <w:sz w:val="16"/>
        </w:rPr>
        <w:t>(pdf/word)</w:t>
      </w:r>
      <w:r w:rsidRPr="000E4B47">
        <w:rPr>
          <w:rFonts w:cs="Calibri"/>
          <w:color w:val="51555A"/>
          <w:spacing w:val="2"/>
          <w:sz w:val="16"/>
        </w:rPr>
        <w:t xml:space="preserve"> </w:t>
      </w:r>
      <w:r w:rsidRPr="000E4B47">
        <w:rPr>
          <w:rFonts w:cs="Calibri"/>
          <w:color w:val="51555A"/>
          <w:spacing w:val="-2"/>
          <w:sz w:val="16"/>
        </w:rPr>
        <w:t>format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Neue LT Pro">
    <w:altName w:val="Arial"/>
    <w:panose1 w:val="02000503000000020004"/>
    <w:charset w:val="4D"/>
    <w:family w:val="swiss"/>
    <w:notTrueType/>
    <w:pitch w:val="variable"/>
    <w:sig w:usb0="800000AF" w:usb1="5000205B" w:usb2="00000000" w:usb3="00000000" w:csb0="0000009B"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HelveticaNeueLTPro-LtIt">
    <w:altName w:val="Arial"/>
    <w:panose1 w:val="020B0403020202090204"/>
    <w:charset w:val="4D"/>
    <w:family w:val="swiss"/>
    <w:notTrueType/>
    <w:pitch w:val="variable"/>
    <w:sig w:usb0="800000AF" w:usb1="5000205B" w:usb2="00000000" w:usb3="00000000" w:csb0="0000009B" w:csb1="00000000"/>
  </w:font>
  <w:font w:name="HelveticaNeueLTPro-Md">
    <w:altName w:val="Arial"/>
    <w:panose1 w:val="020B0604020202020204"/>
    <w:charset w:val="4D"/>
    <w:family w:val="swiss"/>
    <w:notTrueType/>
    <w:pitch w:val="variable"/>
    <w:sig w:usb0="800000AF" w:usb1="5000205B" w:usb2="00000000" w:usb3="00000000" w:csb0="0000009B" w:csb1="00000000"/>
  </w:font>
  <w:font w:name="Calibri">
    <w:panose1 w:val="020F0502020204030204"/>
    <w:charset w:val="00"/>
    <w:family w:val="swiss"/>
    <w:pitch w:val="variable"/>
    <w:sig w:usb0="E4002EFF" w:usb1="C000247B" w:usb2="00000009" w:usb3="00000000" w:csb0="000001FF" w:csb1="00000000"/>
  </w:font>
  <w:font w:name="HelveticaNeueLT Pro 45 Lt">
    <w:altName w:val="HelveticaNeueLT Pro 45 Lt"/>
    <w:panose1 w:val="020B0403020202020204"/>
    <w:charset w:val="4D"/>
    <w:family w:val="swiss"/>
    <w:notTrueType/>
    <w:pitch w:val="variable"/>
    <w:sig w:usb0="800000AF" w:usb1="5000205B" w:usb2="00000000" w:usb3="00000000" w:csb0="0000009B" w:csb1="00000000"/>
  </w:font>
  <w:font w:name="Cambria">
    <w:panose1 w:val="02040503050406030204"/>
    <w:charset w:val="00"/>
    <w:family w:val="roman"/>
    <w:pitch w:val="variable"/>
    <w:sig w:usb0="E00002FF" w:usb1="400004FF" w:usb2="00000000" w:usb3="00000000" w:csb0="0000019F" w:csb1="00000000"/>
  </w:font>
  <w:font w:name="HelveticaNeueLT Std Lt">
    <w:altName w:val="Arial"/>
    <w:panose1 w:val="020B0604020202020204"/>
    <w:charset w:val="00"/>
    <w:family w:val="swiss"/>
    <w:notTrueType/>
    <w:pitch w:val="default"/>
    <w:sig w:usb0="00000003" w:usb1="00000000" w:usb2="00000000" w:usb3="00000000" w:csb0="00000001" w:csb1="00000000"/>
  </w:font>
  <w:font w:name="HelveticaNeueLT Pro 65 Md">
    <w:altName w:val="HelveticaNeueLT Pro 65 Md"/>
    <w:panose1 w:val="020B0604020202020204"/>
    <w:charset w:val="4D"/>
    <w:family w:val="swiss"/>
    <w:notTrueType/>
    <w:pitch w:val="variable"/>
    <w:sig w:usb0="800000AF" w:usb1="5000205B" w:usb2="00000000" w:usb3="00000000" w:csb0="0000009B" w:csb1="00000000"/>
  </w:font>
  <w:font w:name="HelveticaNeue-MediumItalic">
    <w:altName w:val="Arial"/>
    <w:panose1 w:val="020B0604020202020204"/>
    <w:charset w:val="00"/>
    <w:family w:val="swiss"/>
    <w:pitch w:val="variable"/>
    <w:sig w:usb0="A00002FF" w:usb1="5000205B" w:usb2="00000002" w:usb3="00000000" w:csb0="0000009B" w:csb1="00000000"/>
  </w:font>
  <w:font w:name="AdobeClean-Regular">
    <w:altName w:val="Calibri"/>
    <w:panose1 w:val="020B0604020202020204"/>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7682C1" w14:textId="77777777" w:rsidR="003C00FF" w:rsidRDefault="003C00FF" w:rsidP="00E63587">
      <w:r>
        <w:separator/>
      </w:r>
    </w:p>
  </w:footnote>
  <w:footnote w:type="continuationSeparator" w:id="0">
    <w:p w14:paraId="1C264AD4" w14:textId="77777777" w:rsidR="003C00FF" w:rsidRDefault="003C00FF" w:rsidP="00E635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95BD9"/>
    <w:multiLevelType w:val="hybridMultilevel"/>
    <w:tmpl w:val="6762AF0C"/>
    <w:lvl w:ilvl="0" w:tplc="3DFA2AA8">
      <w:numFmt w:val="bullet"/>
      <w:lvlText w:val="—"/>
      <w:lvlJc w:val="left"/>
      <w:pPr>
        <w:ind w:left="1040" w:hanging="360"/>
      </w:pPr>
      <w:rPr>
        <w:rFonts w:ascii="Helvetica Neue LT Pro" w:eastAsia="Helvetica Neue LT Pro" w:hAnsi="Helvetica Neue LT Pro" w:cs="Helvetica Neue LT Pro" w:hint="default"/>
        <w:b w:val="0"/>
        <w:bCs w:val="0"/>
        <w:i w:val="0"/>
        <w:iCs w:val="0"/>
        <w:color w:val="414042"/>
        <w:spacing w:val="0"/>
        <w:w w:val="100"/>
        <w:sz w:val="18"/>
        <w:szCs w:val="18"/>
        <w:lang w:val="en-US" w:eastAsia="en-US" w:bidi="ar-SA"/>
      </w:rPr>
    </w:lvl>
    <w:lvl w:ilvl="1" w:tplc="FFFFFFFF" w:tentative="1">
      <w:start w:val="1"/>
      <w:numFmt w:val="bullet"/>
      <w:lvlText w:val="o"/>
      <w:lvlJc w:val="left"/>
      <w:pPr>
        <w:ind w:left="1760" w:hanging="360"/>
      </w:pPr>
      <w:rPr>
        <w:rFonts w:ascii="Courier New" w:hAnsi="Courier New" w:cs="Courier New" w:hint="default"/>
      </w:rPr>
    </w:lvl>
    <w:lvl w:ilvl="2" w:tplc="FFFFFFFF" w:tentative="1">
      <w:start w:val="1"/>
      <w:numFmt w:val="bullet"/>
      <w:lvlText w:val=""/>
      <w:lvlJc w:val="left"/>
      <w:pPr>
        <w:ind w:left="2480" w:hanging="360"/>
      </w:pPr>
      <w:rPr>
        <w:rFonts w:ascii="Wingdings" w:hAnsi="Wingdings" w:hint="default"/>
      </w:rPr>
    </w:lvl>
    <w:lvl w:ilvl="3" w:tplc="FFFFFFFF" w:tentative="1">
      <w:start w:val="1"/>
      <w:numFmt w:val="bullet"/>
      <w:lvlText w:val=""/>
      <w:lvlJc w:val="left"/>
      <w:pPr>
        <w:ind w:left="3200" w:hanging="360"/>
      </w:pPr>
      <w:rPr>
        <w:rFonts w:ascii="Symbol" w:hAnsi="Symbol" w:hint="default"/>
      </w:rPr>
    </w:lvl>
    <w:lvl w:ilvl="4" w:tplc="FFFFFFFF" w:tentative="1">
      <w:start w:val="1"/>
      <w:numFmt w:val="bullet"/>
      <w:lvlText w:val="o"/>
      <w:lvlJc w:val="left"/>
      <w:pPr>
        <w:ind w:left="3920" w:hanging="360"/>
      </w:pPr>
      <w:rPr>
        <w:rFonts w:ascii="Courier New" w:hAnsi="Courier New" w:cs="Courier New" w:hint="default"/>
      </w:rPr>
    </w:lvl>
    <w:lvl w:ilvl="5" w:tplc="FFFFFFFF" w:tentative="1">
      <w:start w:val="1"/>
      <w:numFmt w:val="bullet"/>
      <w:lvlText w:val=""/>
      <w:lvlJc w:val="left"/>
      <w:pPr>
        <w:ind w:left="4640" w:hanging="360"/>
      </w:pPr>
      <w:rPr>
        <w:rFonts w:ascii="Wingdings" w:hAnsi="Wingdings" w:hint="default"/>
      </w:rPr>
    </w:lvl>
    <w:lvl w:ilvl="6" w:tplc="FFFFFFFF" w:tentative="1">
      <w:start w:val="1"/>
      <w:numFmt w:val="bullet"/>
      <w:lvlText w:val=""/>
      <w:lvlJc w:val="left"/>
      <w:pPr>
        <w:ind w:left="5360" w:hanging="360"/>
      </w:pPr>
      <w:rPr>
        <w:rFonts w:ascii="Symbol" w:hAnsi="Symbol" w:hint="default"/>
      </w:rPr>
    </w:lvl>
    <w:lvl w:ilvl="7" w:tplc="FFFFFFFF" w:tentative="1">
      <w:start w:val="1"/>
      <w:numFmt w:val="bullet"/>
      <w:lvlText w:val="o"/>
      <w:lvlJc w:val="left"/>
      <w:pPr>
        <w:ind w:left="6080" w:hanging="360"/>
      </w:pPr>
      <w:rPr>
        <w:rFonts w:ascii="Courier New" w:hAnsi="Courier New" w:cs="Courier New" w:hint="default"/>
      </w:rPr>
    </w:lvl>
    <w:lvl w:ilvl="8" w:tplc="FFFFFFFF" w:tentative="1">
      <w:start w:val="1"/>
      <w:numFmt w:val="bullet"/>
      <w:lvlText w:val=""/>
      <w:lvlJc w:val="left"/>
      <w:pPr>
        <w:ind w:left="6800" w:hanging="360"/>
      </w:pPr>
      <w:rPr>
        <w:rFonts w:ascii="Wingdings" w:hAnsi="Wingdings" w:hint="default"/>
      </w:rPr>
    </w:lvl>
  </w:abstractNum>
  <w:abstractNum w:abstractNumId="1" w15:restartNumberingAfterBreak="0">
    <w:nsid w:val="009E630B"/>
    <w:multiLevelType w:val="hybridMultilevel"/>
    <w:tmpl w:val="F3B072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CC168F"/>
    <w:multiLevelType w:val="hybridMultilevel"/>
    <w:tmpl w:val="1ED2B504"/>
    <w:lvl w:ilvl="0" w:tplc="DF401A14">
      <w:start w:val="1"/>
      <w:numFmt w:val="lowerRoman"/>
      <w:lvlText w:val="(%1)"/>
      <w:lvlJc w:val="left"/>
      <w:pPr>
        <w:ind w:left="1290" w:hanging="157"/>
      </w:pPr>
      <w:rPr>
        <w:rFonts w:ascii="HelveticaNeueLTPro-LtIt" w:eastAsia="HelveticaNeueLTPro-LtIt" w:hAnsi="HelveticaNeueLTPro-LtIt" w:cs="HelveticaNeueLTPro-LtIt" w:hint="default"/>
        <w:b w:val="0"/>
        <w:bCs w:val="0"/>
        <w:i/>
        <w:iCs/>
        <w:color w:val="414042"/>
        <w:spacing w:val="0"/>
        <w:w w:val="100"/>
        <w:sz w:val="16"/>
        <w:szCs w:val="16"/>
        <w:lang w:val="en-US" w:eastAsia="en-US" w:bidi="ar-SA"/>
      </w:rPr>
    </w:lvl>
    <w:lvl w:ilvl="1" w:tplc="F4586CE8">
      <w:numFmt w:val="bullet"/>
      <w:lvlText w:val="•"/>
      <w:lvlJc w:val="left"/>
      <w:pPr>
        <w:ind w:left="2314" w:hanging="157"/>
      </w:pPr>
      <w:rPr>
        <w:rFonts w:hint="default"/>
        <w:lang w:val="en-US" w:eastAsia="en-US" w:bidi="ar-SA"/>
      </w:rPr>
    </w:lvl>
    <w:lvl w:ilvl="2" w:tplc="7C02D066">
      <w:numFmt w:val="bullet"/>
      <w:lvlText w:val="•"/>
      <w:lvlJc w:val="left"/>
      <w:pPr>
        <w:ind w:left="3329" w:hanging="157"/>
      </w:pPr>
      <w:rPr>
        <w:rFonts w:hint="default"/>
        <w:lang w:val="en-US" w:eastAsia="en-US" w:bidi="ar-SA"/>
      </w:rPr>
    </w:lvl>
    <w:lvl w:ilvl="3" w:tplc="876810BA">
      <w:numFmt w:val="bullet"/>
      <w:lvlText w:val="•"/>
      <w:lvlJc w:val="left"/>
      <w:pPr>
        <w:ind w:left="4343" w:hanging="157"/>
      </w:pPr>
      <w:rPr>
        <w:rFonts w:hint="default"/>
        <w:lang w:val="en-US" w:eastAsia="en-US" w:bidi="ar-SA"/>
      </w:rPr>
    </w:lvl>
    <w:lvl w:ilvl="4" w:tplc="359611E0">
      <w:numFmt w:val="bullet"/>
      <w:lvlText w:val="•"/>
      <w:lvlJc w:val="left"/>
      <w:pPr>
        <w:ind w:left="5358" w:hanging="157"/>
      </w:pPr>
      <w:rPr>
        <w:rFonts w:hint="default"/>
        <w:lang w:val="en-US" w:eastAsia="en-US" w:bidi="ar-SA"/>
      </w:rPr>
    </w:lvl>
    <w:lvl w:ilvl="5" w:tplc="28B03144">
      <w:numFmt w:val="bullet"/>
      <w:lvlText w:val="•"/>
      <w:lvlJc w:val="left"/>
      <w:pPr>
        <w:ind w:left="6372" w:hanging="157"/>
      </w:pPr>
      <w:rPr>
        <w:rFonts w:hint="default"/>
        <w:lang w:val="en-US" w:eastAsia="en-US" w:bidi="ar-SA"/>
      </w:rPr>
    </w:lvl>
    <w:lvl w:ilvl="6" w:tplc="8876B90E">
      <w:numFmt w:val="bullet"/>
      <w:lvlText w:val="•"/>
      <w:lvlJc w:val="left"/>
      <w:pPr>
        <w:ind w:left="7387" w:hanging="157"/>
      </w:pPr>
      <w:rPr>
        <w:rFonts w:hint="default"/>
        <w:lang w:val="en-US" w:eastAsia="en-US" w:bidi="ar-SA"/>
      </w:rPr>
    </w:lvl>
    <w:lvl w:ilvl="7" w:tplc="C1429494">
      <w:numFmt w:val="bullet"/>
      <w:lvlText w:val="•"/>
      <w:lvlJc w:val="left"/>
      <w:pPr>
        <w:ind w:left="8401" w:hanging="157"/>
      </w:pPr>
      <w:rPr>
        <w:rFonts w:hint="default"/>
        <w:lang w:val="en-US" w:eastAsia="en-US" w:bidi="ar-SA"/>
      </w:rPr>
    </w:lvl>
    <w:lvl w:ilvl="8" w:tplc="5A0CE618">
      <w:numFmt w:val="bullet"/>
      <w:lvlText w:val="•"/>
      <w:lvlJc w:val="left"/>
      <w:pPr>
        <w:ind w:left="9416" w:hanging="157"/>
      </w:pPr>
      <w:rPr>
        <w:rFonts w:hint="default"/>
        <w:lang w:val="en-US" w:eastAsia="en-US" w:bidi="ar-SA"/>
      </w:rPr>
    </w:lvl>
  </w:abstractNum>
  <w:abstractNum w:abstractNumId="3" w15:restartNumberingAfterBreak="0">
    <w:nsid w:val="028F4E74"/>
    <w:multiLevelType w:val="hybridMultilevel"/>
    <w:tmpl w:val="E74E3D8A"/>
    <w:lvl w:ilvl="0" w:tplc="20665F32">
      <w:numFmt w:val="bullet"/>
      <w:lvlText w:val="&gt;"/>
      <w:lvlJc w:val="left"/>
      <w:pPr>
        <w:ind w:left="3732" w:hanging="176"/>
      </w:pPr>
      <w:rPr>
        <w:rFonts w:ascii="Helvetica Neue LT Pro" w:eastAsia="Helvetica Neue LT Pro" w:hAnsi="Helvetica Neue LT Pro" w:cs="Helvetica Neue LT Pro" w:hint="default"/>
        <w:b w:val="0"/>
        <w:bCs w:val="0"/>
        <w:i w:val="0"/>
        <w:iCs w:val="0"/>
        <w:color w:val="EB5C73"/>
        <w:spacing w:val="0"/>
        <w:w w:val="100"/>
        <w:sz w:val="20"/>
        <w:szCs w:val="20"/>
        <w:lang w:val="en-US" w:eastAsia="en-US" w:bidi="ar-SA"/>
      </w:rPr>
    </w:lvl>
    <w:lvl w:ilvl="1" w:tplc="8840900E">
      <w:numFmt w:val="bullet"/>
      <w:lvlText w:val="•"/>
      <w:lvlJc w:val="left"/>
      <w:pPr>
        <w:ind w:left="4510" w:hanging="176"/>
      </w:pPr>
      <w:rPr>
        <w:rFonts w:hint="default"/>
        <w:lang w:val="en-US" w:eastAsia="en-US" w:bidi="ar-SA"/>
      </w:rPr>
    </w:lvl>
    <w:lvl w:ilvl="2" w:tplc="0AF82922">
      <w:numFmt w:val="bullet"/>
      <w:lvlText w:val="•"/>
      <w:lvlJc w:val="left"/>
      <w:pPr>
        <w:ind w:left="5281" w:hanging="176"/>
      </w:pPr>
      <w:rPr>
        <w:rFonts w:hint="default"/>
        <w:lang w:val="en-US" w:eastAsia="en-US" w:bidi="ar-SA"/>
      </w:rPr>
    </w:lvl>
    <w:lvl w:ilvl="3" w:tplc="8C1801C0">
      <w:numFmt w:val="bullet"/>
      <w:lvlText w:val="•"/>
      <w:lvlJc w:val="left"/>
      <w:pPr>
        <w:ind w:left="6051" w:hanging="176"/>
      </w:pPr>
      <w:rPr>
        <w:rFonts w:hint="default"/>
        <w:lang w:val="en-US" w:eastAsia="en-US" w:bidi="ar-SA"/>
      </w:rPr>
    </w:lvl>
    <w:lvl w:ilvl="4" w:tplc="80500F3E">
      <w:numFmt w:val="bullet"/>
      <w:lvlText w:val="•"/>
      <w:lvlJc w:val="left"/>
      <w:pPr>
        <w:ind w:left="6822" w:hanging="176"/>
      </w:pPr>
      <w:rPr>
        <w:rFonts w:hint="default"/>
        <w:lang w:val="en-US" w:eastAsia="en-US" w:bidi="ar-SA"/>
      </w:rPr>
    </w:lvl>
    <w:lvl w:ilvl="5" w:tplc="09CEA308">
      <w:numFmt w:val="bullet"/>
      <w:lvlText w:val="•"/>
      <w:lvlJc w:val="left"/>
      <w:pPr>
        <w:ind w:left="7592" w:hanging="176"/>
      </w:pPr>
      <w:rPr>
        <w:rFonts w:hint="default"/>
        <w:lang w:val="en-US" w:eastAsia="en-US" w:bidi="ar-SA"/>
      </w:rPr>
    </w:lvl>
    <w:lvl w:ilvl="6" w:tplc="FF588070">
      <w:numFmt w:val="bullet"/>
      <w:lvlText w:val="•"/>
      <w:lvlJc w:val="left"/>
      <w:pPr>
        <w:ind w:left="8363" w:hanging="176"/>
      </w:pPr>
      <w:rPr>
        <w:rFonts w:hint="default"/>
        <w:lang w:val="en-US" w:eastAsia="en-US" w:bidi="ar-SA"/>
      </w:rPr>
    </w:lvl>
    <w:lvl w:ilvl="7" w:tplc="B6EC079A">
      <w:numFmt w:val="bullet"/>
      <w:lvlText w:val="•"/>
      <w:lvlJc w:val="left"/>
      <w:pPr>
        <w:ind w:left="9133" w:hanging="176"/>
      </w:pPr>
      <w:rPr>
        <w:rFonts w:hint="default"/>
        <w:lang w:val="en-US" w:eastAsia="en-US" w:bidi="ar-SA"/>
      </w:rPr>
    </w:lvl>
    <w:lvl w:ilvl="8" w:tplc="E1181152">
      <w:numFmt w:val="bullet"/>
      <w:lvlText w:val="•"/>
      <w:lvlJc w:val="left"/>
      <w:pPr>
        <w:ind w:left="9904" w:hanging="176"/>
      </w:pPr>
      <w:rPr>
        <w:rFonts w:hint="default"/>
        <w:lang w:val="en-US" w:eastAsia="en-US" w:bidi="ar-SA"/>
      </w:rPr>
    </w:lvl>
  </w:abstractNum>
  <w:abstractNum w:abstractNumId="4" w15:restartNumberingAfterBreak="0">
    <w:nsid w:val="034B076F"/>
    <w:multiLevelType w:val="hybridMultilevel"/>
    <w:tmpl w:val="3AFC3198"/>
    <w:lvl w:ilvl="0" w:tplc="FFECB694">
      <w:numFmt w:val="bullet"/>
      <w:lvlText w:val="•"/>
      <w:lvlJc w:val="left"/>
      <w:pPr>
        <w:ind w:left="284" w:hanging="284"/>
      </w:pPr>
      <w:rPr>
        <w:rFonts w:ascii="Helvetica Neue LT Pro" w:eastAsia="Helvetica Neue LT Pro" w:hAnsi="Helvetica Neue LT Pro" w:cs="Helvetica Neue LT Pro" w:hint="default"/>
        <w:b w:val="0"/>
        <w:bCs w:val="0"/>
        <w:i w:val="0"/>
        <w:iCs w:val="0"/>
        <w:color w:val="414042"/>
        <w:spacing w:val="0"/>
        <w:w w:val="100"/>
        <w:sz w:val="18"/>
        <w:szCs w:val="18"/>
        <w:lang w:val="en-US" w:eastAsia="en-US" w:bidi="ar-SA"/>
      </w:rPr>
    </w:lvl>
    <w:lvl w:ilvl="1" w:tplc="08090003" w:tentative="1">
      <w:start w:val="1"/>
      <w:numFmt w:val="bullet"/>
      <w:lvlText w:val="o"/>
      <w:lvlJc w:val="left"/>
      <w:pPr>
        <w:ind w:left="307" w:hanging="360"/>
      </w:pPr>
      <w:rPr>
        <w:rFonts w:ascii="Courier New" w:hAnsi="Courier New" w:cs="Courier New" w:hint="default"/>
      </w:rPr>
    </w:lvl>
    <w:lvl w:ilvl="2" w:tplc="08090005" w:tentative="1">
      <w:start w:val="1"/>
      <w:numFmt w:val="bullet"/>
      <w:lvlText w:val=""/>
      <w:lvlJc w:val="left"/>
      <w:pPr>
        <w:ind w:left="1027" w:hanging="360"/>
      </w:pPr>
      <w:rPr>
        <w:rFonts w:ascii="Wingdings" w:hAnsi="Wingdings" w:hint="default"/>
      </w:rPr>
    </w:lvl>
    <w:lvl w:ilvl="3" w:tplc="08090001" w:tentative="1">
      <w:start w:val="1"/>
      <w:numFmt w:val="bullet"/>
      <w:lvlText w:val=""/>
      <w:lvlJc w:val="left"/>
      <w:pPr>
        <w:ind w:left="1747" w:hanging="360"/>
      </w:pPr>
      <w:rPr>
        <w:rFonts w:ascii="Symbol" w:hAnsi="Symbol" w:hint="default"/>
      </w:rPr>
    </w:lvl>
    <w:lvl w:ilvl="4" w:tplc="08090003" w:tentative="1">
      <w:start w:val="1"/>
      <w:numFmt w:val="bullet"/>
      <w:lvlText w:val="o"/>
      <w:lvlJc w:val="left"/>
      <w:pPr>
        <w:ind w:left="2467" w:hanging="360"/>
      </w:pPr>
      <w:rPr>
        <w:rFonts w:ascii="Courier New" w:hAnsi="Courier New" w:cs="Courier New" w:hint="default"/>
      </w:rPr>
    </w:lvl>
    <w:lvl w:ilvl="5" w:tplc="08090005" w:tentative="1">
      <w:start w:val="1"/>
      <w:numFmt w:val="bullet"/>
      <w:lvlText w:val=""/>
      <w:lvlJc w:val="left"/>
      <w:pPr>
        <w:ind w:left="3187" w:hanging="360"/>
      </w:pPr>
      <w:rPr>
        <w:rFonts w:ascii="Wingdings" w:hAnsi="Wingdings" w:hint="default"/>
      </w:rPr>
    </w:lvl>
    <w:lvl w:ilvl="6" w:tplc="08090001" w:tentative="1">
      <w:start w:val="1"/>
      <w:numFmt w:val="bullet"/>
      <w:lvlText w:val=""/>
      <w:lvlJc w:val="left"/>
      <w:pPr>
        <w:ind w:left="3907" w:hanging="360"/>
      </w:pPr>
      <w:rPr>
        <w:rFonts w:ascii="Symbol" w:hAnsi="Symbol" w:hint="default"/>
      </w:rPr>
    </w:lvl>
    <w:lvl w:ilvl="7" w:tplc="08090003" w:tentative="1">
      <w:start w:val="1"/>
      <w:numFmt w:val="bullet"/>
      <w:lvlText w:val="o"/>
      <w:lvlJc w:val="left"/>
      <w:pPr>
        <w:ind w:left="4627" w:hanging="360"/>
      </w:pPr>
      <w:rPr>
        <w:rFonts w:ascii="Courier New" w:hAnsi="Courier New" w:cs="Courier New" w:hint="default"/>
      </w:rPr>
    </w:lvl>
    <w:lvl w:ilvl="8" w:tplc="08090005" w:tentative="1">
      <w:start w:val="1"/>
      <w:numFmt w:val="bullet"/>
      <w:lvlText w:val=""/>
      <w:lvlJc w:val="left"/>
      <w:pPr>
        <w:ind w:left="5347" w:hanging="360"/>
      </w:pPr>
      <w:rPr>
        <w:rFonts w:ascii="Wingdings" w:hAnsi="Wingdings" w:hint="default"/>
      </w:rPr>
    </w:lvl>
  </w:abstractNum>
  <w:abstractNum w:abstractNumId="5" w15:restartNumberingAfterBreak="0">
    <w:nsid w:val="05AB332D"/>
    <w:multiLevelType w:val="hybridMultilevel"/>
    <w:tmpl w:val="D994B9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9A35770"/>
    <w:multiLevelType w:val="hybridMultilevel"/>
    <w:tmpl w:val="7CFA01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D0A6FB8"/>
    <w:multiLevelType w:val="multilevel"/>
    <w:tmpl w:val="6556F300"/>
    <w:lvl w:ilvl="0">
      <w:start w:val="4"/>
      <w:numFmt w:val="decimal"/>
      <w:lvlText w:val="%1"/>
      <w:lvlJc w:val="left"/>
      <w:pPr>
        <w:ind w:left="1467" w:hanging="334"/>
      </w:pPr>
      <w:rPr>
        <w:rFonts w:hint="default"/>
        <w:lang w:val="en-US" w:eastAsia="en-US" w:bidi="ar-SA"/>
      </w:rPr>
    </w:lvl>
    <w:lvl w:ilvl="1">
      <w:start w:val="1"/>
      <w:numFmt w:val="decimal"/>
      <w:lvlText w:val="%1.%2"/>
      <w:lvlJc w:val="left"/>
      <w:pPr>
        <w:ind w:left="1467" w:hanging="334"/>
      </w:pPr>
      <w:rPr>
        <w:rFonts w:ascii="HelveticaNeueLTPro-Md" w:eastAsia="HelveticaNeueLTPro-Md" w:hAnsi="HelveticaNeueLTPro-Md" w:cs="HelveticaNeueLTPro-Md" w:hint="default"/>
        <w:b w:val="0"/>
        <w:bCs w:val="0"/>
        <w:i w:val="0"/>
        <w:iCs w:val="0"/>
        <w:color w:val="F68C59"/>
        <w:spacing w:val="0"/>
        <w:w w:val="100"/>
        <w:sz w:val="20"/>
        <w:szCs w:val="20"/>
        <w:lang w:val="en-US" w:eastAsia="en-US" w:bidi="ar-SA"/>
      </w:rPr>
    </w:lvl>
    <w:lvl w:ilvl="2">
      <w:numFmt w:val="bullet"/>
      <w:lvlText w:val="•"/>
      <w:lvlJc w:val="left"/>
      <w:pPr>
        <w:ind w:left="3457" w:hanging="334"/>
      </w:pPr>
      <w:rPr>
        <w:rFonts w:hint="default"/>
        <w:lang w:val="en-US" w:eastAsia="en-US" w:bidi="ar-SA"/>
      </w:rPr>
    </w:lvl>
    <w:lvl w:ilvl="3">
      <w:numFmt w:val="bullet"/>
      <w:lvlText w:val="•"/>
      <w:lvlJc w:val="left"/>
      <w:pPr>
        <w:ind w:left="4455" w:hanging="334"/>
      </w:pPr>
      <w:rPr>
        <w:rFonts w:hint="default"/>
        <w:lang w:val="en-US" w:eastAsia="en-US" w:bidi="ar-SA"/>
      </w:rPr>
    </w:lvl>
    <w:lvl w:ilvl="4">
      <w:numFmt w:val="bullet"/>
      <w:lvlText w:val="•"/>
      <w:lvlJc w:val="left"/>
      <w:pPr>
        <w:ind w:left="5454" w:hanging="334"/>
      </w:pPr>
      <w:rPr>
        <w:rFonts w:hint="default"/>
        <w:lang w:val="en-US" w:eastAsia="en-US" w:bidi="ar-SA"/>
      </w:rPr>
    </w:lvl>
    <w:lvl w:ilvl="5">
      <w:numFmt w:val="bullet"/>
      <w:lvlText w:val="•"/>
      <w:lvlJc w:val="left"/>
      <w:pPr>
        <w:ind w:left="6452" w:hanging="334"/>
      </w:pPr>
      <w:rPr>
        <w:rFonts w:hint="default"/>
        <w:lang w:val="en-US" w:eastAsia="en-US" w:bidi="ar-SA"/>
      </w:rPr>
    </w:lvl>
    <w:lvl w:ilvl="6">
      <w:numFmt w:val="bullet"/>
      <w:lvlText w:val="•"/>
      <w:lvlJc w:val="left"/>
      <w:pPr>
        <w:ind w:left="7451" w:hanging="334"/>
      </w:pPr>
      <w:rPr>
        <w:rFonts w:hint="default"/>
        <w:lang w:val="en-US" w:eastAsia="en-US" w:bidi="ar-SA"/>
      </w:rPr>
    </w:lvl>
    <w:lvl w:ilvl="7">
      <w:numFmt w:val="bullet"/>
      <w:lvlText w:val="•"/>
      <w:lvlJc w:val="left"/>
      <w:pPr>
        <w:ind w:left="8449" w:hanging="334"/>
      </w:pPr>
      <w:rPr>
        <w:rFonts w:hint="default"/>
        <w:lang w:val="en-US" w:eastAsia="en-US" w:bidi="ar-SA"/>
      </w:rPr>
    </w:lvl>
    <w:lvl w:ilvl="8">
      <w:numFmt w:val="bullet"/>
      <w:lvlText w:val="•"/>
      <w:lvlJc w:val="left"/>
      <w:pPr>
        <w:ind w:left="9448" w:hanging="334"/>
      </w:pPr>
      <w:rPr>
        <w:rFonts w:hint="default"/>
        <w:lang w:val="en-US" w:eastAsia="en-US" w:bidi="ar-SA"/>
      </w:rPr>
    </w:lvl>
  </w:abstractNum>
  <w:abstractNum w:abstractNumId="8" w15:restartNumberingAfterBreak="0">
    <w:nsid w:val="0E0460EA"/>
    <w:multiLevelType w:val="multilevel"/>
    <w:tmpl w:val="8B8631DA"/>
    <w:lvl w:ilvl="0">
      <w:start w:val="3"/>
      <w:numFmt w:val="decimal"/>
      <w:lvlText w:val="%1"/>
      <w:lvlJc w:val="left"/>
      <w:pPr>
        <w:ind w:left="1467" w:hanging="334"/>
      </w:pPr>
      <w:rPr>
        <w:rFonts w:hint="default"/>
        <w:lang w:val="en-US" w:eastAsia="en-US" w:bidi="ar-SA"/>
      </w:rPr>
    </w:lvl>
    <w:lvl w:ilvl="1">
      <w:start w:val="1"/>
      <w:numFmt w:val="decimal"/>
      <w:lvlText w:val="%1.%2"/>
      <w:lvlJc w:val="left"/>
      <w:pPr>
        <w:ind w:left="1467" w:hanging="334"/>
      </w:pPr>
      <w:rPr>
        <w:rFonts w:ascii="HelveticaNeueLTPro-Md" w:eastAsia="HelveticaNeueLTPro-Md" w:hAnsi="HelveticaNeueLTPro-Md" w:cs="HelveticaNeueLTPro-Md" w:hint="default"/>
        <w:b w:val="0"/>
        <w:bCs w:val="0"/>
        <w:i w:val="0"/>
        <w:iCs w:val="0"/>
        <w:color w:val="F68C59"/>
        <w:spacing w:val="0"/>
        <w:w w:val="100"/>
        <w:sz w:val="20"/>
        <w:szCs w:val="20"/>
        <w:lang w:val="en-US" w:eastAsia="en-US" w:bidi="ar-SA"/>
      </w:rPr>
    </w:lvl>
    <w:lvl w:ilvl="2">
      <w:start w:val="1"/>
      <w:numFmt w:val="decimal"/>
      <w:lvlText w:val="%1.%2.%3"/>
      <w:lvlJc w:val="left"/>
      <w:pPr>
        <w:ind w:left="1133" w:hanging="501"/>
      </w:pPr>
      <w:rPr>
        <w:rFonts w:ascii="HelveticaNeueLTPro-Md" w:eastAsia="HelveticaNeueLTPro-Md" w:hAnsi="HelveticaNeueLTPro-Md" w:cs="HelveticaNeueLTPro-Md" w:hint="default"/>
        <w:b w:val="0"/>
        <w:bCs w:val="0"/>
        <w:i w:val="0"/>
        <w:iCs w:val="0"/>
        <w:color w:val="F68C59"/>
        <w:spacing w:val="0"/>
        <w:w w:val="100"/>
        <w:sz w:val="20"/>
        <w:szCs w:val="20"/>
        <w:lang w:val="en-US" w:eastAsia="en-US" w:bidi="ar-SA"/>
      </w:rPr>
    </w:lvl>
    <w:lvl w:ilvl="3">
      <w:numFmt w:val="bullet"/>
      <w:lvlText w:val="•"/>
      <w:lvlJc w:val="left"/>
      <w:pPr>
        <w:ind w:left="3679" w:hanging="501"/>
      </w:pPr>
      <w:rPr>
        <w:rFonts w:hint="default"/>
        <w:lang w:val="en-US" w:eastAsia="en-US" w:bidi="ar-SA"/>
      </w:rPr>
    </w:lvl>
    <w:lvl w:ilvl="4">
      <w:numFmt w:val="bullet"/>
      <w:lvlText w:val="•"/>
      <w:lvlJc w:val="left"/>
      <w:pPr>
        <w:ind w:left="4788" w:hanging="501"/>
      </w:pPr>
      <w:rPr>
        <w:rFonts w:hint="default"/>
        <w:lang w:val="en-US" w:eastAsia="en-US" w:bidi="ar-SA"/>
      </w:rPr>
    </w:lvl>
    <w:lvl w:ilvl="5">
      <w:numFmt w:val="bullet"/>
      <w:lvlText w:val="•"/>
      <w:lvlJc w:val="left"/>
      <w:pPr>
        <w:ind w:left="5898" w:hanging="501"/>
      </w:pPr>
      <w:rPr>
        <w:rFonts w:hint="default"/>
        <w:lang w:val="en-US" w:eastAsia="en-US" w:bidi="ar-SA"/>
      </w:rPr>
    </w:lvl>
    <w:lvl w:ilvl="6">
      <w:numFmt w:val="bullet"/>
      <w:lvlText w:val="•"/>
      <w:lvlJc w:val="left"/>
      <w:pPr>
        <w:ind w:left="7007" w:hanging="501"/>
      </w:pPr>
      <w:rPr>
        <w:rFonts w:hint="default"/>
        <w:lang w:val="en-US" w:eastAsia="en-US" w:bidi="ar-SA"/>
      </w:rPr>
    </w:lvl>
    <w:lvl w:ilvl="7">
      <w:numFmt w:val="bullet"/>
      <w:lvlText w:val="•"/>
      <w:lvlJc w:val="left"/>
      <w:pPr>
        <w:ind w:left="8117" w:hanging="501"/>
      </w:pPr>
      <w:rPr>
        <w:rFonts w:hint="default"/>
        <w:lang w:val="en-US" w:eastAsia="en-US" w:bidi="ar-SA"/>
      </w:rPr>
    </w:lvl>
    <w:lvl w:ilvl="8">
      <w:numFmt w:val="bullet"/>
      <w:lvlText w:val="•"/>
      <w:lvlJc w:val="left"/>
      <w:pPr>
        <w:ind w:left="9226" w:hanging="501"/>
      </w:pPr>
      <w:rPr>
        <w:rFonts w:hint="default"/>
        <w:lang w:val="en-US" w:eastAsia="en-US" w:bidi="ar-SA"/>
      </w:rPr>
    </w:lvl>
  </w:abstractNum>
  <w:abstractNum w:abstractNumId="9" w15:restartNumberingAfterBreak="0">
    <w:nsid w:val="12BA0EBE"/>
    <w:multiLevelType w:val="hybridMultilevel"/>
    <w:tmpl w:val="6166D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F60BF6"/>
    <w:multiLevelType w:val="hybridMultilevel"/>
    <w:tmpl w:val="77BA92B6"/>
    <w:lvl w:ilvl="0" w:tplc="3DFA2AA8">
      <w:numFmt w:val="bullet"/>
      <w:lvlText w:val="—"/>
      <w:lvlJc w:val="left"/>
      <w:pPr>
        <w:ind w:left="568" w:hanging="284"/>
      </w:pPr>
      <w:rPr>
        <w:rFonts w:ascii="Helvetica Neue LT Pro" w:eastAsia="Helvetica Neue LT Pro" w:hAnsi="Helvetica Neue LT Pro" w:cs="Helvetica Neue LT Pro" w:hint="default"/>
        <w:b w:val="0"/>
        <w:bCs w:val="0"/>
        <w:i w:val="0"/>
        <w:iCs w:val="0"/>
        <w:color w:val="414042"/>
        <w:spacing w:val="0"/>
        <w:w w:val="100"/>
        <w:sz w:val="18"/>
        <w:szCs w:val="18"/>
        <w:lang w:val="en-US" w:eastAsia="en-US" w:bidi="ar-SA"/>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11" w15:restartNumberingAfterBreak="0">
    <w:nsid w:val="17E13AF6"/>
    <w:multiLevelType w:val="hybridMultilevel"/>
    <w:tmpl w:val="5C0CAE1C"/>
    <w:lvl w:ilvl="0" w:tplc="D68E9E7C">
      <w:start w:val="1"/>
      <w:numFmt w:val="lowerRoman"/>
      <w:lvlText w:val="(%1)"/>
      <w:lvlJc w:val="left"/>
      <w:pPr>
        <w:ind w:left="1290" w:hanging="157"/>
      </w:pPr>
      <w:rPr>
        <w:rFonts w:ascii="HelveticaNeueLTPro-LtIt" w:eastAsia="HelveticaNeueLTPro-LtIt" w:hAnsi="HelveticaNeueLTPro-LtIt" w:cs="HelveticaNeueLTPro-LtIt" w:hint="default"/>
        <w:b w:val="0"/>
        <w:bCs w:val="0"/>
        <w:i/>
        <w:iCs/>
        <w:color w:val="414042"/>
        <w:spacing w:val="0"/>
        <w:w w:val="100"/>
        <w:sz w:val="16"/>
        <w:szCs w:val="16"/>
        <w:lang w:val="en-US" w:eastAsia="en-US" w:bidi="ar-SA"/>
      </w:rPr>
    </w:lvl>
    <w:lvl w:ilvl="1" w:tplc="833C274C">
      <w:numFmt w:val="bullet"/>
      <w:lvlText w:val="•"/>
      <w:lvlJc w:val="left"/>
      <w:pPr>
        <w:ind w:left="2314" w:hanging="157"/>
      </w:pPr>
      <w:rPr>
        <w:rFonts w:hint="default"/>
        <w:lang w:val="en-US" w:eastAsia="en-US" w:bidi="ar-SA"/>
      </w:rPr>
    </w:lvl>
    <w:lvl w:ilvl="2" w:tplc="118A4418">
      <w:numFmt w:val="bullet"/>
      <w:lvlText w:val="•"/>
      <w:lvlJc w:val="left"/>
      <w:pPr>
        <w:ind w:left="3329" w:hanging="157"/>
      </w:pPr>
      <w:rPr>
        <w:rFonts w:hint="default"/>
        <w:lang w:val="en-US" w:eastAsia="en-US" w:bidi="ar-SA"/>
      </w:rPr>
    </w:lvl>
    <w:lvl w:ilvl="3" w:tplc="985C72E2">
      <w:numFmt w:val="bullet"/>
      <w:lvlText w:val="•"/>
      <w:lvlJc w:val="left"/>
      <w:pPr>
        <w:ind w:left="4343" w:hanging="157"/>
      </w:pPr>
      <w:rPr>
        <w:rFonts w:hint="default"/>
        <w:lang w:val="en-US" w:eastAsia="en-US" w:bidi="ar-SA"/>
      </w:rPr>
    </w:lvl>
    <w:lvl w:ilvl="4" w:tplc="B48CDA38">
      <w:numFmt w:val="bullet"/>
      <w:lvlText w:val="•"/>
      <w:lvlJc w:val="left"/>
      <w:pPr>
        <w:ind w:left="5358" w:hanging="157"/>
      </w:pPr>
      <w:rPr>
        <w:rFonts w:hint="default"/>
        <w:lang w:val="en-US" w:eastAsia="en-US" w:bidi="ar-SA"/>
      </w:rPr>
    </w:lvl>
    <w:lvl w:ilvl="5" w:tplc="551A4698">
      <w:numFmt w:val="bullet"/>
      <w:lvlText w:val="•"/>
      <w:lvlJc w:val="left"/>
      <w:pPr>
        <w:ind w:left="6372" w:hanging="157"/>
      </w:pPr>
      <w:rPr>
        <w:rFonts w:hint="default"/>
        <w:lang w:val="en-US" w:eastAsia="en-US" w:bidi="ar-SA"/>
      </w:rPr>
    </w:lvl>
    <w:lvl w:ilvl="6" w:tplc="85325598">
      <w:numFmt w:val="bullet"/>
      <w:lvlText w:val="•"/>
      <w:lvlJc w:val="left"/>
      <w:pPr>
        <w:ind w:left="7387" w:hanging="157"/>
      </w:pPr>
      <w:rPr>
        <w:rFonts w:hint="default"/>
        <w:lang w:val="en-US" w:eastAsia="en-US" w:bidi="ar-SA"/>
      </w:rPr>
    </w:lvl>
    <w:lvl w:ilvl="7" w:tplc="25FE0934">
      <w:numFmt w:val="bullet"/>
      <w:lvlText w:val="•"/>
      <w:lvlJc w:val="left"/>
      <w:pPr>
        <w:ind w:left="8401" w:hanging="157"/>
      </w:pPr>
      <w:rPr>
        <w:rFonts w:hint="default"/>
        <w:lang w:val="en-US" w:eastAsia="en-US" w:bidi="ar-SA"/>
      </w:rPr>
    </w:lvl>
    <w:lvl w:ilvl="8" w:tplc="886E43BE">
      <w:numFmt w:val="bullet"/>
      <w:lvlText w:val="•"/>
      <w:lvlJc w:val="left"/>
      <w:pPr>
        <w:ind w:left="9416" w:hanging="157"/>
      </w:pPr>
      <w:rPr>
        <w:rFonts w:hint="default"/>
        <w:lang w:val="en-US" w:eastAsia="en-US" w:bidi="ar-SA"/>
      </w:rPr>
    </w:lvl>
  </w:abstractNum>
  <w:abstractNum w:abstractNumId="12" w15:restartNumberingAfterBreak="0">
    <w:nsid w:val="1CC57711"/>
    <w:multiLevelType w:val="hybridMultilevel"/>
    <w:tmpl w:val="4C3C29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CFE7098"/>
    <w:multiLevelType w:val="hybridMultilevel"/>
    <w:tmpl w:val="7A629524"/>
    <w:lvl w:ilvl="0" w:tplc="012C70A6">
      <w:numFmt w:val="bullet"/>
      <w:lvlText w:val="•"/>
      <w:lvlJc w:val="left"/>
      <w:pPr>
        <w:ind w:left="1417" w:hanging="284"/>
      </w:pPr>
      <w:rPr>
        <w:rFonts w:ascii="Helvetica Neue LT Pro" w:eastAsia="Helvetica Neue LT Pro" w:hAnsi="Helvetica Neue LT Pro" w:cs="Helvetica Neue LT Pro" w:hint="default"/>
        <w:b w:val="0"/>
        <w:bCs w:val="0"/>
        <w:i w:val="0"/>
        <w:iCs w:val="0"/>
        <w:color w:val="414042"/>
        <w:spacing w:val="0"/>
        <w:w w:val="100"/>
        <w:sz w:val="18"/>
        <w:szCs w:val="18"/>
        <w:lang w:val="en-US" w:eastAsia="en-US" w:bidi="ar-SA"/>
      </w:rPr>
    </w:lvl>
    <w:lvl w:ilvl="1" w:tplc="1F44EB20">
      <w:numFmt w:val="bullet"/>
      <w:lvlText w:val="—"/>
      <w:lvlJc w:val="left"/>
      <w:pPr>
        <w:ind w:left="1700" w:hanging="284"/>
      </w:pPr>
      <w:rPr>
        <w:rFonts w:ascii="Helvetica Neue LT Pro" w:eastAsia="Helvetica Neue LT Pro" w:hAnsi="Helvetica Neue LT Pro" w:cs="Helvetica Neue LT Pro" w:hint="default"/>
        <w:b w:val="0"/>
        <w:bCs w:val="0"/>
        <w:i w:val="0"/>
        <w:iCs w:val="0"/>
        <w:color w:val="414042"/>
        <w:spacing w:val="0"/>
        <w:w w:val="100"/>
        <w:sz w:val="18"/>
        <w:szCs w:val="18"/>
        <w:lang w:val="en-US" w:eastAsia="en-US" w:bidi="ar-SA"/>
      </w:rPr>
    </w:lvl>
    <w:lvl w:ilvl="2" w:tplc="EE1085DE">
      <w:numFmt w:val="bullet"/>
      <w:lvlText w:val="•"/>
      <w:lvlJc w:val="left"/>
      <w:pPr>
        <w:ind w:left="2782" w:hanging="284"/>
      </w:pPr>
      <w:rPr>
        <w:rFonts w:hint="default"/>
        <w:lang w:val="en-US" w:eastAsia="en-US" w:bidi="ar-SA"/>
      </w:rPr>
    </w:lvl>
    <w:lvl w:ilvl="3" w:tplc="2D70A022">
      <w:numFmt w:val="bullet"/>
      <w:lvlText w:val="•"/>
      <w:lvlJc w:val="left"/>
      <w:pPr>
        <w:ind w:left="3865" w:hanging="284"/>
      </w:pPr>
      <w:rPr>
        <w:rFonts w:hint="default"/>
        <w:lang w:val="en-US" w:eastAsia="en-US" w:bidi="ar-SA"/>
      </w:rPr>
    </w:lvl>
    <w:lvl w:ilvl="4" w:tplc="D91473AA">
      <w:numFmt w:val="bullet"/>
      <w:lvlText w:val="•"/>
      <w:lvlJc w:val="left"/>
      <w:pPr>
        <w:ind w:left="4948" w:hanging="284"/>
      </w:pPr>
      <w:rPr>
        <w:rFonts w:hint="default"/>
        <w:lang w:val="en-US" w:eastAsia="en-US" w:bidi="ar-SA"/>
      </w:rPr>
    </w:lvl>
    <w:lvl w:ilvl="5" w:tplc="B8D65C5A">
      <w:numFmt w:val="bullet"/>
      <w:lvlText w:val="•"/>
      <w:lvlJc w:val="left"/>
      <w:pPr>
        <w:ind w:left="6031" w:hanging="284"/>
      </w:pPr>
      <w:rPr>
        <w:rFonts w:hint="default"/>
        <w:lang w:val="en-US" w:eastAsia="en-US" w:bidi="ar-SA"/>
      </w:rPr>
    </w:lvl>
    <w:lvl w:ilvl="6" w:tplc="694E301C">
      <w:numFmt w:val="bullet"/>
      <w:lvlText w:val="•"/>
      <w:lvlJc w:val="left"/>
      <w:pPr>
        <w:ind w:left="7114" w:hanging="284"/>
      </w:pPr>
      <w:rPr>
        <w:rFonts w:hint="default"/>
        <w:lang w:val="en-US" w:eastAsia="en-US" w:bidi="ar-SA"/>
      </w:rPr>
    </w:lvl>
    <w:lvl w:ilvl="7" w:tplc="FC5E2CEE">
      <w:numFmt w:val="bullet"/>
      <w:lvlText w:val="•"/>
      <w:lvlJc w:val="left"/>
      <w:pPr>
        <w:ind w:left="8197" w:hanging="284"/>
      </w:pPr>
      <w:rPr>
        <w:rFonts w:hint="default"/>
        <w:lang w:val="en-US" w:eastAsia="en-US" w:bidi="ar-SA"/>
      </w:rPr>
    </w:lvl>
    <w:lvl w:ilvl="8" w:tplc="1E8092D0">
      <w:numFmt w:val="bullet"/>
      <w:lvlText w:val="•"/>
      <w:lvlJc w:val="left"/>
      <w:pPr>
        <w:ind w:left="9279" w:hanging="284"/>
      </w:pPr>
      <w:rPr>
        <w:rFonts w:hint="default"/>
        <w:lang w:val="en-US" w:eastAsia="en-US" w:bidi="ar-SA"/>
      </w:rPr>
    </w:lvl>
  </w:abstractNum>
  <w:abstractNum w:abstractNumId="14" w15:restartNumberingAfterBreak="0">
    <w:nsid w:val="1D6D1474"/>
    <w:multiLevelType w:val="multilevel"/>
    <w:tmpl w:val="77BA92B6"/>
    <w:styleLink w:val="CurrentList3"/>
    <w:lvl w:ilvl="0">
      <w:numFmt w:val="bullet"/>
      <w:lvlText w:val="—"/>
      <w:lvlJc w:val="left"/>
      <w:pPr>
        <w:ind w:left="568" w:hanging="284"/>
      </w:pPr>
      <w:rPr>
        <w:rFonts w:ascii="Helvetica Neue LT Pro" w:eastAsia="Helvetica Neue LT Pro" w:hAnsi="Helvetica Neue LT Pro" w:cs="Helvetica Neue LT Pro" w:hint="default"/>
        <w:b w:val="0"/>
        <w:bCs w:val="0"/>
        <w:i w:val="0"/>
        <w:iCs w:val="0"/>
        <w:color w:val="414042"/>
        <w:spacing w:val="0"/>
        <w:w w:val="100"/>
        <w:sz w:val="18"/>
        <w:szCs w:val="18"/>
        <w:lang w:val="en-US" w:eastAsia="en-US" w:bidi="ar-SA"/>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5" w15:restartNumberingAfterBreak="0">
    <w:nsid w:val="1DB25A6E"/>
    <w:multiLevelType w:val="multilevel"/>
    <w:tmpl w:val="576C3D08"/>
    <w:styleLink w:val="CurrentList4"/>
    <w:lvl w:ilvl="0">
      <w:start w:val="1"/>
      <w:numFmt w:val="decimal"/>
      <w:lvlText w:val="%1."/>
      <w:lvlJc w:val="left"/>
      <w:pPr>
        <w:ind w:left="1489" w:hanging="356"/>
      </w:pPr>
      <w:rPr>
        <w:rFonts w:ascii="Helvetica Neue LT Pro" w:eastAsia="Helvetica Neue LT Pro" w:hAnsi="Helvetica Neue LT Pro" w:cs="Helvetica Neue LT Pro" w:hint="default"/>
        <w:b w:val="0"/>
        <w:bCs w:val="0"/>
        <w:i w:val="0"/>
        <w:iCs w:val="0"/>
        <w:color w:val="F68C59"/>
        <w:spacing w:val="0"/>
        <w:w w:val="100"/>
        <w:sz w:val="32"/>
        <w:szCs w:val="32"/>
        <w:lang w:val="en-US" w:eastAsia="en-US" w:bidi="ar-SA"/>
      </w:rPr>
    </w:lvl>
    <w:lvl w:ilvl="1">
      <w:start w:val="1"/>
      <w:numFmt w:val="decimal"/>
      <w:lvlText w:val="%1.%2"/>
      <w:lvlJc w:val="left"/>
      <w:pPr>
        <w:ind w:left="702" w:hanging="301"/>
      </w:pPr>
      <w:rPr>
        <w:rFonts w:ascii="Helvetica Neue LT Pro" w:eastAsia="Helvetica Neue LT Pro" w:hAnsi="Helvetica Neue LT Pro" w:cs="Helvetica Neue LT Pro" w:hint="default"/>
        <w:b w:val="0"/>
        <w:bCs w:val="0"/>
        <w:i w:val="0"/>
        <w:iCs w:val="0"/>
        <w:color w:val="414042"/>
        <w:spacing w:val="0"/>
        <w:w w:val="95"/>
        <w:sz w:val="18"/>
        <w:szCs w:val="18"/>
        <w:lang w:val="en-US" w:eastAsia="en-US" w:bidi="ar-SA"/>
      </w:rPr>
    </w:lvl>
    <w:lvl w:ilvl="2">
      <w:numFmt w:val="bullet"/>
      <w:lvlText w:val="•"/>
      <w:lvlJc w:val="left"/>
      <w:pPr>
        <w:ind w:left="700" w:hanging="301"/>
      </w:pPr>
      <w:rPr>
        <w:rFonts w:hint="default"/>
        <w:lang w:val="en-US" w:eastAsia="en-US" w:bidi="ar-SA"/>
      </w:rPr>
    </w:lvl>
    <w:lvl w:ilvl="3">
      <w:numFmt w:val="bullet"/>
      <w:lvlText w:val="•"/>
      <w:lvlJc w:val="left"/>
      <w:pPr>
        <w:ind w:left="740" w:hanging="301"/>
      </w:pPr>
      <w:rPr>
        <w:rFonts w:hint="default"/>
        <w:lang w:val="en-US" w:eastAsia="en-US" w:bidi="ar-SA"/>
      </w:rPr>
    </w:lvl>
    <w:lvl w:ilvl="4">
      <w:numFmt w:val="bullet"/>
      <w:lvlText w:val="•"/>
      <w:lvlJc w:val="left"/>
      <w:pPr>
        <w:ind w:left="800" w:hanging="301"/>
      </w:pPr>
      <w:rPr>
        <w:rFonts w:hint="default"/>
        <w:lang w:val="en-US" w:eastAsia="en-US" w:bidi="ar-SA"/>
      </w:rPr>
    </w:lvl>
    <w:lvl w:ilvl="5">
      <w:numFmt w:val="bullet"/>
      <w:lvlText w:val="•"/>
      <w:lvlJc w:val="left"/>
      <w:pPr>
        <w:ind w:left="880" w:hanging="301"/>
      </w:pPr>
      <w:rPr>
        <w:rFonts w:hint="default"/>
        <w:lang w:val="en-US" w:eastAsia="en-US" w:bidi="ar-SA"/>
      </w:rPr>
    </w:lvl>
    <w:lvl w:ilvl="6">
      <w:numFmt w:val="bullet"/>
      <w:lvlText w:val="•"/>
      <w:lvlJc w:val="left"/>
      <w:pPr>
        <w:ind w:left="1140" w:hanging="301"/>
      </w:pPr>
      <w:rPr>
        <w:rFonts w:hint="default"/>
        <w:lang w:val="en-US" w:eastAsia="en-US" w:bidi="ar-SA"/>
      </w:rPr>
    </w:lvl>
    <w:lvl w:ilvl="7">
      <w:numFmt w:val="bullet"/>
      <w:lvlText w:val="•"/>
      <w:lvlJc w:val="left"/>
      <w:pPr>
        <w:ind w:left="1480" w:hanging="301"/>
      </w:pPr>
      <w:rPr>
        <w:rFonts w:hint="default"/>
        <w:lang w:val="en-US" w:eastAsia="en-US" w:bidi="ar-SA"/>
      </w:rPr>
    </w:lvl>
    <w:lvl w:ilvl="8">
      <w:numFmt w:val="bullet"/>
      <w:lvlText w:val="•"/>
      <w:lvlJc w:val="left"/>
      <w:pPr>
        <w:ind w:left="978" w:hanging="301"/>
      </w:pPr>
      <w:rPr>
        <w:rFonts w:hint="default"/>
        <w:lang w:val="en-US" w:eastAsia="en-US" w:bidi="ar-SA"/>
      </w:rPr>
    </w:lvl>
  </w:abstractNum>
  <w:abstractNum w:abstractNumId="16" w15:restartNumberingAfterBreak="0">
    <w:nsid w:val="1E8C1A18"/>
    <w:multiLevelType w:val="hybridMultilevel"/>
    <w:tmpl w:val="65A27AF4"/>
    <w:lvl w:ilvl="0" w:tplc="1F44EB20">
      <w:numFmt w:val="bullet"/>
      <w:lvlText w:val="—"/>
      <w:lvlJc w:val="left"/>
      <w:pPr>
        <w:ind w:left="1700" w:hanging="284"/>
      </w:pPr>
      <w:rPr>
        <w:rFonts w:ascii="Helvetica Neue LT Pro" w:eastAsia="Helvetica Neue LT Pro" w:hAnsi="Helvetica Neue LT Pro" w:cs="Helvetica Neue LT Pro" w:hint="default"/>
        <w:b w:val="0"/>
        <w:bCs w:val="0"/>
        <w:i w:val="0"/>
        <w:iCs w:val="0"/>
        <w:color w:val="414042"/>
        <w:spacing w:val="0"/>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EEB46E0"/>
    <w:multiLevelType w:val="hybridMultilevel"/>
    <w:tmpl w:val="F1D899BA"/>
    <w:lvl w:ilvl="0" w:tplc="FFECB694">
      <w:numFmt w:val="bullet"/>
      <w:lvlText w:val="•"/>
      <w:lvlJc w:val="left"/>
      <w:pPr>
        <w:ind w:left="360" w:hanging="360"/>
      </w:pPr>
      <w:rPr>
        <w:rFonts w:ascii="Helvetica Neue LT Pro" w:eastAsia="Helvetica Neue LT Pro" w:hAnsi="Helvetica Neue LT Pro" w:cs="Helvetica Neue LT Pro" w:hint="default"/>
        <w:b w:val="0"/>
        <w:bCs w:val="0"/>
        <w:i w:val="0"/>
        <w:iCs w:val="0"/>
        <w:color w:val="414042"/>
        <w:spacing w:val="0"/>
        <w:w w:val="100"/>
        <w:sz w:val="18"/>
        <w:szCs w:val="18"/>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1CC43D6"/>
    <w:multiLevelType w:val="hybridMultilevel"/>
    <w:tmpl w:val="FA2048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6362707"/>
    <w:multiLevelType w:val="hybridMultilevel"/>
    <w:tmpl w:val="77627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6B64AA2"/>
    <w:multiLevelType w:val="hybridMultilevel"/>
    <w:tmpl w:val="F40279BA"/>
    <w:lvl w:ilvl="0" w:tplc="67B63C42">
      <w:start w:val="1"/>
      <w:numFmt w:val="decimal"/>
      <w:lvlText w:val="%1."/>
      <w:lvlJc w:val="left"/>
      <w:pPr>
        <w:ind w:left="1356" w:hanging="223"/>
      </w:pPr>
      <w:rPr>
        <w:rFonts w:ascii="Helvetica Neue LT Pro" w:eastAsia="Helvetica Neue LT Pro" w:hAnsi="Helvetica Neue LT Pro" w:cs="Helvetica Neue LT Pro" w:hint="default"/>
        <w:b w:val="0"/>
        <w:bCs w:val="0"/>
        <w:i w:val="0"/>
        <w:iCs w:val="0"/>
        <w:color w:val="FFFFFF"/>
        <w:spacing w:val="0"/>
        <w:w w:val="100"/>
        <w:sz w:val="20"/>
        <w:szCs w:val="20"/>
        <w:lang w:val="en-US" w:eastAsia="en-US" w:bidi="ar-SA"/>
      </w:rPr>
    </w:lvl>
    <w:lvl w:ilvl="1" w:tplc="3848B2BE">
      <w:numFmt w:val="bullet"/>
      <w:lvlText w:val="•"/>
      <w:lvlJc w:val="left"/>
      <w:pPr>
        <w:ind w:left="2368" w:hanging="223"/>
      </w:pPr>
      <w:rPr>
        <w:rFonts w:hint="default"/>
        <w:lang w:val="en-US" w:eastAsia="en-US" w:bidi="ar-SA"/>
      </w:rPr>
    </w:lvl>
    <w:lvl w:ilvl="2" w:tplc="D80E0C98">
      <w:numFmt w:val="bullet"/>
      <w:lvlText w:val="•"/>
      <w:lvlJc w:val="left"/>
      <w:pPr>
        <w:ind w:left="3377" w:hanging="223"/>
      </w:pPr>
      <w:rPr>
        <w:rFonts w:hint="default"/>
        <w:lang w:val="en-US" w:eastAsia="en-US" w:bidi="ar-SA"/>
      </w:rPr>
    </w:lvl>
    <w:lvl w:ilvl="3" w:tplc="83F02700">
      <w:numFmt w:val="bullet"/>
      <w:lvlText w:val="•"/>
      <w:lvlJc w:val="left"/>
      <w:pPr>
        <w:ind w:left="4385" w:hanging="223"/>
      </w:pPr>
      <w:rPr>
        <w:rFonts w:hint="default"/>
        <w:lang w:val="en-US" w:eastAsia="en-US" w:bidi="ar-SA"/>
      </w:rPr>
    </w:lvl>
    <w:lvl w:ilvl="4" w:tplc="8E328588">
      <w:numFmt w:val="bullet"/>
      <w:lvlText w:val="•"/>
      <w:lvlJc w:val="left"/>
      <w:pPr>
        <w:ind w:left="5394" w:hanging="223"/>
      </w:pPr>
      <w:rPr>
        <w:rFonts w:hint="default"/>
        <w:lang w:val="en-US" w:eastAsia="en-US" w:bidi="ar-SA"/>
      </w:rPr>
    </w:lvl>
    <w:lvl w:ilvl="5" w:tplc="3BB6487A">
      <w:numFmt w:val="bullet"/>
      <w:lvlText w:val="•"/>
      <w:lvlJc w:val="left"/>
      <w:pPr>
        <w:ind w:left="6402" w:hanging="223"/>
      </w:pPr>
      <w:rPr>
        <w:rFonts w:hint="default"/>
        <w:lang w:val="en-US" w:eastAsia="en-US" w:bidi="ar-SA"/>
      </w:rPr>
    </w:lvl>
    <w:lvl w:ilvl="6" w:tplc="D96C7E30">
      <w:numFmt w:val="bullet"/>
      <w:lvlText w:val="•"/>
      <w:lvlJc w:val="left"/>
      <w:pPr>
        <w:ind w:left="7411" w:hanging="223"/>
      </w:pPr>
      <w:rPr>
        <w:rFonts w:hint="default"/>
        <w:lang w:val="en-US" w:eastAsia="en-US" w:bidi="ar-SA"/>
      </w:rPr>
    </w:lvl>
    <w:lvl w:ilvl="7" w:tplc="56E4DB66">
      <w:numFmt w:val="bullet"/>
      <w:lvlText w:val="•"/>
      <w:lvlJc w:val="left"/>
      <w:pPr>
        <w:ind w:left="8419" w:hanging="223"/>
      </w:pPr>
      <w:rPr>
        <w:rFonts w:hint="default"/>
        <w:lang w:val="en-US" w:eastAsia="en-US" w:bidi="ar-SA"/>
      </w:rPr>
    </w:lvl>
    <w:lvl w:ilvl="8" w:tplc="5F6C1E7E">
      <w:numFmt w:val="bullet"/>
      <w:lvlText w:val="•"/>
      <w:lvlJc w:val="left"/>
      <w:pPr>
        <w:ind w:left="9428" w:hanging="223"/>
      </w:pPr>
      <w:rPr>
        <w:rFonts w:hint="default"/>
        <w:lang w:val="en-US" w:eastAsia="en-US" w:bidi="ar-SA"/>
      </w:rPr>
    </w:lvl>
  </w:abstractNum>
  <w:abstractNum w:abstractNumId="21" w15:restartNumberingAfterBreak="0">
    <w:nsid w:val="27C445F5"/>
    <w:multiLevelType w:val="multilevel"/>
    <w:tmpl w:val="0EDEA0D8"/>
    <w:styleLink w:val="HangingList"/>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291B25B9"/>
    <w:multiLevelType w:val="hybridMultilevel"/>
    <w:tmpl w:val="BB368F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2A0B281E"/>
    <w:multiLevelType w:val="hybridMultilevel"/>
    <w:tmpl w:val="00841178"/>
    <w:lvl w:ilvl="0" w:tplc="08090001">
      <w:start w:val="1"/>
      <w:numFmt w:val="bullet"/>
      <w:lvlText w:val=""/>
      <w:lvlJc w:val="left"/>
      <w:pPr>
        <w:ind w:left="360" w:hanging="360"/>
      </w:pPr>
      <w:rPr>
        <w:rFonts w:ascii="Symbol" w:hAnsi="Symbol" w:hint="default"/>
        <w:b w:val="0"/>
        <w:bCs w:val="0"/>
        <w:i w:val="0"/>
        <w:iCs w:val="0"/>
        <w:color w:val="414042"/>
        <w:spacing w:val="0"/>
        <w:w w:val="100"/>
        <w:sz w:val="18"/>
        <w:szCs w:val="18"/>
        <w:lang w:val="en-US" w:eastAsia="en-US" w:bidi="ar-SA"/>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2A7926F3"/>
    <w:multiLevelType w:val="hybridMultilevel"/>
    <w:tmpl w:val="D8CC915A"/>
    <w:lvl w:ilvl="0" w:tplc="C7524EF6">
      <w:start w:val="1"/>
      <w:numFmt w:val="lowerRoman"/>
      <w:lvlText w:val="(%1)"/>
      <w:lvlJc w:val="left"/>
      <w:pPr>
        <w:ind w:left="1290" w:hanging="157"/>
      </w:pPr>
      <w:rPr>
        <w:rFonts w:ascii="HelveticaNeueLTPro-LtIt" w:eastAsia="HelveticaNeueLTPro-LtIt" w:hAnsi="HelveticaNeueLTPro-LtIt" w:cs="HelveticaNeueLTPro-LtIt" w:hint="default"/>
        <w:b w:val="0"/>
        <w:bCs w:val="0"/>
        <w:i/>
        <w:iCs/>
        <w:color w:val="414042"/>
        <w:spacing w:val="0"/>
        <w:w w:val="100"/>
        <w:sz w:val="16"/>
        <w:szCs w:val="16"/>
        <w:lang w:val="en-US" w:eastAsia="en-US" w:bidi="ar-SA"/>
      </w:rPr>
    </w:lvl>
    <w:lvl w:ilvl="1" w:tplc="C7AA4148">
      <w:numFmt w:val="bullet"/>
      <w:lvlText w:val="•"/>
      <w:lvlJc w:val="left"/>
      <w:pPr>
        <w:ind w:left="2314" w:hanging="157"/>
      </w:pPr>
      <w:rPr>
        <w:rFonts w:hint="default"/>
        <w:lang w:val="en-US" w:eastAsia="en-US" w:bidi="ar-SA"/>
      </w:rPr>
    </w:lvl>
    <w:lvl w:ilvl="2" w:tplc="F98C1C18">
      <w:numFmt w:val="bullet"/>
      <w:lvlText w:val="•"/>
      <w:lvlJc w:val="left"/>
      <w:pPr>
        <w:ind w:left="3329" w:hanging="157"/>
      </w:pPr>
      <w:rPr>
        <w:rFonts w:hint="default"/>
        <w:lang w:val="en-US" w:eastAsia="en-US" w:bidi="ar-SA"/>
      </w:rPr>
    </w:lvl>
    <w:lvl w:ilvl="3" w:tplc="4946813E">
      <w:numFmt w:val="bullet"/>
      <w:lvlText w:val="•"/>
      <w:lvlJc w:val="left"/>
      <w:pPr>
        <w:ind w:left="4343" w:hanging="157"/>
      </w:pPr>
      <w:rPr>
        <w:rFonts w:hint="default"/>
        <w:lang w:val="en-US" w:eastAsia="en-US" w:bidi="ar-SA"/>
      </w:rPr>
    </w:lvl>
    <w:lvl w:ilvl="4" w:tplc="86726B24">
      <w:numFmt w:val="bullet"/>
      <w:lvlText w:val="•"/>
      <w:lvlJc w:val="left"/>
      <w:pPr>
        <w:ind w:left="5358" w:hanging="157"/>
      </w:pPr>
      <w:rPr>
        <w:rFonts w:hint="default"/>
        <w:lang w:val="en-US" w:eastAsia="en-US" w:bidi="ar-SA"/>
      </w:rPr>
    </w:lvl>
    <w:lvl w:ilvl="5" w:tplc="9F18F420">
      <w:numFmt w:val="bullet"/>
      <w:lvlText w:val="•"/>
      <w:lvlJc w:val="left"/>
      <w:pPr>
        <w:ind w:left="6372" w:hanging="157"/>
      </w:pPr>
      <w:rPr>
        <w:rFonts w:hint="default"/>
        <w:lang w:val="en-US" w:eastAsia="en-US" w:bidi="ar-SA"/>
      </w:rPr>
    </w:lvl>
    <w:lvl w:ilvl="6" w:tplc="1E7023F2">
      <w:numFmt w:val="bullet"/>
      <w:lvlText w:val="•"/>
      <w:lvlJc w:val="left"/>
      <w:pPr>
        <w:ind w:left="7387" w:hanging="157"/>
      </w:pPr>
      <w:rPr>
        <w:rFonts w:hint="default"/>
        <w:lang w:val="en-US" w:eastAsia="en-US" w:bidi="ar-SA"/>
      </w:rPr>
    </w:lvl>
    <w:lvl w:ilvl="7" w:tplc="848A017E">
      <w:numFmt w:val="bullet"/>
      <w:lvlText w:val="•"/>
      <w:lvlJc w:val="left"/>
      <w:pPr>
        <w:ind w:left="8401" w:hanging="157"/>
      </w:pPr>
      <w:rPr>
        <w:rFonts w:hint="default"/>
        <w:lang w:val="en-US" w:eastAsia="en-US" w:bidi="ar-SA"/>
      </w:rPr>
    </w:lvl>
    <w:lvl w:ilvl="8" w:tplc="96EA2DE4">
      <w:numFmt w:val="bullet"/>
      <w:lvlText w:val="•"/>
      <w:lvlJc w:val="left"/>
      <w:pPr>
        <w:ind w:left="9416" w:hanging="157"/>
      </w:pPr>
      <w:rPr>
        <w:rFonts w:hint="default"/>
        <w:lang w:val="en-US" w:eastAsia="en-US" w:bidi="ar-SA"/>
      </w:rPr>
    </w:lvl>
  </w:abstractNum>
  <w:abstractNum w:abstractNumId="25" w15:restartNumberingAfterBreak="0">
    <w:nsid w:val="2A7A5599"/>
    <w:multiLevelType w:val="hybridMultilevel"/>
    <w:tmpl w:val="4F5AA43C"/>
    <w:lvl w:ilvl="0" w:tplc="F156383A">
      <w:numFmt w:val="bullet"/>
      <w:lvlText w:val="•"/>
      <w:lvlJc w:val="left"/>
      <w:pPr>
        <w:ind w:left="284" w:hanging="284"/>
      </w:pPr>
      <w:rPr>
        <w:rFonts w:ascii="Helvetica Neue LT Pro" w:eastAsia="Helvetica Neue LT Pro" w:hAnsi="Helvetica Neue LT Pro" w:cs="Helvetica Neue LT Pro" w:hint="default"/>
        <w:b w:val="0"/>
        <w:bCs w:val="0"/>
        <w:i w:val="0"/>
        <w:iCs w:val="0"/>
        <w:color w:val="414042"/>
        <w:spacing w:val="0"/>
        <w:w w:val="100"/>
        <w:sz w:val="18"/>
        <w:szCs w:val="18"/>
        <w:lang w:val="en-US" w:eastAsia="en-US" w:bidi="ar-SA"/>
      </w:rPr>
    </w:lvl>
    <w:lvl w:ilvl="1" w:tplc="08090003" w:tentative="1">
      <w:start w:val="1"/>
      <w:numFmt w:val="bullet"/>
      <w:lvlText w:val="o"/>
      <w:lvlJc w:val="left"/>
      <w:pPr>
        <w:ind w:left="1183" w:hanging="360"/>
      </w:pPr>
      <w:rPr>
        <w:rFonts w:ascii="Courier New" w:hAnsi="Courier New" w:cs="Courier New" w:hint="default"/>
      </w:rPr>
    </w:lvl>
    <w:lvl w:ilvl="2" w:tplc="08090005" w:tentative="1">
      <w:start w:val="1"/>
      <w:numFmt w:val="bullet"/>
      <w:lvlText w:val=""/>
      <w:lvlJc w:val="left"/>
      <w:pPr>
        <w:ind w:left="1903" w:hanging="360"/>
      </w:pPr>
      <w:rPr>
        <w:rFonts w:ascii="Wingdings" w:hAnsi="Wingdings" w:hint="default"/>
      </w:rPr>
    </w:lvl>
    <w:lvl w:ilvl="3" w:tplc="08090001" w:tentative="1">
      <w:start w:val="1"/>
      <w:numFmt w:val="bullet"/>
      <w:lvlText w:val=""/>
      <w:lvlJc w:val="left"/>
      <w:pPr>
        <w:ind w:left="2623" w:hanging="360"/>
      </w:pPr>
      <w:rPr>
        <w:rFonts w:ascii="Symbol" w:hAnsi="Symbol" w:hint="default"/>
      </w:rPr>
    </w:lvl>
    <w:lvl w:ilvl="4" w:tplc="08090003" w:tentative="1">
      <w:start w:val="1"/>
      <w:numFmt w:val="bullet"/>
      <w:lvlText w:val="o"/>
      <w:lvlJc w:val="left"/>
      <w:pPr>
        <w:ind w:left="3343" w:hanging="360"/>
      </w:pPr>
      <w:rPr>
        <w:rFonts w:ascii="Courier New" w:hAnsi="Courier New" w:cs="Courier New" w:hint="default"/>
      </w:rPr>
    </w:lvl>
    <w:lvl w:ilvl="5" w:tplc="08090005" w:tentative="1">
      <w:start w:val="1"/>
      <w:numFmt w:val="bullet"/>
      <w:lvlText w:val=""/>
      <w:lvlJc w:val="left"/>
      <w:pPr>
        <w:ind w:left="4063" w:hanging="360"/>
      </w:pPr>
      <w:rPr>
        <w:rFonts w:ascii="Wingdings" w:hAnsi="Wingdings" w:hint="default"/>
      </w:rPr>
    </w:lvl>
    <w:lvl w:ilvl="6" w:tplc="08090001" w:tentative="1">
      <w:start w:val="1"/>
      <w:numFmt w:val="bullet"/>
      <w:lvlText w:val=""/>
      <w:lvlJc w:val="left"/>
      <w:pPr>
        <w:ind w:left="4783" w:hanging="360"/>
      </w:pPr>
      <w:rPr>
        <w:rFonts w:ascii="Symbol" w:hAnsi="Symbol" w:hint="default"/>
      </w:rPr>
    </w:lvl>
    <w:lvl w:ilvl="7" w:tplc="08090003" w:tentative="1">
      <w:start w:val="1"/>
      <w:numFmt w:val="bullet"/>
      <w:lvlText w:val="o"/>
      <w:lvlJc w:val="left"/>
      <w:pPr>
        <w:ind w:left="5503" w:hanging="360"/>
      </w:pPr>
      <w:rPr>
        <w:rFonts w:ascii="Courier New" w:hAnsi="Courier New" w:cs="Courier New" w:hint="default"/>
      </w:rPr>
    </w:lvl>
    <w:lvl w:ilvl="8" w:tplc="08090005" w:tentative="1">
      <w:start w:val="1"/>
      <w:numFmt w:val="bullet"/>
      <w:lvlText w:val=""/>
      <w:lvlJc w:val="left"/>
      <w:pPr>
        <w:ind w:left="6223" w:hanging="360"/>
      </w:pPr>
      <w:rPr>
        <w:rFonts w:ascii="Wingdings" w:hAnsi="Wingdings" w:hint="default"/>
      </w:rPr>
    </w:lvl>
  </w:abstractNum>
  <w:abstractNum w:abstractNumId="26" w15:restartNumberingAfterBreak="0">
    <w:nsid w:val="2ED1494B"/>
    <w:multiLevelType w:val="hybridMultilevel"/>
    <w:tmpl w:val="01E4C548"/>
    <w:lvl w:ilvl="0" w:tplc="056A3380">
      <w:start w:val="1"/>
      <w:numFmt w:val="lowerRoman"/>
      <w:lvlText w:val="(%1)"/>
      <w:lvlJc w:val="left"/>
      <w:pPr>
        <w:ind w:left="1133" w:hanging="157"/>
      </w:pPr>
      <w:rPr>
        <w:rFonts w:ascii="HelveticaNeueLTPro-LtIt" w:eastAsia="HelveticaNeueLTPro-LtIt" w:hAnsi="HelveticaNeueLTPro-LtIt" w:cs="HelveticaNeueLTPro-LtIt" w:hint="default"/>
        <w:b w:val="0"/>
        <w:bCs w:val="0"/>
        <w:i/>
        <w:iCs/>
        <w:color w:val="414042"/>
        <w:spacing w:val="0"/>
        <w:w w:val="100"/>
        <w:sz w:val="16"/>
        <w:szCs w:val="16"/>
        <w:lang w:val="en-US" w:eastAsia="en-US" w:bidi="ar-SA"/>
      </w:rPr>
    </w:lvl>
    <w:lvl w:ilvl="1" w:tplc="43989AE0">
      <w:numFmt w:val="bullet"/>
      <w:lvlText w:val="•"/>
      <w:lvlJc w:val="left"/>
      <w:pPr>
        <w:ind w:left="2170" w:hanging="157"/>
      </w:pPr>
      <w:rPr>
        <w:rFonts w:hint="default"/>
        <w:lang w:val="en-US" w:eastAsia="en-US" w:bidi="ar-SA"/>
      </w:rPr>
    </w:lvl>
    <w:lvl w:ilvl="2" w:tplc="E7E843B6">
      <w:numFmt w:val="bullet"/>
      <w:lvlText w:val="•"/>
      <w:lvlJc w:val="left"/>
      <w:pPr>
        <w:ind w:left="3201" w:hanging="157"/>
      </w:pPr>
      <w:rPr>
        <w:rFonts w:hint="default"/>
        <w:lang w:val="en-US" w:eastAsia="en-US" w:bidi="ar-SA"/>
      </w:rPr>
    </w:lvl>
    <w:lvl w:ilvl="3" w:tplc="2B7EF6E6">
      <w:numFmt w:val="bullet"/>
      <w:lvlText w:val="•"/>
      <w:lvlJc w:val="left"/>
      <w:pPr>
        <w:ind w:left="4231" w:hanging="157"/>
      </w:pPr>
      <w:rPr>
        <w:rFonts w:hint="default"/>
        <w:lang w:val="en-US" w:eastAsia="en-US" w:bidi="ar-SA"/>
      </w:rPr>
    </w:lvl>
    <w:lvl w:ilvl="4" w:tplc="63FE7488">
      <w:numFmt w:val="bullet"/>
      <w:lvlText w:val="•"/>
      <w:lvlJc w:val="left"/>
      <w:pPr>
        <w:ind w:left="5262" w:hanging="157"/>
      </w:pPr>
      <w:rPr>
        <w:rFonts w:hint="default"/>
        <w:lang w:val="en-US" w:eastAsia="en-US" w:bidi="ar-SA"/>
      </w:rPr>
    </w:lvl>
    <w:lvl w:ilvl="5" w:tplc="1EB803A6">
      <w:numFmt w:val="bullet"/>
      <w:lvlText w:val="•"/>
      <w:lvlJc w:val="left"/>
      <w:pPr>
        <w:ind w:left="6292" w:hanging="157"/>
      </w:pPr>
      <w:rPr>
        <w:rFonts w:hint="default"/>
        <w:lang w:val="en-US" w:eastAsia="en-US" w:bidi="ar-SA"/>
      </w:rPr>
    </w:lvl>
    <w:lvl w:ilvl="6" w:tplc="3A486542">
      <w:numFmt w:val="bullet"/>
      <w:lvlText w:val="•"/>
      <w:lvlJc w:val="left"/>
      <w:pPr>
        <w:ind w:left="7323" w:hanging="157"/>
      </w:pPr>
      <w:rPr>
        <w:rFonts w:hint="default"/>
        <w:lang w:val="en-US" w:eastAsia="en-US" w:bidi="ar-SA"/>
      </w:rPr>
    </w:lvl>
    <w:lvl w:ilvl="7" w:tplc="12746534">
      <w:numFmt w:val="bullet"/>
      <w:lvlText w:val="•"/>
      <w:lvlJc w:val="left"/>
      <w:pPr>
        <w:ind w:left="8353" w:hanging="157"/>
      </w:pPr>
      <w:rPr>
        <w:rFonts w:hint="default"/>
        <w:lang w:val="en-US" w:eastAsia="en-US" w:bidi="ar-SA"/>
      </w:rPr>
    </w:lvl>
    <w:lvl w:ilvl="8" w:tplc="D1B21DEC">
      <w:numFmt w:val="bullet"/>
      <w:lvlText w:val="•"/>
      <w:lvlJc w:val="left"/>
      <w:pPr>
        <w:ind w:left="9384" w:hanging="157"/>
      </w:pPr>
      <w:rPr>
        <w:rFonts w:hint="default"/>
        <w:lang w:val="en-US" w:eastAsia="en-US" w:bidi="ar-SA"/>
      </w:rPr>
    </w:lvl>
  </w:abstractNum>
  <w:abstractNum w:abstractNumId="27" w15:restartNumberingAfterBreak="0">
    <w:nsid w:val="30001A57"/>
    <w:multiLevelType w:val="hybridMultilevel"/>
    <w:tmpl w:val="11F07606"/>
    <w:lvl w:ilvl="0" w:tplc="08090001">
      <w:start w:val="1"/>
      <w:numFmt w:val="bullet"/>
      <w:lvlText w:val=""/>
      <w:lvlJc w:val="left"/>
      <w:pPr>
        <w:ind w:left="360" w:hanging="360"/>
      </w:pPr>
      <w:rPr>
        <w:rFonts w:ascii="Symbol" w:hAnsi="Symbol" w:hint="default"/>
        <w:b w:val="0"/>
        <w:bCs w:val="0"/>
        <w:i w:val="0"/>
        <w:iCs w:val="0"/>
        <w:color w:val="414042"/>
        <w:spacing w:val="0"/>
        <w:w w:val="100"/>
        <w:sz w:val="18"/>
        <w:szCs w:val="18"/>
        <w:lang w:val="en-US" w:eastAsia="en-US" w:bidi="ar-SA"/>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33B72489"/>
    <w:multiLevelType w:val="hybridMultilevel"/>
    <w:tmpl w:val="8C947A30"/>
    <w:lvl w:ilvl="0" w:tplc="FFECB694">
      <w:numFmt w:val="bullet"/>
      <w:lvlText w:val="•"/>
      <w:lvlJc w:val="left"/>
      <w:pPr>
        <w:ind w:left="720" w:hanging="360"/>
      </w:pPr>
      <w:rPr>
        <w:rFonts w:ascii="Helvetica Neue LT Pro" w:eastAsia="Helvetica Neue LT Pro" w:hAnsi="Helvetica Neue LT Pro" w:cs="Helvetica Neue LT Pro" w:hint="default"/>
        <w:b w:val="0"/>
        <w:bCs w:val="0"/>
        <w:i w:val="0"/>
        <w:iCs w:val="0"/>
        <w:color w:val="414042"/>
        <w:spacing w:val="0"/>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4CD5C53"/>
    <w:multiLevelType w:val="hybridMultilevel"/>
    <w:tmpl w:val="3B1050D8"/>
    <w:lvl w:ilvl="0" w:tplc="BD667856">
      <w:start w:val="1"/>
      <w:numFmt w:val="lowerRoman"/>
      <w:lvlText w:val="(%1)"/>
      <w:lvlJc w:val="left"/>
      <w:pPr>
        <w:ind w:left="1133" w:hanging="157"/>
      </w:pPr>
      <w:rPr>
        <w:rFonts w:ascii="HelveticaNeueLTPro-LtIt" w:eastAsia="HelveticaNeueLTPro-LtIt" w:hAnsi="HelveticaNeueLTPro-LtIt" w:cs="HelveticaNeueLTPro-LtIt" w:hint="default"/>
        <w:b w:val="0"/>
        <w:bCs w:val="0"/>
        <w:i/>
        <w:iCs/>
        <w:color w:val="414042"/>
        <w:spacing w:val="0"/>
        <w:w w:val="100"/>
        <w:sz w:val="16"/>
        <w:szCs w:val="16"/>
        <w:lang w:val="en-US" w:eastAsia="en-US" w:bidi="ar-SA"/>
      </w:rPr>
    </w:lvl>
    <w:lvl w:ilvl="1" w:tplc="056C7FB6">
      <w:numFmt w:val="bullet"/>
      <w:lvlText w:val="•"/>
      <w:lvlJc w:val="left"/>
      <w:pPr>
        <w:ind w:left="2170" w:hanging="157"/>
      </w:pPr>
      <w:rPr>
        <w:rFonts w:hint="default"/>
        <w:lang w:val="en-US" w:eastAsia="en-US" w:bidi="ar-SA"/>
      </w:rPr>
    </w:lvl>
    <w:lvl w:ilvl="2" w:tplc="EFD08B1A">
      <w:numFmt w:val="bullet"/>
      <w:lvlText w:val="•"/>
      <w:lvlJc w:val="left"/>
      <w:pPr>
        <w:ind w:left="3201" w:hanging="157"/>
      </w:pPr>
      <w:rPr>
        <w:rFonts w:hint="default"/>
        <w:lang w:val="en-US" w:eastAsia="en-US" w:bidi="ar-SA"/>
      </w:rPr>
    </w:lvl>
    <w:lvl w:ilvl="3" w:tplc="053ABC18">
      <w:numFmt w:val="bullet"/>
      <w:lvlText w:val="•"/>
      <w:lvlJc w:val="left"/>
      <w:pPr>
        <w:ind w:left="4231" w:hanging="157"/>
      </w:pPr>
      <w:rPr>
        <w:rFonts w:hint="default"/>
        <w:lang w:val="en-US" w:eastAsia="en-US" w:bidi="ar-SA"/>
      </w:rPr>
    </w:lvl>
    <w:lvl w:ilvl="4" w:tplc="58D8E43E">
      <w:numFmt w:val="bullet"/>
      <w:lvlText w:val="•"/>
      <w:lvlJc w:val="left"/>
      <w:pPr>
        <w:ind w:left="5262" w:hanging="157"/>
      </w:pPr>
      <w:rPr>
        <w:rFonts w:hint="default"/>
        <w:lang w:val="en-US" w:eastAsia="en-US" w:bidi="ar-SA"/>
      </w:rPr>
    </w:lvl>
    <w:lvl w:ilvl="5" w:tplc="CBCE4BCA">
      <w:numFmt w:val="bullet"/>
      <w:lvlText w:val="•"/>
      <w:lvlJc w:val="left"/>
      <w:pPr>
        <w:ind w:left="6292" w:hanging="157"/>
      </w:pPr>
      <w:rPr>
        <w:rFonts w:hint="default"/>
        <w:lang w:val="en-US" w:eastAsia="en-US" w:bidi="ar-SA"/>
      </w:rPr>
    </w:lvl>
    <w:lvl w:ilvl="6" w:tplc="1916BCBA">
      <w:numFmt w:val="bullet"/>
      <w:lvlText w:val="•"/>
      <w:lvlJc w:val="left"/>
      <w:pPr>
        <w:ind w:left="7323" w:hanging="157"/>
      </w:pPr>
      <w:rPr>
        <w:rFonts w:hint="default"/>
        <w:lang w:val="en-US" w:eastAsia="en-US" w:bidi="ar-SA"/>
      </w:rPr>
    </w:lvl>
    <w:lvl w:ilvl="7" w:tplc="A01CEEFA">
      <w:numFmt w:val="bullet"/>
      <w:lvlText w:val="•"/>
      <w:lvlJc w:val="left"/>
      <w:pPr>
        <w:ind w:left="8353" w:hanging="157"/>
      </w:pPr>
      <w:rPr>
        <w:rFonts w:hint="default"/>
        <w:lang w:val="en-US" w:eastAsia="en-US" w:bidi="ar-SA"/>
      </w:rPr>
    </w:lvl>
    <w:lvl w:ilvl="8" w:tplc="7164857C">
      <w:numFmt w:val="bullet"/>
      <w:lvlText w:val="•"/>
      <w:lvlJc w:val="left"/>
      <w:pPr>
        <w:ind w:left="9384" w:hanging="157"/>
      </w:pPr>
      <w:rPr>
        <w:rFonts w:hint="default"/>
        <w:lang w:val="en-US" w:eastAsia="en-US" w:bidi="ar-SA"/>
      </w:rPr>
    </w:lvl>
  </w:abstractNum>
  <w:abstractNum w:abstractNumId="30" w15:restartNumberingAfterBreak="0">
    <w:nsid w:val="397156DE"/>
    <w:multiLevelType w:val="hybridMultilevel"/>
    <w:tmpl w:val="0B4A7C2C"/>
    <w:lvl w:ilvl="0" w:tplc="0809000F">
      <w:start w:val="1"/>
      <w:numFmt w:val="decimal"/>
      <w:lvlText w:val="%1."/>
      <w:lvlJc w:val="left"/>
      <w:pPr>
        <w:ind w:left="36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3CBD5DBF"/>
    <w:multiLevelType w:val="hybridMultilevel"/>
    <w:tmpl w:val="C380B5C8"/>
    <w:lvl w:ilvl="0" w:tplc="F584863C">
      <w:numFmt w:val="bullet"/>
      <w:lvlText w:val="—"/>
      <w:lvlJc w:val="left"/>
      <w:pPr>
        <w:ind w:left="720" w:hanging="360"/>
      </w:pPr>
      <w:rPr>
        <w:rFonts w:ascii="Helvetica Neue LT Pro" w:eastAsia="Helvetica Neue LT Pro" w:hAnsi="Helvetica Neue LT Pro" w:cs="Helvetica Neue LT Pro" w:hint="default"/>
        <w:b w:val="0"/>
        <w:bCs w:val="0"/>
        <w:i w:val="0"/>
        <w:iCs w:val="0"/>
        <w:color w:val="414042"/>
        <w:spacing w:val="0"/>
        <w:w w:val="100"/>
        <w:sz w:val="18"/>
        <w:szCs w:val="18"/>
        <w:lang w:val="en-US" w:eastAsia="en-US" w:bidi="ar-SA"/>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2" w15:restartNumberingAfterBreak="0">
    <w:nsid w:val="3D400188"/>
    <w:multiLevelType w:val="hybridMultilevel"/>
    <w:tmpl w:val="AE544284"/>
    <w:lvl w:ilvl="0" w:tplc="FFECB694">
      <w:numFmt w:val="bullet"/>
      <w:lvlText w:val="•"/>
      <w:lvlJc w:val="left"/>
      <w:pPr>
        <w:ind w:left="360" w:hanging="360"/>
      </w:pPr>
      <w:rPr>
        <w:rFonts w:ascii="Helvetica Neue LT Pro" w:eastAsia="Helvetica Neue LT Pro" w:hAnsi="Helvetica Neue LT Pro" w:cs="Helvetica Neue LT Pro" w:hint="default"/>
        <w:b w:val="0"/>
        <w:bCs w:val="0"/>
        <w:i w:val="0"/>
        <w:iCs w:val="0"/>
        <w:color w:val="414042"/>
        <w:spacing w:val="0"/>
        <w:w w:val="100"/>
        <w:sz w:val="18"/>
        <w:szCs w:val="18"/>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3E132A28"/>
    <w:multiLevelType w:val="hybridMultilevel"/>
    <w:tmpl w:val="D4381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E7713F6"/>
    <w:multiLevelType w:val="hybridMultilevel"/>
    <w:tmpl w:val="0EC88432"/>
    <w:lvl w:ilvl="0" w:tplc="F156383A">
      <w:numFmt w:val="bullet"/>
      <w:lvlText w:val="•"/>
      <w:lvlJc w:val="left"/>
      <w:pPr>
        <w:ind w:left="284" w:hanging="284"/>
      </w:pPr>
      <w:rPr>
        <w:rFonts w:ascii="Helvetica Neue LT Pro" w:eastAsia="Helvetica Neue LT Pro" w:hAnsi="Helvetica Neue LT Pro" w:cs="Helvetica Neue LT Pro" w:hint="default"/>
        <w:b w:val="0"/>
        <w:bCs w:val="0"/>
        <w:i w:val="0"/>
        <w:iCs w:val="0"/>
        <w:color w:val="414042"/>
        <w:spacing w:val="0"/>
        <w:w w:val="100"/>
        <w:sz w:val="18"/>
        <w:szCs w:val="18"/>
        <w:lang w:val="en-US" w:eastAsia="en-US" w:bidi="ar-SA"/>
      </w:rPr>
    </w:lvl>
    <w:lvl w:ilvl="1" w:tplc="08090003" w:tentative="1">
      <w:start w:val="1"/>
      <w:numFmt w:val="bullet"/>
      <w:lvlText w:val="o"/>
      <w:lvlJc w:val="left"/>
      <w:pPr>
        <w:ind w:left="1183" w:hanging="360"/>
      </w:pPr>
      <w:rPr>
        <w:rFonts w:ascii="Courier New" w:hAnsi="Courier New" w:cs="Courier New" w:hint="default"/>
      </w:rPr>
    </w:lvl>
    <w:lvl w:ilvl="2" w:tplc="08090005" w:tentative="1">
      <w:start w:val="1"/>
      <w:numFmt w:val="bullet"/>
      <w:lvlText w:val=""/>
      <w:lvlJc w:val="left"/>
      <w:pPr>
        <w:ind w:left="1903" w:hanging="360"/>
      </w:pPr>
      <w:rPr>
        <w:rFonts w:ascii="Wingdings" w:hAnsi="Wingdings" w:hint="default"/>
      </w:rPr>
    </w:lvl>
    <w:lvl w:ilvl="3" w:tplc="08090001" w:tentative="1">
      <w:start w:val="1"/>
      <w:numFmt w:val="bullet"/>
      <w:lvlText w:val=""/>
      <w:lvlJc w:val="left"/>
      <w:pPr>
        <w:ind w:left="2623" w:hanging="360"/>
      </w:pPr>
      <w:rPr>
        <w:rFonts w:ascii="Symbol" w:hAnsi="Symbol" w:hint="default"/>
      </w:rPr>
    </w:lvl>
    <w:lvl w:ilvl="4" w:tplc="08090003" w:tentative="1">
      <w:start w:val="1"/>
      <w:numFmt w:val="bullet"/>
      <w:lvlText w:val="o"/>
      <w:lvlJc w:val="left"/>
      <w:pPr>
        <w:ind w:left="3343" w:hanging="360"/>
      </w:pPr>
      <w:rPr>
        <w:rFonts w:ascii="Courier New" w:hAnsi="Courier New" w:cs="Courier New" w:hint="default"/>
      </w:rPr>
    </w:lvl>
    <w:lvl w:ilvl="5" w:tplc="08090005" w:tentative="1">
      <w:start w:val="1"/>
      <w:numFmt w:val="bullet"/>
      <w:lvlText w:val=""/>
      <w:lvlJc w:val="left"/>
      <w:pPr>
        <w:ind w:left="4063" w:hanging="360"/>
      </w:pPr>
      <w:rPr>
        <w:rFonts w:ascii="Wingdings" w:hAnsi="Wingdings" w:hint="default"/>
      </w:rPr>
    </w:lvl>
    <w:lvl w:ilvl="6" w:tplc="08090001" w:tentative="1">
      <w:start w:val="1"/>
      <w:numFmt w:val="bullet"/>
      <w:lvlText w:val=""/>
      <w:lvlJc w:val="left"/>
      <w:pPr>
        <w:ind w:left="4783" w:hanging="360"/>
      </w:pPr>
      <w:rPr>
        <w:rFonts w:ascii="Symbol" w:hAnsi="Symbol" w:hint="default"/>
      </w:rPr>
    </w:lvl>
    <w:lvl w:ilvl="7" w:tplc="08090003" w:tentative="1">
      <w:start w:val="1"/>
      <w:numFmt w:val="bullet"/>
      <w:lvlText w:val="o"/>
      <w:lvlJc w:val="left"/>
      <w:pPr>
        <w:ind w:left="5503" w:hanging="360"/>
      </w:pPr>
      <w:rPr>
        <w:rFonts w:ascii="Courier New" w:hAnsi="Courier New" w:cs="Courier New" w:hint="default"/>
      </w:rPr>
    </w:lvl>
    <w:lvl w:ilvl="8" w:tplc="08090005" w:tentative="1">
      <w:start w:val="1"/>
      <w:numFmt w:val="bullet"/>
      <w:lvlText w:val=""/>
      <w:lvlJc w:val="left"/>
      <w:pPr>
        <w:ind w:left="6223" w:hanging="360"/>
      </w:pPr>
      <w:rPr>
        <w:rFonts w:ascii="Wingdings" w:hAnsi="Wingdings" w:hint="default"/>
      </w:rPr>
    </w:lvl>
  </w:abstractNum>
  <w:abstractNum w:abstractNumId="35" w15:restartNumberingAfterBreak="0">
    <w:nsid w:val="41261C43"/>
    <w:multiLevelType w:val="multilevel"/>
    <w:tmpl w:val="11F07606"/>
    <w:styleLink w:val="CurrentList2"/>
    <w:lvl w:ilvl="0">
      <w:start w:val="1"/>
      <w:numFmt w:val="bullet"/>
      <w:lvlText w:val=""/>
      <w:lvlJc w:val="left"/>
      <w:pPr>
        <w:ind w:left="360" w:hanging="360"/>
      </w:pPr>
      <w:rPr>
        <w:rFonts w:ascii="Symbol" w:hAnsi="Symbol" w:hint="default"/>
        <w:b w:val="0"/>
        <w:bCs w:val="0"/>
        <w:i w:val="0"/>
        <w:iCs w:val="0"/>
        <w:color w:val="414042"/>
        <w:spacing w:val="0"/>
        <w:w w:val="100"/>
        <w:sz w:val="18"/>
        <w:szCs w:val="18"/>
        <w:lang w:val="en-US" w:eastAsia="en-US" w:bidi="ar-SA"/>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6" w15:restartNumberingAfterBreak="0">
    <w:nsid w:val="438D34A0"/>
    <w:multiLevelType w:val="multilevel"/>
    <w:tmpl w:val="576C3D08"/>
    <w:lvl w:ilvl="0">
      <w:start w:val="1"/>
      <w:numFmt w:val="decimal"/>
      <w:lvlText w:val="%1."/>
      <w:lvlJc w:val="left"/>
      <w:pPr>
        <w:ind w:left="1489" w:hanging="356"/>
      </w:pPr>
      <w:rPr>
        <w:rFonts w:ascii="Helvetica Neue LT Pro" w:eastAsia="Helvetica Neue LT Pro" w:hAnsi="Helvetica Neue LT Pro" w:cs="Helvetica Neue LT Pro" w:hint="default"/>
        <w:b w:val="0"/>
        <w:bCs w:val="0"/>
        <w:i w:val="0"/>
        <w:iCs w:val="0"/>
        <w:color w:val="F68C59"/>
        <w:spacing w:val="0"/>
        <w:w w:val="100"/>
        <w:sz w:val="32"/>
        <w:szCs w:val="32"/>
        <w:lang w:val="en-US" w:eastAsia="en-US" w:bidi="ar-SA"/>
      </w:rPr>
    </w:lvl>
    <w:lvl w:ilvl="1">
      <w:start w:val="1"/>
      <w:numFmt w:val="decimal"/>
      <w:lvlText w:val="%1.%2"/>
      <w:lvlJc w:val="left"/>
      <w:pPr>
        <w:ind w:left="702" w:hanging="301"/>
      </w:pPr>
      <w:rPr>
        <w:rFonts w:ascii="Helvetica Neue LT Pro" w:eastAsia="Helvetica Neue LT Pro" w:hAnsi="Helvetica Neue LT Pro" w:cs="Helvetica Neue LT Pro" w:hint="default"/>
        <w:b w:val="0"/>
        <w:bCs w:val="0"/>
        <w:i w:val="0"/>
        <w:iCs w:val="0"/>
        <w:color w:val="414042"/>
        <w:spacing w:val="0"/>
        <w:w w:val="95"/>
        <w:sz w:val="18"/>
        <w:szCs w:val="18"/>
        <w:lang w:val="en-US" w:eastAsia="en-US" w:bidi="ar-SA"/>
      </w:rPr>
    </w:lvl>
    <w:lvl w:ilvl="2">
      <w:numFmt w:val="bullet"/>
      <w:lvlText w:val="•"/>
      <w:lvlJc w:val="left"/>
      <w:pPr>
        <w:ind w:left="700" w:hanging="301"/>
      </w:pPr>
      <w:rPr>
        <w:rFonts w:hint="default"/>
        <w:lang w:val="en-US" w:eastAsia="en-US" w:bidi="ar-SA"/>
      </w:rPr>
    </w:lvl>
    <w:lvl w:ilvl="3">
      <w:numFmt w:val="bullet"/>
      <w:lvlText w:val="•"/>
      <w:lvlJc w:val="left"/>
      <w:pPr>
        <w:ind w:left="740" w:hanging="301"/>
      </w:pPr>
      <w:rPr>
        <w:rFonts w:hint="default"/>
        <w:lang w:val="en-US" w:eastAsia="en-US" w:bidi="ar-SA"/>
      </w:rPr>
    </w:lvl>
    <w:lvl w:ilvl="4">
      <w:numFmt w:val="bullet"/>
      <w:lvlText w:val="•"/>
      <w:lvlJc w:val="left"/>
      <w:pPr>
        <w:ind w:left="800" w:hanging="301"/>
      </w:pPr>
      <w:rPr>
        <w:rFonts w:hint="default"/>
        <w:lang w:val="en-US" w:eastAsia="en-US" w:bidi="ar-SA"/>
      </w:rPr>
    </w:lvl>
    <w:lvl w:ilvl="5">
      <w:numFmt w:val="bullet"/>
      <w:lvlText w:val="•"/>
      <w:lvlJc w:val="left"/>
      <w:pPr>
        <w:ind w:left="880" w:hanging="301"/>
      </w:pPr>
      <w:rPr>
        <w:rFonts w:hint="default"/>
        <w:lang w:val="en-US" w:eastAsia="en-US" w:bidi="ar-SA"/>
      </w:rPr>
    </w:lvl>
    <w:lvl w:ilvl="6">
      <w:numFmt w:val="bullet"/>
      <w:lvlText w:val="•"/>
      <w:lvlJc w:val="left"/>
      <w:pPr>
        <w:ind w:left="1140" w:hanging="301"/>
      </w:pPr>
      <w:rPr>
        <w:rFonts w:hint="default"/>
        <w:lang w:val="en-US" w:eastAsia="en-US" w:bidi="ar-SA"/>
      </w:rPr>
    </w:lvl>
    <w:lvl w:ilvl="7">
      <w:numFmt w:val="bullet"/>
      <w:lvlText w:val="•"/>
      <w:lvlJc w:val="left"/>
      <w:pPr>
        <w:ind w:left="1480" w:hanging="301"/>
      </w:pPr>
      <w:rPr>
        <w:rFonts w:hint="default"/>
        <w:lang w:val="en-US" w:eastAsia="en-US" w:bidi="ar-SA"/>
      </w:rPr>
    </w:lvl>
    <w:lvl w:ilvl="8">
      <w:numFmt w:val="bullet"/>
      <w:lvlText w:val="•"/>
      <w:lvlJc w:val="left"/>
      <w:pPr>
        <w:ind w:left="978" w:hanging="301"/>
      </w:pPr>
      <w:rPr>
        <w:rFonts w:hint="default"/>
        <w:lang w:val="en-US" w:eastAsia="en-US" w:bidi="ar-SA"/>
      </w:rPr>
    </w:lvl>
  </w:abstractNum>
  <w:abstractNum w:abstractNumId="37" w15:restartNumberingAfterBreak="0">
    <w:nsid w:val="461A2877"/>
    <w:multiLevelType w:val="hybridMultilevel"/>
    <w:tmpl w:val="1B943C6E"/>
    <w:lvl w:ilvl="0" w:tplc="C65C567C">
      <w:start w:val="1"/>
      <w:numFmt w:val="lowerRoman"/>
      <w:lvlText w:val="(%1)"/>
      <w:lvlJc w:val="left"/>
      <w:pPr>
        <w:ind w:left="1290" w:hanging="157"/>
      </w:pPr>
      <w:rPr>
        <w:rFonts w:ascii="HelveticaNeueLTPro-LtIt" w:eastAsia="HelveticaNeueLTPro-LtIt" w:hAnsi="HelveticaNeueLTPro-LtIt" w:cs="HelveticaNeueLTPro-LtIt" w:hint="default"/>
        <w:b w:val="0"/>
        <w:bCs w:val="0"/>
        <w:i/>
        <w:iCs/>
        <w:color w:val="414042"/>
        <w:spacing w:val="0"/>
        <w:w w:val="100"/>
        <w:sz w:val="16"/>
        <w:szCs w:val="16"/>
        <w:lang w:val="en-US" w:eastAsia="en-US" w:bidi="ar-SA"/>
      </w:rPr>
    </w:lvl>
    <w:lvl w:ilvl="1" w:tplc="30BC0A0A">
      <w:numFmt w:val="bullet"/>
      <w:lvlText w:val="•"/>
      <w:lvlJc w:val="left"/>
      <w:pPr>
        <w:ind w:left="2314" w:hanging="157"/>
      </w:pPr>
      <w:rPr>
        <w:rFonts w:hint="default"/>
        <w:lang w:val="en-US" w:eastAsia="en-US" w:bidi="ar-SA"/>
      </w:rPr>
    </w:lvl>
    <w:lvl w:ilvl="2" w:tplc="60C62B32">
      <w:numFmt w:val="bullet"/>
      <w:lvlText w:val="•"/>
      <w:lvlJc w:val="left"/>
      <w:pPr>
        <w:ind w:left="3329" w:hanging="157"/>
      </w:pPr>
      <w:rPr>
        <w:rFonts w:hint="default"/>
        <w:lang w:val="en-US" w:eastAsia="en-US" w:bidi="ar-SA"/>
      </w:rPr>
    </w:lvl>
    <w:lvl w:ilvl="3" w:tplc="719CCE84">
      <w:numFmt w:val="bullet"/>
      <w:lvlText w:val="•"/>
      <w:lvlJc w:val="left"/>
      <w:pPr>
        <w:ind w:left="4343" w:hanging="157"/>
      </w:pPr>
      <w:rPr>
        <w:rFonts w:hint="default"/>
        <w:lang w:val="en-US" w:eastAsia="en-US" w:bidi="ar-SA"/>
      </w:rPr>
    </w:lvl>
    <w:lvl w:ilvl="4" w:tplc="5B1CA978">
      <w:numFmt w:val="bullet"/>
      <w:lvlText w:val="•"/>
      <w:lvlJc w:val="left"/>
      <w:pPr>
        <w:ind w:left="5358" w:hanging="157"/>
      </w:pPr>
      <w:rPr>
        <w:rFonts w:hint="default"/>
        <w:lang w:val="en-US" w:eastAsia="en-US" w:bidi="ar-SA"/>
      </w:rPr>
    </w:lvl>
    <w:lvl w:ilvl="5" w:tplc="D62E4558">
      <w:numFmt w:val="bullet"/>
      <w:lvlText w:val="•"/>
      <w:lvlJc w:val="left"/>
      <w:pPr>
        <w:ind w:left="6372" w:hanging="157"/>
      </w:pPr>
      <w:rPr>
        <w:rFonts w:hint="default"/>
        <w:lang w:val="en-US" w:eastAsia="en-US" w:bidi="ar-SA"/>
      </w:rPr>
    </w:lvl>
    <w:lvl w:ilvl="6" w:tplc="CC186B34">
      <w:numFmt w:val="bullet"/>
      <w:lvlText w:val="•"/>
      <w:lvlJc w:val="left"/>
      <w:pPr>
        <w:ind w:left="7387" w:hanging="157"/>
      </w:pPr>
      <w:rPr>
        <w:rFonts w:hint="default"/>
        <w:lang w:val="en-US" w:eastAsia="en-US" w:bidi="ar-SA"/>
      </w:rPr>
    </w:lvl>
    <w:lvl w:ilvl="7" w:tplc="170EE146">
      <w:numFmt w:val="bullet"/>
      <w:lvlText w:val="•"/>
      <w:lvlJc w:val="left"/>
      <w:pPr>
        <w:ind w:left="8401" w:hanging="157"/>
      </w:pPr>
      <w:rPr>
        <w:rFonts w:hint="default"/>
        <w:lang w:val="en-US" w:eastAsia="en-US" w:bidi="ar-SA"/>
      </w:rPr>
    </w:lvl>
    <w:lvl w:ilvl="8" w:tplc="D4EAD054">
      <w:numFmt w:val="bullet"/>
      <w:lvlText w:val="•"/>
      <w:lvlJc w:val="left"/>
      <w:pPr>
        <w:ind w:left="9416" w:hanging="157"/>
      </w:pPr>
      <w:rPr>
        <w:rFonts w:hint="default"/>
        <w:lang w:val="en-US" w:eastAsia="en-US" w:bidi="ar-SA"/>
      </w:rPr>
    </w:lvl>
  </w:abstractNum>
  <w:abstractNum w:abstractNumId="38" w15:restartNumberingAfterBreak="0">
    <w:nsid w:val="49922C00"/>
    <w:multiLevelType w:val="multilevel"/>
    <w:tmpl w:val="7958A6C2"/>
    <w:lvl w:ilvl="0">
      <w:start w:val="5"/>
      <w:numFmt w:val="decimal"/>
      <w:lvlText w:val="%1"/>
      <w:lvlJc w:val="left"/>
      <w:pPr>
        <w:ind w:left="1467" w:hanging="334"/>
      </w:pPr>
      <w:rPr>
        <w:rFonts w:hint="default"/>
        <w:lang w:val="en-US" w:eastAsia="en-US" w:bidi="ar-SA"/>
      </w:rPr>
    </w:lvl>
    <w:lvl w:ilvl="1">
      <w:start w:val="1"/>
      <w:numFmt w:val="decimal"/>
      <w:lvlText w:val="%1.%2"/>
      <w:lvlJc w:val="left"/>
      <w:pPr>
        <w:ind w:left="1467" w:hanging="334"/>
      </w:pPr>
      <w:rPr>
        <w:rFonts w:ascii="HelveticaNeueLTPro-Md" w:eastAsia="HelveticaNeueLTPro-Md" w:hAnsi="HelveticaNeueLTPro-Md" w:cs="HelveticaNeueLTPro-Md" w:hint="default"/>
        <w:b w:val="0"/>
        <w:bCs w:val="0"/>
        <w:i w:val="0"/>
        <w:iCs w:val="0"/>
        <w:color w:val="F68C59"/>
        <w:spacing w:val="0"/>
        <w:w w:val="100"/>
        <w:sz w:val="20"/>
        <w:szCs w:val="20"/>
        <w:lang w:val="en-US" w:eastAsia="en-US" w:bidi="ar-SA"/>
      </w:rPr>
    </w:lvl>
    <w:lvl w:ilvl="2">
      <w:numFmt w:val="bullet"/>
      <w:lvlText w:val="•"/>
      <w:lvlJc w:val="left"/>
      <w:pPr>
        <w:ind w:left="3457" w:hanging="334"/>
      </w:pPr>
      <w:rPr>
        <w:rFonts w:hint="default"/>
        <w:lang w:val="en-US" w:eastAsia="en-US" w:bidi="ar-SA"/>
      </w:rPr>
    </w:lvl>
    <w:lvl w:ilvl="3">
      <w:numFmt w:val="bullet"/>
      <w:lvlText w:val="•"/>
      <w:lvlJc w:val="left"/>
      <w:pPr>
        <w:ind w:left="4455" w:hanging="334"/>
      </w:pPr>
      <w:rPr>
        <w:rFonts w:hint="default"/>
        <w:lang w:val="en-US" w:eastAsia="en-US" w:bidi="ar-SA"/>
      </w:rPr>
    </w:lvl>
    <w:lvl w:ilvl="4">
      <w:numFmt w:val="bullet"/>
      <w:lvlText w:val="•"/>
      <w:lvlJc w:val="left"/>
      <w:pPr>
        <w:ind w:left="5454" w:hanging="334"/>
      </w:pPr>
      <w:rPr>
        <w:rFonts w:hint="default"/>
        <w:lang w:val="en-US" w:eastAsia="en-US" w:bidi="ar-SA"/>
      </w:rPr>
    </w:lvl>
    <w:lvl w:ilvl="5">
      <w:numFmt w:val="bullet"/>
      <w:lvlText w:val="•"/>
      <w:lvlJc w:val="left"/>
      <w:pPr>
        <w:ind w:left="6452" w:hanging="334"/>
      </w:pPr>
      <w:rPr>
        <w:rFonts w:hint="default"/>
        <w:lang w:val="en-US" w:eastAsia="en-US" w:bidi="ar-SA"/>
      </w:rPr>
    </w:lvl>
    <w:lvl w:ilvl="6">
      <w:numFmt w:val="bullet"/>
      <w:lvlText w:val="•"/>
      <w:lvlJc w:val="left"/>
      <w:pPr>
        <w:ind w:left="7451" w:hanging="334"/>
      </w:pPr>
      <w:rPr>
        <w:rFonts w:hint="default"/>
        <w:lang w:val="en-US" w:eastAsia="en-US" w:bidi="ar-SA"/>
      </w:rPr>
    </w:lvl>
    <w:lvl w:ilvl="7">
      <w:numFmt w:val="bullet"/>
      <w:lvlText w:val="•"/>
      <w:lvlJc w:val="left"/>
      <w:pPr>
        <w:ind w:left="8449" w:hanging="334"/>
      </w:pPr>
      <w:rPr>
        <w:rFonts w:hint="default"/>
        <w:lang w:val="en-US" w:eastAsia="en-US" w:bidi="ar-SA"/>
      </w:rPr>
    </w:lvl>
    <w:lvl w:ilvl="8">
      <w:numFmt w:val="bullet"/>
      <w:lvlText w:val="•"/>
      <w:lvlJc w:val="left"/>
      <w:pPr>
        <w:ind w:left="9448" w:hanging="334"/>
      </w:pPr>
      <w:rPr>
        <w:rFonts w:hint="default"/>
        <w:lang w:val="en-US" w:eastAsia="en-US" w:bidi="ar-SA"/>
      </w:rPr>
    </w:lvl>
  </w:abstractNum>
  <w:abstractNum w:abstractNumId="39" w15:restartNumberingAfterBreak="0">
    <w:nsid w:val="4F843944"/>
    <w:multiLevelType w:val="multilevel"/>
    <w:tmpl w:val="45263E72"/>
    <w:lvl w:ilvl="0">
      <w:start w:val="6"/>
      <w:numFmt w:val="decimal"/>
      <w:lvlText w:val="%1"/>
      <w:lvlJc w:val="left"/>
      <w:pPr>
        <w:ind w:left="1467" w:hanging="334"/>
      </w:pPr>
      <w:rPr>
        <w:rFonts w:hint="default"/>
        <w:lang w:val="en-US" w:eastAsia="en-US" w:bidi="ar-SA"/>
      </w:rPr>
    </w:lvl>
    <w:lvl w:ilvl="1">
      <w:start w:val="1"/>
      <w:numFmt w:val="decimal"/>
      <w:lvlText w:val="%1.%2"/>
      <w:lvlJc w:val="left"/>
      <w:pPr>
        <w:ind w:left="1467" w:hanging="334"/>
      </w:pPr>
      <w:rPr>
        <w:rFonts w:ascii="HelveticaNeueLTPro-Md" w:eastAsia="HelveticaNeueLTPro-Md" w:hAnsi="HelveticaNeueLTPro-Md" w:cs="HelveticaNeueLTPro-Md" w:hint="default"/>
        <w:b w:val="0"/>
        <w:bCs w:val="0"/>
        <w:i w:val="0"/>
        <w:iCs w:val="0"/>
        <w:color w:val="F68C59"/>
        <w:spacing w:val="0"/>
        <w:w w:val="100"/>
        <w:sz w:val="20"/>
        <w:szCs w:val="20"/>
        <w:lang w:val="en-US" w:eastAsia="en-US" w:bidi="ar-SA"/>
      </w:rPr>
    </w:lvl>
    <w:lvl w:ilvl="2">
      <w:numFmt w:val="bullet"/>
      <w:lvlText w:val="•"/>
      <w:lvlJc w:val="left"/>
      <w:pPr>
        <w:ind w:left="1417" w:hanging="284"/>
      </w:pPr>
      <w:rPr>
        <w:rFonts w:ascii="Helvetica Neue LT Pro" w:eastAsia="Helvetica Neue LT Pro" w:hAnsi="Helvetica Neue LT Pro" w:cs="Helvetica Neue LT Pro" w:hint="default"/>
        <w:b w:val="0"/>
        <w:bCs w:val="0"/>
        <w:i w:val="0"/>
        <w:iCs w:val="0"/>
        <w:color w:val="414042"/>
        <w:spacing w:val="0"/>
        <w:w w:val="100"/>
        <w:sz w:val="18"/>
        <w:szCs w:val="18"/>
        <w:lang w:val="en-US" w:eastAsia="en-US" w:bidi="ar-SA"/>
      </w:rPr>
    </w:lvl>
    <w:lvl w:ilvl="3">
      <w:numFmt w:val="bullet"/>
      <w:lvlText w:val="•"/>
      <w:lvlJc w:val="left"/>
      <w:pPr>
        <w:ind w:left="2426" w:hanging="284"/>
      </w:pPr>
      <w:rPr>
        <w:rFonts w:hint="default"/>
        <w:lang w:val="en-US" w:eastAsia="en-US" w:bidi="ar-SA"/>
      </w:rPr>
    </w:lvl>
    <w:lvl w:ilvl="4">
      <w:numFmt w:val="bullet"/>
      <w:lvlText w:val="•"/>
      <w:lvlJc w:val="left"/>
      <w:pPr>
        <w:ind w:left="2910" w:hanging="284"/>
      </w:pPr>
      <w:rPr>
        <w:rFonts w:hint="default"/>
        <w:lang w:val="en-US" w:eastAsia="en-US" w:bidi="ar-SA"/>
      </w:rPr>
    </w:lvl>
    <w:lvl w:ilvl="5">
      <w:numFmt w:val="bullet"/>
      <w:lvlText w:val="•"/>
      <w:lvlJc w:val="left"/>
      <w:pPr>
        <w:ind w:left="3393" w:hanging="284"/>
      </w:pPr>
      <w:rPr>
        <w:rFonts w:hint="default"/>
        <w:lang w:val="en-US" w:eastAsia="en-US" w:bidi="ar-SA"/>
      </w:rPr>
    </w:lvl>
    <w:lvl w:ilvl="6">
      <w:numFmt w:val="bullet"/>
      <w:lvlText w:val="•"/>
      <w:lvlJc w:val="left"/>
      <w:pPr>
        <w:ind w:left="3877" w:hanging="284"/>
      </w:pPr>
      <w:rPr>
        <w:rFonts w:hint="default"/>
        <w:lang w:val="en-US" w:eastAsia="en-US" w:bidi="ar-SA"/>
      </w:rPr>
    </w:lvl>
    <w:lvl w:ilvl="7">
      <w:numFmt w:val="bullet"/>
      <w:lvlText w:val="•"/>
      <w:lvlJc w:val="left"/>
      <w:pPr>
        <w:ind w:left="4360" w:hanging="284"/>
      </w:pPr>
      <w:rPr>
        <w:rFonts w:hint="default"/>
        <w:lang w:val="en-US" w:eastAsia="en-US" w:bidi="ar-SA"/>
      </w:rPr>
    </w:lvl>
    <w:lvl w:ilvl="8">
      <w:numFmt w:val="bullet"/>
      <w:lvlText w:val="•"/>
      <w:lvlJc w:val="left"/>
      <w:pPr>
        <w:ind w:left="4843" w:hanging="284"/>
      </w:pPr>
      <w:rPr>
        <w:rFonts w:hint="default"/>
        <w:lang w:val="en-US" w:eastAsia="en-US" w:bidi="ar-SA"/>
      </w:rPr>
    </w:lvl>
  </w:abstractNum>
  <w:abstractNum w:abstractNumId="40" w15:restartNumberingAfterBreak="0">
    <w:nsid w:val="56F71803"/>
    <w:multiLevelType w:val="hybridMultilevel"/>
    <w:tmpl w:val="CC5A4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85335C7"/>
    <w:multiLevelType w:val="hybridMultilevel"/>
    <w:tmpl w:val="90C2DA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993295B"/>
    <w:multiLevelType w:val="multilevel"/>
    <w:tmpl w:val="09AC4EAA"/>
    <w:styleLink w:val="CurrentList1"/>
    <w:lvl w:ilvl="0">
      <w:numFmt w:val="bullet"/>
      <w:lvlText w:val="—"/>
      <w:lvlJc w:val="left"/>
      <w:pPr>
        <w:ind w:left="825" w:hanging="284"/>
      </w:pPr>
      <w:rPr>
        <w:rFonts w:ascii="Helvetica Neue LT Pro" w:eastAsia="Helvetica Neue LT Pro" w:hAnsi="Helvetica Neue LT Pro" w:cs="Helvetica Neue LT Pro" w:hint="default"/>
        <w:b w:val="0"/>
        <w:bCs w:val="0"/>
        <w:i w:val="0"/>
        <w:iCs w:val="0"/>
        <w:color w:val="414042"/>
        <w:spacing w:val="0"/>
        <w:w w:val="100"/>
        <w:sz w:val="18"/>
        <w:szCs w:val="18"/>
        <w:lang w:val="en-US"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5B1738B0"/>
    <w:multiLevelType w:val="hybridMultilevel"/>
    <w:tmpl w:val="A962AA5E"/>
    <w:lvl w:ilvl="0" w:tplc="FFECB694">
      <w:numFmt w:val="bullet"/>
      <w:lvlText w:val="•"/>
      <w:lvlJc w:val="left"/>
      <w:pPr>
        <w:ind w:left="1080" w:hanging="360"/>
      </w:pPr>
      <w:rPr>
        <w:rFonts w:ascii="Helvetica Neue LT Pro" w:eastAsia="Helvetica Neue LT Pro" w:hAnsi="Helvetica Neue LT Pro" w:cs="Helvetica Neue LT Pro" w:hint="default"/>
        <w:b w:val="0"/>
        <w:bCs w:val="0"/>
        <w:i w:val="0"/>
        <w:iCs w:val="0"/>
        <w:color w:val="414042"/>
        <w:spacing w:val="0"/>
        <w:w w:val="100"/>
        <w:sz w:val="18"/>
        <w:szCs w:val="18"/>
        <w:lang w:val="en-US" w:eastAsia="en-US" w:bidi="ar-SA"/>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5B731D88"/>
    <w:multiLevelType w:val="hybridMultilevel"/>
    <w:tmpl w:val="3490C9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BBF04F6"/>
    <w:multiLevelType w:val="hybridMultilevel"/>
    <w:tmpl w:val="678CE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CF60592"/>
    <w:multiLevelType w:val="hybridMultilevel"/>
    <w:tmpl w:val="E8384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E023719"/>
    <w:multiLevelType w:val="hybridMultilevel"/>
    <w:tmpl w:val="DFC078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ECC1051"/>
    <w:multiLevelType w:val="hybridMultilevel"/>
    <w:tmpl w:val="73260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EE701A5"/>
    <w:multiLevelType w:val="hybridMultilevel"/>
    <w:tmpl w:val="ACB4E08A"/>
    <w:lvl w:ilvl="0" w:tplc="FFECB694">
      <w:numFmt w:val="bullet"/>
      <w:lvlText w:val="•"/>
      <w:lvlJc w:val="left"/>
      <w:pPr>
        <w:ind w:left="720" w:hanging="360"/>
      </w:pPr>
      <w:rPr>
        <w:rFonts w:ascii="Helvetica Neue LT Pro" w:eastAsia="Helvetica Neue LT Pro" w:hAnsi="Helvetica Neue LT Pro" w:cs="Helvetica Neue LT Pro" w:hint="default"/>
        <w:b w:val="0"/>
        <w:bCs w:val="0"/>
        <w:i w:val="0"/>
        <w:iCs w:val="0"/>
        <w:color w:val="414042"/>
        <w:spacing w:val="0"/>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4986C59"/>
    <w:multiLevelType w:val="multilevel"/>
    <w:tmpl w:val="E2AC9CF0"/>
    <w:lvl w:ilvl="0">
      <w:start w:val="8"/>
      <w:numFmt w:val="decimal"/>
      <w:lvlText w:val="%1"/>
      <w:lvlJc w:val="left"/>
      <w:pPr>
        <w:ind w:left="1467" w:hanging="334"/>
      </w:pPr>
      <w:rPr>
        <w:rFonts w:hint="default"/>
        <w:lang w:val="en-US" w:eastAsia="en-US" w:bidi="ar-SA"/>
      </w:rPr>
    </w:lvl>
    <w:lvl w:ilvl="1">
      <w:start w:val="1"/>
      <w:numFmt w:val="decimal"/>
      <w:lvlText w:val="%1.%2"/>
      <w:lvlJc w:val="left"/>
      <w:pPr>
        <w:ind w:left="1467" w:hanging="334"/>
        <w:jc w:val="right"/>
      </w:pPr>
      <w:rPr>
        <w:rFonts w:ascii="HelveticaNeueLTPro-Md" w:eastAsia="HelveticaNeueLTPro-Md" w:hAnsi="HelveticaNeueLTPro-Md" w:cs="HelveticaNeueLTPro-Md" w:hint="default"/>
        <w:b w:val="0"/>
        <w:bCs w:val="0"/>
        <w:i w:val="0"/>
        <w:iCs w:val="0"/>
        <w:color w:val="F68C59"/>
        <w:spacing w:val="0"/>
        <w:w w:val="100"/>
        <w:sz w:val="20"/>
        <w:szCs w:val="20"/>
        <w:lang w:val="en-US" w:eastAsia="en-US" w:bidi="ar-SA"/>
      </w:rPr>
    </w:lvl>
    <w:lvl w:ilvl="2">
      <w:numFmt w:val="bullet"/>
      <w:lvlText w:val="•"/>
      <w:lvlJc w:val="left"/>
      <w:pPr>
        <w:ind w:left="1417" w:hanging="284"/>
      </w:pPr>
      <w:rPr>
        <w:rFonts w:ascii="Helvetica Neue LT Pro" w:eastAsia="Helvetica Neue LT Pro" w:hAnsi="Helvetica Neue LT Pro" w:cs="Helvetica Neue LT Pro" w:hint="default"/>
        <w:b w:val="0"/>
        <w:bCs w:val="0"/>
        <w:i w:val="0"/>
        <w:iCs w:val="0"/>
        <w:color w:val="414042"/>
        <w:spacing w:val="0"/>
        <w:w w:val="100"/>
        <w:sz w:val="18"/>
        <w:szCs w:val="18"/>
        <w:lang w:val="en-US" w:eastAsia="en-US" w:bidi="ar-SA"/>
      </w:rPr>
    </w:lvl>
    <w:lvl w:ilvl="3">
      <w:numFmt w:val="bullet"/>
      <w:lvlText w:val="•"/>
      <w:lvlJc w:val="left"/>
      <w:pPr>
        <w:ind w:left="2425" w:hanging="284"/>
      </w:pPr>
      <w:rPr>
        <w:rFonts w:hint="default"/>
        <w:lang w:val="en-US" w:eastAsia="en-US" w:bidi="ar-SA"/>
      </w:rPr>
    </w:lvl>
    <w:lvl w:ilvl="4">
      <w:numFmt w:val="bullet"/>
      <w:lvlText w:val="•"/>
      <w:lvlJc w:val="left"/>
      <w:pPr>
        <w:ind w:left="2908" w:hanging="284"/>
      </w:pPr>
      <w:rPr>
        <w:rFonts w:hint="default"/>
        <w:lang w:val="en-US" w:eastAsia="en-US" w:bidi="ar-SA"/>
      </w:rPr>
    </w:lvl>
    <w:lvl w:ilvl="5">
      <w:numFmt w:val="bullet"/>
      <w:lvlText w:val="•"/>
      <w:lvlJc w:val="left"/>
      <w:pPr>
        <w:ind w:left="3391" w:hanging="284"/>
      </w:pPr>
      <w:rPr>
        <w:rFonts w:hint="default"/>
        <w:lang w:val="en-US" w:eastAsia="en-US" w:bidi="ar-SA"/>
      </w:rPr>
    </w:lvl>
    <w:lvl w:ilvl="6">
      <w:numFmt w:val="bullet"/>
      <w:lvlText w:val="•"/>
      <w:lvlJc w:val="left"/>
      <w:pPr>
        <w:ind w:left="3874" w:hanging="284"/>
      </w:pPr>
      <w:rPr>
        <w:rFonts w:hint="default"/>
        <w:lang w:val="en-US" w:eastAsia="en-US" w:bidi="ar-SA"/>
      </w:rPr>
    </w:lvl>
    <w:lvl w:ilvl="7">
      <w:numFmt w:val="bullet"/>
      <w:lvlText w:val="•"/>
      <w:lvlJc w:val="left"/>
      <w:pPr>
        <w:ind w:left="4357" w:hanging="284"/>
      </w:pPr>
      <w:rPr>
        <w:rFonts w:hint="default"/>
        <w:lang w:val="en-US" w:eastAsia="en-US" w:bidi="ar-SA"/>
      </w:rPr>
    </w:lvl>
    <w:lvl w:ilvl="8">
      <w:numFmt w:val="bullet"/>
      <w:lvlText w:val="•"/>
      <w:lvlJc w:val="left"/>
      <w:pPr>
        <w:ind w:left="4839" w:hanging="284"/>
      </w:pPr>
      <w:rPr>
        <w:rFonts w:hint="default"/>
        <w:lang w:val="en-US" w:eastAsia="en-US" w:bidi="ar-SA"/>
      </w:rPr>
    </w:lvl>
  </w:abstractNum>
  <w:abstractNum w:abstractNumId="51" w15:restartNumberingAfterBreak="0">
    <w:nsid w:val="65693527"/>
    <w:multiLevelType w:val="hybridMultilevel"/>
    <w:tmpl w:val="C7628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67B5A74"/>
    <w:multiLevelType w:val="hybridMultilevel"/>
    <w:tmpl w:val="C4243E52"/>
    <w:lvl w:ilvl="0" w:tplc="1AE2D364">
      <w:start w:val="1"/>
      <w:numFmt w:val="lowerRoman"/>
      <w:lvlText w:val="(%1)"/>
      <w:lvlJc w:val="left"/>
      <w:pPr>
        <w:ind w:left="1133" w:hanging="157"/>
      </w:pPr>
      <w:rPr>
        <w:rFonts w:ascii="HelveticaNeueLTPro-LtIt" w:eastAsia="HelveticaNeueLTPro-LtIt" w:hAnsi="HelveticaNeueLTPro-LtIt" w:cs="HelveticaNeueLTPro-LtIt" w:hint="default"/>
        <w:b w:val="0"/>
        <w:bCs w:val="0"/>
        <w:i/>
        <w:iCs/>
        <w:color w:val="414042"/>
        <w:spacing w:val="0"/>
        <w:w w:val="100"/>
        <w:sz w:val="16"/>
        <w:szCs w:val="16"/>
        <w:lang w:val="en-US" w:eastAsia="en-US" w:bidi="ar-SA"/>
      </w:rPr>
    </w:lvl>
    <w:lvl w:ilvl="1" w:tplc="2FE49726">
      <w:numFmt w:val="bullet"/>
      <w:lvlText w:val="•"/>
      <w:lvlJc w:val="left"/>
      <w:pPr>
        <w:ind w:left="1607" w:hanging="157"/>
      </w:pPr>
      <w:rPr>
        <w:rFonts w:hint="default"/>
        <w:lang w:val="en-US" w:eastAsia="en-US" w:bidi="ar-SA"/>
      </w:rPr>
    </w:lvl>
    <w:lvl w:ilvl="2" w:tplc="0E1EF20C">
      <w:numFmt w:val="bullet"/>
      <w:lvlText w:val="•"/>
      <w:lvlJc w:val="left"/>
      <w:pPr>
        <w:ind w:left="2074" w:hanging="157"/>
      </w:pPr>
      <w:rPr>
        <w:rFonts w:hint="default"/>
        <w:lang w:val="en-US" w:eastAsia="en-US" w:bidi="ar-SA"/>
      </w:rPr>
    </w:lvl>
    <w:lvl w:ilvl="3" w:tplc="3F20FFDA">
      <w:numFmt w:val="bullet"/>
      <w:lvlText w:val="•"/>
      <w:lvlJc w:val="left"/>
      <w:pPr>
        <w:ind w:left="2541" w:hanging="157"/>
      </w:pPr>
      <w:rPr>
        <w:rFonts w:hint="default"/>
        <w:lang w:val="en-US" w:eastAsia="en-US" w:bidi="ar-SA"/>
      </w:rPr>
    </w:lvl>
    <w:lvl w:ilvl="4" w:tplc="F718E018">
      <w:numFmt w:val="bullet"/>
      <w:lvlText w:val="•"/>
      <w:lvlJc w:val="left"/>
      <w:pPr>
        <w:ind w:left="3008" w:hanging="157"/>
      </w:pPr>
      <w:rPr>
        <w:rFonts w:hint="default"/>
        <w:lang w:val="en-US" w:eastAsia="en-US" w:bidi="ar-SA"/>
      </w:rPr>
    </w:lvl>
    <w:lvl w:ilvl="5" w:tplc="9064BC1C">
      <w:numFmt w:val="bullet"/>
      <w:lvlText w:val="•"/>
      <w:lvlJc w:val="left"/>
      <w:pPr>
        <w:ind w:left="3475" w:hanging="157"/>
      </w:pPr>
      <w:rPr>
        <w:rFonts w:hint="default"/>
        <w:lang w:val="en-US" w:eastAsia="en-US" w:bidi="ar-SA"/>
      </w:rPr>
    </w:lvl>
    <w:lvl w:ilvl="6" w:tplc="1C9CFBB6">
      <w:numFmt w:val="bullet"/>
      <w:lvlText w:val="•"/>
      <w:lvlJc w:val="left"/>
      <w:pPr>
        <w:ind w:left="3942" w:hanging="157"/>
      </w:pPr>
      <w:rPr>
        <w:rFonts w:hint="default"/>
        <w:lang w:val="en-US" w:eastAsia="en-US" w:bidi="ar-SA"/>
      </w:rPr>
    </w:lvl>
    <w:lvl w:ilvl="7" w:tplc="34807FE4">
      <w:numFmt w:val="bullet"/>
      <w:lvlText w:val="•"/>
      <w:lvlJc w:val="left"/>
      <w:pPr>
        <w:ind w:left="4409" w:hanging="157"/>
      </w:pPr>
      <w:rPr>
        <w:rFonts w:hint="default"/>
        <w:lang w:val="en-US" w:eastAsia="en-US" w:bidi="ar-SA"/>
      </w:rPr>
    </w:lvl>
    <w:lvl w:ilvl="8" w:tplc="D4D0AC94">
      <w:numFmt w:val="bullet"/>
      <w:lvlText w:val="•"/>
      <w:lvlJc w:val="left"/>
      <w:pPr>
        <w:ind w:left="4876" w:hanging="157"/>
      </w:pPr>
      <w:rPr>
        <w:rFonts w:hint="default"/>
        <w:lang w:val="en-US" w:eastAsia="en-US" w:bidi="ar-SA"/>
      </w:rPr>
    </w:lvl>
  </w:abstractNum>
  <w:abstractNum w:abstractNumId="53" w15:restartNumberingAfterBreak="0">
    <w:nsid w:val="66CD2381"/>
    <w:multiLevelType w:val="hybridMultilevel"/>
    <w:tmpl w:val="8F1C93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673A63A2"/>
    <w:multiLevelType w:val="hybridMultilevel"/>
    <w:tmpl w:val="92F0942A"/>
    <w:lvl w:ilvl="0" w:tplc="F156383A">
      <w:numFmt w:val="bullet"/>
      <w:lvlText w:val="•"/>
      <w:lvlJc w:val="left"/>
      <w:pPr>
        <w:ind w:left="541" w:hanging="284"/>
      </w:pPr>
      <w:rPr>
        <w:rFonts w:ascii="Helvetica Neue LT Pro" w:eastAsia="Helvetica Neue LT Pro" w:hAnsi="Helvetica Neue LT Pro" w:cs="Helvetica Neue LT Pro" w:hint="default"/>
        <w:b w:val="0"/>
        <w:bCs w:val="0"/>
        <w:i w:val="0"/>
        <w:iCs w:val="0"/>
        <w:color w:val="414042"/>
        <w:spacing w:val="0"/>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7B25C94"/>
    <w:multiLevelType w:val="multilevel"/>
    <w:tmpl w:val="576C3D08"/>
    <w:styleLink w:val="CurrentList5"/>
    <w:lvl w:ilvl="0">
      <w:start w:val="1"/>
      <w:numFmt w:val="decimal"/>
      <w:lvlText w:val="%1."/>
      <w:lvlJc w:val="left"/>
      <w:pPr>
        <w:ind w:left="1489" w:hanging="356"/>
      </w:pPr>
      <w:rPr>
        <w:rFonts w:ascii="Helvetica Neue LT Pro" w:eastAsia="Helvetica Neue LT Pro" w:hAnsi="Helvetica Neue LT Pro" w:cs="Helvetica Neue LT Pro" w:hint="default"/>
        <w:b w:val="0"/>
        <w:bCs w:val="0"/>
        <w:i w:val="0"/>
        <w:iCs w:val="0"/>
        <w:color w:val="F68C59"/>
        <w:spacing w:val="0"/>
        <w:w w:val="100"/>
        <w:sz w:val="32"/>
        <w:szCs w:val="32"/>
        <w:lang w:val="en-US" w:eastAsia="en-US" w:bidi="ar-SA"/>
      </w:rPr>
    </w:lvl>
    <w:lvl w:ilvl="1">
      <w:start w:val="1"/>
      <w:numFmt w:val="decimal"/>
      <w:lvlText w:val="%1.%2"/>
      <w:lvlJc w:val="left"/>
      <w:pPr>
        <w:ind w:left="702" w:hanging="301"/>
      </w:pPr>
      <w:rPr>
        <w:rFonts w:ascii="Helvetica Neue LT Pro" w:eastAsia="Helvetica Neue LT Pro" w:hAnsi="Helvetica Neue LT Pro" w:cs="Helvetica Neue LT Pro" w:hint="default"/>
        <w:b w:val="0"/>
        <w:bCs w:val="0"/>
        <w:i w:val="0"/>
        <w:iCs w:val="0"/>
        <w:color w:val="414042"/>
        <w:spacing w:val="0"/>
        <w:w w:val="95"/>
        <w:sz w:val="18"/>
        <w:szCs w:val="18"/>
        <w:lang w:val="en-US" w:eastAsia="en-US" w:bidi="ar-SA"/>
      </w:rPr>
    </w:lvl>
    <w:lvl w:ilvl="2">
      <w:numFmt w:val="bullet"/>
      <w:lvlText w:val="•"/>
      <w:lvlJc w:val="left"/>
      <w:pPr>
        <w:ind w:left="700" w:hanging="301"/>
      </w:pPr>
      <w:rPr>
        <w:rFonts w:hint="default"/>
        <w:lang w:val="en-US" w:eastAsia="en-US" w:bidi="ar-SA"/>
      </w:rPr>
    </w:lvl>
    <w:lvl w:ilvl="3">
      <w:numFmt w:val="bullet"/>
      <w:lvlText w:val="•"/>
      <w:lvlJc w:val="left"/>
      <w:pPr>
        <w:ind w:left="740" w:hanging="301"/>
      </w:pPr>
      <w:rPr>
        <w:rFonts w:hint="default"/>
        <w:lang w:val="en-US" w:eastAsia="en-US" w:bidi="ar-SA"/>
      </w:rPr>
    </w:lvl>
    <w:lvl w:ilvl="4">
      <w:numFmt w:val="bullet"/>
      <w:lvlText w:val="•"/>
      <w:lvlJc w:val="left"/>
      <w:pPr>
        <w:ind w:left="800" w:hanging="301"/>
      </w:pPr>
      <w:rPr>
        <w:rFonts w:hint="default"/>
        <w:lang w:val="en-US" w:eastAsia="en-US" w:bidi="ar-SA"/>
      </w:rPr>
    </w:lvl>
    <w:lvl w:ilvl="5">
      <w:numFmt w:val="bullet"/>
      <w:lvlText w:val="•"/>
      <w:lvlJc w:val="left"/>
      <w:pPr>
        <w:ind w:left="880" w:hanging="301"/>
      </w:pPr>
      <w:rPr>
        <w:rFonts w:hint="default"/>
        <w:lang w:val="en-US" w:eastAsia="en-US" w:bidi="ar-SA"/>
      </w:rPr>
    </w:lvl>
    <w:lvl w:ilvl="6">
      <w:numFmt w:val="bullet"/>
      <w:lvlText w:val="•"/>
      <w:lvlJc w:val="left"/>
      <w:pPr>
        <w:ind w:left="1140" w:hanging="301"/>
      </w:pPr>
      <w:rPr>
        <w:rFonts w:hint="default"/>
        <w:lang w:val="en-US" w:eastAsia="en-US" w:bidi="ar-SA"/>
      </w:rPr>
    </w:lvl>
    <w:lvl w:ilvl="7">
      <w:numFmt w:val="bullet"/>
      <w:lvlText w:val="•"/>
      <w:lvlJc w:val="left"/>
      <w:pPr>
        <w:ind w:left="1480" w:hanging="301"/>
      </w:pPr>
      <w:rPr>
        <w:rFonts w:hint="default"/>
        <w:lang w:val="en-US" w:eastAsia="en-US" w:bidi="ar-SA"/>
      </w:rPr>
    </w:lvl>
    <w:lvl w:ilvl="8">
      <w:numFmt w:val="bullet"/>
      <w:lvlText w:val="•"/>
      <w:lvlJc w:val="left"/>
      <w:pPr>
        <w:ind w:left="978" w:hanging="301"/>
      </w:pPr>
      <w:rPr>
        <w:rFonts w:hint="default"/>
        <w:lang w:val="en-US" w:eastAsia="en-US" w:bidi="ar-SA"/>
      </w:rPr>
    </w:lvl>
  </w:abstractNum>
  <w:abstractNum w:abstractNumId="56" w15:restartNumberingAfterBreak="0">
    <w:nsid w:val="6A11576C"/>
    <w:multiLevelType w:val="multilevel"/>
    <w:tmpl w:val="A31E1D66"/>
    <w:name w:val="List_Bullets"/>
    <w:lvl w:ilvl="0">
      <w:numFmt w:val="decimal"/>
      <w:pStyle w:val="IVBullet"/>
      <w:lvlText w:val=""/>
      <w:lvlJc w:val="left"/>
    </w:lvl>
    <w:lvl w:ilvl="1">
      <w:numFmt w:val="decimal"/>
      <w:pStyle w:val="IVBulletLevel2"/>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6B0209BC"/>
    <w:multiLevelType w:val="hybridMultilevel"/>
    <w:tmpl w:val="4B5A4CEC"/>
    <w:lvl w:ilvl="0" w:tplc="6640020C">
      <w:start w:val="1"/>
      <w:numFmt w:val="lowerRoman"/>
      <w:lvlText w:val="(%1)"/>
      <w:lvlJc w:val="left"/>
      <w:pPr>
        <w:ind w:left="1133" w:hanging="157"/>
      </w:pPr>
      <w:rPr>
        <w:rFonts w:ascii="HelveticaNeueLTPro-LtIt" w:eastAsia="HelveticaNeueLTPro-LtIt" w:hAnsi="HelveticaNeueLTPro-LtIt" w:cs="HelveticaNeueLTPro-LtIt" w:hint="default"/>
        <w:b w:val="0"/>
        <w:bCs w:val="0"/>
        <w:i/>
        <w:iCs/>
        <w:color w:val="414042"/>
        <w:spacing w:val="0"/>
        <w:w w:val="100"/>
        <w:sz w:val="16"/>
        <w:szCs w:val="16"/>
        <w:lang w:val="en-US" w:eastAsia="en-US" w:bidi="ar-SA"/>
      </w:rPr>
    </w:lvl>
    <w:lvl w:ilvl="1" w:tplc="DDD487CE">
      <w:numFmt w:val="bullet"/>
      <w:lvlText w:val="•"/>
      <w:lvlJc w:val="left"/>
      <w:pPr>
        <w:ind w:left="2170" w:hanging="157"/>
      </w:pPr>
      <w:rPr>
        <w:rFonts w:hint="default"/>
        <w:lang w:val="en-US" w:eastAsia="en-US" w:bidi="ar-SA"/>
      </w:rPr>
    </w:lvl>
    <w:lvl w:ilvl="2" w:tplc="88965E0C">
      <w:numFmt w:val="bullet"/>
      <w:lvlText w:val="•"/>
      <w:lvlJc w:val="left"/>
      <w:pPr>
        <w:ind w:left="3201" w:hanging="157"/>
      </w:pPr>
      <w:rPr>
        <w:rFonts w:hint="default"/>
        <w:lang w:val="en-US" w:eastAsia="en-US" w:bidi="ar-SA"/>
      </w:rPr>
    </w:lvl>
    <w:lvl w:ilvl="3" w:tplc="69241B0C">
      <w:numFmt w:val="bullet"/>
      <w:lvlText w:val="•"/>
      <w:lvlJc w:val="left"/>
      <w:pPr>
        <w:ind w:left="4231" w:hanging="157"/>
      </w:pPr>
      <w:rPr>
        <w:rFonts w:hint="default"/>
        <w:lang w:val="en-US" w:eastAsia="en-US" w:bidi="ar-SA"/>
      </w:rPr>
    </w:lvl>
    <w:lvl w:ilvl="4" w:tplc="E8BE3D22">
      <w:numFmt w:val="bullet"/>
      <w:lvlText w:val="•"/>
      <w:lvlJc w:val="left"/>
      <w:pPr>
        <w:ind w:left="5262" w:hanging="157"/>
      </w:pPr>
      <w:rPr>
        <w:rFonts w:hint="default"/>
        <w:lang w:val="en-US" w:eastAsia="en-US" w:bidi="ar-SA"/>
      </w:rPr>
    </w:lvl>
    <w:lvl w:ilvl="5" w:tplc="A352322A">
      <w:numFmt w:val="bullet"/>
      <w:lvlText w:val="•"/>
      <w:lvlJc w:val="left"/>
      <w:pPr>
        <w:ind w:left="6292" w:hanging="157"/>
      </w:pPr>
      <w:rPr>
        <w:rFonts w:hint="default"/>
        <w:lang w:val="en-US" w:eastAsia="en-US" w:bidi="ar-SA"/>
      </w:rPr>
    </w:lvl>
    <w:lvl w:ilvl="6" w:tplc="01BE376E">
      <w:numFmt w:val="bullet"/>
      <w:lvlText w:val="•"/>
      <w:lvlJc w:val="left"/>
      <w:pPr>
        <w:ind w:left="7323" w:hanging="157"/>
      </w:pPr>
      <w:rPr>
        <w:rFonts w:hint="default"/>
        <w:lang w:val="en-US" w:eastAsia="en-US" w:bidi="ar-SA"/>
      </w:rPr>
    </w:lvl>
    <w:lvl w:ilvl="7" w:tplc="EB14ECA4">
      <w:numFmt w:val="bullet"/>
      <w:lvlText w:val="•"/>
      <w:lvlJc w:val="left"/>
      <w:pPr>
        <w:ind w:left="8353" w:hanging="157"/>
      </w:pPr>
      <w:rPr>
        <w:rFonts w:hint="default"/>
        <w:lang w:val="en-US" w:eastAsia="en-US" w:bidi="ar-SA"/>
      </w:rPr>
    </w:lvl>
    <w:lvl w:ilvl="8" w:tplc="D02EFF76">
      <w:numFmt w:val="bullet"/>
      <w:lvlText w:val="•"/>
      <w:lvlJc w:val="left"/>
      <w:pPr>
        <w:ind w:left="9384" w:hanging="157"/>
      </w:pPr>
      <w:rPr>
        <w:rFonts w:hint="default"/>
        <w:lang w:val="en-US" w:eastAsia="en-US" w:bidi="ar-SA"/>
      </w:rPr>
    </w:lvl>
  </w:abstractNum>
  <w:abstractNum w:abstractNumId="58" w15:restartNumberingAfterBreak="0">
    <w:nsid w:val="6C136FAD"/>
    <w:multiLevelType w:val="hybridMultilevel"/>
    <w:tmpl w:val="30522ECC"/>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59" w15:restartNumberingAfterBreak="0">
    <w:nsid w:val="6DB473F0"/>
    <w:multiLevelType w:val="hybridMultilevel"/>
    <w:tmpl w:val="246CB3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F585788"/>
    <w:multiLevelType w:val="hybridMultilevel"/>
    <w:tmpl w:val="973C69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70EC5E56"/>
    <w:multiLevelType w:val="hybridMultilevel"/>
    <w:tmpl w:val="AA6A139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2" w15:restartNumberingAfterBreak="0">
    <w:nsid w:val="720C16CB"/>
    <w:multiLevelType w:val="hybridMultilevel"/>
    <w:tmpl w:val="77CC5EBE"/>
    <w:lvl w:ilvl="0" w:tplc="08090001">
      <w:start w:val="1"/>
      <w:numFmt w:val="bullet"/>
      <w:lvlText w:val=""/>
      <w:lvlJc w:val="left"/>
      <w:pPr>
        <w:ind w:left="720" w:hanging="360"/>
      </w:pPr>
      <w:rPr>
        <w:rFonts w:ascii="Symbol" w:hAnsi="Symbol" w:hint="default"/>
        <w:b w:val="0"/>
        <w:bCs w:val="0"/>
        <w:i w:val="0"/>
        <w:iCs w:val="0"/>
        <w:color w:val="414042"/>
        <w:spacing w:val="0"/>
        <w:w w:val="100"/>
        <w:sz w:val="18"/>
        <w:szCs w:val="18"/>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72F5734C"/>
    <w:multiLevelType w:val="multilevel"/>
    <w:tmpl w:val="D7A2EDEA"/>
    <w:lvl w:ilvl="0">
      <w:start w:val="7"/>
      <w:numFmt w:val="decimal"/>
      <w:lvlText w:val="%1"/>
      <w:lvlJc w:val="left"/>
      <w:pPr>
        <w:ind w:left="1467" w:hanging="334"/>
      </w:pPr>
      <w:rPr>
        <w:rFonts w:hint="default"/>
        <w:lang w:val="en-US" w:eastAsia="en-US" w:bidi="ar-SA"/>
      </w:rPr>
    </w:lvl>
    <w:lvl w:ilvl="1">
      <w:start w:val="1"/>
      <w:numFmt w:val="decimal"/>
      <w:lvlText w:val="%1.%2"/>
      <w:lvlJc w:val="left"/>
      <w:pPr>
        <w:ind w:left="1467" w:hanging="334"/>
      </w:pPr>
      <w:rPr>
        <w:rFonts w:ascii="HelveticaNeueLTPro-Md" w:eastAsia="HelveticaNeueLTPro-Md" w:hAnsi="HelveticaNeueLTPro-Md" w:cs="HelveticaNeueLTPro-Md" w:hint="default"/>
        <w:b w:val="0"/>
        <w:bCs w:val="0"/>
        <w:i w:val="0"/>
        <w:iCs w:val="0"/>
        <w:color w:val="F68C59"/>
        <w:spacing w:val="0"/>
        <w:w w:val="100"/>
        <w:sz w:val="20"/>
        <w:szCs w:val="20"/>
        <w:lang w:val="en-US" w:eastAsia="en-US" w:bidi="ar-SA"/>
      </w:rPr>
    </w:lvl>
    <w:lvl w:ilvl="2">
      <w:start w:val="1"/>
      <w:numFmt w:val="decimal"/>
      <w:lvlText w:val="%1.%2.%3"/>
      <w:lvlJc w:val="left"/>
      <w:pPr>
        <w:ind w:left="1634" w:hanging="501"/>
      </w:pPr>
      <w:rPr>
        <w:rFonts w:ascii="HelveticaNeueLTPro-Md" w:eastAsia="HelveticaNeueLTPro-Md" w:hAnsi="HelveticaNeueLTPro-Md" w:cs="HelveticaNeueLTPro-Md" w:hint="default"/>
        <w:b w:val="0"/>
        <w:bCs w:val="0"/>
        <w:i w:val="0"/>
        <w:iCs w:val="0"/>
        <w:color w:val="F68C59"/>
        <w:spacing w:val="0"/>
        <w:w w:val="100"/>
        <w:sz w:val="20"/>
        <w:szCs w:val="20"/>
        <w:lang w:val="en-US" w:eastAsia="en-US" w:bidi="ar-SA"/>
      </w:rPr>
    </w:lvl>
    <w:lvl w:ilvl="3">
      <w:numFmt w:val="bullet"/>
      <w:lvlText w:val="•"/>
      <w:lvlJc w:val="left"/>
      <w:pPr>
        <w:ind w:left="2525" w:hanging="501"/>
      </w:pPr>
      <w:rPr>
        <w:rFonts w:hint="default"/>
        <w:lang w:val="en-US" w:eastAsia="en-US" w:bidi="ar-SA"/>
      </w:rPr>
    </w:lvl>
    <w:lvl w:ilvl="4">
      <w:numFmt w:val="bullet"/>
      <w:lvlText w:val="•"/>
      <w:lvlJc w:val="left"/>
      <w:pPr>
        <w:ind w:left="2968" w:hanging="501"/>
      </w:pPr>
      <w:rPr>
        <w:rFonts w:hint="default"/>
        <w:lang w:val="en-US" w:eastAsia="en-US" w:bidi="ar-SA"/>
      </w:rPr>
    </w:lvl>
    <w:lvl w:ilvl="5">
      <w:numFmt w:val="bullet"/>
      <w:lvlText w:val="•"/>
      <w:lvlJc w:val="left"/>
      <w:pPr>
        <w:ind w:left="3411" w:hanging="501"/>
      </w:pPr>
      <w:rPr>
        <w:rFonts w:hint="default"/>
        <w:lang w:val="en-US" w:eastAsia="en-US" w:bidi="ar-SA"/>
      </w:rPr>
    </w:lvl>
    <w:lvl w:ilvl="6">
      <w:numFmt w:val="bullet"/>
      <w:lvlText w:val="•"/>
      <w:lvlJc w:val="left"/>
      <w:pPr>
        <w:ind w:left="3854" w:hanging="501"/>
      </w:pPr>
      <w:rPr>
        <w:rFonts w:hint="default"/>
        <w:lang w:val="en-US" w:eastAsia="en-US" w:bidi="ar-SA"/>
      </w:rPr>
    </w:lvl>
    <w:lvl w:ilvl="7">
      <w:numFmt w:val="bullet"/>
      <w:lvlText w:val="•"/>
      <w:lvlJc w:val="left"/>
      <w:pPr>
        <w:ind w:left="4297" w:hanging="501"/>
      </w:pPr>
      <w:rPr>
        <w:rFonts w:hint="default"/>
        <w:lang w:val="en-US" w:eastAsia="en-US" w:bidi="ar-SA"/>
      </w:rPr>
    </w:lvl>
    <w:lvl w:ilvl="8">
      <w:numFmt w:val="bullet"/>
      <w:lvlText w:val="•"/>
      <w:lvlJc w:val="left"/>
      <w:pPr>
        <w:ind w:left="4739" w:hanging="501"/>
      </w:pPr>
      <w:rPr>
        <w:rFonts w:hint="default"/>
        <w:lang w:val="en-US" w:eastAsia="en-US" w:bidi="ar-SA"/>
      </w:rPr>
    </w:lvl>
  </w:abstractNum>
  <w:abstractNum w:abstractNumId="64" w15:restartNumberingAfterBreak="0">
    <w:nsid w:val="76C10AB6"/>
    <w:multiLevelType w:val="multilevel"/>
    <w:tmpl w:val="D130B656"/>
    <w:lvl w:ilvl="0">
      <w:numFmt w:val="decimal"/>
      <w:lvlText w:val=""/>
      <w:lvlJc w:val="left"/>
    </w:lvl>
    <w:lvl w:ilvl="1">
      <w:start w:val="1"/>
      <w:numFmt w:val="bullet"/>
      <w:lvlText w:val=""/>
      <w:lvlJc w:val="left"/>
      <w:pPr>
        <w:ind w:left="720" w:hanging="360"/>
      </w:pPr>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779B4965"/>
    <w:multiLevelType w:val="hybridMultilevel"/>
    <w:tmpl w:val="DCFE7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AEA29EC"/>
    <w:multiLevelType w:val="multilevel"/>
    <w:tmpl w:val="EC5E6D0C"/>
    <w:lvl w:ilvl="0">
      <w:start w:val="6"/>
      <w:numFmt w:val="decimal"/>
      <w:lvlText w:val="%1"/>
      <w:lvlJc w:val="left"/>
      <w:pPr>
        <w:ind w:left="1467" w:hanging="334"/>
      </w:pPr>
      <w:rPr>
        <w:rFonts w:hint="default"/>
        <w:lang w:val="en-US" w:eastAsia="en-US" w:bidi="ar-SA"/>
      </w:rPr>
    </w:lvl>
    <w:lvl w:ilvl="1">
      <w:start w:val="1"/>
      <w:numFmt w:val="decimal"/>
      <w:lvlText w:val="%1.%2"/>
      <w:lvlJc w:val="left"/>
      <w:pPr>
        <w:ind w:left="1467" w:hanging="334"/>
      </w:pPr>
      <w:rPr>
        <w:rFonts w:ascii="HelveticaNeueLTPro-Md" w:eastAsia="HelveticaNeueLTPro-Md" w:hAnsi="HelveticaNeueLTPro-Md" w:cs="HelveticaNeueLTPro-Md" w:hint="default"/>
        <w:b w:val="0"/>
        <w:bCs w:val="0"/>
        <w:i w:val="0"/>
        <w:iCs w:val="0"/>
        <w:color w:val="F68C59"/>
        <w:spacing w:val="0"/>
        <w:w w:val="100"/>
        <w:sz w:val="20"/>
        <w:szCs w:val="20"/>
        <w:lang w:val="en-US" w:eastAsia="en-US" w:bidi="ar-SA"/>
      </w:rPr>
    </w:lvl>
    <w:lvl w:ilvl="2">
      <w:numFmt w:val="bullet"/>
      <w:lvlText w:val="•"/>
      <w:lvlJc w:val="left"/>
      <w:pPr>
        <w:ind w:left="3457" w:hanging="334"/>
      </w:pPr>
      <w:rPr>
        <w:rFonts w:hint="default"/>
        <w:lang w:val="en-US" w:eastAsia="en-US" w:bidi="ar-SA"/>
      </w:rPr>
    </w:lvl>
    <w:lvl w:ilvl="3">
      <w:numFmt w:val="bullet"/>
      <w:lvlText w:val="•"/>
      <w:lvlJc w:val="left"/>
      <w:pPr>
        <w:ind w:left="4455" w:hanging="334"/>
      </w:pPr>
      <w:rPr>
        <w:rFonts w:hint="default"/>
        <w:lang w:val="en-US" w:eastAsia="en-US" w:bidi="ar-SA"/>
      </w:rPr>
    </w:lvl>
    <w:lvl w:ilvl="4">
      <w:numFmt w:val="bullet"/>
      <w:lvlText w:val="•"/>
      <w:lvlJc w:val="left"/>
      <w:pPr>
        <w:ind w:left="5454" w:hanging="334"/>
      </w:pPr>
      <w:rPr>
        <w:rFonts w:hint="default"/>
        <w:lang w:val="en-US" w:eastAsia="en-US" w:bidi="ar-SA"/>
      </w:rPr>
    </w:lvl>
    <w:lvl w:ilvl="5">
      <w:numFmt w:val="bullet"/>
      <w:lvlText w:val="•"/>
      <w:lvlJc w:val="left"/>
      <w:pPr>
        <w:ind w:left="6452" w:hanging="334"/>
      </w:pPr>
      <w:rPr>
        <w:rFonts w:hint="default"/>
        <w:lang w:val="en-US" w:eastAsia="en-US" w:bidi="ar-SA"/>
      </w:rPr>
    </w:lvl>
    <w:lvl w:ilvl="6">
      <w:numFmt w:val="bullet"/>
      <w:lvlText w:val="•"/>
      <w:lvlJc w:val="left"/>
      <w:pPr>
        <w:ind w:left="7451" w:hanging="334"/>
      </w:pPr>
      <w:rPr>
        <w:rFonts w:hint="default"/>
        <w:lang w:val="en-US" w:eastAsia="en-US" w:bidi="ar-SA"/>
      </w:rPr>
    </w:lvl>
    <w:lvl w:ilvl="7">
      <w:numFmt w:val="bullet"/>
      <w:lvlText w:val="•"/>
      <w:lvlJc w:val="left"/>
      <w:pPr>
        <w:ind w:left="8449" w:hanging="334"/>
      </w:pPr>
      <w:rPr>
        <w:rFonts w:hint="default"/>
        <w:lang w:val="en-US" w:eastAsia="en-US" w:bidi="ar-SA"/>
      </w:rPr>
    </w:lvl>
    <w:lvl w:ilvl="8">
      <w:numFmt w:val="bullet"/>
      <w:lvlText w:val="•"/>
      <w:lvlJc w:val="left"/>
      <w:pPr>
        <w:ind w:left="9448" w:hanging="334"/>
      </w:pPr>
      <w:rPr>
        <w:rFonts w:hint="default"/>
        <w:lang w:val="en-US" w:eastAsia="en-US" w:bidi="ar-SA"/>
      </w:rPr>
    </w:lvl>
  </w:abstractNum>
  <w:abstractNum w:abstractNumId="67" w15:restartNumberingAfterBreak="0">
    <w:nsid w:val="7B315583"/>
    <w:multiLevelType w:val="hybridMultilevel"/>
    <w:tmpl w:val="785CD6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7FF06A5E"/>
    <w:multiLevelType w:val="hybridMultilevel"/>
    <w:tmpl w:val="D270A2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581178403">
    <w:abstractNumId w:val="29"/>
  </w:num>
  <w:num w:numId="2" w16cid:durableId="1562207553">
    <w:abstractNumId w:val="37"/>
  </w:num>
  <w:num w:numId="3" w16cid:durableId="1207985471">
    <w:abstractNumId w:val="57"/>
  </w:num>
  <w:num w:numId="4" w16cid:durableId="746536373">
    <w:abstractNumId w:val="50"/>
  </w:num>
  <w:num w:numId="5" w16cid:durableId="1392919712">
    <w:abstractNumId w:val="13"/>
  </w:num>
  <w:num w:numId="6" w16cid:durableId="1501849299">
    <w:abstractNumId w:val="52"/>
  </w:num>
  <w:num w:numId="7" w16cid:durableId="552542912">
    <w:abstractNumId w:val="63"/>
  </w:num>
  <w:num w:numId="8" w16cid:durableId="40785972">
    <w:abstractNumId w:val="2"/>
  </w:num>
  <w:num w:numId="9" w16cid:durableId="1973636066">
    <w:abstractNumId w:val="66"/>
  </w:num>
  <w:num w:numId="10" w16cid:durableId="1503163148">
    <w:abstractNumId w:val="11"/>
  </w:num>
  <w:num w:numId="11" w16cid:durableId="875389608">
    <w:abstractNumId w:val="39"/>
  </w:num>
  <w:num w:numId="12" w16cid:durableId="472909088">
    <w:abstractNumId w:val="38"/>
  </w:num>
  <w:num w:numId="13" w16cid:durableId="1668630272">
    <w:abstractNumId w:val="7"/>
  </w:num>
  <w:num w:numId="14" w16cid:durableId="1285622073">
    <w:abstractNumId w:val="8"/>
  </w:num>
  <w:num w:numId="15" w16cid:durableId="716585193">
    <w:abstractNumId w:val="36"/>
  </w:num>
  <w:num w:numId="16" w16cid:durableId="287979102">
    <w:abstractNumId w:val="26"/>
  </w:num>
  <w:num w:numId="17" w16cid:durableId="1938251064">
    <w:abstractNumId w:val="24"/>
  </w:num>
  <w:num w:numId="18" w16cid:durableId="724377918">
    <w:abstractNumId w:val="20"/>
  </w:num>
  <w:num w:numId="19" w16cid:durableId="1411267906">
    <w:abstractNumId w:val="3"/>
  </w:num>
  <w:num w:numId="20" w16cid:durableId="2133596280">
    <w:abstractNumId w:val="58"/>
  </w:num>
  <w:num w:numId="21" w16cid:durableId="2031249256">
    <w:abstractNumId w:val="48"/>
  </w:num>
  <w:num w:numId="22" w16cid:durableId="1355767044">
    <w:abstractNumId w:val="19"/>
  </w:num>
  <w:num w:numId="23" w16cid:durableId="2117021254">
    <w:abstractNumId w:val="67"/>
  </w:num>
  <w:num w:numId="24" w16cid:durableId="526985829">
    <w:abstractNumId w:val="22"/>
  </w:num>
  <w:num w:numId="25" w16cid:durableId="1128745504">
    <w:abstractNumId w:val="4"/>
  </w:num>
  <w:num w:numId="26" w16cid:durableId="1955744100">
    <w:abstractNumId w:val="32"/>
  </w:num>
  <w:num w:numId="27" w16cid:durableId="733626297">
    <w:abstractNumId w:val="31"/>
  </w:num>
  <w:num w:numId="28" w16cid:durableId="1183931994">
    <w:abstractNumId w:val="17"/>
  </w:num>
  <w:num w:numId="29" w16cid:durableId="1141387673">
    <w:abstractNumId w:val="61"/>
  </w:num>
  <w:num w:numId="30" w16cid:durableId="1270578770">
    <w:abstractNumId w:val="43"/>
  </w:num>
  <w:num w:numId="31" w16cid:durableId="1224415898">
    <w:abstractNumId w:val="28"/>
  </w:num>
  <w:num w:numId="32" w16cid:durableId="2039424785">
    <w:abstractNumId w:val="49"/>
  </w:num>
  <w:num w:numId="33" w16cid:durableId="619149100">
    <w:abstractNumId w:val="12"/>
  </w:num>
  <w:num w:numId="34" w16cid:durableId="813332664">
    <w:abstractNumId w:val="68"/>
  </w:num>
  <w:num w:numId="35" w16cid:durableId="660931653">
    <w:abstractNumId w:val="65"/>
  </w:num>
  <w:num w:numId="36" w16cid:durableId="1312952911">
    <w:abstractNumId w:val="30"/>
  </w:num>
  <w:num w:numId="37" w16cid:durableId="142629461">
    <w:abstractNumId w:val="25"/>
  </w:num>
  <w:num w:numId="38" w16cid:durableId="1956060589">
    <w:abstractNumId w:val="34"/>
  </w:num>
  <w:num w:numId="39" w16cid:durableId="675883266">
    <w:abstractNumId w:val="54"/>
  </w:num>
  <w:num w:numId="40" w16cid:durableId="1174146913">
    <w:abstractNumId w:val="42"/>
  </w:num>
  <w:num w:numId="41" w16cid:durableId="571433402">
    <w:abstractNumId w:val="27"/>
  </w:num>
  <w:num w:numId="42" w16cid:durableId="1565676177">
    <w:abstractNumId w:val="35"/>
  </w:num>
  <w:num w:numId="43" w16cid:durableId="168101854">
    <w:abstractNumId w:val="10"/>
  </w:num>
  <w:num w:numId="44" w16cid:durableId="1573470678">
    <w:abstractNumId w:val="14"/>
  </w:num>
  <w:num w:numId="45" w16cid:durableId="822427501">
    <w:abstractNumId w:val="23"/>
  </w:num>
  <w:num w:numId="46" w16cid:durableId="1556427618">
    <w:abstractNumId w:val="60"/>
  </w:num>
  <w:num w:numId="47" w16cid:durableId="1585725738">
    <w:abstractNumId w:val="56"/>
  </w:num>
  <w:num w:numId="48" w16cid:durableId="879174468">
    <w:abstractNumId w:val="21"/>
  </w:num>
  <w:num w:numId="49" w16cid:durableId="77481276">
    <w:abstractNumId w:val="1"/>
  </w:num>
  <w:num w:numId="50" w16cid:durableId="1278370301">
    <w:abstractNumId w:val="47"/>
  </w:num>
  <w:num w:numId="51" w16cid:durableId="258221284">
    <w:abstractNumId w:val="59"/>
  </w:num>
  <w:num w:numId="52" w16cid:durableId="485820489">
    <w:abstractNumId w:val="18"/>
  </w:num>
  <w:num w:numId="53" w16cid:durableId="1258559231">
    <w:abstractNumId w:val="5"/>
  </w:num>
  <w:num w:numId="54" w16cid:durableId="519202158">
    <w:abstractNumId w:val="64"/>
  </w:num>
  <w:num w:numId="55" w16cid:durableId="693074810">
    <w:abstractNumId w:val="6"/>
  </w:num>
  <w:num w:numId="56" w16cid:durableId="1353916330">
    <w:abstractNumId w:val="44"/>
  </w:num>
  <w:num w:numId="57" w16cid:durableId="46993470">
    <w:abstractNumId w:val="41"/>
  </w:num>
  <w:num w:numId="58" w16cid:durableId="418135319">
    <w:abstractNumId w:val="53"/>
  </w:num>
  <w:num w:numId="59" w16cid:durableId="1343703020">
    <w:abstractNumId w:val="45"/>
  </w:num>
  <w:num w:numId="60" w16cid:durableId="1987933082">
    <w:abstractNumId w:val="33"/>
  </w:num>
  <w:num w:numId="61" w16cid:durableId="181823019">
    <w:abstractNumId w:val="40"/>
  </w:num>
  <w:num w:numId="62" w16cid:durableId="2003193372">
    <w:abstractNumId w:val="15"/>
  </w:num>
  <w:num w:numId="63" w16cid:durableId="287006608">
    <w:abstractNumId w:val="46"/>
  </w:num>
  <w:num w:numId="64" w16cid:durableId="1030767437">
    <w:abstractNumId w:val="9"/>
  </w:num>
  <w:num w:numId="65" w16cid:durableId="151800589">
    <w:abstractNumId w:val="51"/>
  </w:num>
  <w:num w:numId="66" w16cid:durableId="207224892">
    <w:abstractNumId w:val="16"/>
  </w:num>
  <w:num w:numId="67" w16cid:durableId="211044027">
    <w:abstractNumId w:val="62"/>
  </w:num>
  <w:num w:numId="68" w16cid:durableId="1819032397">
    <w:abstractNumId w:val="0"/>
  </w:num>
  <w:num w:numId="69" w16cid:durableId="1545747275">
    <w:abstractNumId w:val="55"/>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defaultTabStop w:val="68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4226"/>
    <w:rsid w:val="00004776"/>
    <w:rsid w:val="00011EDC"/>
    <w:rsid w:val="00012B31"/>
    <w:rsid w:val="0001537B"/>
    <w:rsid w:val="00015707"/>
    <w:rsid w:val="00017DFE"/>
    <w:rsid w:val="00022778"/>
    <w:rsid w:val="000230FC"/>
    <w:rsid w:val="0002709A"/>
    <w:rsid w:val="0003652D"/>
    <w:rsid w:val="00040874"/>
    <w:rsid w:val="00041678"/>
    <w:rsid w:val="0004224D"/>
    <w:rsid w:val="0004361B"/>
    <w:rsid w:val="00044474"/>
    <w:rsid w:val="00050A33"/>
    <w:rsid w:val="00063F61"/>
    <w:rsid w:val="00064535"/>
    <w:rsid w:val="000672FF"/>
    <w:rsid w:val="0007249B"/>
    <w:rsid w:val="000754E5"/>
    <w:rsid w:val="00076040"/>
    <w:rsid w:val="00081F41"/>
    <w:rsid w:val="00086949"/>
    <w:rsid w:val="0009276E"/>
    <w:rsid w:val="000A0029"/>
    <w:rsid w:val="000A101E"/>
    <w:rsid w:val="000A1816"/>
    <w:rsid w:val="000A33F0"/>
    <w:rsid w:val="000A4739"/>
    <w:rsid w:val="000A7226"/>
    <w:rsid w:val="000B14A6"/>
    <w:rsid w:val="000B2A2C"/>
    <w:rsid w:val="000B3857"/>
    <w:rsid w:val="000B7243"/>
    <w:rsid w:val="000C1476"/>
    <w:rsid w:val="000C5CEF"/>
    <w:rsid w:val="000D203B"/>
    <w:rsid w:val="000D486F"/>
    <w:rsid w:val="000D57FB"/>
    <w:rsid w:val="000E0158"/>
    <w:rsid w:val="000E018C"/>
    <w:rsid w:val="000E086A"/>
    <w:rsid w:val="000E4B47"/>
    <w:rsid w:val="000F0189"/>
    <w:rsid w:val="000F0B59"/>
    <w:rsid w:val="000F3B3C"/>
    <w:rsid w:val="000F418B"/>
    <w:rsid w:val="000F47C8"/>
    <w:rsid w:val="000F64D8"/>
    <w:rsid w:val="000F6FD3"/>
    <w:rsid w:val="001009E0"/>
    <w:rsid w:val="001009F6"/>
    <w:rsid w:val="00103D40"/>
    <w:rsid w:val="00105351"/>
    <w:rsid w:val="0011577A"/>
    <w:rsid w:val="00126374"/>
    <w:rsid w:val="0013484E"/>
    <w:rsid w:val="00137A3C"/>
    <w:rsid w:val="0014430C"/>
    <w:rsid w:val="00150610"/>
    <w:rsid w:val="00151CB5"/>
    <w:rsid w:val="00151E6F"/>
    <w:rsid w:val="0015575F"/>
    <w:rsid w:val="001627E8"/>
    <w:rsid w:val="0017268B"/>
    <w:rsid w:val="00174468"/>
    <w:rsid w:val="00181064"/>
    <w:rsid w:val="00184E8E"/>
    <w:rsid w:val="0018562D"/>
    <w:rsid w:val="00186C6B"/>
    <w:rsid w:val="00186E84"/>
    <w:rsid w:val="0019657D"/>
    <w:rsid w:val="001975E3"/>
    <w:rsid w:val="001A07CB"/>
    <w:rsid w:val="001A0BFD"/>
    <w:rsid w:val="001A11AF"/>
    <w:rsid w:val="001B7B32"/>
    <w:rsid w:val="001C21B0"/>
    <w:rsid w:val="001D2923"/>
    <w:rsid w:val="001D6DE6"/>
    <w:rsid w:val="001E0175"/>
    <w:rsid w:val="001E190C"/>
    <w:rsid w:val="001E30DD"/>
    <w:rsid w:val="001F0EC5"/>
    <w:rsid w:val="001F3240"/>
    <w:rsid w:val="001F4F50"/>
    <w:rsid w:val="00205660"/>
    <w:rsid w:val="00221F84"/>
    <w:rsid w:val="00223F33"/>
    <w:rsid w:val="002252E7"/>
    <w:rsid w:val="00227E56"/>
    <w:rsid w:val="0023193E"/>
    <w:rsid w:val="00240E6C"/>
    <w:rsid w:val="002442CE"/>
    <w:rsid w:val="00245F9B"/>
    <w:rsid w:val="00247E89"/>
    <w:rsid w:val="002608B0"/>
    <w:rsid w:val="00262571"/>
    <w:rsid w:val="00264665"/>
    <w:rsid w:val="00267978"/>
    <w:rsid w:val="00267F03"/>
    <w:rsid w:val="00272649"/>
    <w:rsid w:val="00281366"/>
    <w:rsid w:val="00283A01"/>
    <w:rsid w:val="00291B04"/>
    <w:rsid w:val="002A4997"/>
    <w:rsid w:val="002C0778"/>
    <w:rsid w:val="002C3BB1"/>
    <w:rsid w:val="002D045A"/>
    <w:rsid w:val="002D0C5C"/>
    <w:rsid w:val="002D53A3"/>
    <w:rsid w:val="002D5E48"/>
    <w:rsid w:val="002E5120"/>
    <w:rsid w:val="002F1BCD"/>
    <w:rsid w:val="002F1E1B"/>
    <w:rsid w:val="002F5BA1"/>
    <w:rsid w:val="0030185B"/>
    <w:rsid w:val="003058CE"/>
    <w:rsid w:val="003064D1"/>
    <w:rsid w:val="003261DC"/>
    <w:rsid w:val="00333475"/>
    <w:rsid w:val="00336DB5"/>
    <w:rsid w:val="003375C9"/>
    <w:rsid w:val="00342910"/>
    <w:rsid w:val="00343FD5"/>
    <w:rsid w:val="00344AD2"/>
    <w:rsid w:val="003453D6"/>
    <w:rsid w:val="003524EC"/>
    <w:rsid w:val="00356C10"/>
    <w:rsid w:val="00363D6E"/>
    <w:rsid w:val="00364667"/>
    <w:rsid w:val="0037036F"/>
    <w:rsid w:val="00373ED9"/>
    <w:rsid w:val="00373F17"/>
    <w:rsid w:val="00375B69"/>
    <w:rsid w:val="00375C00"/>
    <w:rsid w:val="0038068A"/>
    <w:rsid w:val="00381F1E"/>
    <w:rsid w:val="003843B6"/>
    <w:rsid w:val="00386EA7"/>
    <w:rsid w:val="00394770"/>
    <w:rsid w:val="0039553E"/>
    <w:rsid w:val="00396443"/>
    <w:rsid w:val="00396916"/>
    <w:rsid w:val="003A017E"/>
    <w:rsid w:val="003A1753"/>
    <w:rsid w:val="003A7019"/>
    <w:rsid w:val="003B759A"/>
    <w:rsid w:val="003C00FF"/>
    <w:rsid w:val="003C0FF2"/>
    <w:rsid w:val="003C3465"/>
    <w:rsid w:val="003C4709"/>
    <w:rsid w:val="003D0854"/>
    <w:rsid w:val="003E241C"/>
    <w:rsid w:val="003F0EFF"/>
    <w:rsid w:val="003F1335"/>
    <w:rsid w:val="003F18CF"/>
    <w:rsid w:val="003F3150"/>
    <w:rsid w:val="003F42A3"/>
    <w:rsid w:val="003F4330"/>
    <w:rsid w:val="003F64F5"/>
    <w:rsid w:val="00405B9A"/>
    <w:rsid w:val="004130E3"/>
    <w:rsid w:val="00415226"/>
    <w:rsid w:val="00417A9D"/>
    <w:rsid w:val="004215A1"/>
    <w:rsid w:val="004250D3"/>
    <w:rsid w:val="00425BE9"/>
    <w:rsid w:val="00430676"/>
    <w:rsid w:val="004311CB"/>
    <w:rsid w:val="0043303B"/>
    <w:rsid w:val="004361C6"/>
    <w:rsid w:val="00437450"/>
    <w:rsid w:val="004435A7"/>
    <w:rsid w:val="00443DA2"/>
    <w:rsid w:val="00445DDC"/>
    <w:rsid w:val="00446A8F"/>
    <w:rsid w:val="00446C71"/>
    <w:rsid w:val="00452CA5"/>
    <w:rsid w:val="00452F31"/>
    <w:rsid w:val="00453302"/>
    <w:rsid w:val="0045498C"/>
    <w:rsid w:val="004574BC"/>
    <w:rsid w:val="004600D1"/>
    <w:rsid w:val="00466EA2"/>
    <w:rsid w:val="00471E9D"/>
    <w:rsid w:val="004752E0"/>
    <w:rsid w:val="00481ACE"/>
    <w:rsid w:val="00481CC1"/>
    <w:rsid w:val="00482B3B"/>
    <w:rsid w:val="00491CFE"/>
    <w:rsid w:val="0049232B"/>
    <w:rsid w:val="004A007D"/>
    <w:rsid w:val="004A3C05"/>
    <w:rsid w:val="004A4909"/>
    <w:rsid w:val="004A7871"/>
    <w:rsid w:val="004C35DF"/>
    <w:rsid w:val="004C6101"/>
    <w:rsid w:val="004D1880"/>
    <w:rsid w:val="004D5806"/>
    <w:rsid w:val="004E0D51"/>
    <w:rsid w:val="004E21BF"/>
    <w:rsid w:val="004E6651"/>
    <w:rsid w:val="004F0586"/>
    <w:rsid w:val="00504AE1"/>
    <w:rsid w:val="00513A14"/>
    <w:rsid w:val="005164F0"/>
    <w:rsid w:val="00520EA7"/>
    <w:rsid w:val="00524A88"/>
    <w:rsid w:val="005254DB"/>
    <w:rsid w:val="00526C8E"/>
    <w:rsid w:val="0054165C"/>
    <w:rsid w:val="00544E15"/>
    <w:rsid w:val="00550D47"/>
    <w:rsid w:val="005644B2"/>
    <w:rsid w:val="00565D13"/>
    <w:rsid w:val="005709C7"/>
    <w:rsid w:val="00572788"/>
    <w:rsid w:val="00573EA1"/>
    <w:rsid w:val="00587F46"/>
    <w:rsid w:val="00593F26"/>
    <w:rsid w:val="005959A6"/>
    <w:rsid w:val="00596092"/>
    <w:rsid w:val="00597F65"/>
    <w:rsid w:val="005A10DA"/>
    <w:rsid w:val="005A7B24"/>
    <w:rsid w:val="005B49BC"/>
    <w:rsid w:val="005C2EEF"/>
    <w:rsid w:val="005C431D"/>
    <w:rsid w:val="005C5496"/>
    <w:rsid w:val="005D1960"/>
    <w:rsid w:val="005F4597"/>
    <w:rsid w:val="005F6CA5"/>
    <w:rsid w:val="006018ED"/>
    <w:rsid w:val="00606302"/>
    <w:rsid w:val="006072B8"/>
    <w:rsid w:val="0061713D"/>
    <w:rsid w:val="00617F5A"/>
    <w:rsid w:val="00620A0B"/>
    <w:rsid w:val="0062125E"/>
    <w:rsid w:val="00622DB6"/>
    <w:rsid w:val="006261B2"/>
    <w:rsid w:val="00626FDB"/>
    <w:rsid w:val="0063184A"/>
    <w:rsid w:val="0064166C"/>
    <w:rsid w:val="006465DA"/>
    <w:rsid w:val="006472FB"/>
    <w:rsid w:val="00657975"/>
    <w:rsid w:val="00660E9C"/>
    <w:rsid w:val="00664E06"/>
    <w:rsid w:val="0066501D"/>
    <w:rsid w:val="0066632D"/>
    <w:rsid w:val="00672EC7"/>
    <w:rsid w:val="00673184"/>
    <w:rsid w:val="00676790"/>
    <w:rsid w:val="00677678"/>
    <w:rsid w:val="00684049"/>
    <w:rsid w:val="00693C38"/>
    <w:rsid w:val="00695104"/>
    <w:rsid w:val="00696091"/>
    <w:rsid w:val="00696515"/>
    <w:rsid w:val="006A4F2A"/>
    <w:rsid w:val="006A64B1"/>
    <w:rsid w:val="006B020C"/>
    <w:rsid w:val="006B144D"/>
    <w:rsid w:val="006B1D30"/>
    <w:rsid w:val="006B2E68"/>
    <w:rsid w:val="006C07F7"/>
    <w:rsid w:val="006C109C"/>
    <w:rsid w:val="006C12D7"/>
    <w:rsid w:val="006C469C"/>
    <w:rsid w:val="006C6A8A"/>
    <w:rsid w:val="006C7AFF"/>
    <w:rsid w:val="006D01C8"/>
    <w:rsid w:val="006D2086"/>
    <w:rsid w:val="006D4C79"/>
    <w:rsid w:val="006D551C"/>
    <w:rsid w:val="006E6938"/>
    <w:rsid w:val="006E79B0"/>
    <w:rsid w:val="006F197D"/>
    <w:rsid w:val="006F2916"/>
    <w:rsid w:val="006F3226"/>
    <w:rsid w:val="006F43E6"/>
    <w:rsid w:val="006F4852"/>
    <w:rsid w:val="006F5103"/>
    <w:rsid w:val="006F6952"/>
    <w:rsid w:val="007028D2"/>
    <w:rsid w:val="00704285"/>
    <w:rsid w:val="007057EE"/>
    <w:rsid w:val="00711F16"/>
    <w:rsid w:val="00716AD3"/>
    <w:rsid w:val="00724004"/>
    <w:rsid w:val="007255EC"/>
    <w:rsid w:val="00727089"/>
    <w:rsid w:val="00732255"/>
    <w:rsid w:val="00741318"/>
    <w:rsid w:val="007448F0"/>
    <w:rsid w:val="00745255"/>
    <w:rsid w:val="00747DF1"/>
    <w:rsid w:val="007524C1"/>
    <w:rsid w:val="00754293"/>
    <w:rsid w:val="00756ECD"/>
    <w:rsid w:val="0076069E"/>
    <w:rsid w:val="007628EC"/>
    <w:rsid w:val="00765AA7"/>
    <w:rsid w:val="00766E8B"/>
    <w:rsid w:val="007675B7"/>
    <w:rsid w:val="00767CFC"/>
    <w:rsid w:val="00774C92"/>
    <w:rsid w:val="00791795"/>
    <w:rsid w:val="00794AF7"/>
    <w:rsid w:val="007A5499"/>
    <w:rsid w:val="007A54F0"/>
    <w:rsid w:val="007B0087"/>
    <w:rsid w:val="007C3D0A"/>
    <w:rsid w:val="007C3DBF"/>
    <w:rsid w:val="007C6D4B"/>
    <w:rsid w:val="007D0585"/>
    <w:rsid w:val="007D1F35"/>
    <w:rsid w:val="007D6B0B"/>
    <w:rsid w:val="007D79BC"/>
    <w:rsid w:val="007E2F9C"/>
    <w:rsid w:val="007F31C8"/>
    <w:rsid w:val="007F391D"/>
    <w:rsid w:val="007F3CC4"/>
    <w:rsid w:val="007F3ED9"/>
    <w:rsid w:val="007F6C03"/>
    <w:rsid w:val="008011FC"/>
    <w:rsid w:val="008022AE"/>
    <w:rsid w:val="0080406C"/>
    <w:rsid w:val="0080473D"/>
    <w:rsid w:val="00806EAA"/>
    <w:rsid w:val="00810384"/>
    <w:rsid w:val="00822819"/>
    <w:rsid w:val="00824666"/>
    <w:rsid w:val="00825591"/>
    <w:rsid w:val="00827841"/>
    <w:rsid w:val="00833490"/>
    <w:rsid w:val="00835909"/>
    <w:rsid w:val="00846E14"/>
    <w:rsid w:val="00850934"/>
    <w:rsid w:val="00854DF6"/>
    <w:rsid w:val="00866C74"/>
    <w:rsid w:val="00867916"/>
    <w:rsid w:val="00867D0C"/>
    <w:rsid w:val="008721C2"/>
    <w:rsid w:val="00873278"/>
    <w:rsid w:val="00873EDA"/>
    <w:rsid w:val="008746E4"/>
    <w:rsid w:val="00881CA4"/>
    <w:rsid w:val="00883958"/>
    <w:rsid w:val="00883FE2"/>
    <w:rsid w:val="008861B7"/>
    <w:rsid w:val="008878F3"/>
    <w:rsid w:val="00890915"/>
    <w:rsid w:val="00891970"/>
    <w:rsid w:val="008920A5"/>
    <w:rsid w:val="0089250E"/>
    <w:rsid w:val="008A17B4"/>
    <w:rsid w:val="008A2181"/>
    <w:rsid w:val="008A3B04"/>
    <w:rsid w:val="008A4602"/>
    <w:rsid w:val="008B47CF"/>
    <w:rsid w:val="008C6200"/>
    <w:rsid w:val="008C7DD1"/>
    <w:rsid w:val="008D5534"/>
    <w:rsid w:val="008E6726"/>
    <w:rsid w:val="008F002B"/>
    <w:rsid w:val="008F2EB6"/>
    <w:rsid w:val="009011FA"/>
    <w:rsid w:val="009106D1"/>
    <w:rsid w:val="00912D79"/>
    <w:rsid w:val="00915CA6"/>
    <w:rsid w:val="00916694"/>
    <w:rsid w:val="00917E5A"/>
    <w:rsid w:val="009203E7"/>
    <w:rsid w:val="009210CE"/>
    <w:rsid w:val="00922F81"/>
    <w:rsid w:val="00941BD4"/>
    <w:rsid w:val="009438AF"/>
    <w:rsid w:val="00952353"/>
    <w:rsid w:val="00962F67"/>
    <w:rsid w:val="00965153"/>
    <w:rsid w:val="0097268C"/>
    <w:rsid w:val="009727DA"/>
    <w:rsid w:val="00973133"/>
    <w:rsid w:val="0098674E"/>
    <w:rsid w:val="009905DC"/>
    <w:rsid w:val="00993739"/>
    <w:rsid w:val="009A4477"/>
    <w:rsid w:val="009B13B4"/>
    <w:rsid w:val="009B3259"/>
    <w:rsid w:val="009B6516"/>
    <w:rsid w:val="009C0804"/>
    <w:rsid w:val="009C65C9"/>
    <w:rsid w:val="009E26B7"/>
    <w:rsid w:val="009E51D3"/>
    <w:rsid w:val="009E5BF5"/>
    <w:rsid w:val="009F19EA"/>
    <w:rsid w:val="00A06C09"/>
    <w:rsid w:val="00A078C9"/>
    <w:rsid w:val="00A127B1"/>
    <w:rsid w:val="00A15262"/>
    <w:rsid w:val="00A2202A"/>
    <w:rsid w:val="00A2597C"/>
    <w:rsid w:val="00A30931"/>
    <w:rsid w:val="00A3520C"/>
    <w:rsid w:val="00A436A4"/>
    <w:rsid w:val="00A45E21"/>
    <w:rsid w:val="00A54B01"/>
    <w:rsid w:val="00A55F25"/>
    <w:rsid w:val="00A6131E"/>
    <w:rsid w:val="00A61BC7"/>
    <w:rsid w:val="00A648C4"/>
    <w:rsid w:val="00A77228"/>
    <w:rsid w:val="00A81357"/>
    <w:rsid w:val="00A821E0"/>
    <w:rsid w:val="00A82B74"/>
    <w:rsid w:val="00A915A7"/>
    <w:rsid w:val="00AA25A1"/>
    <w:rsid w:val="00AA5DFE"/>
    <w:rsid w:val="00AA7588"/>
    <w:rsid w:val="00AA7A91"/>
    <w:rsid w:val="00AB3D47"/>
    <w:rsid w:val="00AB487F"/>
    <w:rsid w:val="00AB690E"/>
    <w:rsid w:val="00AB7CE5"/>
    <w:rsid w:val="00AC40D4"/>
    <w:rsid w:val="00AC69A6"/>
    <w:rsid w:val="00AD076D"/>
    <w:rsid w:val="00AD12DA"/>
    <w:rsid w:val="00AF01CB"/>
    <w:rsid w:val="00B033C8"/>
    <w:rsid w:val="00B04E54"/>
    <w:rsid w:val="00B05360"/>
    <w:rsid w:val="00B14C27"/>
    <w:rsid w:val="00B174A0"/>
    <w:rsid w:val="00B24306"/>
    <w:rsid w:val="00B269BD"/>
    <w:rsid w:val="00B31E16"/>
    <w:rsid w:val="00B34FBF"/>
    <w:rsid w:val="00B407FB"/>
    <w:rsid w:val="00B41FFD"/>
    <w:rsid w:val="00B43F81"/>
    <w:rsid w:val="00B46DC0"/>
    <w:rsid w:val="00B4782A"/>
    <w:rsid w:val="00B51A9D"/>
    <w:rsid w:val="00B551B2"/>
    <w:rsid w:val="00B565DA"/>
    <w:rsid w:val="00B56747"/>
    <w:rsid w:val="00B63E93"/>
    <w:rsid w:val="00B6522B"/>
    <w:rsid w:val="00B719D1"/>
    <w:rsid w:val="00B76626"/>
    <w:rsid w:val="00B767BA"/>
    <w:rsid w:val="00B8253E"/>
    <w:rsid w:val="00B826F7"/>
    <w:rsid w:val="00B85BF5"/>
    <w:rsid w:val="00B92CA4"/>
    <w:rsid w:val="00B96C19"/>
    <w:rsid w:val="00B976AC"/>
    <w:rsid w:val="00BA0061"/>
    <w:rsid w:val="00BA3552"/>
    <w:rsid w:val="00BA6CAE"/>
    <w:rsid w:val="00BA718C"/>
    <w:rsid w:val="00BB0883"/>
    <w:rsid w:val="00BB7FCE"/>
    <w:rsid w:val="00BC5DDA"/>
    <w:rsid w:val="00BD038B"/>
    <w:rsid w:val="00BD0A55"/>
    <w:rsid w:val="00BD4ABD"/>
    <w:rsid w:val="00BE655B"/>
    <w:rsid w:val="00BF049D"/>
    <w:rsid w:val="00BF1446"/>
    <w:rsid w:val="00BF5422"/>
    <w:rsid w:val="00C01928"/>
    <w:rsid w:val="00C04A80"/>
    <w:rsid w:val="00C04F67"/>
    <w:rsid w:val="00C05726"/>
    <w:rsid w:val="00C06A0E"/>
    <w:rsid w:val="00C10D11"/>
    <w:rsid w:val="00C11122"/>
    <w:rsid w:val="00C11A7C"/>
    <w:rsid w:val="00C14ECA"/>
    <w:rsid w:val="00C1797D"/>
    <w:rsid w:val="00C22CCD"/>
    <w:rsid w:val="00C23688"/>
    <w:rsid w:val="00C25022"/>
    <w:rsid w:val="00C274F3"/>
    <w:rsid w:val="00C30337"/>
    <w:rsid w:val="00C375BF"/>
    <w:rsid w:val="00C438CB"/>
    <w:rsid w:val="00C43D7F"/>
    <w:rsid w:val="00C47A74"/>
    <w:rsid w:val="00C546AC"/>
    <w:rsid w:val="00C72DE3"/>
    <w:rsid w:val="00C73A45"/>
    <w:rsid w:val="00C7667C"/>
    <w:rsid w:val="00C80756"/>
    <w:rsid w:val="00C83D81"/>
    <w:rsid w:val="00C87E36"/>
    <w:rsid w:val="00C959F7"/>
    <w:rsid w:val="00CA2CC1"/>
    <w:rsid w:val="00CB1551"/>
    <w:rsid w:val="00CB192C"/>
    <w:rsid w:val="00CC127D"/>
    <w:rsid w:val="00CC3B57"/>
    <w:rsid w:val="00CC441F"/>
    <w:rsid w:val="00CC5247"/>
    <w:rsid w:val="00CD02BF"/>
    <w:rsid w:val="00CD062E"/>
    <w:rsid w:val="00CD74E4"/>
    <w:rsid w:val="00CE353F"/>
    <w:rsid w:val="00CE4263"/>
    <w:rsid w:val="00CE67CE"/>
    <w:rsid w:val="00CF1215"/>
    <w:rsid w:val="00CF7335"/>
    <w:rsid w:val="00D017EB"/>
    <w:rsid w:val="00D05A6B"/>
    <w:rsid w:val="00D10564"/>
    <w:rsid w:val="00D10DF3"/>
    <w:rsid w:val="00D110AF"/>
    <w:rsid w:val="00D20409"/>
    <w:rsid w:val="00D22D90"/>
    <w:rsid w:val="00D24214"/>
    <w:rsid w:val="00D34DE8"/>
    <w:rsid w:val="00D3542F"/>
    <w:rsid w:val="00D36759"/>
    <w:rsid w:val="00D37E07"/>
    <w:rsid w:val="00D41BA4"/>
    <w:rsid w:val="00D442AE"/>
    <w:rsid w:val="00D47D35"/>
    <w:rsid w:val="00D53C6B"/>
    <w:rsid w:val="00D62E35"/>
    <w:rsid w:val="00D64EBF"/>
    <w:rsid w:val="00D67E98"/>
    <w:rsid w:val="00D77792"/>
    <w:rsid w:val="00D94549"/>
    <w:rsid w:val="00D95534"/>
    <w:rsid w:val="00DA10FC"/>
    <w:rsid w:val="00DB4380"/>
    <w:rsid w:val="00DB580A"/>
    <w:rsid w:val="00DB73FD"/>
    <w:rsid w:val="00DC086E"/>
    <w:rsid w:val="00DC48F8"/>
    <w:rsid w:val="00DD780D"/>
    <w:rsid w:val="00DE2BA1"/>
    <w:rsid w:val="00DF12BE"/>
    <w:rsid w:val="00DF1CBC"/>
    <w:rsid w:val="00E00D11"/>
    <w:rsid w:val="00E01F1D"/>
    <w:rsid w:val="00E05A64"/>
    <w:rsid w:val="00E16506"/>
    <w:rsid w:val="00E17277"/>
    <w:rsid w:val="00E25474"/>
    <w:rsid w:val="00E30AD2"/>
    <w:rsid w:val="00E337DF"/>
    <w:rsid w:val="00E41710"/>
    <w:rsid w:val="00E506B1"/>
    <w:rsid w:val="00E54234"/>
    <w:rsid w:val="00E54CC2"/>
    <w:rsid w:val="00E55D96"/>
    <w:rsid w:val="00E56D9B"/>
    <w:rsid w:val="00E5756B"/>
    <w:rsid w:val="00E627FD"/>
    <w:rsid w:val="00E62D66"/>
    <w:rsid w:val="00E63587"/>
    <w:rsid w:val="00E65942"/>
    <w:rsid w:val="00E6672A"/>
    <w:rsid w:val="00E668D0"/>
    <w:rsid w:val="00E712EB"/>
    <w:rsid w:val="00E75477"/>
    <w:rsid w:val="00E93EEB"/>
    <w:rsid w:val="00E941A5"/>
    <w:rsid w:val="00E96DCC"/>
    <w:rsid w:val="00E97C67"/>
    <w:rsid w:val="00EA2D42"/>
    <w:rsid w:val="00EA7B5A"/>
    <w:rsid w:val="00EB00BE"/>
    <w:rsid w:val="00EC0660"/>
    <w:rsid w:val="00EC0994"/>
    <w:rsid w:val="00EC2CB6"/>
    <w:rsid w:val="00ED06E6"/>
    <w:rsid w:val="00ED5F6F"/>
    <w:rsid w:val="00ED7818"/>
    <w:rsid w:val="00EE2915"/>
    <w:rsid w:val="00EE46AA"/>
    <w:rsid w:val="00EE566D"/>
    <w:rsid w:val="00EE5F61"/>
    <w:rsid w:val="00EF1B25"/>
    <w:rsid w:val="00EF785E"/>
    <w:rsid w:val="00F0196F"/>
    <w:rsid w:val="00F043EC"/>
    <w:rsid w:val="00F044CA"/>
    <w:rsid w:val="00F05F4E"/>
    <w:rsid w:val="00F12298"/>
    <w:rsid w:val="00F1599D"/>
    <w:rsid w:val="00F20AAF"/>
    <w:rsid w:val="00F20F7E"/>
    <w:rsid w:val="00F21CF1"/>
    <w:rsid w:val="00F240D6"/>
    <w:rsid w:val="00F25826"/>
    <w:rsid w:val="00F261B5"/>
    <w:rsid w:val="00F3294D"/>
    <w:rsid w:val="00F3407E"/>
    <w:rsid w:val="00F403E7"/>
    <w:rsid w:val="00F4221B"/>
    <w:rsid w:val="00F46555"/>
    <w:rsid w:val="00F47C27"/>
    <w:rsid w:val="00F500A5"/>
    <w:rsid w:val="00F530C0"/>
    <w:rsid w:val="00F54286"/>
    <w:rsid w:val="00F657BA"/>
    <w:rsid w:val="00F70819"/>
    <w:rsid w:val="00F740E4"/>
    <w:rsid w:val="00F80EEC"/>
    <w:rsid w:val="00F83A4C"/>
    <w:rsid w:val="00F83E0E"/>
    <w:rsid w:val="00F92F54"/>
    <w:rsid w:val="00F95E6A"/>
    <w:rsid w:val="00FA2566"/>
    <w:rsid w:val="00FA2CF0"/>
    <w:rsid w:val="00FA4226"/>
    <w:rsid w:val="00FA64CB"/>
    <w:rsid w:val="00FC0EBB"/>
    <w:rsid w:val="00FC1D38"/>
    <w:rsid w:val="00FC2DA4"/>
    <w:rsid w:val="00FD003D"/>
    <w:rsid w:val="00FD20E4"/>
    <w:rsid w:val="00FD27F1"/>
    <w:rsid w:val="00FD5942"/>
    <w:rsid w:val="00FE5539"/>
    <w:rsid w:val="00FF414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D46687"/>
  <w15:docId w15:val="{CCE16459-47AD-B245-8139-647ED0C0F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69A6"/>
    <w:rPr>
      <w:rFonts w:ascii="Calibri" w:eastAsia="Helvetica Neue LT Pro" w:hAnsi="Calibri" w:cs="Helvetica Neue LT Pro"/>
    </w:rPr>
  </w:style>
  <w:style w:type="paragraph" w:styleId="Heading1">
    <w:name w:val="heading 1"/>
    <w:basedOn w:val="Normal"/>
    <w:link w:val="Heading1Char"/>
    <w:qFormat/>
    <w:rsid w:val="00EE46AA"/>
    <w:pPr>
      <w:spacing w:before="63"/>
      <w:outlineLvl w:val="0"/>
    </w:pPr>
    <w:rPr>
      <w:rFonts w:eastAsia="Times New Roman" w:cs="Times New Roman"/>
      <w:sz w:val="64"/>
      <w:szCs w:val="64"/>
    </w:rPr>
  </w:style>
  <w:style w:type="paragraph" w:styleId="Heading2">
    <w:name w:val="heading 2"/>
    <w:basedOn w:val="Normal"/>
    <w:link w:val="Heading2Char"/>
    <w:unhideWhenUsed/>
    <w:qFormat/>
    <w:rsid w:val="0066632D"/>
    <w:pPr>
      <w:outlineLvl w:val="1"/>
    </w:pPr>
    <w:rPr>
      <w:rFonts w:eastAsia="Times New Roman" w:cs="Times New Roman"/>
      <w:sz w:val="48"/>
      <w:szCs w:val="48"/>
    </w:rPr>
  </w:style>
  <w:style w:type="paragraph" w:styleId="Heading3">
    <w:name w:val="heading 3"/>
    <w:basedOn w:val="Normal"/>
    <w:link w:val="Heading3Char"/>
    <w:unhideWhenUsed/>
    <w:qFormat/>
    <w:rsid w:val="005164F0"/>
    <w:pPr>
      <w:spacing w:after="120"/>
      <w:outlineLvl w:val="2"/>
    </w:pPr>
    <w:rPr>
      <w:sz w:val="32"/>
      <w:szCs w:val="32"/>
    </w:rPr>
  </w:style>
  <w:style w:type="paragraph" w:styleId="Heading4">
    <w:name w:val="heading 4"/>
    <w:basedOn w:val="Normal"/>
    <w:uiPriority w:val="9"/>
    <w:unhideWhenUsed/>
    <w:qFormat/>
    <w:rsid w:val="00867916"/>
    <w:pPr>
      <w:spacing w:line="345" w:lineRule="exact"/>
      <w:outlineLvl w:val="3"/>
    </w:pPr>
    <w:rPr>
      <w:sz w:val="27"/>
      <w:szCs w:val="27"/>
    </w:rPr>
  </w:style>
  <w:style w:type="paragraph" w:styleId="Heading5">
    <w:name w:val="heading 5"/>
    <w:basedOn w:val="Normal"/>
    <w:uiPriority w:val="9"/>
    <w:unhideWhenUsed/>
    <w:qFormat/>
    <w:rsid w:val="00CA2CC1"/>
    <w:pPr>
      <w:spacing w:before="59"/>
      <w:outlineLvl w:val="4"/>
    </w:pPr>
    <w:rPr>
      <w:rFonts w:eastAsia="Times New Roman" w:cs="Times New Roman"/>
      <w:sz w:val="24"/>
      <w:szCs w:val="24"/>
    </w:rPr>
  </w:style>
  <w:style w:type="paragraph" w:styleId="Heading6">
    <w:name w:val="heading 6"/>
    <w:basedOn w:val="Normal"/>
    <w:uiPriority w:val="9"/>
    <w:unhideWhenUsed/>
    <w:qFormat/>
    <w:pPr>
      <w:ind w:left="715"/>
      <w:outlineLvl w:val="5"/>
    </w:pPr>
    <w:rPr>
      <w:rFonts w:ascii="Times New Roman" w:eastAsia="Times New Roman" w:hAnsi="Times New Roman" w:cs="Times New Roman"/>
      <w:sz w:val="23"/>
      <w:szCs w:val="23"/>
    </w:rPr>
  </w:style>
  <w:style w:type="paragraph" w:styleId="Heading7">
    <w:name w:val="heading 7"/>
    <w:basedOn w:val="Normal"/>
    <w:uiPriority w:val="1"/>
    <w:qFormat/>
    <w:rsid w:val="008011FC"/>
    <w:pPr>
      <w:outlineLvl w:val="6"/>
    </w:pPr>
    <w:rPr>
      <w:rFonts w:eastAsia="HelveticaNeueLTPro-Md" w:cs="HelveticaNeueLTPro-Md"/>
      <w:szCs w:val="20"/>
    </w:rPr>
  </w:style>
  <w:style w:type="paragraph" w:styleId="Heading8">
    <w:name w:val="heading 8"/>
    <w:basedOn w:val="Normal"/>
    <w:uiPriority w:val="1"/>
    <w:qFormat/>
    <w:pPr>
      <w:spacing w:before="24"/>
      <w:ind w:left="1427"/>
      <w:outlineLvl w:val="7"/>
    </w:pPr>
    <w:rPr>
      <w:rFonts w:eastAsia="Calibri" w:cs="Calibri"/>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07"/>
      <w:ind w:left="3316"/>
    </w:pPr>
    <w:rPr>
      <w:rFonts w:ascii="HelveticaNeueLTPro-Md" w:eastAsia="HelveticaNeueLTPro-Md" w:hAnsi="HelveticaNeueLTPro-Md" w:cs="HelveticaNeueLTPro-Md"/>
      <w:sz w:val="20"/>
      <w:szCs w:val="20"/>
    </w:rPr>
  </w:style>
  <w:style w:type="paragraph" w:styleId="TOC2">
    <w:name w:val="toc 2"/>
    <w:basedOn w:val="Normal"/>
    <w:uiPriority w:val="39"/>
    <w:qFormat/>
    <w:pPr>
      <w:spacing w:before="106"/>
      <w:ind w:left="3731" w:hanging="175"/>
    </w:pPr>
    <w:rPr>
      <w:sz w:val="20"/>
      <w:szCs w:val="20"/>
    </w:rPr>
  </w:style>
  <w:style w:type="paragraph" w:styleId="TOC3">
    <w:name w:val="toc 3"/>
    <w:basedOn w:val="Normal"/>
    <w:uiPriority w:val="1"/>
    <w:qFormat/>
    <w:pPr>
      <w:spacing w:before="4"/>
      <w:ind w:left="3732"/>
    </w:pPr>
    <w:rPr>
      <w:sz w:val="20"/>
      <w:szCs w:val="20"/>
    </w:rPr>
  </w:style>
  <w:style w:type="paragraph" w:styleId="BodyText">
    <w:name w:val="Body Text"/>
    <w:basedOn w:val="Normal"/>
    <w:uiPriority w:val="1"/>
    <w:qFormat/>
    <w:rsid w:val="004215A1"/>
    <w:pPr>
      <w:spacing w:before="86" w:after="60"/>
    </w:pPr>
    <w:rPr>
      <w:color w:val="000000" w:themeColor="text1"/>
      <w:szCs w:val="18"/>
    </w:rPr>
  </w:style>
  <w:style w:type="paragraph" w:styleId="Title">
    <w:name w:val="Title"/>
    <w:basedOn w:val="Normal"/>
    <w:link w:val="TitleChar"/>
    <w:uiPriority w:val="10"/>
    <w:qFormat/>
    <w:pPr>
      <w:spacing w:before="163"/>
      <w:ind w:left="3571" w:right="3424"/>
    </w:pPr>
    <w:rPr>
      <w:rFonts w:ascii="Times New Roman" w:eastAsia="Times New Roman" w:hAnsi="Times New Roman" w:cs="Times New Roman"/>
      <w:sz w:val="70"/>
      <w:szCs w:val="70"/>
    </w:rPr>
  </w:style>
  <w:style w:type="paragraph" w:styleId="ListParagraph">
    <w:name w:val="List Paragraph"/>
    <w:basedOn w:val="BodyText"/>
    <w:uiPriority w:val="34"/>
    <w:qFormat/>
    <w:rsid w:val="00EC2CB6"/>
    <w:pPr>
      <w:spacing w:before="55"/>
      <w:ind w:left="284" w:hanging="284"/>
    </w:pPr>
  </w:style>
  <w:style w:type="paragraph" w:customStyle="1" w:styleId="TableParagraph">
    <w:name w:val="Table Paragraph"/>
    <w:basedOn w:val="Normal"/>
    <w:uiPriority w:val="1"/>
    <w:qFormat/>
    <w:pPr>
      <w:jc w:val="right"/>
    </w:pPr>
  </w:style>
  <w:style w:type="paragraph" w:customStyle="1" w:styleId="BulletList1">
    <w:name w:val="Bullet List 1"/>
    <w:basedOn w:val="Normal"/>
    <w:uiPriority w:val="99"/>
    <w:rsid w:val="003058CE"/>
    <w:pPr>
      <w:widowControl/>
      <w:suppressAutoHyphens/>
      <w:adjustRightInd w:val="0"/>
      <w:spacing w:after="113" w:line="220" w:lineRule="atLeast"/>
      <w:ind w:left="283" w:hanging="283"/>
      <w:textAlignment w:val="center"/>
    </w:pPr>
    <w:rPr>
      <w:rFonts w:ascii="HelveticaNeueLT Pro 45 Lt" w:eastAsiaTheme="minorHAnsi" w:hAnsi="HelveticaNeueLT Pro 45 Lt" w:cs="HelveticaNeueLT Pro 45 Lt"/>
      <w:color w:val="3C3C3B"/>
      <w:sz w:val="18"/>
      <w:szCs w:val="18"/>
      <w:lang w:val="en-GB"/>
    </w:rPr>
  </w:style>
  <w:style w:type="paragraph" w:styleId="Header">
    <w:name w:val="header"/>
    <w:basedOn w:val="Normal"/>
    <w:link w:val="HeaderChar"/>
    <w:uiPriority w:val="99"/>
    <w:unhideWhenUsed/>
    <w:rsid w:val="00E63587"/>
    <w:pPr>
      <w:tabs>
        <w:tab w:val="center" w:pos="4513"/>
        <w:tab w:val="right" w:pos="9026"/>
      </w:tabs>
    </w:pPr>
  </w:style>
  <w:style w:type="character" w:customStyle="1" w:styleId="HeaderChar">
    <w:name w:val="Header Char"/>
    <w:basedOn w:val="DefaultParagraphFont"/>
    <w:link w:val="Header"/>
    <w:uiPriority w:val="99"/>
    <w:rsid w:val="00E63587"/>
    <w:rPr>
      <w:rFonts w:ascii="Calibri" w:eastAsia="Helvetica Neue LT Pro" w:hAnsi="Calibri" w:cs="Helvetica Neue LT Pro"/>
    </w:rPr>
  </w:style>
  <w:style w:type="paragraph" w:styleId="Footer">
    <w:name w:val="footer"/>
    <w:basedOn w:val="Normal"/>
    <w:link w:val="FooterChar"/>
    <w:uiPriority w:val="99"/>
    <w:unhideWhenUsed/>
    <w:rsid w:val="00E63587"/>
    <w:pPr>
      <w:tabs>
        <w:tab w:val="center" w:pos="4513"/>
        <w:tab w:val="right" w:pos="9026"/>
      </w:tabs>
    </w:pPr>
  </w:style>
  <w:style w:type="character" w:customStyle="1" w:styleId="FooterChar">
    <w:name w:val="Footer Char"/>
    <w:basedOn w:val="DefaultParagraphFont"/>
    <w:link w:val="Footer"/>
    <w:uiPriority w:val="99"/>
    <w:rsid w:val="00E63587"/>
    <w:rPr>
      <w:rFonts w:ascii="Calibri" w:eastAsia="Helvetica Neue LT Pro" w:hAnsi="Calibri" w:cs="Helvetica Neue LT Pro"/>
    </w:rPr>
  </w:style>
  <w:style w:type="numbering" w:customStyle="1" w:styleId="CurrentList1">
    <w:name w:val="Current List1"/>
    <w:uiPriority w:val="99"/>
    <w:rsid w:val="00C14ECA"/>
    <w:pPr>
      <w:numPr>
        <w:numId w:val="40"/>
      </w:numPr>
    </w:pPr>
  </w:style>
  <w:style w:type="numbering" w:customStyle="1" w:styleId="CurrentList2">
    <w:name w:val="Current List2"/>
    <w:uiPriority w:val="99"/>
    <w:rsid w:val="00C14ECA"/>
    <w:pPr>
      <w:numPr>
        <w:numId w:val="42"/>
      </w:numPr>
    </w:pPr>
  </w:style>
  <w:style w:type="numbering" w:customStyle="1" w:styleId="CurrentList3">
    <w:name w:val="Current List3"/>
    <w:uiPriority w:val="99"/>
    <w:rsid w:val="00C14ECA"/>
    <w:pPr>
      <w:numPr>
        <w:numId w:val="44"/>
      </w:numPr>
    </w:pPr>
  </w:style>
  <w:style w:type="character" w:customStyle="1" w:styleId="Heading1Char">
    <w:name w:val="Heading 1 Char"/>
    <w:basedOn w:val="DefaultParagraphFont"/>
    <w:link w:val="Heading1"/>
    <w:rsid w:val="00EE46AA"/>
    <w:rPr>
      <w:rFonts w:ascii="Calibri" w:eastAsia="Times New Roman" w:hAnsi="Calibri" w:cs="Times New Roman"/>
      <w:sz w:val="64"/>
      <w:szCs w:val="64"/>
    </w:rPr>
  </w:style>
  <w:style w:type="character" w:customStyle="1" w:styleId="Heading2Char">
    <w:name w:val="Heading 2 Char"/>
    <w:basedOn w:val="DefaultParagraphFont"/>
    <w:link w:val="Heading2"/>
    <w:rsid w:val="0066632D"/>
    <w:rPr>
      <w:rFonts w:ascii="Calibri" w:eastAsia="Times New Roman" w:hAnsi="Calibri" w:cs="Times New Roman"/>
      <w:sz w:val="48"/>
      <w:szCs w:val="48"/>
    </w:rPr>
  </w:style>
  <w:style w:type="character" w:customStyle="1" w:styleId="Heading3Char">
    <w:name w:val="Heading 3 Char"/>
    <w:basedOn w:val="DefaultParagraphFont"/>
    <w:link w:val="Heading3"/>
    <w:rsid w:val="00373ED9"/>
    <w:rPr>
      <w:rFonts w:ascii="Calibri" w:eastAsia="Helvetica Neue LT Pro" w:hAnsi="Calibri" w:cs="Helvetica Neue LT Pro"/>
      <w:sz w:val="32"/>
      <w:szCs w:val="32"/>
    </w:rPr>
  </w:style>
  <w:style w:type="character" w:styleId="Hyperlink">
    <w:name w:val="Hyperlink"/>
    <w:basedOn w:val="DefaultParagraphFont"/>
    <w:uiPriority w:val="99"/>
    <w:unhideWhenUsed/>
    <w:rsid w:val="00373ED9"/>
    <w:rPr>
      <w:color w:val="4F81BD" w:themeColor="accent1"/>
      <w:u w:val="single"/>
    </w:rPr>
  </w:style>
  <w:style w:type="paragraph" w:styleId="EndnoteText">
    <w:name w:val="endnote text"/>
    <w:basedOn w:val="Normal"/>
    <w:link w:val="EndnoteTextChar"/>
    <w:uiPriority w:val="99"/>
    <w:rsid w:val="00373ED9"/>
    <w:pPr>
      <w:widowControl/>
      <w:autoSpaceDE/>
      <w:autoSpaceDN/>
      <w:spacing w:before="84" w:after="84" w:line="190" w:lineRule="atLeast"/>
      <w:ind w:left="340" w:hanging="340"/>
    </w:pPr>
    <w:rPr>
      <w:rFonts w:asciiTheme="minorHAnsi" w:eastAsia="Times New Roman" w:hAnsiTheme="minorHAnsi" w:cs="Times New Roman"/>
      <w:color w:val="000000" w:themeColor="text1"/>
      <w:sz w:val="15"/>
      <w:szCs w:val="20"/>
      <w:lang w:val="en-AU" w:eastAsia="en-AU"/>
    </w:rPr>
  </w:style>
  <w:style w:type="character" w:customStyle="1" w:styleId="EndnoteTextChar">
    <w:name w:val="Endnote Text Char"/>
    <w:basedOn w:val="DefaultParagraphFont"/>
    <w:link w:val="EndnoteText"/>
    <w:uiPriority w:val="99"/>
    <w:rsid w:val="00373ED9"/>
    <w:rPr>
      <w:rFonts w:eastAsia="Times New Roman" w:cs="Times New Roman"/>
      <w:color w:val="000000" w:themeColor="text1"/>
      <w:sz w:val="15"/>
      <w:szCs w:val="20"/>
      <w:lang w:val="en-AU" w:eastAsia="en-AU"/>
    </w:rPr>
  </w:style>
  <w:style w:type="character" w:styleId="EndnoteReference">
    <w:name w:val="endnote reference"/>
    <w:basedOn w:val="DefaultParagraphFont"/>
    <w:uiPriority w:val="99"/>
    <w:unhideWhenUsed/>
    <w:rsid w:val="00373ED9"/>
    <w:rPr>
      <w:vertAlign w:val="superscript"/>
    </w:rPr>
  </w:style>
  <w:style w:type="paragraph" w:customStyle="1" w:styleId="IVIntrotext">
    <w:name w:val="IV Intro text"/>
    <w:basedOn w:val="Normal"/>
    <w:next w:val="Normal"/>
    <w:qFormat/>
    <w:rsid w:val="00E05A64"/>
    <w:pPr>
      <w:widowControl/>
      <w:autoSpaceDE/>
      <w:autoSpaceDN/>
      <w:spacing w:before="230" w:after="390" w:line="280" w:lineRule="atLeast"/>
      <w:ind w:right="567"/>
    </w:pPr>
    <w:rPr>
      <w:rFonts w:eastAsia="Times New Roman" w:cs="Times New Roman"/>
      <w:color w:val="1F497D" w:themeColor="text2"/>
      <w:sz w:val="24"/>
      <w:szCs w:val="20"/>
      <w:lang w:val="en-AU" w:eastAsia="en-AU"/>
    </w:rPr>
  </w:style>
  <w:style w:type="paragraph" w:customStyle="1" w:styleId="IVBodyText">
    <w:name w:val="IV Body Text"/>
    <w:basedOn w:val="Normal"/>
    <w:qFormat/>
    <w:rsid w:val="00E05A64"/>
    <w:pPr>
      <w:widowControl/>
      <w:autoSpaceDE/>
      <w:autoSpaceDN/>
      <w:spacing w:before="230" w:after="230" w:line="250" w:lineRule="atLeast"/>
    </w:pPr>
    <w:rPr>
      <w:rFonts w:asciiTheme="minorHAnsi" w:eastAsia="Times New Roman" w:hAnsiTheme="minorHAnsi" w:cs="Times New Roman"/>
      <w:color w:val="000000" w:themeColor="text1"/>
      <w:szCs w:val="20"/>
      <w:lang w:val="en-AU" w:eastAsia="en-AU"/>
    </w:rPr>
  </w:style>
  <w:style w:type="paragraph" w:customStyle="1" w:styleId="IVBullet">
    <w:name w:val="IV Bullet"/>
    <w:basedOn w:val="IVBodyText"/>
    <w:qFormat/>
    <w:rsid w:val="00373ED9"/>
    <w:pPr>
      <w:numPr>
        <w:numId w:val="47"/>
      </w:numPr>
      <w:spacing w:before="110" w:after="110"/>
    </w:pPr>
  </w:style>
  <w:style w:type="paragraph" w:customStyle="1" w:styleId="IVBulletLevel2">
    <w:name w:val="IV Bullet Level 2"/>
    <w:basedOn w:val="IVBullet"/>
    <w:qFormat/>
    <w:rsid w:val="00373ED9"/>
    <w:pPr>
      <w:numPr>
        <w:ilvl w:val="1"/>
      </w:numPr>
    </w:pPr>
  </w:style>
  <w:style w:type="paragraph" w:customStyle="1" w:styleId="IVBulletLevel2Last">
    <w:name w:val="IV Bullet Level 2 Last"/>
    <w:basedOn w:val="IVBulletLevel2"/>
    <w:qFormat/>
    <w:rsid w:val="00373ED9"/>
    <w:pPr>
      <w:spacing w:after="230"/>
    </w:pPr>
  </w:style>
  <w:style w:type="paragraph" w:customStyle="1" w:styleId="IVSectionHeading">
    <w:name w:val="IV Section Heading"/>
    <w:basedOn w:val="Header"/>
    <w:next w:val="Normal"/>
    <w:rsid w:val="00373ED9"/>
    <w:pPr>
      <w:widowControl/>
      <w:pBdr>
        <w:bottom w:val="single" w:sz="4" w:space="25" w:color="FFFFFF" w:themeColor="background1"/>
      </w:pBdr>
      <w:tabs>
        <w:tab w:val="clear" w:pos="4513"/>
        <w:tab w:val="clear" w:pos="9026"/>
        <w:tab w:val="left" w:pos="1860"/>
        <w:tab w:val="left" w:pos="2730"/>
      </w:tabs>
      <w:autoSpaceDE/>
      <w:autoSpaceDN/>
      <w:spacing w:line="840" w:lineRule="exact"/>
      <w:ind w:right="3969"/>
      <w:contextualSpacing/>
      <w:outlineLvl w:val="0"/>
    </w:pPr>
    <w:rPr>
      <w:rFonts w:asciiTheme="majorHAnsi" w:eastAsia="Times New Roman" w:hAnsiTheme="majorHAnsi" w:cs="Times New Roman"/>
      <w:color w:val="000000" w:themeColor="text1"/>
      <w:sz w:val="80"/>
      <w:szCs w:val="20"/>
      <w:lang w:val="en-AU" w:eastAsia="en-AU"/>
    </w:rPr>
  </w:style>
  <w:style w:type="numbering" w:customStyle="1" w:styleId="HangingList">
    <w:name w:val="HangingList"/>
    <w:uiPriority w:val="99"/>
    <w:rsid w:val="00373ED9"/>
    <w:pPr>
      <w:numPr>
        <w:numId w:val="48"/>
      </w:numPr>
    </w:pPr>
  </w:style>
  <w:style w:type="paragraph" w:customStyle="1" w:styleId="IVTableHeading">
    <w:name w:val="IV Table Heading"/>
    <w:basedOn w:val="IVBodyText"/>
    <w:qFormat/>
    <w:rsid w:val="00373ED9"/>
    <w:pPr>
      <w:spacing w:before="380" w:after="160"/>
    </w:pPr>
    <w:rPr>
      <w:b/>
      <w:color w:val="1F497D" w:themeColor="text2"/>
      <w:sz w:val="23"/>
      <w:szCs w:val="23"/>
    </w:rPr>
  </w:style>
  <w:style w:type="table" w:styleId="TableGrid">
    <w:name w:val="Table Grid"/>
    <w:basedOn w:val="TableNormal"/>
    <w:rsid w:val="00373ED9"/>
    <w:pPr>
      <w:widowControl/>
      <w:autoSpaceDE/>
      <w:autoSpaceDN/>
      <w:spacing w:line="220" w:lineRule="atLeast"/>
    </w:pPr>
    <w:rPr>
      <w:rFonts w:eastAsia="Times New Roman" w:cs="Times New Roman"/>
      <w:color w:val="000000" w:themeColor="text1"/>
      <w:spacing w:val="-1"/>
      <w:sz w:val="18"/>
      <w:szCs w:val="20"/>
      <w:lang w:val="en-AU" w:eastAsia="en-AU"/>
    </w:rPr>
    <w:tblPr>
      <w:tblStyleRowBandSize w:val="1"/>
      <w:tblStyleColBandSize w:val="1"/>
      <w:tblCellMar>
        <w:top w:w="125" w:type="dxa"/>
        <w:left w:w="68" w:type="dxa"/>
        <w:bottom w:w="125" w:type="dxa"/>
        <w:right w:w="68" w:type="dxa"/>
      </w:tblCellMar>
    </w:tblPr>
    <w:tcPr>
      <w:shd w:val="clear" w:color="auto" w:fill="auto"/>
    </w:tcPr>
    <w:tblStylePr w:type="firstRow">
      <w:pPr>
        <w:wordWrap/>
        <w:spacing w:beforeLines="0" w:before="0" w:beforeAutospacing="0" w:afterLines="0" w:after="0" w:afterAutospacing="0" w:line="220" w:lineRule="atLeast"/>
      </w:pPr>
      <w:rPr>
        <w:b/>
        <w:color w:val="000000" w:themeColor="text1"/>
        <w:sz w:val="18"/>
      </w:rPr>
      <w:tblPr>
        <w:tblCellMar>
          <w:top w:w="170" w:type="dxa"/>
          <w:left w:w="68" w:type="dxa"/>
          <w:bottom w:w="170" w:type="dxa"/>
          <w:right w:w="68" w:type="dxa"/>
        </w:tblCellMar>
      </w:tblPr>
      <w:trPr>
        <w:tblHeader/>
      </w:trPr>
      <w:tcPr>
        <w:tcBorders>
          <w:top w:val="single" w:sz="4" w:space="0" w:color="1F497D" w:themeColor="text2"/>
          <w:left w:val="nil"/>
          <w:bottom w:val="single" w:sz="8" w:space="0" w:color="000000" w:themeColor="text1"/>
          <w:right w:val="nil"/>
          <w:insideH w:val="nil"/>
          <w:insideV w:val="nil"/>
          <w:tl2br w:val="nil"/>
          <w:tr2bl w:val="nil"/>
        </w:tcBorders>
      </w:tcPr>
    </w:tblStylePr>
    <w:tblStylePr w:type="band1Vert">
      <w:tblPr/>
      <w:tcPr>
        <w:tcBorders>
          <w:top w:val="nil"/>
          <w:left w:val="nil"/>
          <w:bottom w:val="nil"/>
          <w:right w:val="nil"/>
          <w:insideH w:val="nil"/>
          <w:insideV w:val="nil"/>
          <w:tl2br w:val="nil"/>
          <w:tr2bl w:val="nil"/>
        </w:tcBorders>
      </w:tcPr>
    </w:tblStylePr>
    <w:tblStylePr w:type="band2Vert">
      <w:tblPr/>
      <w:tcPr>
        <w:shd w:val="clear" w:color="auto" w:fill="EEECE1" w:themeFill="background2"/>
      </w:tcPr>
    </w:tblStylePr>
    <w:tblStylePr w:type="band1Horz">
      <w:tblPr/>
      <w:tcPr>
        <w:tcBorders>
          <w:top w:val="nil"/>
          <w:left w:val="nil"/>
          <w:bottom w:val="nil"/>
          <w:right w:val="nil"/>
          <w:insideH w:val="nil"/>
          <w:insideV w:val="nil"/>
          <w:tl2br w:val="nil"/>
          <w:tr2bl w:val="nil"/>
        </w:tcBorders>
      </w:tcPr>
    </w:tblStylePr>
    <w:tblStylePr w:type="band2Horz">
      <w:tblPr/>
      <w:tcPr>
        <w:shd w:val="clear" w:color="auto" w:fill="EEECE1" w:themeFill="background2"/>
      </w:tcPr>
    </w:tblStylePr>
  </w:style>
  <w:style w:type="paragraph" w:customStyle="1" w:styleId="IVTabletext">
    <w:name w:val="IV Table text"/>
    <w:basedOn w:val="Normal"/>
    <w:qFormat/>
    <w:rsid w:val="00373ED9"/>
    <w:pPr>
      <w:widowControl/>
      <w:autoSpaceDE/>
      <w:autoSpaceDN/>
      <w:spacing w:before="60" w:after="60" w:line="220" w:lineRule="atLeast"/>
    </w:pPr>
    <w:rPr>
      <w:rFonts w:asciiTheme="minorHAnsi" w:eastAsia="Times New Roman" w:hAnsiTheme="minorHAnsi" w:cs="Times New Roman"/>
      <w:color w:val="000000" w:themeColor="text1"/>
      <w:sz w:val="18"/>
      <w:szCs w:val="20"/>
      <w:lang w:val="en-AU" w:eastAsia="en-AU"/>
    </w:rPr>
  </w:style>
  <w:style w:type="paragraph" w:customStyle="1" w:styleId="IVFigureSource">
    <w:name w:val="IV Figure Source"/>
    <w:basedOn w:val="Normal"/>
    <w:qFormat/>
    <w:rsid w:val="00373ED9"/>
    <w:pPr>
      <w:widowControl/>
      <w:autoSpaceDE/>
      <w:autoSpaceDN/>
      <w:spacing w:before="120" w:after="180" w:line="200" w:lineRule="atLeast"/>
    </w:pPr>
    <w:rPr>
      <w:rFonts w:asciiTheme="minorHAnsi" w:eastAsia="Times New Roman" w:hAnsiTheme="minorHAnsi" w:cs="Times New Roman"/>
      <w:color w:val="75787A"/>
      <w:sz w:val="16"/>
      <w:szCs w:val="20"/>
      <w:lang w:val="en-AU" w:eastAsia="en-AU"/>
    </w:rPr>
  </w:style>
  <w:style w:type="character" w:customStyle="1" w:styleId="normaltextrun">
    <w:name w:val="normaltextrun"/>
    <w:basedOn w:val="DefaultParagraphFont"/>
    <w:rsid w:val="00373ED9"/>
  </w:style>
  <w:style w:type="paragraph" w:styleId="Caption">
    <w:name w:val="caption"/>
    <w:basedOn w:val="Normal"/>
    <w:next w:val="Normal"/>
    <w:uiPriority w:val="99"/>
    <w:rsid w:val="00373ED9"/>
    <w:pPr>
      <w:widowControl/>
      <w:tabs>
        <w:tab w:val="left" w:pos="964"/>
      </w:tabs>
      <w:autoSpaceDE/>
      <w:autoSpaceDN/>
      <w:spacing w:before="120" w:after="120" w:line="250" w:lineRule="atLeast"/>
      <w:ind w:left="964" w:hanging="964"/>
    </w:pPr>
    <w:rPr>
      <w:rFonts w:asciiTheme="minorHAnsi" w:eastAsia="Times New Roman" w:hAnsiTheme="minorHAnsi" w:cs="Times New Roman"/>
      <w:b/>
      <w:color w:val="000000" w:themeColor="text1"/>
      <w:sz w:val="20"/>
      <w:szCs w:val="20"/>
      <w:lang w:val="en-AU" w:eastAsia="en-AU"/>
    </w:rPr>
  </w:style>
  <w:style w:type="character" w:styleId="CommentReference">
    <w:name w:val="annotation reference"/>
    <w:basedOn w:val="DefaultParagraphFont"/>
    <w:uiPriority w:val="99"/>
    <w:semiHidden/>
    <w:unhideWhenUsed/>
    <w:rsid w:val="00373ED9"/>
    <w:rPr>
      <w:sz w:val="16"/>
      <w:szCs w:val="16"/>
    </w:rPr>
  </w:style>
  <w:style w:type="paragraph" w:styleId="CommentText">
    <w:name w:val="annotation text"/>
    <w:basedOn w:val="Normal"/>
    <w:link w:val="CommentTextChar"/>
    <w:uiPriority w:val="99"/>
    <w:unhideWhenUsed/>
    <w:rsid w:val="00373ED9"/>
    <w:pPr>
      <w:widowControl/>
      <w:autoSpaceDE/>
      <w:autoSpaceDN/>
      <w:spacing w:before="230" w:after="230"/>
    </w:pPr>
    <w:rPr>
      <w:rFonts w:asciiTheme="minorHAnsi" w:eastAsia="Times New Roman" w:hAnsiTheme="minorHAnsi" w:cs="Times New Roman"/>
      <w:color w:val="000000" w:themeColor="text1"/>
      <w:sz w:val="20"/>
      <w:szCs w:val="20"/>
      <w:lang w:val="en-AU" w:eastAsia="en-AU"/>
    </w:rPr>
  </w:style>
  <w:style w:type="character" w:customStyle="1" w:styleId="CommentTextChar">
    <w:name w:val="Comment Text Char"/>
    <w:basedOn w:val="DefaultParagraphFont"/>
    <w:link w:val="CommentText"/>
    <w:uiPriority w:val="99"/>
    <w:rsid w:val="00373ED9"/>
    <w:rPr>
      <w:rFonts w:eastAsia="Times New Roman" w:cs="Times New Roman"/>
      <w:color w:val="000000" w:themeColor="text1"/>
      <w:sz w:val="20"/>
      <w:szCs w:val="20"/>
      <w:lang w:val="en-AU" w:eastAsia="en-AU"/>
    </w:rPr>
  </w:style>
  <w:style w:type="paragraph" w:styleId="CommentSubject">
    <w:name w:val="annotation subject"/>
    <w:basedOn w:val="CommentText"/>
    <w:next w:val="CommentText"/>
    <w:link w:val="CommentSubjectChar"/>
    <w:uiPriority w:val="99"/>
    <w:semiHidden/>
    <w:unhideWhenUsed/>
    <w:rsid w:val="00373ED9"/>
    <w:rPr>
      <w:b/>
      <w:bCs/>
    </w:rPr>
  </w:style>
  <w:style w:type="character" w:customStyle="1" w:styleId="CommentSubjectChar">
    <w:name w:val="Comment Subject Char"/>
    <w:basedOn w:val="CommentTextChar"/>
    <w:link w:val="CommentSubject"/>
    <w:uiPriority w:val="99"/>
    <w:semiHidden/>
    <w:rsid w:val="00373ED9"/>
    <w:rPr>
      <w:rFonts w:eastAsia="Times New Roman" w:cs="Times New Roman"/>
      <w:b/>
      <w:bCs/>
      <w:color w:val="000000" w:themeColor="text1"/>
      <w:sz w:val="20"/>
      <w:szCs w:val="20"/>
      <w:lang w:val="en-AU" w:eastAsia="en-AU"/>
    </w:rPr>
  </w:style>
  <w:style w:type="paragraph" w:styleId="Revision">
    <w:name w:val="Revision"/>
    <w:hidden/>
    <w:uiPriority w:val="99"/>
    <w:semiHidden/>
    <w:rsid w:val="00373ED9"/>
    <w:pPr>
      <w:widowControl/>
      <w:autoSpaceDE/>
      <w:autoSpaceDN/>
    </w:pPr>
    <w:rPr>
      <w:rFonts w:eastAsia="Times New Roman" w:cs="Times New Roman"/>
      <w:color w:val="000000" w:themeColor="text1"/>
      <w:sz w:val="20"/>
      <w:szCs w:val="20"/>
      <w:lang w:val="en-AU" w:eastAsia="en-AU"/>
    </w:rPr>
  </w:style>
  <w:style w:type="character" w:styleId="UnresolvedMention">
    <w:name w:val="Unresolved Mention"/>
    <w:basedOn w:val="DefaultParagraphFont"/>
    <w:uiPriority w:val="99"/>
    <w:unhideWhenUsed/>
    <w:rsid w:val="00373ED9"/>
    <w:rPr>
      <w:color w:val="605E5C"/>
      <w:shd w:val="clear" w:color="auto" w:fill="E1DFDD"/>
    </w:rPr>
  </w:style>
  <w:style w:type="character" w:styleId="FollowedHyperlink">
    <w:name w:val="FollowedHyperlink"/>
    <w:basedOn w:val="DefaultParagraphFont"/>
    <w:uiPriority w:val="99"/>
    <w:semiHidden/>
    <w:unhideWhenUsed/>
    <w:rsid w:val="00373ED9"/>
    <w:rPr>
      <w:color w:val="800080" w:themeColor="followedHyperlink"/>
      <w:u w:val="single"/>
    </w:rPr>
  </w:style>
  <w:style w:type="character" w:customStyle="1" w:styleId="TitleChar">
    <w:name w:val="Title Char"/>
    <w:basedOn w:val="DefaultParagraphFont"/>
    <w:link w:val="Title"/>
    <w:uiPriority w:val="10"/>
    <w:rsid w:val="00373ED9"/>
    <w:rPr>
      <w:rFonts w:ascii="Times New Roman" w:eastAsia="Times New Roman" w:hAnsi="Times New Roman" w:cs="Times New Roman"/>
      <w:sz w:val="70"/>
      <w:szCs w:val="70"/>
    </w:rPr>
  </w:style>
  <w:style w:type="character" w:styleId="Mention">
    <w:name w:val="Mention"/>
    <w:basedOn w:val="DefaultParagraphFont"/>
    <w:uiPriority w:val="99"/>
    <w:unhideWhenUsed/>
    <w:rsid w:val="00373ED9"/>
    <w:rPr>
      <w:color w:val="2B579A"/>
      <w:shd w:val="clear" w:color="auto" w:fill="E1DFDD"/>
    </w:rPr>
  </w:style>
  <w:style w:type="character" w:styleId="Emphasis">
    <w:name w:val="Emphasis"/>
    <w:basedOn w:val="DefaultParagraphFont"/>
    <w:uiPriority w:val="20"/>
    <w:qFormat/>
    <w:rsid w:val="00373ED9"/>
    <w:rPr>
      <w:i/>
      <w:iCs/>
    </w:rPr>
  </w:style>
  <w:style w:type="paragraph" w:customStyle="1" w:styleId="AAEndNote">
    <w:name w:val="AAEndNote"/>
    <w:basedOn w:val="EndnoteText"/>
    <w:link w:val="AAEndNoteChar"/>
    <w:uiPriority w:val="3"/>
    <w:rsid w:val="00373ED9"/>
  </w:style>
  <w:style w:type="character" w:customStyle="1" w:styleId="AAEndNoteChar">
    <w:name w:val="AAEndNote Char"/>
    <w:basedOn w:val="EndnoteTextChar"/>
    <w:link w:val="AAEndNote"/>
    <w:uiPriority w:val="3"/>
    <w:rsid w:val="00373ED9"/>
    <w:rPr>
      <w:rFonts w:eastAsia="Times New Roman" w:cs="Times New Roman"/>
      <w:color w:val="000000" w:themeColor="text1"/>
      <w:sz w:val="15"/>
      <w:szCs w:val="20"/>
      <w:lang w:val="en-AU" w:eastAsia="en-AU"/>
    </w:rPr>
  </w:style>
  <w:style w:type="paragraph" w:styleId="NormalWeb">
    <w:name w:val="Normal (Web)"/>
    <w:basedOn w:val="Normal"/>
    <w:uiPriority w:val="99"/>
    <w:semiHidden/>
    <w:unhideWhenUsed/>
    <w:rsid w:val="00373ED9"/>
    <w:pPr>
      <w:widowControl/>
      <w:autoSpaceDE/>
      <w:autoSpaceDN/>
      <w:spacing w:before="100" w:beforeAutospacing="1" w:after="100" w:afterAutospacing="1"/>
    </w:pPr>
    <w:rPr>
      <w:rFonts w:ascii="Times New Roman" w:eastAsia="Times New Roman" w:hAnsi="Times New Roman" w:cs="Times New Roman"/>
      <w:sz w:val="24"/>
      <w:szCs w:val="24"/>
      <w:lang w:val="en-AU" w:eastAsia="en-AU"/>
    </w:rPr>
  </w:style>
  <w:style w:type="character" w:customStyle="1" w:styleId="contentpasted5">
    <w:name w:val="contentpasted5"/>
    <w:basedOn w:val="DefaultParagraphFont"/>
    <w:rsid w:val="00373ED9"/>
  </w:style>
  <w:style w:type="paragraph" w:styleId="FootnoteText">
    <w:name w:val="footnote text"/>
    <w:basedOn w:val="Normal"/>
    <w:link w:val="FootnoteTextChar"/>
    <w:uiPriority w:val="99"/>
    <w:semiHidden/>
    <w:unhideWhenUsed/>
    <w:rsid w:val="00373ED9"/>
    <w:pPr>
      <w:widowControl/>
      <w:autoSpaceDE/>
      <w:autoSpaceDN/>
    </w:pPr>
    <w:rPr>
      <w:rFonts w:asciiTheme="minorHAnsi" w:eastAsia="Times New Roman" w:hAnsiTheme="minorHAnsi" w:cs="Times New Roman"/>
      <w:color w:val="000000" w:themeColor="text1"/>
      <w:sz w:val="20"/>
      <w:szCs w:val="20"/>
      <w:lang w:val="en-AU" w:eastAsia="en-AU"/>
    </w:rPr>
  </w:style>
  <w:style w:type="character" w:customStyle="1" w:styleId="FootnoteTextChar">
    <w:name w:val="Footnote Text Char"/>
    <w:basedOn w:val="DefaultParagraphFont"/>
    <w:link w:val="FootnoteText"/>
    <w:uiPriority w:val="99"/>
    <w:semiHidden/>
    <w:rsid w:val="00373ED9"/>
    <w:rPr>
      <w:rFonts w:eastAsia="Times New Roman" w:cs="Times New Roman"/>
      <w:color w:val="000000" w:themeColor="text1"/>
      <w:sz w:val="20"/>
      <w:szCs w:val="20"/>
      <w:lang w:val="en-AU" w:eastAsia="en-AU"/>
    </w:rPr>
  </w:style>
  <w:style w:type="character" w:styleId="FootnoteReference">
    <w:name w:val="footnote reference"/>
    <w:basedOn w:val="DefaultParagraphFont"/>
    <w:uiPriority w:val="99"/>
    <w:semiHidden/>
    <w:unhideWhenUsed/>
    <w:rsid w:val="00373ED9"/>
    <w:rPr>
      <w:vertAlign w:val="superscript"/>
    </w:rPr>
  </w:style>
  <w:style w:type="paragraph" w:customStyle="1" w:styleId="Default">
    <w:name w:val="Default"/>
    <w:rsid w:val="00373ED9"/>
    <w:pPr>
      <w:widowControl/>
      <w:adjustRightInd w:val="0"/>
    </w:pPr>
    <w:rPr>
      <w:rFonts w:ascii="HelveticaNeueLT Std Lt" w:hAnsi="HelveticaNeueLT Std Lt" w:cs="HelveticaNeueLT Std Lt"/>
      <w:color w:val="000000"/>
      <w:sz w:val="24"/>
      <w:szCs w:val="24"/>
      <w:lang w:val="en-AU"/>
    </w:rPr>
  </w:style>
  <w:style w:type="numbering" w:customStyle="1" w:styleId="CurrentList4">
    <w:name w:val="Current List4"/>
    <w:uiPriority w:val="99"/>
    <w:rsid w:val="004C6101"/>
    <w:pPr>
      <w:numPr>
        <w:numId w:val="62"/>
      </w:numPr>
    </w:pPr>
  </w:style>
  <w:style w:type="paragraph" w:customStyle="1" w:styleId="Pa48">
    <w:name w:val="Pa48"/>
    <w:basedOn w:val="Default"/>
    <w:next w:val="Default"/>
    <w:uiPriority w:val="99"/>
    <w:rsid w:val="009B6516"/>
    <w:pPr>
      <w:spacing w:line="171" w:lineRule="atLeast"/>
    </w:pPr>
    <w:rPr>
      <w:rFonts w:ascii="HelveticaNeueLT Pro 65 Md" w:hAnsi="HelveticaNeueLT Pro 65 Md" w:cstheme="minorBidi"/>
      <w:color w:val="auto"/>
      <w:lang w:val="en-GB"/>
    </w:rPr>
  </w:style>
  <w:style w:type="numbering" w:customStyle="1" w:styleId="CurrentList5">
    <w:name w:val="Current List5"/>
    <w:uiPriority w:val="99"/>
    <w:rsid w:val="00BA6CAE"/>
    <w:pPr>
      <w:numPr>
        <w:numId w:val="69"/>
      </w:numPr>
    </w:pPr>
  </w:style>
  <w:style w:type="paragraph" w:customStyle="1" w:styleId="Pa3">
    <w:name w:val="Pa3"/>
    <w:basedOn w:val="Default"/>
    <w:next w:val="Default"/>
    <w:uiPriority w:val="99"/>
    <w:rsid w:val="00AC69A6"/>
    <w:pPr>
      <w:spacing w:line="181" w:lineRule="atLeast"/>
    </w:pPr>
    <w:rPr>
      <w:rFonts w:ascii="HelveticaNeueLT Pro 45 Lt" w:hAnsi="HelveticaNeueLT Pro 45 Lt" w:cstheme="minorBidi"/>
      <w:color w:val="auto"/>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infrastructurevictoria.com.au/project/our-home-choices/" TargetMode="External"/><Relationship Id="rId18" Type="http://schemas.openxmlformats.org/officeDocument/2006/relationships/hyperlink" Target="https://www.infrastructurevictoria.com.au/project/next-stop-community-insights-into-melbournes-buses/" TargetMode="External"/><Relationship Id="rId26" Type="http://schemas.openxmlformats.org/officeDocument/2006/relationships/hyperlink" Target="https://www.energy.vic.gov.au/gas/victorias-gas-substitution-roadmap" TargetMode="External"/><Relationship Id="rId39" Type="http://schemas.openxmlformats.org/officeDocument/2006/relationships/image" Target="media/image8.png"/><Relationship Id="rId21" Type="http://schemas.openxmlformats.org/officeDocument/2006/relationships/image" Target="media/image3.jpeg"/><Relationship Id="rId34" Type="http://schemas.openxmlformats.org/officeDocument/2006/relationships/hyperlink" Target="http://www.infrastructurevictoria.com.au/" TargetMode="External"/><Relationship Id="rId42" Type="http://schemas.openxmlformats.org/officeDocument/2006/relationships/image" Target="media/image1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nfrastructurevictoria.com.au/project/making-the-most-of-melbournes-buses/" TargetMode="External"/><Relationship Id="rId20" Type="http://schemas.openxmlformats.org/officeDocument/2006/relationships/image" Target="media/image2.jpeg"/><Relationship Id="rId29" Type="http://schemas.openxmlformats.org/officeDocument/2006/relationships/hyperlink" Target="https://www.infrastructurevictoria.com.au/project/advice-on-opportunities-to-reduce-greenhouse-gas-emissions-of-victorian-government-infrastructure/" TargetMode="External"/><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frastructurevictoria.com.au/project/our-home-choices/" TargetMode="External"/><Relationship Id="rId24" Type="http://schemas.openxmlformats.org/officeDocument/2006/relationships/hyperlink" Target="https://www.infrastructurevictoria.com.au/report/towards-2050-gas-infrastructure-in-a-net-zero-emissions-economy/" TargetMode="External"/><Relationship Id="rId32" Type="http://schemas.openxmlformats.org/officeDocument/2006/relationships/image" Target="media/image6.png"/><Relationship Id="rId37" Type="http://schemas.openxmlformats.org/officeDocument/2006/relationships/hyperlink" Target="https://monashhealth.org/latest-news/2023/02/19/monash-healths-victorian-heart-hospital-officially-launches/" TargetMode="External"/><Relationship Id="rId40" Type="http://schemas.openxmlformats.org/officeDocument/2006/relationships/hyperlink" Target="https://monashhealth.org/latest-news/2023/02/19/monash-healths-victorian-heart-hospital-officially-launches/" TargetMode="External"/><Relationship Id="rId5" Type="http://schemas.openxmlformats.org/officeDocument/2006/relationships/webSettings" Target="webSettings.xml"/><Relationship Id="rId15" Type="http://schemas.openxmlformats.org/officeDocument/2006/relationships/hyperlink" Target="https://www.infrastructurevictoria.com.au/project/making-the-most-of-melbournes-buses/" TargetMode="External"/><Relationship Id="rId23" Type="http://schemas.openxmlformats.org/officeDocument/2006/relationships/hyperlink" Target="https://www.infrastructurevictoria.com.au/project/infrastructure-victoria-advice-on-gas-infrastructure/" TargetMode="External"/><Relationship Id="rId28" Type="http://schemas.openxmlformats.org/officeDocument/2006/relationships/image" Target="media/image5.jpeg"/><Relationship Id="rId36" Type="http://schemas.openxmlformats.org/officeDocument/2006/relationships/hyperlink" Target="https://www.dtf.vic.gov.au/infrastructure-plan" TargetMode="External"/><Relationship Id="rId10" Type="http://schemas.openxmlformats.org/officeDocument/2006/relationships/hyperlink" Target="https://www.infrastructurevictoria.com.au/project/our-home-choices/" TargetMode="External"/><Relationship Id="rId19" Type="http://schemas.openxmlformats.org/officeDocument/2006/relationships/image" Target="media/image1.jpeg"/><Relationship Id="rId31" Type="http://schemas.openxmlformats.org/officeDocument/2006/relationships/hyperlink" Target="https://www.infrastructurevictoria.com.au/project/advice-on-opportunities-to-reduce-greenhouse-gas-emissions-of-victorian-government-infrastructure/"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infrastructurevictoria.com.au/project/our-home-choices/" TargetMode="External"/><Relationship Id="rId14" Type="http://schemas.openxmlformats.org/officeDocument/2006/relationships/hyperlink" Target="https://www.infrastructurevictoria.com.au/project/our-home-choices/" TargetMode="External"/><Relationship Id="rId22" Type="http://schemas.openxmlformats.org/officeDocument/2006/relationships/hyperlink" Target="https://www.infrastructurevictoria.com.au/project/infrastructure-victoria-advice-on-gas-infrastructure/" TargetMode="External"/><Relationship Id="rId27" Type="http://schemas.openxmlformats.org/officeDocument/2006/relationships/image" Target="media/image4.png"/><Relationship Id="rId30" Type="http://schemas.openxmlformats.org/officeDocument/2006/relationships/hyperlink" Target="https://www.infrastructurevictoria.com.au/project/advice-on-opportunities-to-reduce-greenhouse-gas-emissions-of-victorian-government-infrastructure/" TargetMode="External"/><Relationship Id="rId35" Type="http://schemas.openxmlformats.org/officeDocument/2006/relationships/hyperlink" Target="https://www.infrastructurevictoria.com.au/victorias-infrastructure-strategy-2021-2051-home/" TargetMode="External"/><Relationship Id="rId43" Type="http://schemas.openxmlformats.org/officeDocument/2006/relationships/fontTable" Target="fontTable.xml"/><Relationship Id="rId8" Type="http://schemas.openxmlformats.org/officeDocument/2006/relationships/hyperlink" Target="https://www.infrastructurevictoria.com.au/project/our-home-choices/" TargetMode="External"/><Relationship Id="rId3" Type="http://schemas.openxmlformats.org/officeDocument/2006/relationships/styles" Target="styles.xml"/><Relationship Id="rId12" Type="http://schemas.openxmlformats.org/officeDocument/2006/relationships/hyperlink" Target="https://www.infrastructurevictoria.com.au/project/our-home-choices/" TargetMode="External"/><Relationship Id="rId17" Type="http://schemas.openxmlformats.org/officeDocument/2006/relationships/hyperlink" Target="https://www.infrastructurevictoria.com.au/project/next-stop-community-insights-into-melbournes-buses/" TargetMode="External"/><Relationship Id="rId25" Type="http://schemas.openxmlformats.org/officeDocument/2006/relationships/hyperlink" Target="https://www.infrastructurevictoria.com.au/report/towards-2050-gas-infrastructure-in-a-net-zero-emissions-economy/" TargetMode="External"/><Relationship Id="rId33" Type="http://schemas.openxmlformats.org/officeDocument/2006/relationships/hyperlink" Target="http://www.ovic.vic.gov.au/" TargetMode="External"/><Relationship Id="rId38" Type="http://schemas.openxmlformats.org/officeDocument/2006/relationships/image" Target="media/image7.png"/></Relationships>
</file>

<file path=word/_rels/endnotes.xml.rels><?xml version="1.0" encoding="UTF-8" standalone="yes"?>
<Relationships xmlns="http://schemas.openxmlformats.org/package/2006/relationships"><Relationship Id="rId117" Type="http://schemas.openxmlformats.org/officeDocument/2006/relationships/hyperlink" Target="https://s3.ap-southeast-2.amazonaws.com/budgetfiles202324.budget.vic.gov.au/2023-24+State+Budget+-+Service+Delivery.pdf" TargetMode="External"/><Relationship Id="rId671" Type="http://schemas.openxmlformats.org/officeDocument/2006/relationships/hyperlink" Target="https://www.infrastructurevictoria.com.au/victorias-infrastructure-strategy-2021-2051-home/" TargetMode="External"/><Relationship Id="rId769" Type="http://schemas.openxmlformats.org/officeDocument/2006/relationships/hyperlink" Target="https://www.water.vic.gov.au/planning/long-term-assessments-and-strategies/northern" TargetMode="External"/><Relationship Id="rId21" Type="http://schemas.openxmlformats.org/officeDocument/2006/relationships/hyperlink" Target="https://s3.ap-southeast-2.amazonaws.com/budgetfiles202324.budget.vic.gov.au/2023-24+State+Budget+-+Service+Delivery.pdf" TargetMode="External"/><Relationship Id="rId324" Type="http://schemas.openxmlformats.org/officeDocument/2006/relationships/hyperlink" Target="https://www.dtf.vic.gov.au/state-financial-data-sets/departmental-statements" TargetMode="External"/><Relationship Id="rId531" Type="http://schemas.openxmlformats.org/officeDocument/2006/relationships/hyperlink" Target="https://www.budget.vic.gov.au/budget-papers" TargetMode="External"/><Relationship Id="rId629" Type="http://schemas.openxmlformats.org/officeDocument/2006/relationships/hyperlink" Target="https://s3.ap-southeast-2.amazonaws.com/budgetfiles202324.budget.vic.gov.au/2023-24+State+Budget+-+Service+Delivery.pdf" TargetMode="External"/><Relationship Id="rId170" Type="http://schemas.openxmlformats.org/officeDocument/2006/relationships/hyperlink" Target="https://www.premier.vic.gov.au/union-station-opening-marks-major-level-crossing-milestone" TargetMode="External"/><Relationship Id="rId268" Type="http://schemas.openxmlformats.org/officeDocument/2006/relationships/hyperlink" Target="https://sport.vic.gov.au/grants-and-funding/our-grants/world-game-facilities-fund" TargetMode="External"/><Relationship Id="rId475" Type="http://schemas.openxmlformats.org/officeDocument/2006/relationships/hyperlink" Target="https://www.budget.vic.gov.au/budget-papers" TargetMode="External"/><Relationship Id="rId682" Type="http://schemas.openxmlformats.org/officeDocument/2006/relationships/hyperlink" Target="https://csba.vic.gov.au/our-projects/cherry-creek-youth-justice-centre" TargetMode="External"/><Relationship Id="rId32" Type="http://schemas.openxmlformats.org/officeDocument/2006/relationships/hyperlink" Target="https://www.dtf.vic.gov.au/economic-and-financial-updates/2022-victorian-economic-and-fiscal-update" TargetMode="External"/><Relationship Id="rId128" Type="http://schemas.openxmlformats.org/officeDocument/2006/relationships/hyperlink" Target="https://www.budget.vic.gov.au/budget-papers" TargetMode="External"/><Relationship Id="rId335" Type="http://schemas.openxmlformats.org/officeDocument/2006/relationships/hyperlink" Target="https://www.premier.vic.gov.au/swabs-away-wearable-tech-gives-instant-covid-check" TargetMode="External"/><Relationship Id="rId542" Type="http://schemas.openxmlformats.org/officeDocument/2006/relationships/hyperlink" Target="https://www.vic.gov.au/establishment-recycling-victoria" TargetMode="External"/><Relationship Id="rId181" Type="http://schemas.openxmlformats.org/officeDocument/2006/relationships/hyperlink" Target="https://www.premier.vic.gov.au/delivering-more-station-car-parks-across-state" TargetMode="External"/><Relationship Id="rId402" Type="http://schemas.openxmlformats.org/officeDocument/2006/relationships/hyperlink" Target="https://s3.ap-southeast-2.amazonaws.com/budgetfiles202324.budget.vic.gov.au/2023-24+State+Budget+-+Service+Delivery.pdf" TargetMode="External"/><Relationship Id="rId279" Type="http://schemas.openxmlformats.org/officeDocument/2006/relationships/hyperlink" Target="https://s3.ap-southeast-2.amazonaws.com/Budget%20files202223.Budget%20.vic.gov.au/2022-23+State+Budget%20+-+Service+Delivery.pdf" TargetMode="External"/><Relationship Id="rId486" Type="http://schemas.openxmlformats.org/officeDocument/2006/relationships/hyperlink" Target="https://s3.ap-southeast-2.amazonaws.com/budgetfiles202324.budget.vic.gov.au/2023-24+State+Budget+-+Service+Delivery.pdf" TargetMode="External"/><Relationship Id="rId693" Type="http://schemas.openxmlformats.org/officeDocument/2006/relationships/hyperlink" Target="https://www.audit.vic.gov.au/report/administration-victorian-courts?section=%27" TargetMode="External"/><Relationship Id="rId707" Type="http://schemas.openxmlformats.org/officeDocument/2006/relationships/hyperlink" Target="https://s3.ap-southeast-2.amazonaws.com/budgetfiles202324.budget.vic.gov.au/2023-24+State+Budget+-+Service+Delivery.pdf" TargetMode="External"/><Relationship Id="rId43" Type="http://schemas.openxmlformats.org/officeDocument/2006/relationships/hyperlink" Target="https://www.dtf.vic.gov.au/economic-and-financial-updates/2022-victorian-economic-and-fiscal-update" TargetMode="External"/><Relationship Id="rId139" Type="http://schemas.openxmlformats.org/officeDocument/2006/relationships/hyperlink" Target="https://www.budget.vic.gov.au/budget-papers" TargetMode="External"/><Relationship Id="rId346" Type="http://schemas.openxmlformats.org/officeDocument/2006/relationships/hyperlink" Target="https://www.budget.vic.gov.au/budget-papers" TargetMode="External"/><Relationship Id="rId553" Type="http://schemas.openxmlformats.org/officeDocument/2006/relationships/hyperlink" Target="https://www.sustainability.vic.gov.au/recycling-and-reducing-waste/in-a-business-2/single-use-plastics-ban-centre/new-regulations-for-single-use-plastics" TargetMode="External"/><Relationship Id="rId760" Type="http://schemas.openxmlformats.org/officeDocument/2006/relationships/hyperlink" Target="https://www.vic.gov.au/fire-services-reform" TargetMode="External"/><Relationship Id="rId192" Type="http://schemas.openxmlformats.org/officeDocument/2006/relationships/hyperlink" Target="https://www.premier.vic.gov.au/first-electric-buses-hit-road-sunbury" TargetMode="External"/><Relationship Id="rId206" Type="http://schemas.openxmlformats.org/officeDocument/2006/relationships/hyperlink" Target="https://bigbuild.vic.gov.au/projects/metro-tunnel/about/technology/high-capacity-signalling" TargetMode="External"/><Relationship Id="rId413" Type="http://schemas.openxmlformats.org/officeDocument/2006/relationships/hyperlink" Target="https://www.premier.vic.gov.au/doing-what-matters-bringing-back-sec" TargetMode="External"/><Relationship Id="rId497" Type="http://schemas.openxmlformats.org/officeDocument/2006/relationships/hyperlink" Target="https://www.asbec.asn.au/research-items/issues-paper-reshaping-infrastructure-for-a-net-zero-emissions-future/" TargetMode="External"/><Relationship Id="rId620" Type="http://schemas.openxmlformats.org/officeDocument/2006/relationships/hyperlink" Target="https://www.vhba.vic.gov.au/news/designs-released-and-construction-progressing-new-casey-early-parenting-centre" TargetMode="External"/><Relationship Id="rId718" Type="http://schemas.openxmlformats.org/officeDocument/2006/relationships/hyperlink" Target="https://www.premier.vic.gov.au/new-driver-distraction-cameras-switched" TargetMode="External"/><Relationship Id="rId357" Type="http://schemas.openxmlformats.org/officeDocument/2006/relationships/hyperlink" Target="https://www.budget.vic.gov.au/budget-papers" TargetMode="External"/><Relationship Id="rId54" Type="http://schemas.openxmlformats.org/officeDocument/2006/relationships/hyperlink" Target="https://www.premier.vic.gov.au/works-start-world-class-broadmeadows-training-centre" TargetMode="External"/><Relationship Id="rId217" Type="http://schemas.openxmlformats.org/officeDocument/2006/relationships/hyperlink" Target="https://smarterroads.vic.gov.au/vicroads/smarter-roads/updates?pview=745eddf4-e59c-4159-8e6f-41f7ed767eb6" TargetMode="External"/><Relationship Id="rId564" Type="http://schemas.openxmlformats.org/officeDocument/2006/relationships/hyperlink" Target="https://www.dtf.vic.gov.au/economic-and-financial-updates/2022-victorian-economic-and-fiscal-update" TargetMode="External"/><Relationship Id="rId771" Type="http://schemas.openxmlformats.org/officeDocument/2006/relationships/hyperlink" Target="https://www.premier.vic.gov.au/water-life-part-victorias-water-future" TargetMode="External"/><Relationship Id="rId424" Type="http://schemas.openxmlformats.org/officeDocument/2006/relationships/hyperlink" Target="https://engage.vic.gov.au/victorias-offshore-wind-policy-directions-paper-developing-the-offshore-wind-sector" TargetMode="External"/><Relationship Id="rId631" Type="http://schemas.openxmlformats.org/officeDocument/2006/relationships/hyperlink" Target="https://www.budget.vic.gov.au/budget-papers" TargetMode="External"/><Relationship Id="rId729" Type="http://schemas.openxmlformats.org/officeDocument/2006/relationships/hyperlink" Target="https://www.infrastructurevictoria.com.au/victorias-infrastructure-strategy-2021-2051-home/" TargetMode="External"/><Relationship Id="rId270" Type="http://schemas.openxmlformats.org/officeDocument/2006/relationships/hyperlink" Target="https://www.premier.vic.gov.au/bulldogs-home-revamp-underway" TargetMode="External"/><Relationship Id="rId65" Type="http://schemas.openxmlformats.org/officeDocument/2006/relationships/hyperlink" Target="https://www.premier.vic.gov.au/more-vlocity-trains-keep-victorians-moving" TargetMode="External"/><Relationship Id="rId130" Type="http://schemas.openxmlformats.org/officeDocument/2006/relationships/hyperlink" Target="https://www.dtf.vic.gov.au/infrastructure-plan" TargetMode="External"/><Relationship Id="rId368" Type="http://schemas.openxmlformats.org/officeDocument/2006/relationships/hyperlink" Target="https://www.schoolbuildings.vic.gov.au/building-blocks-grants-improvement" TargetMode="External"/><Relationship Id="rId575" Type="http://schemas.openxmlformats.org/officeDocument/2006/relationships/hyperlink" Target="https://s3.ap-southeast-2.amazonaws.com/budgetfiles202324.budget.vic.gov.au/2023-24+State+Budget+-+State+Capital+Program.pdf" TargetMode="External"/><Relationship Id="rId782" Type="http://schemas.openxmlformats.org/officeDocument/2006/relationships/hyperlink" Target="https://www.water.vic.gov.au/planning/environmental-contributions/fifth-tranche-of-the-environmental-contribution/2021-22/macalister-irrigation-district-modernisation-project" TargetMode="External"/><Relationship Id="rId228" Type="http://schemas.openxmlformats.org/officeDocument/2006/relationships/hyperlink" Target="https://www.development.vic.gov.au/news/geelong-a-step-closer-to-new-sports-venues-for-games" TargetMode="External"/><Relationship Id="rId435" Type="http://schemas.openxmlformats.org/officeDocument/2006/relationships/hyperlink" Target="https://www.infrastructurevictoria.com.au/report/towards-2050-gas-infrastructure-in-a-net-zero-emissions-economy/" TargetMode="External"/><Relationship Id="rId642" Type="http://schemas.openxmlformats.org/officeDocument/2006/relationships/hyperlink" Target="https://www.premier.vic.gov.au/providing-affordable-housing-more-victorians" TargetMode="External"/><Relationship Id="rId281" Type="http://schemas.openxmlformats.org/officeDocument/2006/relationships/hyperlink" Target="https://www.rdv.vic.gov.au/grants-and-programs/living-local-regional-fund" TargetMode="External"/><Relationship Id="rId502" Type="http://schemas.openxmlformats.org/officeDocument/2006/relationships/hyperlink" Target="https://www.premier.vic.gov.au/setting-ambitious-emissions-reduction-target" TargetMode="External"/><Relationship Id="rId76" Type="http://schemas.openxmlformats.org/officeDocument/2006/relationships/hyperlink" Target="https://www.premier.vic.gov.au/water-life-part-victorias-water-future" TargetMode="External"/><Relationship Id="rId141" Type="http://schemas.openxmlformats.org/officeDocument/2006/relationships/hyperlink" Target="https://bigbuild.vic.gov.au/news/west-gate-tunnel-project/biggest-tbms-in-the-southern-hemisphere-complete-journey-on-west-gate-tunnels" TargetMode="External"/><Relationship Id="rId379" Type="http://schemas.openxmlformats.org/officeDocument/2006/relationships/hyperlink" Target="https://www.energy.vic.gov.au/for-households/victorian-energy-upgrades-for-households" TargetMode="External"/><Relationship Id="rId586" Type="http://schemas.openxmlformats.org/officeDocument/2006/relationships/hyperlink" Target="https://www.budget.vic.gov.au/budget-papers" TargetMode="External"/><Relationship Id="rId793" Type="http://schemas.openxmlformats.org/officeDocument/2006/relationships/hyperlink" Target="https://www.infrastructurevictoria.com.au/victorias-infrastructure-strategy-2021-2051-home/" TargetMode="External"/><Relationship Id="rId7" Type="http://schemas.openxmlformats.org/officeDocument/2006/relationships/hyperlink" Target="https://www.ses.vic.gov.au/news-and-media/community-matters" TargetMode="External"/><Relationship Id="rId239" Type="http://schemas.openxmlformats.org/officeDocument/2006/relationships/hyperlink" Target="https://djsir.vic.gov.au/priorities-and-initiatives/visitor-economy-recovery-and-reform-plan" TargetMode="External"/><Relationship Id="rId446" Type="http://schemas.openxmlformats.org/officeDocument/2006/relationships/hyperlink" Target="https://s3.ap-southeast-2.amazonaws.com/budgetfiles202324.budget.vic.gov.au/2023-24+State+Budget+-+Service+Delivery.pdf" TargetMode="External"/><Relationship Id="rId653" Type="http://schemas.openxmlformats.org/officeDocument/2006/relationships/hyperlink" Target="https://www.infrastructurevictoria.com.au/victorias-infrastructure-strategy-2021-2051-home/" TargetMode="External"/><Relationship Id="rId292" Type="http://schemas.openxmlformats.org/officeDocument/2006/relationships/hyperlink" Target="https://www.premier.vic.gov.au/land-acquired-new-school-melbournes-outer-west" TargetMode="External"/><Relationship Id="rId306" Type="http://schemas.openxmlformats.org/officeDocument/2006/relationships/hyperlink" Target="https://www.schoolbuildings.vic.gov.au/kindergartens-or-next-door-schools" TargetMode="External"/><Relationship Id="rId87" Type="http://schemas.openxmlformats.org/officeDocument/2006/relationships/hyperlink" Target="https://minister.infrastructure.gov.au/c-king/media-release/securing-australias-120-billion-nation-building-infrastructure-pipeline" TargetMode="External"/><Relationship Id="rId513" Type="http://schemas.openxmlformats.org/officeDocument/2006/relationships/hyperlink" Target="https://www.budget.vic.gov.au/budget-papers" TargetMode="External"/><Relationship Id="rId597" Type="http://schemas.openxmlformats.org/officeDocument/2006/relationships/hyperlink" Target="https://www.pc.gov.au/inquiries/completed/productivity-review/report/productivity-review-supporting5.pdf" TargetMode="External"/><Relationship Id="rId720" Type="http://schemas.openxmlformats.org/officeDocument/2006/relationships/hyperlink" Target="https://www.premier.vic.gov.au/new-driver-distraction-cameras-switched" TargetMode="External"/><Relationship Id="rId152" Type="http://schemas.openxmlformats.org/officeDocument/2006/relationships/hyperlink" Target="https://www.budget.vic.gov.au/budget-papers" TargetMode="External"/><Relationship Id="rId457" Type="http://schemas.openxmlformats.org/officeDocument/2006/relationships/hyperlink" Target="https://www.budget.vic.gov.au/budget-papers" TargetMode="External"/><Relationship Id="rId664" Type="http://schemas.openxmlformats.org/officeDocument/2006/relationships/hyperlink" Target="https://www.fvrim.vic.gov.au/report-family-violence-reform-implementation-monitor-1-november-2020" TargetMode="External"/><Relationship Id="rId14" Type="http://schemas.openxmlformats.org/officeDocument/2006/relationships/hyperlink" Target="https://www.climatechange.vic.gov.au/climate-action-targets" TargetMode="External"/><Relationship Id="rId317" Type="http://schemas.openxmlformats.org/officeDocument/2006/relationships/hyperlink" Target="https://s3.ap-southeast-2.amazonaws.com/Budget%20files202223.Budget%20.vic.gov.au/2022-23+State+Budget%20+-+Service+Delivery.pdf" TargetMode="External"/><Relationship Id="rId524" Type="http://schemas.openxmlformats.org/officeDocument/2006/relationships/hyperlink" Target="https://www.treasury.nsw.gov.au/finance-resource/guidelines-cost-benefit-analysis" TargetMode="External"/><Relationship Id="rId731" Type="http://schemas.openxmlformats.org/officeDocument/2006/relationships/hyperlink" Target="https://www.ses.vic.gov.au/news-and-media/community-matters" TargetMode="External"/><Relationship Id="rId98" Type="http://schemas.openxmlformats.org/officeDocument/2006/relationships/hyperlink" Target="https://s3.ap-southeast-2.amazonaws.com/budgetfiles202324.budget.vic.gov.au/2023-24+State+Budget+-+Service+Delivery.pdf" TargetMode="External"/><Relationship Id="rId163" Type="http://schemas.openxmlformats.org/officeDocument/2006/relationships/hyperlink" Target="https://www.tac.vic.gov.au/road-safety/statistics/lives-lost-annual" TargetMode="External"/><Relationship Id="rId370" Type="http://schemas.openxmlformats.org/officeDocument/2006/relationships/hyperlink" Target="https://s3.ap-southeast-2.amazonaws.com/budgetfiles202324.budget.vic.gov.au/2023-24+State+Budget+-+Service+Delivery.pdf" TargetMode="External"/><Relationship Id="rId230" Type="http://schemas.openxmlformats.org/officeDocument/2006/relationships/hyperlink" Target="https://www.revitalisingcentralgeelong.vic.gov.au/projects/underway-projects/laneway-breakthroughs" TargetMode="External"/><Relationship Id="rId468" Type="http://schemas.openxmlformats.org/officeDocument/2006/relationships/hyperlink" Target="https://www.infrastructurevictoria.com.au/victorias-infrastructure-strategy-2021-2051-home/" TargetMode="External"/><Relationship Id="rId675" Type="http://schemas.openxmlformats.org/officeDocument/2006/relationships/hyperlink" Target="https://csba.vic.gov.au/our-projects/western-plains-correctional-centre" TargetMode="External"/><Relationship Id="rId25" Type="http://schemas.openxmlformats.org/officeDocument/2006/relationships/hyperlink" Target="https://s3.ap-southeast-2.amazonaws.com/budgetfiles202324.budget.vic.gov.au/2023-24+State+Budget+-+Service+Delivery.pdf" TargetMode="External"/><Relationship Id="rId328" Type="http://schemas.openxmlformats.org/officeDocument/2006/relationships/hyperlink" Target="https://www.vic.gov.au/climate-change-adaptation-action-plan-department-education-and-training" TargetMode="External"/><Relationship Id="rId535" Type="http://schemas.openxmlformats.org/officeDocument/2006/relationships/hyperlink" Target="https://engage.vic.gov.au/sorting-household-recycling" TargetMode="External"/><Relationship Id="rId742" Type="http://schemas.openxmlformats.org/officeDocument/2006/relationships/hyperlink" Target="https://www.vic.gov.au/bushfire-recovery-grants-community-facilities" TargetMode="External"/><Relationship Id="rId174" Type="http://schemas.openxmlformats.org/officeDocument/2006/relationships/hyperlink" Target="https://www.premier.vic.gov.au/more-vlocity-trains-keep-victorians-moving" TargetMode="External"/><Relationship Id="rId381" Type="http://schemas.openxmlformats.org/officeDocument/2006/relationships/hyperlink" Target="https://www.budget.vic.gov.au/budget-papers" TargetMode="External"/><Relationship Id="rId602" Type="http://schemas.openxmlformats.org/officeDocument/2006/relationships/hyperlink" Target="https://www.premier.vic.gov.au/marking-two-years-critical-mental-health-reform" TargetMode="External"/><Relationship Id="rId241" Type="http://schemas.openxmlformats.org/officeDocument/2006/relationships/hyperlink" Target="https://www.premier.vic.gov.au/more-fun-snow-visitors-mount-hotham" TargetMode="External"/><Relationship Id="rId479" Type="http://schemas.openxmlformats.org/officeDocument/2006/relationships/hyperlink" Target="https://www.parks.vic.gov.au/news/2023/05/31/23/08/three-new-parks-for-melbournes-growing-communities" TargetMode="External"/><Relationship Id="rId686" Type="http://schemas.openxmlformats.org/officeDocument/2006/relationships/hyperlink" Target="https://courts.vic.gov.au/about-csv/strategic-plan" TargetMode="External"/><Relationship Id="rId36" Type="http://schemas.openxmlformats.org/officeDocument/2006/relationships/hyperlink" Target="https://www.budget.vic.gov.au/budget-papers" TargetMode="External"/><Relationship Id="rId339" Type="http://schemas.openxmlformats.org/officeDocument/2006/relationships/hyperlink" Target="https://www2.education.vic.gov.au/pal/asset-management-planning/policy" TargetMode="External"/><Relationship Id="rId546" Type="http://schemas.openxmlformats.org/officeDocument/2006/relationships/hyperlink" Target="https://www.vic.gov.au/recycling-infrastructure-planning" TargetMode="External"/><Relationship Id="rId753" Type="http://schemas.openxmlformats.org/officeDocument/2006/relationships/hyperlink" Target="https://www.premier.vic.gov.au/more-heavy-tankers-our-hardworking-volunteers" TargetMode="External"/><Relationship Id="rId101" Type="http://schemas.openxmlformats.org/officeDocument/2006/relationships/hyperlink" Target="https://www.budget.vic.gov.au/budget-papers" TargetMode="External"/><Relationship Id="rId185" Type="http://schemas.openxmlformats.org/officeDocument/2006/relationships/hyperlink" Target="https://www.premier.vic.gov.au/moving-more-freight-roads-rail" TargetMode="External"/><Relationship Id="rId406" Type="http://schemas.openxmlformats.org/officeDocument/2006/relationships/hyperlink" Target="https://engage.vic.gov.au/victorias-emergency-backstop-mechanism-for-rooftop-solar" TargetMode="External"/><Relationship Id="rId392" Type="http://schemas.openxmlformats.org/officeDocument/2006/relationships/hyperlink" Target="https://www.premier.vic.gov.au/ban-delivers-cheaper-energy-and-more-choice" TargetMode="External"/><Relationship Id="rId613" Type="http://schemas.openxmlformats.org/officeDocument/2006/relationships/hyperlink" Target="https://www.budget.vic.gov.au/budget-papers" TargetMode="External"/><Relationship Id="rId697" Type="http://schemas.openxmlformats.org/officeDocument/2006/relationships/hyperlink" Target="https://courts.vic.gov.au/projects/bendigo-law-courts-development/bendigo-law-courts-official-opening" TargetMode="External"/><Relationship Id="rId252" Type="http://schemas.openxmlformats.org/officeDocument/2006/relationships/hyperlink" Target="https://www.budget.vic.gov.au/budget-papers" TargetMode="External"/><Relationship Id="rId47" Type="http://schemas.openxmlformats.org/officeDocument/2006/relationships/hyperlink" Target="https://www.budget.vic.gov.au/budget-papers" TargetMode="External"/><Relationship Id="rId112" Type="http://schemas.openxmlformats.org/officeDocument/2006/relationships/hyperlink" Target="https://bigbuild.vic.gov.au/news/rail-projects-victoria/gap-road-reopens-to-traffic-ahead-of-schedule" TargetMode="External"/><Relationship Id="rId557" Type="http://schemas.openxmlformats.org/officeDocument/2006/relationships/hyperlink" Target="https://www.infrastructurevictoria.com.au/project/advice-on-waste-infrastructure-in-victoria/" TargetMode="External"/><Relationship Id="rId764" Type="http://schemas.openxmlformats.org/officeDocument/2006/relationships/hyperlink" Target="https://s3.ap-southeast-2.amazonaws.com/budgetfiles202324.budget.vic.gov.au/2023-24+State+Budget+-+Service+Delivery.pdf" TargetMode="External"/><Relationship Id="rId196" Type="http://schemas.openxmlformats.org/officeDocument/2006/relationships/hyperlink" Target="https://www.premier.vic.gov.au/first-all-electric-bus-depot-powering-ahead" TargetMode="External"/><Relationship Id="rId417" Type="http://schemas.openxmlformats.org/officeDocument/2006/relationships/hyperlink" Target="https://www.energy.vic.gov.au/renewable-energy/victorian-renewable-energy-and-storage-targets" TargetMode="External"/><Relationship Id="rId624" Type="http://schemas.openxmlformats.org/officeDocument/2006/relationships/hyperlink" Target="https://www.health.vic.gov.au/infectious-disease-institute-a-step-closer" TargetMode="External"/><Relationship Id="rId263" Type="http://schemas.openxmlformats.org/officeDocument/2006/relationships/hyperlink" Target="https://www.premier.vic.gov.au/cash-kick-start-local-sports-infrastructure" TargetMode="External"/><Relationship Id="rId470" Type="http://schemas.openxmlformats.org/officeDocument/2006/relationships/hyperlink" Target="https://www.budget.vic.gov.au/budget-papers" TargetMode="External"/><Relationship Id="rId58" Type="http://schemas.openxmlformats.org/officeDocument/2006/relationships/hyperlink" Target="https://www.budget.vic.gov.au/budget-papers" TargetMode="External"/><Relationship Id="rId123" Type="http://schemas.openxmlformats.org/officeDocument/2006/relationships/hyperlink" Target="https://www.dtf.vic.gov.au/infrastructure-plan" TargetMode="External"/><Relationship Id="rId330" Type="http://schemas.openxmlformats.org/officeDocument/2006/relationships/hyperlink" Target="https://www.premier.vic.gov.au/world-class-facilities-transform-collingwood-tafe" TargetMode="External"/><Relationship Id="rId568" Type="http://schemas.openxmlformats.org/officeDocument/2006/relationships/hyperlink" Target="https://s3.ap-southeast-2.amazonaws.com/budgetfiles202324.budget.vic.gov.au/2023-24+State+Budget+-+Service+Delivery.pdf" TargetMode="External"/><Relationship Id="rId775" Type="http://schemas.openxmlformats.org/officeDocument/2006/relationships/hyperlink" Target="https://www.water.vic.gov.au/our-programs/water-monitoring-and-reporting/annual-water-outlook" TargetMode="External"/><Relationship Id="rId428" Type="http://schemas.openxmlformats.org/officeDocument/2006/relationships/hyperlink" Target="https://www.pm.gov.au/media/rewiring-nation-supercharge-victorian-renewables" TargetMode="External"/><Relationship Id="rId635" Type="http://schemas.openxmlformats.org/officeDocument/2006/relationships/hyperlink" Target="https://www.infrastructurevictoria.com.au/project/our-home-choices/" TargetMode="External"/><Relationship Id="rId274" Type="http://schemas.openxmlformats.org/officeDocument/2006/relationships/hyperlink" Target="https://www.dtf.vic.gov.au/state-financial-data-sets/departmental-statements" TargetMode="External"/><Relationship Id="rId481" Type="http://schemas.openxmlformats.org/officeDocument/2006/relationships/hyperlink" Target="https://new.parliament.vic.gov.au/get-involved/inquiries/be2023-24/questionnaires/" TargetMode="External"/><Relationship Id="rId702" Type="http://schemas.openxmlformats.org/officeDocument/2006/relationships/hyperlink" Target="https://www.premier.vic.gov.au/koori-court-officially-opens-wodonga" TargetMode="External"/><Relationship Id="rId69" Type="http://schemas.openxmlformats.org/officeDocument/2006/relationships/hyperlink" Target="https://www.infrastructurevictoria.com.au/victorias-infrastructure-strategy-2021-2051-home/" TargetMode="External"/><Relationship Id="rId134" Type="http://schemas.openxmlformats.org/officeDocument/2006/relationships/hyperlink" Target="https://minister.infrastructure.gov.au/c-king/media-release/securing-australias-120-billion-nation-building-infrastructure-pipeline" TargetMode="External"/><Relationship Id="rId579" Type="http://schemas.openxmlformats.org/officeDocument/2006/relationships/hyperlink" Target="https://www.budget.vic.gov.au/budget-papers" TargetMode="External"/><Relationship Id="rId786" Type="http://schemas.openxmlformats.org/officeDocument/2006/relationships/hyperlink" Target="https://www.water.vic.gov.au/__data/assets/pdf_file/0031/595813/20220912_CRGSWS_Final-Web.pdf" TargetMode="External"/><Relationship Id="rId341" Type="http://schemas.openxmlformats.org/officeDocument/2006/relationships/hyperlink" Target="https://s3.ap-southeast-2.amazonaws.com/budgetfiles202324.budget.vic.gov.au/2023-24+State+Budget+-+Service+Delivery.pdf" TargetMode="External"/><Relationship Id="rId439" Type="http://schemas.openxmlformats.org/officeDocument/2006/relationships/hyperlink" Target="https://www.abc.net.au/news/2019-11-30/tunnel-of-love-for-mountain-pygmy-possums/11753558" TargetMode="External"/><Relationship Id="rId646" Type="http://schemas.openxmlformats.org/officeDocument/2006/relationships/hyperlink" Target="https://www.homes.vic.gov.au/social-housing-growth-fund" TargetMode="External"/><Relationship Id="rId201" Type="http://schemas.openxmlformats.org/officeDocument/2006/relationships/hyperlink" Target="https://www.vicroads.vic.gov.au/safety-and-road-rules/e-scooters-in-victoria/e-scooter-trial" TargetMode="External"/><Relationship Id="rId285" Type="http://schemas.openxmlformats.org/officeDocument/2006/relationships/hyperlink" Target="https://www.infrastructurevictoria.com.au/victorias-infrastructure-strategy-2021-2051-home/" TargetMode="External"/><Relationship Id="rId506" Type="http://schemas.openxmlformats.org/officeDocument/2006/relationships/hyperlink" Target="https://www.climatechange.vic.gov.au/greenhouse-gas-emissions" TargetMode="External"/><Relationship Id="rId492" Type="http://schemas.openxmlformats.org/officeDocument/2006/relationships/hyperlink" Target="https://www.forestsandreserves.vic.gov.au/land-management/managing-crown-land/alpine-resorts" TargetMode="External"/><Relationship Id="rId713" Type="http://schemas.openxmlformats.org/officeDocument/2006/relationships/hyperlink" Target="https://www.infrastructurevictoria.com.au/victorias-infrastructure-strategy-2021-2051-home/" TargetMode="External"/><Relationship Id="rId797" Type="http://schemas.openxmlformats.org/officeDocument/2006/relationships/hyperlink" Target="https://engage.vic.gov.au/victorians-priorities-and-vision-for-the-future-of-our-waterways" TargetMode="External"/><Relationship Id="rId145" Type="http://schemas.openxmlformats.org/officeDocument/2006/relationships/hyperlink" Target="https://www.infrastructurevictoria.com.au/victorias-infrastructure-strategy-2021-2051-home/" TargetMode="External"/><Relationship Id="rId352" Type="http://schemas.openxmlformats.org/officeDocument/2006/relationships/hyperlink" Target="https://www.budget.vic.gov.au/budget-papers" TargetMode="External"/><Relationship Id="rId212" Type="http://schemas.openxmlformats.org/officeDocument/2006/relationships/hyperlink" Target="https://www.infrastructurevictoria.com.au/victorias-infrastructure-strategy-2021-2051-home/" TargetMode="External"/><Relationship Id="rId657" Type="http://schemas.openxmlformats.org/officeDocument/2006/relationships/hyperlink" Target="https://www.infrastructurevictoria.com.au/project/our-home-choices/" TargetMode="External"/><Relationship Id="rId296" Type="http://schemas.openxmlformats.org/officeDocument/2006/relationships/hyperlink" Target="https://www.budget.vic.gov.au/budget-papers" TargetMode="External"/><Relationship Id="rId517" Type="http://schemas.openxmlformats.org/officeDocument/2006/relationships/hyperlink" Target="https://www.marineandcoasts.vic.gov.au/marine-coastal-management/victorias-resilient-coast-adapting-for-2100" TargetMode="External"/><Relationship Id="rId724" Type="http://schemas.openxmlformats.org/officeDocument/2006/relationships/hyperlink" Target="https://itdashboard.digital.vic.gov.au/" TargetMode="External"/><Relationship Id="rId60" Type="http://schemas.openxmlformats.org/officeDocument/2006/relationships/hyperlink" Target="https://bigbuild.vic.gov.au/projects/level-crossing-removal-project" TargetMode="External"/><Relationship Id="rId156" Type="http://schemas.openxmlformats.org/officeDocument/2006/relationships/hyperlink" Target="https://www.budget.vic.gov.au/budget-papers" TargetMode="External"/><Relationship Id="rId363" Type="http://schemas.openxmlformats.org/officeDocument/2006/relationships/hyperlink" Target="https://www.dtf.vic.gov.au/economic-and-financial-updates/2022-victorian-economic-and-fiscal-update" TargetMode="External"/><Relationship Id="rId570" Type="http://schemas.openxmlformats.org/officeDocument/2006/relationships/hyperlink" Target="https://www.premier.vic.gov.au/new-taylors-lakes-ambulance-station-opens-its-doors" TargetMode="External"/><Relationship Id="rId223" Type="http://schemas.openxmlformats.org/officeDocument/2006/relationships/hyperlink" Target="https://www.development.vic.gov.au/news/major-milestone-for-melbourne-arts-precinct-transformation" TargetMode="External"/><Relationship Id="rId430" Type="http://schemas.openxmlformats.org/officeDocument/2006/relationships/hyperlink" Target="https://www.energy.vic.gov.au/renewable-energy/victorias-gas-substitution-roadmap" TargetMode="External"/><Relationship Id="rId668" Type="http://schemas.openxmlformats.org/officeDocument/2006/relationships/hyperlink" Target="https://www.nifvs.org.au/2022/10/24/new-specialist-family-violence-courts-gazetted/" TargetMode="External"/><Relationship Id="rId18" Type="http://schemas.openxmlformats.org/officeDocument/2006/relationships/hyperlink" Target="https://www.budget.vic.gov.au/budget-papers" TargetMode="External"/><Relationship Id="rId528" Type="http://schemas.openxmlformats.org/officeDocument/2006/relationships/hyperlink" Target="https://www.budget.vic.gov.au/budget-papers" TargetMode="External"/><Relationship Id="rId735" Type="http://schemas.openxmlformats.org/officeDocument/2006/relationships/hyperlink" Target="https://www.premier.vic.gov.au/helping-flood-affected-shepparton-residents-return-home" TargetMode="External"/><Relationship Id="rId167" Type="http://schemas.openxmlformats.org/officeDocument/2006/relationships/hyperlink" Target="https://bigbuild.vic.gov.au/projects/level-crossing-removal-project" TargetMode="External"/><Relationship Id="rId374" Type="http://schemas.openxmlformats.org/officeDocument/2006/relationships/hyperlink" Target="https://www.esc.vic.gov.au/electricity-and-gas/market-performance-and-reporting/victorian-energy-market-report" TargetMode="External"/><Relationship Id="rId581" Type="http://schemas.openxmlformats.org/officeDocument/2006/relationships/hyperlink" Target="https://www.infrastructurevictoria.com.au/victorias-infrastructure-strategy-2021-2051-home/" TargetMode="External"/><Relationship Id="rId71" Type="http://schemas.openxmlformats.org/officeDocument/2006/relationships/hyperlink" Target="https://www.water.vic.gov.au/planning/long-term-assessments-and-strategies/central-gipps-sws" TargetMode="External"/><Relationship Id="rId234" Type="http://schemas.openxmlformats.org/officeDocument/2006/relationships/hyperlink" Target="https://vicgov.sharepoint.com/sites/msteams_86d85b/Shared%20Documents/Annual%20Assessment%20Project/2022-23%20Document%20drafting/queenscliff-ferry-terminal-opens" TargetMode="External"/><Relationship Id="rId679" Type="http://schemas.openxmlformats.org/officeDocument/2006/relationships/hyperlink" Target="https://csba.vic.gov.au/our-projects/dame-phyllis-frost-centre" TargetMode="External"/><Relationship Id="rId802" Type="http://schemas.openxmlformats.org/officeDocument/2006/relationships/hyperlink" Target="https://s3.ap-southeast-2.amazonaws.com/budgetfiles202324.budget.vic.gov.au/2023-24+State+Budget+-+Service+Delivery.pdf" TargetMode="External"/><Relationship Id="rId2" Type="http://schemas.openxmlformats.org/officeDocument/2006/relationships/hyperlink" Target="https://www.un.org/en/desa/world-population-reach-8-billion-15-november-2022" TargetMode="External"/><Relationship Id="rId29" Type="http://schemas.openxmlformats.org/officeDocument/2006/relationships/hyperlink" Target="https://www.infrastructurevictoria.com.au/victorias-infrastructure-strategy-2021-2051-home/" TargetMode="External"/><Relationship Id="rId441" Type="http://schemas.openxmlformats.org/officeDocument/2006/relationships/hyperlink" Target="https://www.epa.vic.gov.au/for-community/environmental-information/water/stormwater/stormwater-pollution-types" TargetMode="External"/><Relationship Id="rId539" Type="http://schemas.openxmlformats.org/officeDocument/2006/relationships/hyperlink" Target="https://www.deeca.vic.gov.au/media-centre/media-releases/victorias-first-regional-plans-for-a-thriving-circular-economy" TargetMode="External"/><Relationship Id="rId746" Type="http://schemas.openxmlformats.org/officeDocument/2006/relationships/hyperlink" Target="https://www.budget.vic.gov.au/budget-papers" TargetMode="External"/><Relationship Id="rId178" Type="http://schemas.openxmlformats.org/officeDocument/2006/relationships/hyperlink" Target="https://carparks.vic.gov.au/about/" TargetMode="External"/><Relationship Id="rId301" Type="http://schemas.openxmlformats.org/officeDocument/2006/relationships/hyperlink" Target="https://www2.education.vic.gov.au/pal/community-use-schools-community-joint-use-agreements/policy" TargetMode="External"/><Relationship Id="rId82" Type="http://schemas.openxmlformats.org/officeDocument/2006/relationships/hyperlink" Target="https://www.infrastructurevictoria.com.au/victorias-infrastructure-strategy-2021-2051-home/" TargetMode="External"/><Relationship Id="rId385" Type="http://schemas.openxmlformats.org/officeDocument/2006/relationships/hyperlink" Target="https://www.solar.vic.gov.au/solar-business-program" TargetMode="External"/><Relationship Id="rId592" Type="http://schemas.openxmlformats.org/officeDocument/2006/relationships/hyperlink" Target="https://www.budget.vic.gov.au/budget-papers" TargetMode="External"/><Relationship Id="rId606" Type="http://schemas.openxmlformats.org/officeDocument/2006/relationships/hyperlink" Target="https://www.dhhs.vic.gov.au/about-us" TargetMode="External"/><Relationship Id="rId245" Type="http://schemas.openxmlformats.org/officeDocument/2006/relationships/hyperlink" Target="https://www.infrastructurevictoria.com.au/victorias-infrastructure-strategy-2021-2051-home/" TargetMode="External"/><Relationship Id="rId452" Type="http://schemas.openxmlformats.org/officeDocument/2006/relationships/hyperlink" Target="https://s3.ap-southeast-2.amazonaws.com/budgetfiles202324.budget.vic.gov.au/2023-24+State+Budget+-+Service+Delivery.pdf" TargetMode="External"/><Relationship Id="rId105" Type="http://schemas.openxmlformats.org/officeDocument/2006/relationships/hyperlink" Target="https://bigbuild.vic.gov.au/projects/mrpv/thompsons-road-and-berwick-cranbourne-road-intersection-upgrade" TargetMode="External"/><Relationship Id="rId312" Type="http://schemas.openxmlformats.org/officeDocument/2006/relationships/hyperlink" Target="https://www.infrastructurevictoria.com.au/victorias-infrastructure-strategy-2021-2051-home/" TargetMode="External"/><Relationship Id="rId757" Type="http://schemas.openxmlformats.org/officeDocument/2006/relationships/hyperlink" Target="https://www.emv.vic.gov.au/strategic-priorities/strategic-roadmap-2022-28" TargetMode="External"/><Relationship Id="rId93" Type="http://schemas.openxmlformats.org/officeDocument/2006/relationships/hyperlink" Target="https://s3.ap-southeast-2.amazonaws.com/budgetfiles202324.budget.vic.gov.au/2023-24+State+Budget+-+Service+Delivery.pdf" TargetMode="External"/><Relationship Id="rId189" Type="http://schemas.openxmlformats.org/officeDocument/2006/relationships/hyperlink" Target="https://www.infrastructurevictoria.com.au/victorias-infrastructure-strategy-2021-2051-home/" TargetMode="External"/><Relationship Id="rId396" Type="http://schemas.openxmlformats.org/officeDocument/2006/relationships/hyperlink" Target="https://www.infrastructurevictoria.com.au/victorias-infrastructure-strategy-2021-2051-home/" TargetMode="External"/><Relationship Id="rId617" Type="http://schemas.openxmlformats.org/officeDocument/2006/relationships/hyperlink" Target="https://s3.ap-southeast-2.amazonaws.com/budgetfiles202324.budget.vic.gov.au/2023-24+State+Budget+-+Service+Delivery.pdf" TargetMode="External"/><Relationship Id="rId256" Type="http://schemas.openxmlformats.org/officeDocument/2006/relationships/hyperlink" Target="https://www.aquaticsandrecreation.org.au/arv-services/victorian-public-pools-state-of-sector-report/" TargetMode="External"/><Relationship Id="rId463" Type="http://schemas.openxmlformats.org/officeDocument/2006/relationships/hyperlink" Target="https://www.infrastructurevictoria.com.au/victorias-infrastructure-strategy-2021-2051-home/" TargetMode="External"/><Relationship Id="rId670" Type="http://schemas.openxmlformats.org/officeDocument/2006/relationships/hyperlink" Target="https://www.infrastructurevictoria.com.au/victorias-infrastructure-strategy-2021-2051-home/" TargetMode="External"/><Relationship Id="rId116" Type="http://schemas.openxmlformats.org/officeDocument/2006/relationships/hyperlink" Target="https://www.budget.vic.gov.au/budget-papers" TargetMode="External"/><Relationship Id="rId323" Type="http://schemas.openxmlformats.org/officeDocument/2006/relationships/hyperlink" Target="https://s3.ap-southeast-2.amazonaws.com/budgetfiles202324.budget.vic.gov.au/2023-24+State+Budget+-+Service+Delivery.pdf" TargetMode="External"/><Relationship Id="rId530" Type="http://schemas.openxmlformats.org/officeDocument/2006/relationships/hyperlink" Target="https://www.vic.gov.au/building-victorias-circular-economy" TargetMode="External"/><Relationship Id="rId768" Type="http://schemas.openxmlformats.org/officeDocument/2006/relationships/hyperlink" Target="https://www.legislation.vic.gov.au/in-force/acts/water-act-1989/139" TargetMode="External"/><Relationship Id="rId20" Type="http://schemas.openxmlformats.org/officeDocument/2006/relationships/hyperlink" Target="https://www.budget.vic.gov.au/budget-papers" TargetMode="External"/><Relationship Id="rId628" Type="http://schemas.openxmlformats.org/officeDocument/2006/relationships/hyperlink" Target="https://www.budget.vic.gov.au/budget-papers" TargetMode="External"/><Relationship Id="rId267" Type="http://schemas.openxmlformats.org/officeDocument/2006/relationships/hyperlink" Target="https://www.premier.vic.gov.au/country-footy-and-netball-clubs-score-more-funding" TargetMode="External"/><Relationship Id="rId474" Type="http://schemas.openxmlformats.org/officeDocument/2006/relationships/hyperlink" Target="https://s3.ap-southeast-2.amazonaws.com/budgetfiles202324.budget.vic.gov.au/2023-24+State+Budget+-+Service+Delivery.pdf" TargetMode="External"/><Relationship Id="rId127" Type="http://schemas.openxmlformats.org/officeDocument/2006/relationships/hyperlink" Target="https://s3.ap-southeast-2.amazonaws.com/budgetfiles202324.budget.vic.gov.au/2023-24+State+Budget+-+Service+Delivery.pdf" TargetMode="External"/><Relationship Id="rId681" Type="http://schemas.openxmlformats.org/officeDocument/2006/relationships/hyperlink" Target="https://csba.vic.gov.au/our-projects/cherry-creek-youth-justice-centre" TargetMode="External"/><Relationship Id="rId779" Type="http://schemas.openxmlformats.org/officeDocument/2006/relationships/hyperlink" Target="https://www.esc.vic.gov.au/water/sector-performance-and-reporting/water-performance-reports" TargetMode="External"/><Relationship Id="rId31" Type="http://schemas.openxmlformats.org/officeDocument/2006/relationships/hyperlink" Target="https://s3.ap-southeast-2.amazonaws.com/budgetfiles202324.budget.vic.gov.au/2023-24+State+Budget+-+State+Capital+Program.pdf" TargetMode="External"/><Relationship Id="rId334" Type="http://schemas.openxmlformats.org/officeDocument/2006/relationships/hyperlink" Target="https://www.premier.vic.gov.au/supporting-victorian-universities" TargetMode="External"/><Relationship Id="rId541" Type="http://schemas.openxmlformats.org/officeDocument/2006/relationships/hyperlink" Target="https://www.vic.gov.au/gippsland-regional-circular-economy-plan" TargetMode="External"/><Relationship Id="rId639" Type="http://schemas.openxmlformats.org/officeDocument/2006/relationships/hyperlink" Target="https://www.budget.vic.gov.au/budget-papers" TargetMode="External"/><Relationship Id="rId180" Type="http://schemas.openxmlformats.org/officeDocument/2006/relationships/hyperlink" Target="https://carparks.vic.gov.au/about/" TargetMode="External"/><Relationship Id="rId278" Type="http://schemas.openxmlformats.org/officeDocument/2006/relationships/hyperlink" Target="https://www.budget.vic.gov.au/budget-papers" TargetMode="External"/><Relationship Id="rId401" Type="http://schemas.openxmlformats.org/officeDocument/2006/relationships/hyperlink" Target="https://www.budget.vic.gov.au/budget-papers" TargetMode="External"/><Relationship Id="rId485" Type="http://schemas.openxmlformats.org/officeDocument/2006/relationships/hyperlink" Target="https://www.budget.vic.gov.au/budget-papers" TargetMode="External"/><Relationship Id="rId692" Type="http://schemas.openxmlformats.org/officeDocument/2006/relationships/hyperlink" Target="https://www.audit.vic.gov.au/report/administration-victorian-courts?section=%27" TargetMode="External"/><Relationship Id="rId706" Type="http://schemas.openxmlformats.org/officeDocument/2006/relationships/hyperlink" Target="https://www.budget.vic.gov.au/budget-papers" TargetMode="External"/><Relationship Id="rId42" Type="http://schemas.openxmlformats.org/officeDocument/2006/relationships/hyperlink" Target="https://www.vic.gov.au/best-start-victoria" TargetMode="External"/><Relationship Id="rId138" Type="http://schemas.openxmlformats.org/officeDocument/2006/relationships/hyperlink" Target="https://www.premier.vic.gov.au/new-station-melbournes-west-part-airport-rail" TargetMode="External"/><Relationship Id="rId345" Type="http://schemas.openxmlformats.org/officeDocument/2006/relationships/hyperlink" Target="https://s3.ap-southeast-2.amazonaws.com/budgetfiles202324.budget.vic.gov.au/2023-24+State+Budget+-+Service+Delivery.pdf" TargetMode="External"/><Relationship Id="rId552" Type="http://schemas.openxmlformats.org/officeDocument/2006/relationships/hyperlink" Target="https://www.sustainability.vic.gov.au/recycling-and-reducing-waste/in-a-business-2/single-use-plastics-ban-centre/new-regulations-for-single-use-plastics" TargetMode="External"/><Relationship Id="rId191" Type="http://schemas.openxmlformats.org/officeDocument/2006/relationships/hyperlink" Target="https://www.premier.vic.gov.au/first-electric-buses-hit-road-sunbury" TargetMode="External"/><Relationship Id="rId205" Type="http://schemas.openxmlformats.org/officeDocument/2006/relationships/hyperlink" Target="https://www.infrastructurevictoria.com.au/victorias-infrastructure-strategy-2021-2051-home/" TargetMode="External"/><Relationship Id="rId412" Type="http://schemas.openxmlformats.org/officeDocument/2006/relationships/hyperlink" Target="https://s3.ap-southeast-2.amazonaws.com/budgetfiles202324.budget.vic.gov.au/2023-24+State+Budget+-+Service+Delivery.pdf" TargetMode="External"/><Relationship Id="rId289" Type="http://schemas.openxmlformats.org/officeDocument/2006/relationships/hyperlink" Target="https://www.schoolbuildings.vic.gov.au/new-schools" TargetMode="External"/><Relationship Id="rId496" Type="http://schemas.openxmlformats.org/officeDocument/2006/relationships/hyperlink" Target="https://s3.ap-southeast-2.amazonaws.com/budgetfiles202324.budget.vic.gov.au/2023-24+State+Budget+-+Service+Delivery.pdf" TargetMode="External"/><Relationship Id="rId717" Type="http://schemas.openxmlformats.org/officeDocument/2006/relationships/hyperlink" Target="https://itdashboard.digital.vic.gov.au/" TargetMode="External"/><Relationship Id="rId53" Type="http://schemas.openxmlformats.org/officeDocument/2006/relationships/hyperlink" Target="https://www.premier.vic.gov.au/world-class-facilities-transform-collingwood-tafe" TargetMode="External"/><Relationship Id="rId149" Type="http://schemas.openxmlformats.org/officeDocument/2006/relationships/hyperlink" Target="https://www.infrastructurevictoria.com.au/victorias-infrastructure-strategy-2021-2051-home/" TargetMode="External"/><Relationship Id="rId356" Type="http://schemas.openxmlformats.org/officeDocument/2006/relationships/hyperlink" Target="https://www.vic.gov.au/sites/default/files/2022-06/brochureapril.docx" TargetMode="External"/><Relationship Id="rId563" Type="http://schemas.openxmlformats.org/officeDocument/2006/relationships/hyperlink" Target="https://www.dtf.vic.gov.au/economic-and-financial-updates/2022-victorian-economic-and-fiscal-update" TargetMode="External"/><Relationship Id="rId770" Type="http://schemas.openxmlformats.org/officeDocument/2006/relationships/hyperlink" Target="https://www.water.vic.gov.au/our-programs/long-term-water-resource-assessments-and-strategies/sustainable-water-strategies/western-region-sustainable-water-strategy" TargetMode="External"/><Relationship Id="rId216" Type="http://schemas.openxmlformats.org/officeDocument/2006/relationships/hyperlink" Target="https://smarterroads.vic.gov.au/vicroads/smarter-roads/updates?pview=e76049a2-a312-46eb-aae5-e5c2e3aaa24b" TargetMode="External"/><Relationship Id="rId423" Type="http://schemas.openxmlformats.org/officeDocument/2006/relationships/hyperlink" Target="https://s3.ap-southeast-2.amazonaws.com/budgetfiles202324.budget.vic.gov.au/2023-24+State+Budget+-+Service+Delivery.pdf" TargetMode="External"/><Relationship Id="rId630" Type="http://schemas.openxmlformats.org/officeDocument/2006/relationships/hyperlink" Target="https://www.premier.vic.gov.au/family-violence-research-grant-applications-now-open" TargetMode="External"/><Relationship Id="rId728" Type="http://schemas.openxmlformats.org/officeDocument/2006/relationships/hyperlink" Target="https://s3.ap-southeast-2.amazonaws.com/budgetfiles202324.budget.vic.gov.au/2023-24+State+Budget+-+Service+Delivery.pdf" TargetMode="External"/><Relationship Id="rId64" Type="http://schemas.openxmlformats.org/officeDocument/2006/relationships/hyperlink" Target="https://www.premier.vic.gov.au/site-4/cheaper-regional-fares-now-effect" TargetMode="External"/><Relationship Id="rId367" Type="http://schemas.openxmlformats.org/officeDocument/2006/relationships/hyperlink" Target="https://www.schoolbuildings.vic.gov.au/budget-invests-big-school-build" TargetMode="External"/><Relationship Id="rId574" Type="http://schemas.openxmlformats.org/officeDocument/2006/relationships/hyperlink" Target="https://www.budget.vic.gov.au/budget-papers" TargetMode="External"/><Relationship Id="rId227" Type="http://schemas.openxmlformats.org/officeDocument/2006/relationships/hyperlink" Target="https://www.development.vic.gov.au/news/new-sports-venue-to-deliver-games-legacy-in-miners-rest" TargetMode="External"/><Relationship Id="rId781" Type="http://schemas.openxmlformats.org/officeDocument/2006/relationships/hyperlink" Target="https://www.water.vic.gov.au/about-us/environmental-contributions/fifth-tranche-of-the-environmental-contribution/macalister-irrigation-district-modernisation-project-phase-2" TargetMode="External"/><Relationship Id="rId269" Type="http://schemas.openxmlformats.org/officeDocument/2006/relationships/hyperlink" Target="https://www.premier.vic.gov.au/ikon-park-reborn-home-aflw" TargetMode="External"/><Relationship Id="rId434" Type="http://schemas.openxmlformats.org/officeDocument/2006/relationships/hyperlink" Target="https://s3.ap-southeast-2.amazonaws.com/budgetfiles202324.budget.vic.gov.au/2023-24+State+Budget+-+Service+Delivery.pdf" TargetMode="External"/><Relationship Id="rId476" Type="http://schemas.openxmlformats.org/officeDocument/2006/relationships/hyperlink" Target="https://s3.ap-southeast-2.amazonaws.com/budgetfiles202324.budget.vic.gov.au/2023-24+State+Budget+-+Service+Delivery.pdf" TargetMode="External"/><Relationship Id="rId641" Type="http://schemas.openxmlformats.org/officeDocument/2006/relationships/hyperlink" Target="https://www.dffh.vic.gov.au/publications/rental-report" TargetMode="External"/><Relationship Id="rId683" Type="http://schemas.openxmlformats.org/officeDocument/2006/relationships/hyperlink" Target="https://www.dtf.vic.gov.au/state-financial-data-sets/departmental-statements" TargetMode="External"/><Relationship Id="rId739" Type="http://schemas.openxmlformats.org/officeDocument/2006/relationships/hyperlink" Target="https://s3.ap-southeast-2.amazonaws.com/budgetfiles202324.budget.vic.gov.au/2023-24+State+Budget+-+Service+Delivery.pdf" TargetMode="External"/><Relationship Id="rId33" Type="http://schemas.openxmlformats.org/officeDocument/2006/relationships/hyperlink" Target="https://www.infrastructurevictoria.com.au/victorias-infrastructure-strategy-2021-2051-home/" TargetMode="External"/><Relationship Id="rId129" Type="http://schemas.openxmlformats.org/officeDocument/2006/relationships/hyperlink" Target="https://s3.ap-southeast-2.amazonaws.com/budgetfiles202324.budget.vic.gov.au/2023-24+State+Budget+-+Service+Delivery.pdf" TargetMode="External"/><Relationship Id="rId280" Type="http://schemas.openxmlformats.org/officeDocument/2006/relationships/hyperlink" Target="https://www.suburbandevelopment.vic.gov.au/grants/suburban/suburban-grants-successful-projects" TargetMode="External"/><Relationship Id="rId336" Type="http://schemas.openxmlformats.org/officeDocument/2006/relationships/hyperlink" Target="https://www.education.gov.au/quality-schools-package/resources/school-quality-australia-exploring-drivers-student-outcomes-and-links-practice-and-schooling-quality" TargetMode="External"/><Relationship Id="rId501" Type="http://schemas.openxmlformats.org/officeDocument/2006/relationships/hyperlink" Target="https://www.climatechange.vic.gov.au/victorian-government-action-on-climate-change" TargetMode="External"/><Relationship Id="rId543" Type="http://schemas.openxmlformats.org/officeDocument/2006/relationships/hyperlink" Target="https://www.vic.gov.au/establishment-recycling-victoria" TargetMode="External"/><Relationship Id="rId75" Type="http://schemas.openxmlformats.org/officeDocument/2006/relationships/hyperlink" Target="https://www.firstpeoplesrelations.vic.gov.au/victorian-closing-gap-implementation-plan" TargetMode="External"/><Relationship Id="rId140" Type="http://schemas.openxmlformats.org/officeDocument/2006/relationships/hyperlink" Target="https://s3.ap-southeast-2.amazonaws.com/budgetfiles202324.budget.vic.gov.au/2023-24+State+Budget+-+Service+Delivery.pdf" TargetMode="External"/><Relationship Id="rId182" Type="http://schemas.openxmlformats.org/officeDocument/2006/relationships/hyperlink" Target="https://www.budget.vic.gov.au/budget-papers" TargetMode="External"/><Relationship Id="rId378" Type="http://schemas.openxmlformats.org/officeDocument/2006/relationships/hyperlink" Target="https://www.energy.vic.gov.au/for-households/victorian-energy-upgrades-for-households" TargetMode="External"/><Relationship Id="rId403" Type="http://schemas.openxmlformats.org/officeDocument/2006/relationships/hyperlink" Target="https://www.legislation.vic.gov.au/bills/energy-legislation-amendment-electricity-outage-emergency-response-and-other-matters-bill" TargetMode="External"/><Relationship Id="rId585" Type="http://schemas.openxmlformats.org/officeDocument/2006/relationships/hyperlink" Target="https://s3.ap-southeast-2.amazonaws.com/budgetfiles202324.budget.vic.gov.au/2023-24+State+Budget+-+Service+Delivery.pdf" TargetMode="External"/><Relationship Id="rId750" Type="http://schemas.openxmlformats.org/officeDocument/2006/relationships/hyperlink" Target="https://www.budget.vic.gov.au/budget-papers" TargetMode="External"/><Relationship Id="rId792" Type="http://schemas.openxmlformats.org/officeDocument/2006/relationships/hyperlink" Target="https://www.premier.vic.gov.au/finding-new-ways-save-water-across-victoria" TargetMode="External"/><Relationship Id="rId6" Type="http://schemas.openxmlformats.org/officeDocument/2006/relationships/hyperlink" Target="https://www.ses.vic.gov.au/news-and-media/community-matters" TargetMode="External"/><Relationship Id="rId238" Type="http://schemas.openxmlformats.org/officeDocument/2006/relationships/hyperlink" Target="https://djsir.vic.gov.au/__data/assets/pdf_file/0010/2172079/Experience-Victoria-2033-web.pdf" TargetMode="External"/><Relationship Id="rId445" Type="http://schemas.openxmlformats.org/officeDocument/2006/relationships/hyperlink" Target="https://www.budget.vic.gov.au/budget-papers" TargetMode="External"/><Relationship Id="rId487" Type="http://schemas.openxmlformats.org/officeDocument/2006/relationships/hyperlink" Target="https://www.premier.vic.gov.au/site-4/more-upgraded-campgrounds-across-victoria-time-easter" TargetMode="External"/><Relationship Id="rId610" Type="http://schemas.openxmlformats.org/officeDocument/2006/relationships/hyperlink" Target="https://www.health.vic.gov.au/your-health-report-of-the-chief-health-officer-victoria-2018/health-inequalities/rural-and-regional" TargetMode="External"/><Relationship Id="rId652" Type="http://schemas.openxmlformats.org/officeDocument/2006/relationships/hyperlink" Target="https://www.infrastructurevictoria.com.au/victorias-infrastructure-strategy-2021-2051-home/" TargetMode="External"/><Relationship Id="rId694" Type="http://schemas.openxmlformats.org/officeDocument/2006/relationships/hyperlink" Target="https://www.audit.vic.gov.au/report/administration-victorian-courts?section=%27" TargetMode="External"/><Relationship Id="rId708" Type="http://schemas.openxmlformats.org/officeDocument/2006/relationships/hyperlink" Target="https://www.budget.vic.gov.au/budget-papers" TargetMode="External"/><Relationship Id="rId291" Type="http://schemas.openxmlformats.org/officeDocument/2006/relationships/hyperlink" Target="https://www.premier.vic.gov.au/new-primary-school-step-closer-melbournes-west" TargetMode="External"/><Relationship Id="rId305" Type="http://schemas.openxmlformats.org/officeDocument/2006/relationships/hyperlink" Target="https://www2.education.vic.gov.au/pal/land-acquisition/guidance" TargetMode="External"/><Relationship Id="rId347" Type="http://schemas.openxmlformats.org/officeDocument/2006/relationships/hyperlink" Target="https://s3.ap-southeast-2.amazonaws.com/budgetfiles202324.budget.vic.gov.au/2023-24+State+Budget+-+Service+Delivery.pdf" TargetMode="External"/><Relationship Id="rId512" Type="http://schemas.openxmlformats.org/officeDocument/2006/relationships/hyperlink" Target="https://s3.ap-southeast-2.amazonaws.com/budgetfiles202324.budget.vic.gov.au/2023-24+State+Budget+-+Service+Delivery.pdf" TargetMode="External"/><Relationship Id="rId44" Type="http://schemas.openxmlformats.org/officeDocument/2006/relationships/hyperlink" Target="https://www.budget.vic.gov.au/budget-papers" TargetMode="External"/><Relationship Id="rId86" Type="http://schemas.openxmlformats.org/officeDocument/2006/relationships/hyperlink" Target="https://dtp.vic.gov.au/about/our-strategic-plan" TargetMode="External"/><Relationship Id="rId151" Type="http://schemas.openxmlformats.org/officeDocument/2006/relationships/hyperlink" Target="https://s3.ap-southeast-2.amazonaws.com/budgetfiles202324.budget.vic.gov.au/2023-24+State+Budget+-+Service+Delivery.pdf" TargetMode="External"/><Relationship Id="rId389" Type="http://schemas.openxmlformats.org/officeDocument/2006/relationships/hyperlink" Target="https://www.solar.vic.gov.au/hot-water-rebate" TargetMode="External"/><Relationship Id="rId554" Type="http://schemas.openxmlformats.org/officeDocument/2006/relationships/hyperlink" Target="https://www.sustainability.vic.gov.au/grants-funding-and-investment/grants-and-funding/circular-economy-household-education-fund-round-3" TargetMode="External"/><Relationship Id="rId596" Type="http://schemas.openxmlformats.org/officeDocument/2006/relationships/hyperlink" Target="https://agedcare.royalcommission.gov.au/sites/default/files/2020-08/Research%20Paper%207%20-%20Models%20of%20integrated%20care%2C%20health%20and%20housing.pdf" TargetMode="External"/><Relationship Id="rId761" Type="http://schemas.openxmlformats.org/officeDocument/2006/relationships/hyperlink" Target="https://www.budget.vic.gov.au/budget-papers" TargetMode="External"/><Relationship Id="rId193" Type="http://schemas.openxmlformats.org/officeDocument/2006/relationships/hyperlink" Target="https://www.premier.vic.gov.au/first-electric-buses-hit-road-sunbury" TargetMode="External"/><Relationship Id="rId207" Type="http://schemas.openxmlformats.org/officeDocument/2006/relationships/hyperlink" Target="https://bigbuild.vic.gov.au/projects/metro-tunnel/about/technology/high-capacity-signalling" TargetMode="External"/><Relationship Id="rId249" Type="http://schemas.openxmlformats.org/officeDocument/2006/relationships/hyperlink" Target="https://www.premier.vic.gov.au/truganina-scores-new-sport-precinct" TargetMode="External"/><Relationship Id="rId414" Type="http://schemas.openxmlformats.org/officeDocument/2006/relationships/hyperlink" Target="https://www.vic.gov.au/energy-jobs-and-skills-forum" TargetMode="External"/><Relationship Id="rId456" Type="http://schemas.openxmlformats.org/officeDocument/2006/relationships/hyperlink" Target="https://s3.ap-southeast-2.amazonaws.com/budgetfiles202324.budget.vic.gov.au/2023-24+State+Budget+-+Service+Delivery.pdf" TargetMode="External"/><Relationship Id="rId498" Type="http://schemas.openxmlformats.org/officeDocument/2006/relationships/hyperlink" Target="https://www.asbec.asn.au/research-items/issues-paper-reshaping-infrastructure-for-a-net-zero-emissions-future/" TargetMode="External"/><Relationship Id="rId621" Type="http://schemas.openxmlformats.org/officeDocument/2006/relationships/hyperlink" Target="https://www.premier.vic.gov.au/site-secured-new-early-parenting-centre" TargetMode="External"/><Relationship Id="rId663" Type="http://schemas.openxmlformats.org/officeDocument/2006/relationships/hyperlink" Target="https://s3.ap-southeast-2.amazonaws.com/budgetfiles202324.budget.vic.gov.au/2023-24+State+Budget+-+Service+Delivery.pdf" TargetMode="External"/><Relationship Id="rId13" Type="http://schemas.openxmlformats.org/officeDocument/2006/relationships/hyperlink" Target="https://www.premier.vic.gov.au/setting-ambitious-emissions-reduction-target" TargetMode="External"/><Relationship Id="rId109" Type="http://schemas.openxmlformats.org/officeDocument/2006/relationships/hyperlink" Target="https://s3.ap-southeast-2.amazonaws.com/budgetfiles202324.budget.vic.gov.au/2023-24+State+Budget+-+Service+Delivery.pdf" TargetMode="External"/><Relationship Id="rId260" Type="http://schemas.openxmlformats.org/officeDocument/2006/relationships/hyperlink" Target="https://sport.vic.gov.au/news/articles/fair-access-for-women-and-girls-in-sport" TargetMode="External"/><Relationship Id="rId316" Type="http://schemas.openxmlformats.org/officeDocument/2006/relationships/hyperlink" Target="https://www.budget.vic.gov.au/budget-papers" TargetMode="External"/><Relationship Id="rId523" Type="http://schemas.openxmlformats.org/officeDocument/2006/relationships/hyperlink" Target="https://www.infrastructure.nsw.gov.au/expert-advice/decarbonising-infrastructure-delivery/" TargetMode="External"/><Relationship Id="rId719" Type="http://schemas.openxmlformats.org/officeDocument/2006/relationships/hyperlink" Target="https://www.premier.vic.gov.au/new-driver-distraction-cameras-switched" TargetMode="External"/><Relationship Id="rId55" Type="http://schemas.openxmlformats.org/officeDocument/2006/relationships/hyperlink" Target="https://www.premier.vic.gov.au/warrnambool-library-and-learning-centre-opens-its-doors" TargetMode="External"/><Relationship Id="rId97" Type="http://schemas.openxmlformats.org/officeDocument/2006/relationships/hyperlink" Target="https://www.budget.vic.gov.au/budget-papers" TargetMode="External"/><Relationship Id="rId120" Type="http://schemas.openxmlformats.org/officeDocument/2006/relationships/hyperlink" Target="https://www.budget.vic.gov.au/budget-papers" TargetMode="External"/><Relationship Id="rId358" Type="http://schemas.openxmlformats.org/officeDocument/2006/relationships/hyperlink" Target="https://s3.ap-southeast-2.amazonaws.com/budgetfiles202324.budget.vic.gov.au/2023-24+State+Budget+-+Service+Delivery.pdf" TargetMode="External"/><Relationship Id="rId565" Type="http://schemas.openxmlformats.org/officeDocument/2006/relationships/hyperlink" Target="https://monashhealth.org/latest-news/2023/02/19/monash-healths-victorian-heart-hospital-officially-launches/" TargetMode="External"/><Relationship Id="rId730" Type="http://schemas.openxmlformats.org/officeDocument/2006/relationships/hyperlink" Target="https://www.emv.vic.gov.au/about-us" TargetMode="External"/><Relationship Id="rId772" Type="http://schemas.openxmlformats.org/officeDocument/2006/relationships/hyperlink" Target="https://www.water.vic.gov.au/aboriginal-values/the-aboriginal-water-program" TargetMode="External"/><Relationship Id="rId162" Type="http://schemas.openxmlformats.org/officeDocument/2006/relationships/hyperlink" Target="https://www.tac.vic.gov.au/road-safety/statistics/lives-lost-annual" TargetMode="External"/><Relationship Id="rId218" Type="http://schemas.openxmlformats.org/officeDocument/2006/relationships/hyperlink" Target="https://smarterroads.vic.gov.au/vicroads/smarter-roads/updates?pview=e76049a2-a312-46eb-aae5-e5c2e3aaa24b" TargetMode="External"/><Relationship Id="rId425" Type="http://schemas.openxmlformats.org/officeDocument/2006/relationships/hyperlink" Target="https://engage.vic.gov.au/victorias-offshore-wind-policy-directions-paper-developing-the-offshore-wind-sector" TargetMode="External"/><Relationship Id="rId467" Type="http://schemas.openxmlformats.org/officeDocument/2006/relationships/hyperlink" Target="https://www.infrastructurevictoria.com.au/victorias-infrastructure-strategy-2021-2051-home/" TargetMode="External"/><Relationship Id="rId632" Type="http://schemas.openxmlformats.org/officeDocument/2006/relationships/hyperlink" Target="https://s3.ap-southeast-2.amazonaws.com/budgetfiles202324.budget.vic.gov.au/2023-24+State+Budget+-+Service+Delivery.pdf" TargetMode="External"/><Relationship Id="rId271" Type="http://schemas.openxmlformats.org/officeDocument/2006/relationships/hyperlink" Target="https://www.parks.vic.gov.au/projects/recently-completed-projects/yarra-bend-park---fairlea-reserve---netball-courts-and-pavilions" TargetMode="External"/><Relationship Id="rId674" Type="http://schemas.openxmlformats.org/officeDocument/2006/relationships/hyperlink" Target="https://csba.vic.gov.au/our-projects/western-plains-correctional-centre" TargetMode="External"/><Relationship Id="rId24" Type="http://schemas.openxmlformats.org/officeDocument/2006/relationships/hyperlink" Target="https://www.budget.vic.gov.au/budget-papers" TargetMode="External"/><Relationship Id="rId66" Type="http://schemas.openxmlformats.org/officeDocument/2006/relationships/hyperlink" Target="https://www.budget.vic.gov.au/budget-papers" TargetMode="External"/><Relationship Id="rId131" Type="http://schemas.openxmlformats.org/officeDocument/2006/relationships/hyperlink" Target="https://www.premier.vic.gov.au/delivering-new-stations-west" TargetMode="External"/><Relationship Id="rId327" Type="http://schemas.openxmlformats.org/officeDocument/2006/relationships/hyperlink" Target="https://s3.ap-southeast-2.amazonaws.com/budgetfiles202324.budget.vic.gov.au/2023-24+State+Budget+-+Service+Delivery.pdf" TargetMode="External"/><Relationship Id="rId369" Type="http://schemas.openxmlformats.org/officeDocument/2006/relationships/hyperlink" Target="https://www.budget.vic.gov.au/budget-papers" TargetMode="External"/><Relationship Id="rId534" Type="http://schemas.openxmlformats.org/officeDocument/2006/relationships/hyperlink" Target="https://s3.ap-southeast-2.amazonaws.com/budgetfiles202324.budget.vic.gov.au/2023-24+State+Budget+-+Service+Delivery.pdf" TargetMode="External"/><Relationship Id="rId576" Type="http://schemas.openxmlformats.org/officeDocument/2006/relationships/hyperlink" Target="https://www.infrastructurevictoria.com.au/victorias-infrastructure-strategy-2021-2051-home/" TargetMode="External"/><Relationship Id="rId741" Type="http://schemas.openxmlformats.org/officeDocument/2006/relationships/hyperlink" Target="https://s3.ap-southeast-2.amazonaws.com/budgetfiles202324.budget.vic.gov.au/2023-24+State+Budget+-+Service+Delivery.pdf" TargetMode="External"/><Relationship Id="rId783" Type="http://schemas.openxmlformats.org/officeDocument/2006/relationships/hyperlink" Target="https://app.vision6.com.au/em/message/email/view.php?id=1714866&amp;a=91798&amp;k=mecXCPr470AxjSqxZUSdxaNYvvNZOBX1KtGkDRLJdFs" TargetMode="External"/><Relationship Id="rId173" Type="http://schemas.openxmlformats.org/officeDocument/2006/relationships/hyperlink" Target="https://www.premier.vic.gov.au/site-4/cheaper-regional-fares-now-effect" TargetMode="External"/><Relationship Id="rId229" Type="http://schemas.openxmlformats.org/officeDocument/2006/relationships/hyperlink" Target="https://www.rdv.vic.gov.au/grants-and-programs/geelong-city-deal" TargetMode="External"/><Relationship Id="rId380" Type="http://schemas.openxmlformats.org/officeDocument/2006/relationships/hyperlink" Target="https://www.housing.vic.gov.au/energy-efficiency-social-housing" TargetMode="External"/><Relationship Id="rId436" Type="http://schemas.openxmlformats.org/officeDocument/2006/relationships/hyperlink" Target="https://www.infrastructurevictoria.com.au/victorias-infrastructure-strategy-2021-2051-home/" TargetMode="External"/><Relationship Id="rId601" Type="http://schemas.openxmlformats.org/officeDocument/2006/relationships/hyperlink" Target="https://www.vic.gov.au/family-violence-reform-rolling-action-plan-2020-2023/orange-door" TargetMode="External"/><Relationship Id="rId643" Type="http://schemas.openxmlformats.org/officeDocument/2006/relationships/hyperlink" Target="https://www.premier.vic.gov.au/boost-aboriginal-housing-services" TargetMode="External"/><Relationship Id="rId240" Type="http://schemas.openxmlformats.org/officeDocument/2006/relationships/hyperlink" Target="https://www.rdv.vic.gov.au/grants-and-programs/regional-tourism-investment-fund" TargetMode="External"/><Relationship Id="rId478" Type="http://schemas.openxmlformats.org/officeDocument/2006/relationships/hyperlink" Target="https://s3.ap-southeast-2.amazonaws.com/budgetfiles202324.budget.vic.gov.au/2023-24+State+Budget+-+Service+Delivery.pdf" TargetMode="External"/><Relationship Id="rId685" Type="http://schemas.openxmlformats.org/officeDocument/2006/relationships/hyperlink" Target="https://www.infrastructurevictoria.com.au/victorias-infrastructure-strategy-2021-2051-home/" TargetMode="External"/><Relationship Id="rId35" Type="http://schemas.openxmlformats.org/officeDocument/2006/relationships/hyperlink" Target="https://s3.ap-southeast-2.amazonaws.com/budgetfiles202324.budget.vic.gov.au/2023-24+State+Budget+-+Service+Delivery.pdf" TargetMode="External"/><Relationship Id="rId77" Type="http://schemas.openxmlformats.org/officeDocument/2006/relationships/hyperlink" Target="https://www.premier.vic.gov.au/boost-aboriginal-housing-services" TargetMode="External"/><Relationship Id="rId100" Type="http://schemas.openxmlformats.org/officeDocument/2006/relationships/hyperlink" Target="https://s3.ap-southeast-2.amazonaws.com/budgetfiles202324.budget.vic.gov.au/2023-24+State+Budget+-+Service+Delivery.pdf" TargetMode="External"/><Relationship Id="rId282" Type="http://schemas.openxmlformats.org/officeDocument/2006/relationships/hyperlink" Target="https://www.rdv.vic.gov.au/grants-and-programs/regional-infrastructure-fund" TargetMode="External"/><Relationship Id="rId338" Type="http://schemas.openxmlformats.org/officeDocument/2006/relationships/hyperlink" Target="https://doi.org/10.1016/j.econedurev.2019.101951" TargetMode="External"/><Relationship Id="rId503" Type="http://schemas.openxmlformats.org/officeDocument/2006/relationships/hyperlink" Target="https://www.climatechange.vic.gov.au/climate-action-targets" TargetMode="External"/><Relationship Id="rId545" Type="http://schemas.openxmlformats.org/officeDocument/2006/relationships/hyperlink" Target="https://www.vic.gov.au/recycling-infrastructure-planning" TargetMode="External"/><Relationship Id="rId587" Type="http://schemas.openxmlformats.org/officeDocument/2006/relationships/hyperlink" Target="https://s3.ap-southeast-2.amazonaws.com/budgetfiles202324.budget.vic.gov.au/2023-24+State+Budget+-+Service+Delivery.pdf" TargetMode="External"/><Relationship Id="rId710" Type="http://schemas.openxmlformats.org/officeDocument/2006/relationships/hyperlink" Target="https://www.budget.vic.gov.au/budget-papers" TargetMode="External"/><Relationship Id="rId752" Type="http://schemas.openxmlformats.org/officeDocument/2006/relationships/hyperlink" Target="https://www.premier.vic.gov.au/victorias-firefighting-fleet-ready-fire-season" TargetMode="External"/><Relationship Id="rId8" Type="http://schemas.openxmlformats.org/officeDocument/2006/relationships/hyperlink" Target="https://www.rba.gov.au/statistics/cash-rate/" TargetMode="External"/><Relationship Id="rId142" Type="http://schemas.openxmlformats.org/officeDocument/2006/relationships/hyperlink" Target="https://bigbuild.vic.gov.au/projects/west-gate-tunnel-project/about/faqs" TargetMode="External"/><Relationship Id="rId184" Type="http://schemas.openxmlformats.org/officeDocument/2006/relationships/hyperlink" Target="https://www.infrastructurevictoria.com.au/victorias-infrastructure-strategy-2021-2051-home/" TargetMode="External"/><Relationship Id="rId391" Type="http://schemas.openxmlformats.org/officeDocument/2006/relationships/hyperlink" Target="https://www.energy.vic.gov.au/renewable-energy/zero-emission-vehicles" TargetMode="External"/><Relationship Id="rId405" Type="http://schemas.openxmlformats.org/officeDocument/2006/relationships/hyperlink" Target="https://engage.vic.gov.au/victorias-emergency-backstop-mechanism-for-rooftop-solar" TargetMode="External"/><Relationship Id="rId447" Type="http://schemas.openxmlformats.org/officeDocument/2006/relationships/hyperlink" Target="https://www.budget.vic.gov.au/budget-papers" TargetMode="External"/><Relationship Id="rId612" Type="http://schemas.openxmlformats.org/officeDocument/2006/relationships/hyperlink" Target="https://www.dtf.vic.gov.au/economic-and-financial-updates/2022-victorian-economic-and-fiscal-update" TargetMode="External"/><Relationship Id="rId794" Type="http://schemas.openxmlformats.org/officeDocument/2006/relationships/hyperlink" Target="https://www.infrastructurevictoria.com.au/wp-content/uploads/2021/10/Infrastructure-Victoria-2020-21-Annual-Report.pdf" TargetMode="External"/><Relationship Id="rId251" Type="http://schemas.openxmlformats.org/officeDocument/2006/relationships/hyperlink" Target="https://www.localgovernment.vic.gov.au/grants/growing-suburbs-fund" TargetMode="External"/><Relationship Id="rId489" Type="http://schemas.openxmlformats.org/officeDocument/2006/relationships/hyperlink" Target="https://www.premier.vic.gov.au/site-4/major-milestones-werribee-open-range-zoo-expansion" TargetMode="External"/><Relationship Id="rId654" Type="http://schemas.openxmlformats.org/officeDocument/2006/relationships/hyperlink" Target="https://www.infrastructurevictoria.com.au/victorias-infrastructure-strategy-2021-2051-home/" TargetMode="External"/><Relationship Id="rId696" Type="http://schemas.openxmlformats.org/officeDocument/2006/relationships/hyperlink" Target="https://courts.vic.gov.au/projects/bendigo-law-courts-development/bendigo-law-courts-official-opening" TargetMode="External"/><Relationship Id="rId46" Type="http://schemas.openxmlformats.org/officeDocument/2006/relationships/hyperlink" Target="https://www.schoolbuildings.vic.gov.au/budget-invests-big-school-build" TargetMode="External"/><Relationship Id="rId293" Type="http://schemas.openxmlformats.org/officeDocument/2006/relationships/hyperlink" Target="https://www.budget.vic.gov.au/budget-papers" TargetMode="External"/><Relationship Id="rId307" Type="http://schemas.openxmlformats.org/officeDocument/2006/relationships/hyperlink" Target="https://www.schoolbuildings.vic.gov.au/kindergartens-or-next-door-schools" TargetMode="External"/><Relationship Id="rId349" Type="http://schemas.openxmlformats.org/officeDocument/2006/relationships/hyperlink" Target="https://www.budget.vic.gov.au/budget-papers" TargetMode="External"/><Relationship Id="rId514" Type="http://schemas.openxmlformats.org/officeDocument/2006/relationships/hyperlink" Target="https://s3.ap-southeast-2.amazonaws.com/budgetfiles202324.budget.vic.gov.au/2023-24+State+Budget+-+Service+Delivery.pdf" TargetMode="External"/><Relationship Id="rId556" Type="http://schemas.openxmlformats.org/officeDocument/2006/relationships/hyperlink" Target="https://www.infrastructurevictoria.com.au/victorias-infrastructure-strategy-2021-2051-home/" TargetMode="External"/><Relationship Id="rId721" Type="http://schemas.openxmlformats.org/officeDocument/2006/relationships/hyperlink" Target="https://www.budget.vic.gov.au/budget-papers" TargetMode="External"/><Relationship Id="rId763" Type="http://schemas.openxmlformats.org/officeDocument/2006/relationships/hyperlink" Target="https://www.budget.vic.gov.au/budget-papers" TargetMode="External"/><Relationship Id="rId88" Type="http://schemas.openxmlformats.org/officeDocument/2006/relationships/hyperlink" Target="https://investment.infrastructure.gov.au/about/budget-announcements/infrastructure-investment-program-strategic-review" TargetMode="External"/><Relationship Id="rId111" Type="http://schemas.openxmlformats.org/officeDocument/2006/relationships/hyperlink" Target="https://bigbuild.vic.gov.au/library/level-crossing-removal-project/bel-lil/mont-albert-surrey-hills/community-updates-and-fact-sheets/union-station-opening-brochure" TargetMode="External"/><Relationship Id="rId153" Type="http://schemas.openxmlformats.org/officeDocument/2006/relationships/hyperlink" Target="https://s3.ap-southeast-2.amazonaws.com/budgetfiles202324.budget.vic.gov.au/2023-24+State+Budget+-+Service+Delivery.pdf" TargetMode="External"/><Relationship Id="rId195" Type="http://schemas.openxmlformats.org/officeDocument/2006/relationships/hyperlink" Target="https://s3.ap-southeast-2.amazonaws.com/budgetfiles202324.budget.vic.gov.au/2023-24+State+Budget+-+Service+Delivery.pdf" TargetMode="External"/><Relationship Id="rId209" Type="http://schemas.openxmlformats.org/officeDocument/2006/relationships/hyperlink" Target="https://www.premier.vic.gov.au/new-public-transport-ticketing-contract" TargetMode="External"/><Relationship Id="rId360" Type="http://schemas.openxmlformats.org/officeDocument/2006/relationships/hyperlink" Target="https://www.vic.gov.au/department-education-and-training-strategic-plan-2022-26" TargetMode="External"/><Relationship Id="rId416" Type="http://schemas.openxmlformats.org/officeDocument/2006/relationships/hyperlink" Target="https://www.energy.vic.gov.au/renewable-energy/victorian-renewable-energy-and-storage-targets" TargetMode="External"/><Relationship Id="rId598" Type="http://schemas.openxmlformats.org/officeDocument/2006/relationships/hyperlink" Target="https://www.health.vic.gov.au/sites/default/files/migrated/files/collections/policies-and-guidelines/s/statewide-design-service-infrastructure-plan-2017-37.pdf" TargetMode="External"/><Relationship Id="rId220" Type="http://schemas.openxmlformats.org/officeDocument/2006/relationships/hyperlink" Target="https://www.climatechange.vic.gov.au/greenhouse-gas-emissions" TargetMode="External"/><Relationship Id="rId458" Type="http://schemas.openxmlformats.org/officeDocument/2006/relationships/hyperlink" Target="https://s3.ap-southeast-2.amazonaws.com/budgetfiles202324.budget.vic.gov.au/2023-24+State+Budget+-+Service+Delivery.pdf" TargetMode="External"/><Relationship Id="rId623" Type="http://schemas.openxmlformats.org/officeDocument/2006/relationships/hyperlink" Target="https://www.vhba.vic.gov.au/warrnambool-base-hospital-redevelopment-community-survey-summary-report" TargetMode="External"/><Relationship Id="rId665" Type="http://schemas.openxmlformats.org/officeDocument/2006/relationships/hyperlink" Target="https://www.fvrim.vic.gov.au/report-family-violence-reform-implementation-monitor-1-november-2020" TargetMode="External"/><Relationship Id="rId15" Type="http://schemas.openxmlformats.org/officeDocument/2006/relationships/hyperlink" Target="https://www.energy.vic.gov.au/renewable-energy/victorian-renewable-energy-and-storage-targets" TargetMode="External"/><Relationship Id="rId57" Type="http://schemas.openxmlformats.org/officeDocument/2006/relationships/hyperlink" Target="https://www.infrastructurevictoria.com.au/victorias-infrastructure-strategy-2021-2051-home/" TargetMode="External"/><Relationship Id="rId262" Type="http://schemas.openxmlformats.org/officeDocument/2006/relationships/hyperlink" Target="https://sport.vic.gov.au/grants-and-funding/our-grants/local-sports-infrastructure-fund" TargetMode="External"/><Relationship Id="rId318" Type="http://schemas.openxmlformats.org/officeDocument/2006/relationships/hyperlink" Target="https://www.infrastructurevictoria.com.au/victorias-infrastructure-strategy-2021-2051-home/" TargetMode="External"/><Relationship Id="rId525" Type="http://schemas.openxmlformats.org/officeDocument/2006/relationships/hyperlink" Target="https://www.infrastructurevictoria.com.au/project/advice-on-opportunities-to-reduce-greenhouse-gas-emissions-of-victorian-government-infrastructure/" TargetMode="External"/><Relationship Id="rId567" Type="http://schemas.openxmlformats.org/officeDocument/2006/relationships/hyperlink" Target="https://www.budget.vic.gov.au/budget-papers" TargetMode="External"/><Relationship Id="rId732" Type="http://schemas.openxmlformats.org/officeDocument/2006/relationships/hyperlink" Target="https://www.ses.vic.gov.au/news-and-media/community-matters" TargetMode="External"/><Relationship Id="rId99" Type="http://schemas.openxmlformats.org/officeDocument/2006/relationships/hyperlink" Target="https://www.budget.vic.gov.au/budget-papers" TargetMode="External"/><Relationship Id="rId122" Type="http://schemas.openxmlformats.org/officeDocument/2006/relationships/hyperlink" Target="https://www.infrastructurevictoria.com.au/victorias-infrastructure-strategy-2021-2051-home/" TargetMode="External"/><Relationship Id="rId164" Type="http://schemas.openxmlformats.org/officeDocument/2006/relationships/hyperlink" Target="https://www.climatechange.vic.gov.au/victorias-climate-change-strategy" TargetMode="External"/><Relationship Id="rId371" Type="http://schemas.openxmlformats.org/officeDocument/2006/relationships/hyperlink" Target="https://www.schoolbuildings.vic.gov.au/building-blocks-grants-capacity-building" TargetMode="External"/><Relationship Id="rId774" Type="http://schemas.openxmlformats.org/officeDocument/2006/relationships/hyperlink" Target="https://www.water.vic.gov.au/aboriginal-values/the-aboriginal-water-program" TargetMode="External"/><Relationship Id="rId427" Type="http://schemas.openxmlformats.org/officeDocument/2006/relationships/hyperlink" Target="https://s3.ap-southeast-2.amazonaws.com/budgetfiles202324.budget.vic.gov.au/2023-24+State+Budget+-+Service+Delivery.pdf" TargetMode="External"/><Relationship Id="rId469" Type="http://schemas.openxmlformats.org/officeDocument/2006/relationships/hyperlink" Target="https://www.parks.vic.gov.au/about-us" TargetMode="External"/><Relationship Id="rId634" Type="http://schemas.openxmlformats.org/officeDocument/2006/relationships/hyperlink" Target="https://www.infrastructurevictoria.com.au/project/our-home-choices/" TargetMode="External"/><Relationship Id="rId676" Type="http://schemas.openxmlformats.org/officeDocument/2006/relationships/hyperlink" Target="https://csba.vic.gov.au/our-projects/dame-phyllis-frost-centre" TargetMode="External"/><Relationship Id="rId26" Type="http://schemas.openxmlformats.org/officeDocument/2006/relationships/hyperlink" Target="https://www.infrastructurevictoria.com.au/victorias-infrastructure-strategy-2021-2051-home/" TargetMode="External"/><Relationship Id="rId231" Type="http://schemas.openxmlformats.org/officeDocument/2006/relationships/hyperlink" Target="https://www.development.vic.gov.au/projects/geelong-convention-and-exhibition-centre" TargetMode="External"/><Relationship Id="rId273" Type="http://schemas.openxmlformats.org/officeDocument/2006/relationships/hyperlink" Target="https://www.audit.vic.gov.au/report/results-2019-20-audits-local-government" TargetMode="External"/><Relationship Id="rId329" Type="http://schemas.openxmlformats.org/officeDocument/2006/relationships/hyperlink" Target="https://www.chisholm.edu.au/About-Us/Frankston-Campus-Redevelopment-Project/Stage-2" TargetMode="External"/><Relationship Id="rId480" Type="http://schemas.openxmlformats.org/officeDocument/2006/relationships/hyperlink" Target="https://www.parks.vic.gov.au/news/2023/05/31/23/08/three-new-parks-for-melbournes-growing-communities" TargetMode="External"/><Relationship Id="rId536" Type="http://schemas.openxmlformats.org/officeDocument/2006/relationships/hyperlink" Target="https://www.vic.gov.au/regional-circular-economy-plans" TargetMode="External"/><Relationship Id="rId701" Type="http://schemas.openxmlformats.org/officeDocument/2006/relationships/hyperlink" Target="https://s3.ap-southeast-2.amazonaws.com/budgetfiles202324.budget.vic.gov.au/2023-24+State+Budget+-+Service+Delivery.pdf" TargetMode="External"/><Relationship Id="rId68" Type="http://schemas.openxmlformats.org/officeDocument/2006/relationships/hyperlink" Target="https://www.premier.vic.gov.au/new-public-transport-ticketing-contract" TargetMode="External"/><Relationship Id="rId133" Type="http://schemas.openxmlformats.org/officeDocument/2006/relationships/hyperlink" Target="https://s3.ap-southeast-2.amazonaws.com/budgetfiles202324.budget.vic.gov.au/2023-24+State+Budget+-+Service+Delivery.pdf" TargetMode="External"/><Relationship Id="rId175" Type="http://schemas.openxmlformats.org/officeDocument/2006/relationships/hyperlink" Target="https://www.dtf.vic.gov.au/infrastructure-plan" TargetMode="External"/><Relationship Id="rId340" Type="http://schemas.openxmlformats.org/officeDocument/2006/relationships/hyperlink" Target="https://www.budget.vic.gov.au/budget-papers" TargetMode="External"/><Relationship Id="rId578" Type="http://schemas.openxmlformats.org/officeDocument/2006/relationships/hyperlink" Target="https://s3.ap-southeast-2.amazonaws.com/budgetfiles202324.budget.vic.gov.au/2023-24+State+Budget+-+Service+Delivery.pdf" TargetMode="External"/><Relationship Id="rId743" Type="http://schemas.openxmlformats.org/officeDocument/2006/relationships/hyperlink" Target="https://www.vic.gov.au/bushfire-recovery-grants-community-facilities" TargetMode="External"/><Relationship Id="rId785" Type="http://schemas.openxmlformats.org/officeDocument/2006/relationships/hyperlink" Target="https://www.infrastructurevictoria.com.au/victorias-infrastructure-strategy-2021-2051-home/" TargetMode="External"/><Relationship Id="rId200" Type="http://schemas.openxmlformats.org/officeDocument/2006/relationships/hyperlink" Target="https://www.vicroads.vic.gov.au/safety-and-road-rules/e-scooters-in-victoria/e-scooter-trial" TargetMode="External"/><Relationship Id="rId382" Type="http://schemas.openxmlformats.org/officeDocument/2006/relationships/hyperlink" Target="https://s3.ap-southeast-2.amazonaws.com/budgetfiles202324.budget.vic.gov.au/2023-24+State+Budget+-+Service+Delivery.pdf" TargetMode="External"/><Relationship Id="rId438" Type="http://schemas.openxmlformats.org/officeDocument/2006/relationships/hyperlink" Target="https://www.infrastructurevictoria.com.au/victorias-infrastructure-strategy-2021-2051-home/" TargetMode="External"/><Relationship Id="rId603" Type="http://schemas.openxmlformats.org/officeDocument/2006/relationships/hyperlink" Target="https://www.budget.vic.gov.au/budget-papers" TargetMode="External"/><Relationship Id="rId645" Type="http://schemas.openxmlformats.org/officeDocument/2006/relationships/hyperlink" Target="https://www.dffh.vic.gov.au/publications/rental-report" TargetMode="External"/><Relationship Id="rId687" Type="http://schemas.openxmlformats.org/officeDocument/2006/relationships/hyperlink" Target="https://www.infrastructurevictoria.com.au/victorias-infrastructure-strategy-2021-2051-home/" TargetMode="External"/><Relationship Id="rId242" Type="http://schemas.openxmlformats.org/officeDocument/2006/relationships/hyperlink" Target="https://www.premier.vic.gov.au/more-visitors-soak-and-stay-mornington-peninsula" TargetMode="External"/><Relationship Id="rId284" Type="http://schemas.openxmlformats.org/officeDocument/2006/relationships/hyperlink" Target="https://s3.ap-southeast-2.amazonaws.com/budgetfiles202324.budget.vic.gov.au/2023-24+State+Budget+-+Service+Delivery.pdf" TargetMode="External"/><Relationship Id="rId491" Type="http://schemas.openxmlformats.org/officeDocument/2006/relationships/hyperlink" Target="https://www.premier.vic.gov.au/site-4/major-milestones-werribee-open-range-zoo-expansion" TargetMode="External"/><Relationship Id="rId505" Type="http://schemas.openxmlformats.org/officeDocument/2006/relationships/hyperlink" Target="https://www.climatechange.vic.gov.au/greenhouse-gas-emissions" TargetMode="External"/><Relationship Id="rId712" Type="http://schemas.openxmlformats.org/officeDocument/2006/relationships/hyperlink" Target="https://www.infrastructurevictoria.com.au/victorias-infrastructure-strategy-2021-2051-home/" TargetMode="External"/><Relationship Id="rId37" Type="http://schemas.openxmlformats.org/officeDocument/2006/relationships/hyperlink" Target="https://s3.ap-southeast-2.amazonaws.com/budgetfiles202324.budget.vic.gov.au/2023-24+State+Budget+-+Service+Delivery.pdf" TargetMode="External"/><Relationship Id="rId79" Type="http://schemas.openxmlformats.org/officeDocument/2006/relationships/hyperlink" Target="https://s3.ap-southeast-2.amazonaws.com/Budget%20files202223.Budget%20.vic.gov.au/2022-23+State+Budget%20+-+Service+Delivery.pdf" TargetMode="External"/><Relationship Id="rId102" Type="http://schemas.openxmlformats.org/officeDocument/2006/relationships/hyperlink" Target="https://s3.ap-southeast-2.amazonaws.com/budgetfiles202324.budget.vic.gov.au/2023-24+State+Budget+-+Service+Delivery.pdf" TargetMode="External"/><Relationship Id="rId144" Type="http://schemas.openxmlformats.org/officeDocument/2006/relationships/hyperlink" Target="https://www.infrastructurevictoria.com.au/victorias-infrastructure-strategy-2021-2051-home/" TargetMode="External"/><Relationship Id="rId547" Type="http://schemas.openxmlformats.org/officeDocument/2006/relationships/hyperlink" Target="https://www.vic.gov.au/establishment-recycling-victoria" TargetMode="External"/><Relationship Id="rId589" Type="http://schemas.openxmlformats.org/officeDocument/2006/relationships/hyperlink" Target="https://www.budget.vic.gov.au/supporting-vulnerable-children-and-families" TargetMode="External"/><Relationship Id="rId754" Type="http://schemas.openxmlformats.org/officeDocument/2006/relationships/hyperlink" Target="https://www.premier.vic.gov.au/funding-boost-volunteer-emergency-services" TargetMode="External"/><Relationship Id="rId796" Type="http://schemas.openxmlformats.org/officeDocument/2006/relationships/hyperlink" Target="https://www.water.vic.gov.au/waterways-and-catchments/our-waterways/victorian-waterway-management-program/victorian-waterway-management-strategy" TargetMode="External"/><Relationship Id="rId90" Type="http://schemas.openxmlformats.org/officeDocument/2006/relationships/hyperlink" Target="https://www.bitre.gov.au/publications/2022/australian-infrastructure-and-transport-statistics-yearbook-2022" TargetMode="External"/><Relationship Id="rId186" Type="http://schemas.openxmlformats.org/officeDocument/2006/relationships/hyperlink" Target="https://www.premier.vic.gov.au/more-freight-murray-basin-trains" TargetMode="External"/><Relationship Id="rId351" Type="http://schemas.openxmlformats.org/officeDocument/2006/relationships/hyperlink" Target="https://www.vic.gov.au/department-education-and-training-strategic-plan-2022-26" TargetMode="External"/><Relationship Id="rId393" Type="http://schemas.openxmlformats.org/officeDocument/2006/relationships/hyperlink" Target="https://www.premier.vic.gov.au/ban-delivers-cheaper-energy-and-more-choice" TargetMode="External"/><Relationship Id="rId407" Type="http://schemas.openxmlformats.org/officeDocument/2006/relationships/hyperlink" Target="https://www.energy.vic.gov.au/renewable-energy/solar-energy/victorias-emergency-backstop-mechanism-for-solar" TargetMode="External"/><Relationship Id="rId449" Type="http://schemas.openxmlformats.org/officeDocument/2006/relationships/hyperlink" Target="https://www.budget.vic.gov.au/budget-papers" TargetMode="External"/><Relationship Id="rId614" Type="http://schemas.openxmlformats.org/officeDocument/2006/relationships/hyperlink" Target="https://s3.ap-southeast-2.amazonaws.com/budgetfiles202324.budget.vic.gov.au/2023-24+State+Budget+-+Service+Delivery.pdf" TargetMode="External"/><Relationship Id="rId656" Type="http://schemas.openxmlformats.org/officeDocument/2006/relationships/hyperlink" Target="https://www.infrastructurevictoria.com.au/victorias-infrastructure-strategy-2021-2051-home/" TargetMode="External"/><Relationship Id="rId211" Type="http://schemas.openxmlformats.org/officeDocument/2006/relationships/hyperlink" Target="https://www.infrastructurevictoria.com.au/victorias-infrastructure-strategy-2021-2051-home/" TargetMode="External"/><Relationship Id="rId253" Type="http://schemas.openxmlformats.org/officeDocument/2006/relationships/hyperlink" Target="https://s3.ap-southeast-2.amazonaws.com/budgetfiles202324.budget.vic.gov.au/2023-24+State+Budget+-+Service+Delivery.pdf" TargetMode="External"/><Relationship Id="rId295" Type="http://schemas.openxmlformats.org/officeDocument/2006/relationships/hyperlink" Target="https://www.vic.gov.au/school-zones" TargetMode="External"/><Relationship Id="rId309" Type="http://schemas.openxmlformats.org/officeDocument/2006/relationships/hyperlink" Target="https://www.schoolbuildings.vic.gov.au/melton-secondary-college" TargetMode="External"/><Relationship Id="rId460" Type="http://schemas.openxmlformats.org/officeDocument/2006/relationships/hyperlink" Target="https://s3.ap-southeast-2.amazonaws.com/budgetfiles202324.budget.vic.gov.au/2023-24+State+Budget+-+Service+Delivery.pdf" TargetMode="External"/><Relationship Id="rId516" Type="http://schemas.openxmlformats.org/officeDocument/2006/relationships/hyperlink" Target="https://s3.ap-southeast-2.amazonaws.com/budgetfiles202324.budget.vic.gov.au/2023-24+State+Budget+-+Service+Delivery.pdf" TargetMode="External"/><Relationship Id="rId698" Type="http://schemas.openxmlformats.org/officeDocument/2006/relationships/hyperlink" Target="https://www.budget.vic.gov.au/budget-papers" TargetMode="External"/><Relationship Id="rId48" Type="http://schemas.openxmlformats.org/officeDocument/2006/relationships/hyperlink" Target="https://s3.ap-southeast-2.amazonaws.com/budgetfiles202324.budget.vic.gov.au/2023-24+State+Budget+-+Service+Delivery.pdf" TargetMode="External"/><Relationship Id="rId113" Type="http://schemas.openxmlformats.org/officeDocument/2006/relationships/hyperlink" Target="https://bigbuild.vic.gov.au/projects/hurstbridge-line-duplication" TargetMode="External"/><Relationship Id="rId320" Type="http://schemas.openxmlformats.org/officeDocument/2006/relationships/hyperlink" Target="https://www.audit.vic.gov.au/report/results-2021-audits-technical-and-further-education-institutes" TargetMode="External"/><Relationship Id="rId558" Type="http://schemas.openxmlformats.org/officeDocument/2006/relationships/hyperlink" Target="https://www.dtf.vic.gov.au/state-financial-data-sets/departmental-statements" TargetMode="External"/><Relationship Id="rId723" Type="http://schemas.openxmlformats.org/officeDocument/2006/relationships/hyperlink" Target="https://www.dtf.vic.gov.au/infrastructure-plan" TargetMode="External"/><Relationship Id="rId765" Type="http://schemas.openxmlformats.org/officeDocument/2006/relationships/hyperlink" Target="https://www.infrastructurevictoria.com.au/victorias-infrastructure-strategy-2021-2051-home/" TargetMode="External"/><Relationship Id="rId155" Type="http://schemas.openxmlformats.org/officeDocument/2006/relationships/hyperlink" Target="https://s3.ap-southeast-2.amazonaws.com/budgetfiles202324.budget.vic.gov.au/2023-24+State+Budget+-+Service+Delivery.pdf" TargetMode="External"/><Relationship Id="rId197" Type="http://schemas.openxmlformats.org/officeDocument/2006/relationships/hyperlink" Target="https://www.premier.vic.gov.au/first-all-electric-bus-depot-powering-ahead" TargetMode="External"/><Relationship Id="rId362" Type="http://schemas.openxmlformats.org/officeDocument/2006/relationships/hyperlink" Target="https://www.vic.gov.au/sending-child-kinder" TargetMode="External"/><Relationship Id="rId418" Type="http://schemas.openxmlformats.org/officeDocument/2006/relationships/hyperlink" Target="https://www.premier.vic.gov.au/australias-biggest-renewable-energy-storage-targets" TargetMode="External"/><Relationship Id="rId625" Type="http://schemas.openxmlformats.org/officeDocument/2006/relationships/hyperlink" Target="https://www.premier.vic.gov.au/funding-boost-supporting-cancer-research-leaders" TargetMode="External"/><Relationship Id="rId222" Type="http://schemas.openxmlformats.org/officeDocument/2006/relationships/hyperlink" Target="https://www.tra.gov.au/data-and-research/reports/national-visitor-survey-results/national-visitor-survey-results" TargetMode="External"/><Relationship Id="rId264" Type="http://schemas.openxmlformats.org/officeDocument/2006/relationships/hyperlink" Target="https://sport.vic.gov.au/grants-and-funding/our-grants/local-sports-infrastructure-fund" TargetMode="External"/><Relationship Id="rId471" Type="http://schemas.openxmlformats.org/officeDocument/2006/relationships/hyperlink" Target="https://s3.ap-southeast-2.amazonaws.com/budgetfiles202324.budget.vic.gov.au/2023-24+State+Budget+-+Service+Delivery.pdf" TargetMode="External"/><Relationship Id="rId667" Type="http://schemas.openxmlformats.org/officeDocument/2006/relationships/hyperlink" Target="https://www.fvrim.vic.gov.au/report-family-violence-reform-implementation-monitor-1-november-2019/specialist-family-violence" TargetMode="External"/><Relationship Id="rId17" Type="http://schemas.openxmlformats.org/officeDocument/2006/relationships/hyperlink" Target="https://engage.vic.gov.au/victorian-transmission-investment-framework" TargetMode="External"/><Relationship Id="rId59" Type="http://schemas.openxmlformats.org/officeDocument/2006/relationships/hyperlink" Target="https://s3.ap-southeast-2.amazonaws.com/budgetfiles202324.budget.vic.gov.au/2023-24+State+Budget+-+Service+Delivery.pdf" TargetMode="External"/><Relationship Id="rId124" Type="http://schemas.openxmlformats.org/officeDocument/2006/relationships/hyperlink" Target="https://www.budget.vic.gov.au/budget-papers" TargetMode="External"/><Relationship Id="rId527" Type="http://schemas.openxmlformats.org/officeDocument/2006/relationships/hyperlink" Target="https://www.vic.gov.au/victorias-plan-circular-economy" TargetMode="External"/><Relationship Id="rId569" Type="http://schemas.openxmlformats.org/officeDocument/2006/relationships/hyperlink" Target="https://www.premier.vic.gov.au/melton-paramedics-move-their-new-station" TargetMode="External"/><Relationship Id="rId734" Type="http://schemas.openxmlformats.org/officeDocument/2006/relationships/hyperlink" Target="https://www.ses.vic.gov.au/news-and-media/community-matters" TargetMode="External"/><Relationship Id="rId776" Type="http://schemas.openxmlformats.org/officeDocument/2006/relationships/hyperlink" Target="https://www.water.vic.gov.au/our-programs/water-monitoring-and-reporting/annual-water-outlook" TargetMode="External"/><Relationship Id="rId70" Type="http://schemas.openxmlformats.org/officeDocument/2006/relationships/hyperlink" Target="https://www.premier.vic.gov.au/delivering-water-security-our-future" TargetMode="External"/><Relationship Id="rId166" Type="http://schemas.openxmlformats.org/officeDocument/2006/relationships/hyperlink" Target="https://bigbuild.vic.gov.au/projects/mrpv/st-kilda-road-bike-lanes" TargetMode="External"/><Relationship Id="rId331" Type="http://schemas.openxmlformats.org/officeDocument/2006/relationships/hyperlink" Target="https://www.premier.vic.gov.au/works-start-world-class-broadmeadows-training-centre" TargetMode="External"/><Relationship Id="rId373" Type="http://schemas.openxmlformats.org/officeDocument/2006/relationships/hyperlink" Target="https://www.esc.vic.gov.au/electricity-and-gas/inquiries-studies-and-reviews/payment-difficulty-framework-implementation-review-2021" TargetMode="External"/><Relationship Id="rId429" Type="http://schemas.openxmlformats.org/officeDocument/2006/relationships/hyperlink" Target="https://www.pm.gov.au/media/rewiring-nation-supercharge-victorian-renewables" TargetMode="External"/><Relationship Id="rId580" Type="http://schemas.openxmlformats.org/officeDocument/2006/relationships/hyperlink" Target="https://s3.ap-southeast-2.amazonaws.com/budgetfiles202324.budget.vic.gov.au/2023-24+State+Budget+-+Service+Delivery.pdf" TargetMode="External"/><Relationship Id="rId636" Type="http://schemas.openxmlformats.org/officeDocument/2006/relationships/hyperlink" Target="https://www.homes.vic.gov.au/housing-explainer" TargetMode="External"/><Relationship Id="rId801" Type="http://schemas.openxmlformats.org/officeDocument/2006/relationships/hyperlink" Target="https://www.budget.vic.gov.au/budget-papers" TargetMode="External"/><Relationship Id="rId1" Type="http://schemas.openxmlformats.org/officeDocument/2006/relationships/hyperlink" Target="https://www.dtf.vic.gov.au/economic-and-financial-updates/2022-victorian-economic-and-fiscal-update" TargetMode="External"/><Relationship Id="rId233" Type="http://schemas.openxmlformats.org/officeDocument/2006/relationships/hyperlink" Target="https://www.premier.vic.gov.au/site-4/queenscliff-ferry-terminal-opens" TargetMode="External"/><Relationship Id="rId440" Type="http://schemas.openxmlformats.org/officeDocument/2006/relationships/hyperlink" Target="https://www.abc.net.au/news/2019-11-30/tunnel-of-love-for-mountain-pygmy-possums/11753558" TargetMode="External"/><Relationship Id="rId678" Type="http://schemas.openxmlformats.org/officeDocument/2006/relationships/hyperlink" Target="https://csba.vic.gov.au/our-projects/dame-phyllis-frost-centre" TargetMode="External"/><Relationship Id="rId28" Type="http://schemas.openxmlformats.org/officeDocument/2006/relationships/hyperlink" Target="https://www.infrastructurevictoria.com.au/victorias-infrastructure-strategy-2021-2051-home/" TargetMode="External"/><Relationship Id="rId275" Type="http://schemas.openxmlformats.org/officeDocument/2006/relationships/hyperlink" Target="https://www.premier.vic.gov.au/site-4/works-start-new-fawkner-leisure-centre" TargetMode="External"/><Relationship Id="rId300" Type="http://schemas.openxmlformats.org/officeDocument/2006/relationships/hyperlink" Target="https://www.infrastructurevictoria.com.au/wp-content/uploads/2020/12/Growing-together-December-2020-1.pdf" TargetMode="External"/><Relationship Id="rId482" Type="http://schemas.openxmlformats.org/officeDocument/2006/relationships/hyperlink" Target="https://new.parliament.vic.gov.au/get-involved/inquiries/be2023-24/questionnaires/" TargetMode="External"/><Relationship Id="rId538" Type="http://schemas.openxmlformats.org/officeDocument/2006/relationships/hyperlink" Target="https://www.deeca.vic.gov.au/media-centre/media-releases/victorias-first-regional-plans-for-a-thriving-circular-economy" TargetMode="External"/><Relationship Id="rId703" Type="http://schemas.openxmlformats.org/officeDocument/2006/relationships/hyperlink" Target="https://www.premier.vic.gov.au/koori-court-officially-opens-wodonga" TargetMode="External"/><Relationship Id="rId745" Type="http://schemas.openxmlformats.org/officeDocument/2006/relationships/hyperlink" Target="https://www.premier.vic.gov.au/first-relief-centre-aboriginal-community-gippsland" TargetMode="External"/><Relationship Id="rId81" Type="http://schemas.openxmlformats.org/officeDocument/2006/relationships/hyperlink" Target="https://www.infrastructurevictoria.com.au/victorias-infrastructure-strategy-2021-2051-home/" TargetMode="External"/><Relationship Id="rId135" Type="http://schemas.openxmlformats.org/officeDocument/2006/relationships/hyperlink" Target="https://www.premier.vic.gov.au/victorias-big-build-projects-national-review" TargetMode="External"/><Relationship Id="rId177" Type="http://schemas.openxmlformats.org/officeDocument/2006/relationships/hyperlink" Target="https://s3.ap-southeast-2.amazonaws.com/budgetfiles202324.budget.vic.gov.au/2023-24+State+Budget+-+Service+Delivery.pdf" TargetMode="External"/><Relationship Id="rId342" Type="http://schemas.openxmlformats.org/officeDocument/2006/relationships/hyperlink" Target="https://www.budget.vic.gov.au/budget-papers" TargetMode="External"/><Relationship Id="rId384" Type="http://schemas.openxmlformats.org/officeDocument/2006/relationships/hyperlink" Target="https://www.energy.gov.au/rebates/solar-battery-rebate" TargetMode="External"/><Relationship Id="rId591" Type="http://schemas.openxmlformats.org/officeDocument/2006/relationships/hyperlink" Target="https://www.premier.vic.gov.au/new-dedicated-hub-upskill-paramedics-delivered" TargetMode="External"/><Relationship Id="rId605" Type="http://schemas.openxmlformats.org/officeDocument/2006/relationships/hyperlink" Target="https://www.infrastructurevictoria.com.au/victorias-infrastructure-strategy-2021-2051-home/" TargetMode="External"/><Relationship Id="rId787" Type="http://schemas.openxmlformats.org/officeDocument/2006/relationships/hyperlink" Target="https://www.water.vic.gov.au/our-programs/integrated-water-management" TargetMode="External"/><Relationship Id="rId202" Type="http://schemas.openxmlformats.org/officeDocument/2006/relationships/hyperlink" Target="https://www.vicroads.vic.gov.au/safety-and-road-rules/e-scooters-in-victoria/e-scooter-trial" TargetMode="External"/><Relationship Id="rId244" Type="http://schemas.openxmlformats.org/officeDocument/2006/relationships/hyperlink" Target="https://sport.vic.gov.au/publications-and-resources/strategies/active-victoria-strategic-framework-sport-and-recreation" TargetMode="External"/><Relationship Id="rId647" Type="http://schemas.openxmlformats.org/officeDocument/2006/relationships/hyperlink" Target="https://www.budget.vic.gov.au/strengthening-our-community-and-economy" TargetMode="External"/><Relationship Id="rId689" Type="http://schemas.openxmlformats.org/officeDocument/2006/relationships/hyperlink" Target="https://www.audit.vic.gov.au/report/administration-victorian-courts?section=%27" TargetMode="External"/><Relationship Id="rId39" Type="http://schemas.openxmlformats.org/officeDocument/2006/relationships/hyperlink" Target="https://www.infrastructurevictoria.com.au/victorias-infrastructure-strategy-2021-2051-home/" TargetMode="External"/><Relationship Id="rId286" Type="http://schemas.openxmlformats.org/officeDocument/2006/relationships/hyperlink" Target="https://www.vic.gov.au/sites/default/files/2022-06/brochureapril.docx" TargetMode="External"/><Relationship Id="rId451" Type="http://schemas.openxmlformats.org/officeDocument/2006/relationships/hyperlink" Target="https://www.budget.vic.gov.au/budget-papers" TargetMode="External"/><Relationship Id="rId493" Type="http://schemas.openxmlformats.org/officeDocument/2006/relationships/hyperlink" Target="https://www.premier.vic.gov.au/new-direction-victorias-billion-dollar-industry" TargetMode="External"/><Relationship Id="rId507" Type="http://schemas.openxmlformats.org/officeDocument/2006/relationships/hyperlink" Target="https://www.climatechange.vic.gov.au/greenhouse-gas-emissions" TargetMode="External"/><Relationship Id="rId549" Type="http://schemas.openxmlformats.org/officeDocument/2006/relationships/hyperlink" Target="https://www.premier.vic.gov.au/victorians-benefit-new-container-deposit-scheme" TargetMode="External"/><Relationship Id="rId714" Type="http://schemas.openxmlformats.org/officeDocument/2006/relationships/hyperlink" Target="https://www.justice.vic.gov.au/corporate-plan-2022-26" TargetMode="External"/><Relationship Id="rId756" Type="http://schemas.openxmlformats.org/officeDocument/2006/relationships/hyperlink" Target="https://www.emv.vic.gov.au/strategic-priorities/strategic-roadmap-2022-28" TargetMode="External"/><Relationship Id="rId50" Type="http://schemas.openxmlformats.org/officeDocument/2006/relationships/hyperlink" Target="https://www.budget.vic.gov.au/budget-papers" TargetMode="External"/><Relationship Id="rId104" Type="http://schemas.openxmlformats.org/officeDocument/2006/relationships/hyperlink" Target="https://bigbuild.vic.gov.au/projects/mrpv/thompsons-road-and-berwick-cranbourne-road-intersection-upgrade" TargetMode="External"/><Relationship Id="rId146" Type="http://schemas.openxmlformats.org/officeDocument/2006/relationships/hyperlink" Target="https://www.infrastructurevictoria.com.au/victorias-infrastructure-strategy-2021-2051-home/" TargetMode="External"/><Relationship Id="rId188" Type="http://schemas.openxmlformats.org/officeDocument/2006/relationships/hyperlink" Target="https://www.infrastructurevictoria.com.au/victorias-infrastructure-strategy-2021-2051-home/" TargetMode="External"/><Relationship Id="rId311" Type="http://schemas.openxmlformats.org/officeDocument/2006/relationships/hyperlink" Target="https://www.royalfarwest.org.au/the-invisible-children/" TargetMode="External"/><Relationship Id="rId353" Type="http://schemas.openxmlformats.org/officeDocument/2006/relationships/hyperlink" Target="https://s3.ap-southeast-2.amazonaws.com/budgetfiles202324.budget.vic.gov.au/2023-24+State+Budget+-+Service+Delivery.pdf" TargetMode="External"/><Relationship Id="rId395" Type="http://schemas.openxmlformats.org/officeDocument/2006/relationships/hyperlink" Target="https://www.infrastructurevictoria.com.au/victorias-infrastructure-strategy-2021-2051-home/" TargetMode="External"/><Relationship Id="rId409" Type="http://schemas.openxmlformats.org/officeDocument/2006/relationships/hyperlink" Target="https://www.budget.vic.gov.au/budget-papers" TargetMode="External"/><Relationship Id="rId560" Type="http://schemas.openxmlformats.org/officeDocument/2006/relationships/hyperlink" Target="https://www.health.vic.gov.au/department-of-health-annual-report" TargetMode="External"/><Relationship Id="rId798" Type="http://schemas.openxmlformats.org/officeDocument/2006/relationships/hyperlink" Target="https://www.water.vic.gov.au/waterways/flagship-waterways" TargetMode="External"/><Relationship Id="rId92" Type="http://schemas.openxmlformats.org/officeDocument/2006/relationships/hyperlink" Target="https://www.budget.vic.gov.au/budget-papers" TargetMode="External"/><Relationship Id="rId213" Type="http://schemas.openxmlformats.org/officeDocument/2006/relationships/hyperlink" Target="https://www.infrastructurevictoria.com.au/victorias-infrastructure-strategy-2021-2051-home/" TargetMode="External"/><Relationship Id="rId420" Type="http://schemas.openxmlformats.org/officeDocument/2006/relationships/hyperlink" Target="https://engage.vic.gov.au/victorian-transmission-investment-framework" TargetMode="External"/><Relationship Id="rId616" Type="http://schemas.openxmlformats.org/officeDocument/2006/relationships/hyperlink" Target="https://www.budget.vic.gov.au/budget-papers" TargetMode="External"/><Relationship Id="rId658" Type="http://schemas.openxmlformats.org/officeDocument/2006/relationships/hyperlink" Target="https://www.vic.gov.au/ending-family-violence-victorias-10-year-plan-change" TargetMode="External"/><Relationship Id="rId255" Type="http://schemas.openxmlformats.org/officeDocument/2006/relationships/hyperlink" Target="http://www.slv.vic.gov.au/sites/default/files/Libraries-work.pdf" TargetMode="External"/><Relationship Id="rId297" Type="http://schemas.openxmlformats.org/officeDocument/2006/relationships/hyperlink" Target="https://s3.ap-southeast-2.amazonaws.com/Budget%20files202223.Budget%20.vic.gov.au/2022-23+State+Budget%20+-+Service+Delivery.pdf" TargetMode="External"/><Relationship Id="rId462" Type="http://schemas.openxmlformats.org/officeDocument/2006/relationships/hyperlink" Target="https://www.environment.vic.gov.au/conserving-threatened-species/threatened-species/faunal-emblems-program" TargetMode="External"/><Relationship Id="rId518" Type="http://schemas.openxmlformats.org/officeDocument/2006/relationships/hyperlink" Target="https://www.marineandcoasts.vic.gov.au/marine-coastal-management/victorias-resilient-coast-adapting-for-2100" TargetMode="External"/><Relationship Id="rId725" Type="http://schemas.openxmlformats.org/officeDocument/2006/relationships/hyperlink" Target="https://www.budget.vic.gov.au/budget-papers" TargetMode="External"/><Relationship Id="rId115" Type="http://schemas.openxmlformats.org/officeDocument/2006/relationships/hyperlink" Target="https://bigbuild.vic.gov.au/library/level-crossing-removal-project/rail/hurstbridge/fact-sheets/new-walking-and-cycling-connections-fact-sheet" TargetMode="External"/><Relationship Id="rId157" Type="http://schemas.openxmlformats.org/officeDocument/2006/relationships/hyperlink" Target="https://s3.ap-southeast-2.amazonaws.com/budgetfiles202324.budget.vic.gov.au/2023-24+State+Budget+-+Service+Delivery.pdf" TargetMode="External"/><Relationship Id="rId322" Type="http://schemas.openxmlformats.org/officeDocument/2006/relationships/hyperlink" Target="https://www.budget.vic.gov.au/budget-papers" TargetMode="External"/><Relationship Id="rId364" Type="http://schemas.openxmlformats.org/officeDocument/2006/relationships/hyperlink" Target="https://www.budget.vic.gov.au/budget-papers" TargetMode="External"/><Relationship Id="rId767" Type="http://schemas.openxmlformats.org/officeDocument/2006/relationships/hyperlink" Target="https://www.infrastructurevictoria.com.au/victorias-infrastructure-strategy-2021-2051-home/" TargetMode="External"/><Relationship Id="rId61" Type="http://schemas.openxmlformats.org/officeDocument/2006/relationships/hyperlink" Target="https://www.budget.vic.gov.au/budget-papers" TargetMode="External"/><Relationship Id="rId199" Type="http://schemas.openxmlformats.org/officeDocument/2006/relationships/hyperlink" Target="https://www.vicroads.vic.gov.au/safety-and-road-rules/e-scooters-in-victoria" TargetMode="External"/><Relationship Id="rId571" Type="http://schemas.openxmlformats.org/officeDocument/2006/relationships/hyperlink" Target="https://www.budget.vic.gov.au/budget-papers" TargetMode="External"/><Relationship Id="rId627" Type="http://schemas.openxmlformats.org/officeDocument/2006/relationships/hyperlink" Target="https://s3.ap-southeast-2.amazonaws.com/budgetfiles202324.budget.vic.gov.au/2023-24+State+Budget+-+Service+Delivery.pdf" TargetMode="External"/><Relationship Id="rId669" Type="http://schemas.openxmlformats.org/officeDocument/2006/relationships/hyperlink" Target="https://www.nifvs.org.au/2022/10/24/new-specialist-family-violence-courts-gazetted/" TargetMode="External"/><Relationship Id="rId19" Type="http://schemas.openxmlformats.org/officeDocument/2006/relationships/hyperlink" Target="https://s3.ap-southeast-2.amazonaws.com/budgetfiles202324.budget.vic.gov.au/2023-24+State+Budget+-+Service+Delivery.pdf" TargetMode="External"/><Relationship Id="rId224" Type="http://schemas.openxmlformats.org/officeDocument/2006/relationships/hyperlink" Target="https://www.budget.vic.gov.au/budget-papers" TargetMode="External"/><Relationship Id="rId266" Type="http://schemas.openxmlformats.org/officeDocument/2006/relationships/hyperlink" Target="https://s3.ap-southeast-2.amazonaws.com/budgetfiles202324.budget.vic.gov.au/2023-24+State+Budget+-+Service+Delivery.pdf" TargetMode="External"/><Relationship Id="rId431" Type="http://schemas.openxmlformats.org/officeDocument/2006/relationships/hyperlink" Target="https://www.premier.vic.gov.au/gas-roadmap-drives-down-energy-bills-and-emissions" TargetMode="External"/><Relationship Id="rId473" Type="http://schemas.openxmlformats.org/officeDocument/2006/relationships/hyperlink" Target="https://www.budget.vic.gov.au/budget-papers" TargetMode="External"/><Relationship Id="rId529" Type="http://schemas.openxmlformats.org/officeDocument/2006/relationships/hyperlink" Target="https://s3.ap-southeast-2.amazonaws.com/budgetfiles202324.budget.vic.gov.au/2023-24+State+Budget+-+Service+Delivery.pdf" TargetMode="External"/><Relationship Id="rId680" Type="http://schemas.openxmlformats.org/officeDocument/2006/relationships/hyperlink" Target="https://csba.vic.gov.au/our-projects/cherry-creek-youth-justice-centre" TargetMode="External"/><Relationship Id="rId736" Type="http://schemas.openxmlformats.org/officeDocument/2006/relationships/hyperlink" Target="https://www.dtf.vic.gov.au/economic-and-financial-updates/2022-victorian-economic-and-fiscal-update" TargetMode="External"/><Relationship Id="rId30" Type="http://schemas.openxmlformats.org/officeDocument/2006/relationships/hyperlink" Target="https://www.budget.vic.gov.au/budget-papers" TargetMode="External"/><Relationship Id="rId126" Type="http://schemas.openxmlformats.org/officeDocument/2006/relationships/hyperlink" Target="https://www.budget.vic.gov.au/budget-papers" TargetMode="External"/><Relationship Id="rId168" Type="http://schemas.openxmlformats.org/officeDocument/2006/relationships/hyperlink" Target="https://www.dtf.vic.gov.au/economic-and-financial-updates/2022-victorian-economic-and-fiscal-update" TargetMode="External"/><Relationship Id="rId333" Type="http://schemas.openxmlformats.org/officeDocument/2006/relationships/hyperlink" Target="https://www.premier.vic.gov.au/william-angliss-institutes-bun-day-delivers-tasty-treats" TargetMode="External"/><Relationship Id="rId540" Type="http://schemas.openxmlformats.org/officeDocument/2006/relationships/hyperlink" Target="https://www.vic.gov.au/gippsland-regional-circular-economy-plan" TargetMode="External"/><Relationship Id="rId778" Type="http://schemas.openxmlformats.org/officeDocument/2006/relationships/hyperlink" Target="https://www.water.vic.gov.au/water-grid-and-markets/victorias-water-grids" TargetMode="External"/><Relationship Id="rId72" Type="http://schemas.openxmlformats.org/officeDocument/2006/relationships/hyperlink" Target="https://www.water.vic.gov.au/planning/long-term-assessments-and-strategies/central-gipps-sws" TargetMode="External"/><Relationship Id="rId375" Type="http://schemas.openxmlformats.org/officeDocument/2006/relationships/hyperlink" Target="https://www.esc.vic.gov.au/electricity-and-gas/market-performance-and-reporting/victorian-energy-market-report" TargetMode="External"/><Relationship Id="rId582" Type="http://schemas.openxmlformats.org/officeDocument/2006/relationships/hyperlink" Target="https://www.infrastructurevictoria.com.au/victorias-infrastructure-strategy-2021-2051-home/" TargetMode="External"/><Relationship Id="rId638" Type="http://schemas.openxmlformats.org/officeDocument/2006/relationships/hyperlink" Target="https://www.dtf.vic.gov.au/state-financial-data-sets/departmental-statements" TargetMode="External"/><Relationship Id="rId803" Type="http://schemas.openxmlformats.org/officeDocument/2006/relationships/hyperlink" Target="http://www.infrastructurevictoria.com.au" TargetMode="External"/><Relationship Id="rId3" Type="http://schemas.openxmlformats.org/officeDocument/2006/relationships/hyperlink" Target="https://climate.copernicus.eu/extreme-heat-widespread-drought-typify-european-climate-2022" TargetMode="External"/><Relationship Id="rId235" Type="http://schemas.openxmlformats.org/officeDocument/2006/relationships/hyperlink" Target="https://www.premier.vic.gov.au/site-4/queenscliff-ferry-terminal-opens" TargetMode="External"/><Relationship Id="rId277" Type="http://schemas.openxmlformats.org/officeDocument/2006/relationships/hyperlink" Target="https://www.premier.vic.gov.au/funding-boost-deliver-first-class-libraries-victorians" TargetMode="External"/><Relationship Id="rId400" Type="http://schemas.openxmlformats.org/officeDocument/2006/relationships/hyperlink" Target="https://www.premier.vic.gov.au/empowering-communities-neighbourhood-batteries" TargetMode="External"/><Relationship Id="rId442" Type="http://schemas.openxmlformats.org/officeDocument/2006/relationships/hyperlink" Target="https://www.vicroads.vic.gov.au/-/media/files/documents/planning-and-projects/environment/vicroads_n1571864_vicroads_fauna_sensitive_road_deisgn_guidelines_final.ashx" TargetMode="External"/><Relationship Id="rId484" Type="http://schemas.openxmlformats.org/officeDocument/2006/relationships/hyperlink" Target="https://www.exploreoutdoors.vic.gov.au/investing-in-nature/victorias-great-outdoors-program" TargetMode="External"/><Relationship Id="rId705" Type="http://schemas.openxmlformats.org/officeDocument/2006/relationships/hyperlink" Target="https://s3.ap-southeast-2.amazonaws.com/budgetfiles202324.budget.vic.gov.au/2023-24+State+Budget+-+Service+Delivery.pdf" TargetMode="External"/><Relationship Id="rId137" Type="http://schemas.openxmlformats.org/officeDocument/2006/relationships/hyperlink" Target="https://bigbuild.vic.gov.au/library/melbourne-airport-rail/business-case" TargetMode="External"/><Relationship Id="rId302" Type="http://schemas.openxmlformats.org/officeDocument/2006/relationships/hyperlink" Target="https://www2.education.vic.gov.au/pal/community-use-schools-community-joint-use-agreements/policy" TargetMode="External"/><Relationship Id="rId344" Type="http://schemas.openxmlformats.org/officeDocument/2006/relationships/hyperlink" Target="https://www.budget.vic.gov.au/budget-papers" TargetMode="External"/><Relationship Id="rId691" Type="http://schemas.openxmlformats.org/officeDocument/2006/relationships/hyperlink" Target="https://www.audit.vic.gov.au/report/administration-victorian-courts?section=%27" TargetMode="External"/><Relationship Id="rId747" Type="http://schemas.openxmlformats.org/officeDocument/2006/relationships/hyperlink" Target="https://s3.ap-southeast-2.amazonaws.com/budgetfiles202324.budget.vic.gov.au/2023-24+State+Budget+-+Service+Delivery.pdf" TargetMode="External"/><Relationship Id="rId789" Type="http://schemas.openxmlformats.org/officeDocument/2006/relationships/hyperlink" Target="https://www.water.vic.gov.au/our-programs/integrated-water-management" TargetMode="External"/><Relationship Id="rId41" Type="http://schemas.openxmlformats.org/officeDocument/2006/relationships/hyperlink" Target="https://s3.ap-southeast-2.amazonaws.com/budgetfiles202324.budget.vic.gov.au/2023-24+State+Budget+-+State+Capital+Program.pdf" TargetMode="External"/><Relationship Id="rId83" Type="http://schemas.openxmlformats.org/officeDocument/2006/relationships/hyperlink" Target="https://www.infrastructurevictoria.com.au/victorias-infrastructure-strategy-2021-2051-home/" TargetMode="External"/><Relationship Id="rId179" Type="http://schemas.openxmlformats.org/officeDocument/2006/relationships/hyperlink" Target="https://carparks.vic.gov.au/about/" TargetMode="External"/><Relationship Id="rId386" Type="http://schemas.openxmlformats.org/officeDocument/2006/relationships/hyperlink" Target="https://www.budget.vic.gov.au/budget-papers" TargetMode="External"/><Relationship Id="rId551" Type="http://schemas.openxmlformats.org/officeDocument/2006/relationships/hyperlink" Target="https://www.epa.vic.gov.au/about-epa/our-programs-and-projects/single-use-plastics-ban" TargetMode="External"/><Relationship Id="rId593" Type="http://schemas.openxmlformats.org/officeDocument/2006/relationships/hyperlink" Target="https://s3.ap-southeast-2.amazonaws.com/budgetfiles202324.budget.vic.gov.au/2023-24+State+Budget+-+Service+Delivery.pdf" TargetMode="External"/><Relationship Id="rId607" Type="http://schemas.openxmlformats.org/officeDocument/2006/relationships/hyperlink" Target="https://www.infrastructureaustralia.gov.au/sites/default/files/2020-10/Audit%202019_Full%20pdf_Updates%20September%202020.pdf" TargetMode="External"/><Relationship Id="rId649" Type="http://schemas.openxmlformats.org/officeDocument/2006/relationships/hyperlink" Target="https://s3.ap-southeast-2.amazonaws.com/budgetfiles202324.budget.vic.gov.au/2023-24+State+Budget+-+Service+Delivery.pdf" TargetMode="External"/><Relationship Id="rId190" Type="http://schemas.openxmlformats.org/officeDocument/2006/relationships/hyperlink" Target="https://www.infrastructurevictoria.com.au/victorias-infrastructure-strategy-2021-2051-home/" TargetMode="External"/><Relationship Id="rId204" Type="http://schemas.openxmlformats.org/officeDocument/2006/relationships/hyperlink" Target="https://www.vicroads.vic.gov.au/safety-and-road-rules/e-scooters-in-victoria/e-scooter-trial" TargetMode="External"/><Relationship Id="rId246" Type="http://schemas.openxmlformats.org/officeDocument/2006/relationships/hyperlink" Target="https://www.localgovernment.vic.gov.au/grants/growing-suburbs-fund" TargetMode="External"/><Relationship Id="rId288" Type="http://schemas.openxmlformats.org/officeDocument/2006/relationships/hyperlink" Target="https://www.dtf.vic.gov.au/infrastructure-plan" TargetMode="External"/><Relationship Id="rId411" Type="http://schemas.openxmlformats.org/officeDocument/2006/relationships/hyperlink" Target="https://www.budget.vic.gov.au/budget-papers" TargetMode="External"/><Relationship Id="rId453" Type="http://schemas.openxmlformats.org/officeDocument/2006/relationships/hyperlink" Target="https://www.budget.vic.gov.au/budget-papers" TargetMode="External"/><Relationship Id="rId509" Type="http://schemas.openxmlformats.org/officeDocument/2006/relationships/hyperlink" Target="https://www.budget.vic.gov.au/budget-papers" TargetMode="External"/><Relationship Id="rId660" Type="http://schemas.openxmlformats.org/officeDocument/2006/relationships/hyperlink" Target="https://www.budget.vic.gov.au/budget-papers" TargetMode="External"/><Relationship Id="rId106" Type="http://schemas.openxmlformats.org/officeDocument/2006/relationships/hyperlink" Target="https://www.infrastructurevictoria.com.au/victorias-infrastructure-strategy-2021-2051-home/" TargetMode="External"/><Relationship Id="rId313" Type="http://schemas.openxmlformats.org/officeDocument/2006/relationships/hyperlink" Target="https://www.dtf.vic.gov.au/infrastructure-plan" TargetMode="External"/><Relationship Id="rId495" Type="http://schemas.openxmlformats.org/officeDocument/2006/relationships/hyperlink" Target="https://www.budget.vic.gov.au/budget-papers" TargetMode="External"/><Relationship Id="rId716" Type="http://schemas.openxmlformats.org/officeDocument/2006/relationships/hyperlink" Target="https://itdashboard.digital.vic.gov.au/" TargetMode="External"/><Relationship Id="rId758" Type="http://schemas.openxmlformats.org/officeDocument/2006/relationships/hyperlink" Target="https://www.emv.vic.gov.au/strategic-priorities/strategic-action-plan-sap-2022-25" TargetMode="External"/><Relationship Id="rId10" Type="http://schemas.openxmlformats.org/officeDocument/2006/relationships/hyperlink" Target="https://s3.ap-southeast-2.amazonaws.com/budgetfiles202324.budget.vic.gov.au/2023-24+State+Budget+-+Service+Delivery.pdf" TargetMode="External"/><Relationship Id="rId52" Type="http://schemas.openxmlformats.org/officeDocument/2006/relationships/hyperlink" Target="https://www.chisholm.edu.au/About-Us/Frankston-Campus-Redevelopment-Project/Stage-2" TargetMode="External"/><Relationship Id="rId94" Type="http://schemas.openxmlformats.org/officeDocument/2006/relationships/hyperlink" Target="https://bigbuild.vic.gov.au/projects/mrpv/monash-freeway-upgrade" TargetMode="External"/><Relationship Id="rId148" Type="http://schemas.openxmlformats.org/officeDocument/2006/relationships/hyperlink" Target="https://www.infrastructurevictoria.com.au/victorias-infrastructure-strategy-2021-2051-home/" TargetMode="External"/><Relationship Id="rId355" Type="http://schemas.openxmlformats.org/officeDocument/2006/relationships/hyperlink" Target="https://s3.ap-southeast-2.amazonaws.com/budgetfiles202324.budget.vic.gov.au/2023-24+State+Budget+-+Service+Delivery.pdf" TargetMode="External"/><Relationship Id="rId397" Type="http://schemas.openxmlformats.org/officeDocument/2006/relationships/hyperlink" Target="https://www.infrastructurevictoria.com.au/report/towards-2050-gas-infrastructure-in-a-net-zero-emissions-economy/" TargetMode="External"/><Relationship Id="rId520" Type="http://schemas.openxmlformats.org/officeDocument/2006/relationships/hyperlink" Target="https://www.infrastructurevictoria.com.au/victorias-infrastructure-strategy-2021-2051-home/" TargetMode="External"/><Relationship Id="rId562" Type="http://schemas.openxmlformats.org/officeDocument/2006/relationships/hyperlink" Target="https://s3.ap-southeast-2.amazonaws.com/budgetfiles202324.budget.vic.gov.au/2023-24+State+Budget+-+State+Capital+Program.pdf" TargetMode="External"/><Relationship Id="rId618" Type="http://schemas.openxmlformats.org/officeDocument/2006/relationships/hyperlink" Target="https://www.budget.vic.gov.au/budget-papers" TargetMode="External"/><Relationship Id="rId215" Type="http://schemas.openxmlformats.org/officeDocument/2006/relationships/hyperlink" Target="https://smarterroads.vic.gov.au/vicroads/smarter-roads/technology" TargetMode="External"/><Relationship Id="rId257" Type="http://schemas.openxmlformats.org/officeDocument/2006/relationships/hyperlink" Target="https://www.infrastructurevictoria.com.au/wp-content/uploads/2021/09/Background-paper-Social-infrastructure-in-Melbournes-new-growth-areas-1.pdf" TargetMode="External"/><Relationship Id="rId422" Type="http://schemas.openxmlformats.org/officeDocument/2006/relationships/hyperlink" Target="https://www.budget.vic.gov.au/budget-papers" TargetMode="External"/><Relationship Id="rId464" Type="http://schemas.openxmlformats.org/officeDocument/2006/relationships/hyperlink" Target="https://www.greenadelaide.sa.gov.au/news/2022-everything-about-new-biodiversity-corridor-adelaide" TargetMode="External"/><Relationship Id="rId299" Type="http://schemas.openxmlformats.org/officeDocument/2006/relationships/hyperlink" Target="https://www2.education.vic.gov.au/pal/land-acquisition/guidance" TargetMode="External"/><Relationship Id="rId727" Type="http://schemas.openxmlformats.org/officeDocument/2006/relationships/hyperlink" Target="https://www.budget.vic.gov.au/budget-papers" TargetMode="External"/><Relationship Id="rId63" Type="http://schemas.openxmlformats.org/officeDocument/2006/relationships/hyperlink" Target="https://www.premier.vic.gov.au/union-station-opening-marks-major-level-crossing-milestone" TargetMode="External"/><Relationship Id="rId159" Type="http://schemas.openxmlformats.org/officeDocument/2006/relationships/hyperlink" Target="https://dtp.vic.gov.au/about/our-annual-report-2021-2022" TargetMode="External"/><Relationship Id="rId366" Type="http://schemas.openxmlformats.org/officeDocument/2006/relationships/hyperlink" Target="https://www.schoolbuildings.vic.gov.au/budget-invests-big-school-build" TargetMode="External"/><Relationship Id="rId573" Type="http://schemas.openxmlformats.org/officeDocument/2006/relationships/hyperlink" Target="https://www.infrastructurevictoria.com.au/victorias-infrastructure-strategy-2021-2051-home/" TargetMode="External"/><Relationship Id="rId780" Type="http://schemas.openxmlformats.org/officeDocument/2006/relationships/hyperlink" Target="https://www.health.vic.gov.au/sites/default/files/2023-03/annual-report-drinking-water-quality-vic-2021-22.pdf" TargetMode="External"/><Relationship Id="rId226" Type="http://schemas.openxmlformats.org/officeDocument/2006/relationships/hyperlink" Target="https://www.premier.vic.gov.au/commonwealth-games-costs-too-high-over-6-billion" TargetMode="External"/><Relationship Id="rId433" Type="http://schemas.openxmlformats.org/officeDocument/2006/relationships/hyperlink" Target="https://www.budget.vic.gov.au/budget-papers" TargetMode="External"/><Relationship Id="rId640" Type="http://schemas.openxmlformats.org/officeDocument/2006/relationships/hyperlink" Target="https://s3.ap-southeast-2.amazonaws.com/budgetfiles202324.budget.vic.gov.au/2023-24+State+Budget+-+Service+Delivery.pdf" TargetMode="External"/><Relationship Id="rId738" Type="http://schemas.openxmlformats.org/officeDocument/2006/relationships/hyperlink" Target="https://www.budget.vic.gov.au/budget-papers" TargetMode="External"/><Relationship Id="rId74" Type="http://schemas.openxmlformats.org/officeDocument/2006/relationships/hyperlink" Target="https://djsir.vic.gov.au/__data/assets/pdf_file/0010/2172079/Experience-Victoria-2033-web.pdf" TargetMode="External"/><Relationship Id="rId377" Type="http://schemas.openxmlformats.org/officeDocument/2006/relationships/hyperlink" Target="https://www.premier.vic.gov.au/site-4/helping-low-income-households-stay-comfy-and-save-money" TargetMode="External"/><Relationship Id="rId500" Type="http://schemas.openxmlformats.org/officeDocument/2006/relationships/hyperlink" Target="https://www.climatechange.vic.gov.au/victorias-climate-change-strategy" TargetMode="External"/><Relationship Id="rId584" Type="http://schemas.openxmlformats.org/officeDocument/2006/relationships/hyperlink" Target="https://www.budget.vic.gov.au/budget-papers" TargetMode="External"/><Relationship Id="rId5" Type="http://schemas.openxmlformats.org/officeDocument/2006/relationships/hyperlink" Target="https://doi.org/10.1038/s41598-023-30347-y" TargetMode="External"/><Relationship Id="rId237" Type="http://schemas.openxmlformats.org/officeDocument/2006/relationships/hyperlink" Target="https://www.premier.vic.gov.au/new-master-plan-strengthen-victorias-visitor-economy" TargetMode="External"/><Relationship Id="rId791" Type="http://schemas.openxmlformats.org/officeDocument/2006/relationships/hyperlink" Target="https://www.water.vic.gov.au/our-programs/integrated-water-management" TargetMode="External"/><Relationship Id="rId444" Type="http://schemas.openxmlformats.org/officeDocument/2006/relationships/hyperlink" Target="https://s3.ap-southeast-2.amazonaws.com/budgetfiles202324.budget.vic.gov.au/2023-24+State+Budget+-+Service+Delivery.pdf" TargetMode="External"/><Relationship Id="rId651" Type="http://schemas.openxmlformats.org/officeDocument/2006/relationships/hyperlink" Target="https://www.infrastructurevictoria.com.au/victorias-infrastructure-strategy-2021-2051-home/" TargetMode="External"/><Relationship Id="rId749" Type="http://schemas.openxmlformats.org/officeDocument/2006/relationships/hyperlink" Target="https://s3.ap-southeast-2.amazonaws.com/budgetfiles202324.budget.vic.gov.au/2023-24+State+Budget+-+Service+Delivery.pdf" TargetMode="External"/><Relationship Id="rId290" Type="http://schemas.openxmlformats.org/officeDocument/2006/relationships/hyperlink" Target="https://s3.ap-southeast-2.amazonaws.com/budgetfiles202324.budget.vic.gov.au/2023-24+State+Budget+-+Service+Delivery.pdf" TargetMode="External"/><Relationship Id="rId304" Type="http://schemas.openxmlformats.org/officeDocument/2006/relationships/hyperlink" Target="https://www2.education.vic.gov.au/pal/bqsh-school-construction-design-standards/policy" TargetMode="External"/><Relationship Id="rId388" Type="http://schemas.openxmlformats.org/officeDocument/2006/relationships/hyperlink" Target="https://www.solar.vic.gov.au/solar-panel-rebate" TargetMode="External"/><Relationship Id="rId511" Type="http://schemas.openxmlformats.org/officeDocument/2006/relationships/hyperlink" Target="https://www.budget.vic.gov.au/budget-papers" TargetMode="External"/><Relationship Id="rId609" Type="http://schemas.openxmlformats.org/officeDocument/2006/relationships/hyperlink" Target="https://www.infrastructurevictoria.com.au/victorias-infrastructure-strategy-2021-2051-home/" TargetMode="External"/><Relationship Id="rId85" Type="http://schemas.openxmlformats.org/officeDocument/2006/relationships/hyperlink" Target="https://www.infrastructurevictoria.com.au/project/our-home-choices/" TargetMode="External"/><Relationship Id="rId150" Type="http://schemas.openxmlformats.org/officeDocument/2006/relationships/hyperlink" Target="https://www.budget.vic.gov.au/budget-papers" TargetMode="External"/><Relationship Id="rId595" Type="http://schemas.openxmlformats.org/officeDocument/2006/relationships/hyperlink" Target="https://www.infrastructurevictoria.com.au/victorias-infrastructure-strategy-2021-2051-home/" TargetMode="External"/><Relationship Id="rId248" Type="http://schemas.openxmlformats.org/officeDocument/2006/relationships/hyperlink" Target="https://sport.vic.gov.au/grants-and-funding/our-grants/community-sports-infrastructure-stimulus-program" TargetMode="External"/><Relationship Id="rId455" Type="http://schemas.openxmlformats.org/officeDocument/2006/relationships/hyperlink" Target="https://www.budget.vic.gov.au/budget-papers" TargetMode="External"/><Relationship Id="rId662" Type="http://schemas.openxmlformats.org/officeDocument/2006/relationships/hyperlink" Target="https://www.budget.vic.gov.au/budget-papers" TargetMode="External"/><Relationship Id="rId12" Type="http://schemas.openxmlformats.org/officeDocument/2006/relationships/hyperlink" Target="https://s3.ap-southeast-2.amazonaws.com/budgetfiles202324.budget.vic.gov.au/2023-24+State+Budget+-+Service+Delivery.pdf" TargetMode="External"/><Relationship Id="rId108" Type="http://schemas.openxmlformats.org/officeDocument/2006/relationships/hyperlink" Target="https://www.budget.vic.gov.au/budget-papers" TargetMode="External"/><Relationship Id="rId315" Type="http://schemas.openxmlformats.org/officeDocument/2006/relationships/hyperlink" Target="https://www.vic.gov.au/department-education-and-training-strategic-plan-2022-26" TargetMode="External"/><Relationship Id="rId522" Type="http://schemas.openxmlformats.org/officeDocument/2006/relationships/hyperlink" Target="https://www.infrastructurevictoria.com.au/victorias-infrastructure-strategy-2021-2051-home/" TargetMode="External"/><Relationship Id="rId96" Type="http://schemas.openxmlformats.org/officeDocument/2006/relationships/hyperlink" Target="https://bigbuild.vic.gov.au/projects/mrpv/south-gippsland-highway" TargetMode="External"/><Relationship Id="rId161" Type="http://schemas.openxmlformats.org/officeDocument/2006/relationships/hyperlink" Target="https://www.tac.vic.gov.au/road-safety/victorian-road-safety-strategy/victorian-road-safety-strategy-2021-2030" TargetMode="External"/><Relationship Id="rId399" Type="http://schemas.openxmlformats.org/officeDocument/2006/relationships/hyperlink" Target="https://www.premier.vic.gov.au/empowering-communities-neighbourhood-batteries" TargetMode="External"/><Relationship Id="rId259" Type="http://schemas.openxmlformats.org/officeDocument/2006/relationships/hyperlink" Target="https://www.clearinghouseforsport.gov.au/research/ausplay/results" TargetMode="External"/><Relationship Id="rId466" Type="http://schemas.openxmlformats.org/officeDocument/2006/relationships/hyperlink" Target="https://www.environment.vic.gov.au/suburban-parks/local-parks" TargetMode="External"/><Relationship Id="rId673" Type="http://schemas.openxmlformats.org/officeDocument/2006/relationships/hyperlink" Target="https://www.corrections.vic.gov.au/monthly-time-series-prison-and-community-corrections-data" TargetMode="External"/><Relationship Id="rId23" Type="http://schemas.openxmlformats.org/officeDocument/2006/relationships/hyperlink" Target="https://www.premier.vic.gov.au/gas-roadmap-drives-down-energy-bills-and-emissions" TargetMode="External"/><Relationship Id="rId119" Type="http://schemas.openxmlformats.org/officeDocument/2006/relationships/hyperlink" Target="https://s3.ap-southeast-2.amazonaws.com/budgetfiles202324.budget.vic.gov.au/2023-24+State+Budget+-+Service+Delivery.pdf" TargetMode="External"/><Relationship Id="rId326" Type="http://schemas.openxmlformats.org/officeDocument/2006/relationships/hyperlink" Target="https://www.budget.vic.gov.au/budget-papers" TargetMode="External"/><Relationship Id="rId533" Type="http://schemas.openxmlformats.org/officeDocument/2006/relationships/hyperlink" Target="https://www.budget.vic.gov.au/budget-papers" TargetMode="External"/><Relationship Id="rId740" Type="http://schemas.openxmlformats.org/officeDocument/2006/relationships/hyperlink" Target="https://www.budget.vic.gov.au/budget-papers" TargetMode="External"/><Relationship Id="rId172" Type="http://schemas.openxmlformats.org/officeDocument/2006/relationships/hyperlink" Target="https://www.premier.vic.gov.au/site-4/cheaper-regional-fares-now-effect" TargetMode="External"/><Relationship Id="rId477" Type="http://schemas.openxmlformats.org/officeDocument/2006/relationships/hyperlink" Target="https://www.budget.vic.gov.au/budget-papers" TargetMode="External"/><Relationship Id="rId600" Type="http://schemas.openxmlformats.org/officeDocument/2006/relationships/hyperlink" Target="https://www.vic.gov.au/family-violence-reform-rolling-action-plan-2020-2023/orange-door" TargetMode="External"/><Relationship Id="rId684" Type="http://schemas.openxmlformats.org/officeDocument/2006/relationships/hyperlink" Target="https://www.infrastructurevictoria.com.au/victorias-infrastructure-strategy-2021-2051-home/" TargetMode="External"/><Relationship Id="rId337" Type="http://schemas.openxmlformats.org/officeDocument/2006/relationships/hyperlink" Target="https://doi.org/10.1177/0013916516648735" TargetMode="External"/><Relationship Id="rId34" Type="http://schemas.openxmlformats.org/officeDocument/2006/relationships/hyperlink" Target="https://www.budget.vic.gov.au/budget-papers" TargetMode="External"/><Relationship Id="rId544" Type="http://schemas.openxmlformats.org/officeDocument/2006/relationships/hyperlink" Target="https://www.vic.gov.au/establishment-recycling-victoria" TargetMode="External"/><Relationship Id="rId751" Type="http://schemas.openxmlformats.org/officeDocument/2006/relationships/hyperlink" Target="https://s3.ap-southeast-2.amazonaws.com/budgetfiles202324.budget.vic.gov.au/2023-24+State+Budget+-+Service+Delivery.pdf" TargetMode="External"/><Relationship Id="rId183" Type="http://schemas.openxmlformats.org/officeDocument/2006/relationships/hyperlink" Target="https://s3.ap-southeast-2.amazonaws.com/budgetfiles202324.budget.vic.gov.au/2023-24+State+Budget+-+State+Capital+Program.pdf" TargetMode="External"/><Relationship Id="rId390" Type="http://schemas.openxmlformats.org/officeDocument/2006/relationships/hyperlink" Target="https://www.solar.vic.gov.au/zero-emissions-vehicle-subsidy" TargetMode="External"/><Relationship Id="rId404" Type="http://schemas.openxmlformats.org/officeDocument/2006/relationships/hyperlink" Target="https://www.energy.vic.gov.au/about-energy/legislation/regulatory-reviews/electricity-distribution-network-resilience-review" TargetMode="External"/><Relationship Id="rId611" Type="http://schemas.openxmlformats.org/officeDocument/2006/relationships/hyperlink" Target="https://www.vhba.vic.gov.au/news/70-million-plus-for-health-infrastructure-upgrades-across-rural-and-regional-victoria" TargetMode="External"/><Relationship Id="rId250" Type="http://schemas.openxmlformats.org/officeDocument/2006/relationships/hyperlink" Target="https://sport.vic.gov.au/news/articles/lighting-up-sports-in-the-eastern-suburbs" TargetMode="External"/><Relationship Id="rId488" Type="http://schemas.openxmlformats.org/officeDocument/2006/relationships/hyperlink" Target="https://www.premier.vic.gov.au/site-4/more-upgraded-campgrounds-across-victoria-time-easter" TargetMode="External"/><Relationship Id="rId695" Type="http://schemas.openxmlformats.org/officeDocument/2006/relationships/hyperlink" Target="https://www.audit.vic.gov.au/report/administration-victorian-courts?section=%27" TargetMode="External"/><Relationship Id="rId709" Type="http://schemas.openxmlformats.org/officeDocument/2006/relationships/hyperlink" Target="https://s3.ap-southeast-2.amazonaws.com/budgetfiles202324.budget.vic.gov.au/2023-24+State+Budget+-+Service+Delivery.pdf" TargetMode="External"/><Relationship Id="rId45" Type="http://schemas.openxmlformats.org/officeDocument/2006/relationships/hyperlink" Target="https://s3.ap-southeast-2.amazonaws.com/budgetfiles202324.budget.vic.gov.au/2023-24+State+Budget+-+Service+Delivery.pdf" TargetMode="External"/><Relationship Id="rId110" Type="http://schemas.openxmlformats.org/officeDocument/2006/relationships/hyperlink" Target="https://www.dtf.vic.gov.au/economic-and-financial-updates/2022-victorian-economic-and-fiscal-update" TargetMode="External"/><Relationship Id="rId348" Type="http://schemas.openxmlformats.org/officeDocument/2006/relationships/hyperlink" Target="https://www2.education.vic.gov.au/pal/school-maintenance-plans-rfe/policy" TargetMode="External"/><Relationship Id="rId555" Type="http://schemas.openxmlformats.org/officeDocument/2006/relationships/hyperlink" Target="https://www.infrastructurevictoria.com.au/victorias-infrastructure-strategy-2021-2051-home/" TargetMode="External"/><Relationship Id="rId762" Type="http://schemas.openxmlformats.org/officeDocument/2006/relationships/hyperlink" Target="https://s3.ap-southeast-2.amazonaws.com/budgetfiles202324.budget.vic.gov.au/2023-24+State+Budget+-+Service+Delivery.pdf" TargetMode="External"/><Relationship Id="rId194" Type="http://schemas.openxmlformats.org/officeDocument/2006/relationships/hyperlink" Target="https://www.budget.vic.gov.au/budget-papers" TargetMode="External"/><Relationship Id="rId208" Type="http://schemas.openxmlformats.org/officeDocument/2006/relationships/hyperlink" Target="https://bigbuild.vic.gov.au/projects/metro-tunnel/about/technology/high-capacity-signalling" TargetMode="External"/><Relationship Id="rId415" Type="http://schemas.openxmlformats.org/officeDocument/2006/relationships/hyperlink" Target="https://www.energy.vic.gov.au/renewable-energy/victorian-renewable-energy-and-storage-targets" TargetMode="External"/><Relationship Id="rId622" Type="http://schemas.openxmlformats.org/officeDocument/2006/relationships/hyperlink" Target="https://www.vhba.vic.gov.au/news/construction-starts-childrens-emergency-department-university-hospital-geelong" TargetMode="External"/><Relationship Id="rId261" Type="http://schemas.openxmlformats.org/officeDocument/2006/relationships/hyperlink" Target="https://sport.vic.gov.au/news/articles/fair-access-for-women-and-girls-in-sport" TargetMode="External"/><Relationship Id="rId499" Type="http://schemas.openxmlformats.org/officeDocument/2006/relationships/hyperlink" Target="https://www.climatechange.vic.gov.au/climate-action-targets" TargetMode="External"/><Relationship Id="rId56" Type="http://schemas.openxmlformats.org/officeDocument/2006/relationships/hyperlink" Target="https://www.premier.vic.gov.au/william-angliss-institutes-bun-day-delivers-tasty-treats" TargetMode="External"/><Relationship Id="rId359" Type="http://schemas.openxmlformats.org/officeDocument/2006/relationships/hyperlink" Target="https://www.premier.vic.gov.au/best-start-best-life-early-childhood-education-works" TargetMode="External"/><Relationship Id="rId566" Type="http://schemas.openxmlformats.org/officeDocument/2006/relationships/hyperlink" Target="https://www.premier.vic.gov.au/new-south-east-palliative-care-hub-now-open" TargetMode="External"/><Relationship Id="rId773" Type="http://schemas.openxmlformats.org/officeDocument/2006/relationships/hyperlink" Target="https://www.water.vic.gov.au/aboriginal-values/the-aboriginal-water-program" TargetMode="External"/><Relationship Id="rId121" Type="http://schemas.openxmlformats.org/officeDocument/2006/relationships/hyperlink" Target="https://s3.ap-southeast-2.amazonaws.com/budgetfiles202324.budget.vic.gov.au/2023-24+State+Budget+-+Service+Delivery.pdf" TargetMode="External"/><Relationship Id="rId219" Type="http://schemas.openxmlformats.org/officeDocument/2006/relationships/hyperlink" Target="https://www.climatechange.vic.gov.au/greenhouse-gas-emissions" TargetMode="External"/><Relationship Id="rId426" Type="http://schemas.openxmlformats.org/officeDocument/2006/relationships/hyperlink" Target="https://www.budget.vic.gov.au/budget-papers" TargetMode="External"/><Relationship Id="rId633" Type="http://schemas.openxmlformats.org/officeDocument/2006/relationships/hyperlink" Target="https://www.infrastructurevictoria.com.au/victorias-infrastructure-strategy-2021-2051-home/" TargetMode="External"/><Relationship Id="rId67" Type="http://schemas.openxmlformats.org/officeDocument/2006/relationships/hyperlink" Target="https://s3.ap-southeast-2.amazonaws.com/budgetfiles202324.budget.vic.gov.au/2023-24+State+Budget+-+Service+Delivery.pdf" TargetMode="External"/><Relationship Id="rId272" Type="http://schemas.openxmlformats.org/officeDocument/2006/relationships/hyperlink" Target="https://www.localgovernment.vic.gov.au/grants/rural-and-regional-councils-sustainability-reform" TargetMode="External"/><Relationship Id="rId577" Type="http://schemas.openxmlformats.org/officeDocument/2006/relationships/hyperlink" Target="https://www.budget.vic.gov.au/budget-papers" TargetMode="External"/><Relationship Id="rId700" Type="http://schemas.openxmlformats.org/officeDocument/2006/relationships/hyperlink" Target="https://www.budget.vic.gov.au/budget-papers" TargetMode="External"/><Relationship Id="rId132" Type="http://schemas.openxmlformats.org/officeDocument/2006/relationships/hyperlink" Target="https://www.budget.vic.gov.au/budget-papers" TargetMode="External"/><Relationship Id="rId784" Type="http://schemas.openxmlformats.org/officeDocument/2006/relationships/hyperlink" Target="https://www.waterefficiencyproject.com.au/" TargetMode="External"/><Relationship Id="rId437" Type="http://schemas.openxmlformats.org/officeDocument/2006/relationships/hyperlink" Target="https://soe.dcceew.gov.au/land/pressures/introduced-and-invasive-species" TargetMode="External"/><Relationship Id="rId644" Type="http://schemas.openxmlformats.org/officeDocument/2006/relationships/hyperlink" Target="https://www.homes.vic.gov.au/social-housing-growth-fund" TargetMode="External"/><Relationship Id="rId283" Type="http://schemas.openxmlformats.org/officeDocument/2006/relationships/hyperlink" Target="https://www.budget.vic.gov.au/budget-papers" TargetMode="External"/><Relationship Id="rId490" Type="http://schemas.openxmlformats.org/officeDocument/2006/relationships/hyperlink" Target="https://www.premier.vic.gov.au/site-4/major-milestones-werribee-open-range-zoo-expansion" TargetMode="External"/><Relationship Id="rId504" Type="http://schemas.openxmlformats.org/officeDocument/2006/relationships/hyperlink" Target="https://www.climatechange.vic.gov.au/climate-action-targets" TargetMode="External"/><Relationship Id="rId711" Type="http://schemas.openxmlformats.org/officeDocument/2006/relationships/hyperlink" Target="https://s3.ap-southeast-2.amazonaws.com/budgetfiles202324.budget.vic.gov.au/2023-24+State+Budget+-+Service+Delivery.pdf" TargetMode="External"/><Relationship Id="rId78" Type="http://schemas.openxmlformats.org/officeDocument/2006/relationships/hyperlink" Target="https://www.budget.vic.gov.au/budget-papers" TargetMode="External"/><Relationship Id="rId143" Type="http://schemas.openxmlformats.org/officeDocument/2006/relationships/hyperlink" Target="https://bigbuild.vic.gov.au/projects/west-gate-tunnel-project/about/explore-the-project/overview" TargetMode="External"/><Relationship Id="rId350" Type="http://schemas.openxmlformats.org/officeDocument/2006/relationships/hyperlink" Target="https://s3.ap-southeast-2.amazonaws.com/budgetfiles202324.budget.vic.gov.au/2023-24+State+Budget+-+Service+Delivery.pdf" TargetMode="External"/><Relationship Id="rId588" Type="http://schemas.openxmlformats.org/officeDocument/2006/relationships/hyperlink" Target="https://www.vic.gov.au/about-royal-commission-family-violence" TargetMode="External"/><Relationship Id="rId795" Type="http://schemas.openxmlformats.org/officeDocument/2006/relationships/hyperlink" Target="https://www.dtf.vic.gov.au/state-financial-data-sets/departmental-statements" TargetMode="External"/><Relationship Id="rId9" Type="http://schemas.openxmlformats.org/officeDocument/2006/relationships/hyperlink" Target="https://www.budget.vic.gov.au/budget-papers" TargetMode="External"/><Relationship Id="rId210" Type="http://schemas.openxmlformats.org/officeDocument/2006/relationships/hyperlink" Target="https://www.premier.vic.gov.au/new-public-transport-ticketing-contract" TargetMode="External"/><Relationship Id="rId448" Type="http://schemas.openxmlformats.org/officeDocument/2006/relationships/hyperlink" Target="https://s3.ap-southeast-2.amazonaws.com/budgetfiles202324.budget.vic.gov.au/2023-24+State+Budget+-+Service+Delivery.pdf" TargetMode="External"/><Relationship Id="rId655" Type="http://schemas.openxmlformats.org/officeDocument/2006/relationships/hyperlink" Target="https://www.infrastructurevictoria.com.au/victorias-infrastructure-strategy-2021-2051-home/" TargetMode="External"/><Relationship Id="rId294" Type="http://schemas.openxmlformats.org/officeDocument/2006/relationships/hyperlink" Target="https://s3.ap-southeast-2.amazonaws.com/Budget%20files202223.Budget%20.vic.gov.au/2022-23+State+Budget%20+-+Service+Delivery.pdf" TargetMode="External"/><Relationship Id="rId308" Type="http://schemas.openxmlformats.org/officeDocument/2006/relationships/hyperlink" Target="https://www.schoolbuildings.vic.gov.au/shared-facilities-fund" TargetMode="External"/><Relationship Id="rId515" Type="http://schemas.openxmlformats.org/officeDocument/2006/relationships/hyperlink" Target="https://www.budget.vic.gov.au/budget-papers" TargetMode="External"/><Relationship Id="rId722" Type="http://schemas.openxmlformats.org/officeDocument/2006/relationships/hyperlink" Target="https://s3.ap-southeast-2.amazonaws.com/budgetfiles202324.budget.vic.gov.au/2023-24+State+Budget+-+Service+Delivery.pdf" TargetMode="External"/><Relationship Id="rId89" Type="http://schemas.openxmlformats.org/officeDocument/2006/relationships/hyperlink" Target="https://www.bitre.gov.au/publications/2022/australian-infrastructure-and-transport-statistics-yearbook-2022" TargetMode="External"/><Relationship Id="rId154" Type="http://schemas.openxmlformats.org/officeDocument/2006/relationships/hyperlink" Target="https://www.budget.vic.gov.au/budget-papers" TargetMode="External"/><Relationship Id="rId361" Type="http://schemas.openxmlformats.org/officeDocument/2006/relationships/hyperlink" Target="https://www.vic.gov.au/department-education-and-training-strategic-plan-2022-26" TargetMode="External"/><Relationship Id="rId599" Type="http://schemas.openxmlformats.org/officeDocument/2006/relationships/hyperlink" Target="https://www.orangedoor.vic.gov.au/find-a-service-near-you" TargetMode="External"/><Relationship Id="rId459" Type="http://schemas.openxmlformats.org/officeDocument/2006/relationships/hyperlink" Target="https://www.budget.vic.gov.au/budget-papers" TargetMode="External"/><Relationship Id="rId666" Type="http://schemas.openxmlformats.org/officeDocument/2006/relationships/hyperlink" Target="https://www.fvrim.vic.gov.au/report-family-violence-reform-implementation-monitor-1-november-2020" TargetMode="External"/><Relationship Id="rId16" Type="http://schemas.openxmlformats.org/officeDocument/2006/relationships/hyperlink" Target="https://www.energy.vic.gov.au/renewable-energy/victorian-renewable-energy-and-storage-targets" TargetMode="External"/><Relationship Id="rId221" Type="http://schemas.openxmlformats.org/officeDocument/2006/relationships/hyperlink" Target="https://www.infrastructurevictoria.com.au/victorias-infrastructure-strategy-2021-2051-home/" TargetMode="External"/><Relationship Id="rId319" Type="http://schemas.openxmlformats.org/officeDocument/2006/relationships/hyperlink" Target="https://www.vic.gov.au/office-tafe-coordination-and-delivery" TargetMode="External"/><Relationship Id="rId526" Type="http://schemas.openxmlformats.org/officeDocument/2006/relationships/hyperlink" Target="https://www.vic.gov.au/victorias-plan-circular-economy" TargetMode="External"/><Relationship Id="rId733" Type="http://schemas.openxmlformats.org/officeDocument/2006/relationships/hyperlink" Target="https://www.ses.vic.gov.au/news-and-media/community-matters" TargetMode="External"/><Relationship Id="rId165" Type="http://schemas.openxmlformats.org/officeDocument/2006/relationships/hyperlink" Target="https://bigbuild.vic.gov.au/projects/mrpv/st-kilda-road-bike-lanes" TargetMode="External"/><Relationship Id="rId372" Type="http://schemas.openxmlformats.org/officeDocument/2006/relationships/hyperlink" Target="https://www.esc.vic.gov.au/electricity-and-gas/market-performance-and-reporting/victorian-energy-market-report" TargetMode="External"/><Relationship Id="rId677" Type="http://schemas.openxmlformats.org/officeDocument/2006/relationships/hyperlink" Target="https://csba.vic.gov.au/our-projects/dame-phyllis-frost-centre" TargetMode="External"/><Relationship Id="rId800" Type="http://schemas.openxmlformats.org/officeDocument/2006/relationships/hyperlink" Target="https://www.water.vic.gov.au/planning/long-term-assessments-and-strategies/central-gipps-sws" TargetMode="External"/><Relationship Id="rId232" Type="http://schemas.openxmlformats.org/officeDocument/2006/relationships/hyperlink" Target="https://engage.vic.gov.au/twelve-apostles" TargetMode="External"/><Relationship Id="rId27" Type="http://schemas.openxmlformats.org/officeDocument/2006/relationships/hyperlink" Target="https://www.infrastructurevictoria.com.au/victorias-infrastructure-strategy-2021-2051-home/" TargetMode="External"/><Relationship Id="rId537" Type="http://schemas.openxmlformats.org/officeDocument/2006/relationships/hyperlink" Target="https://www.vic.gov.au/regional-circular-economy-plans" TargetMode="External"/><Relationship Id="rId744" Type="http://schemas.openxmlformats.org/officeDocument/2006/relationships/hyperlink" Target="https://www.premier.vic.gov.au/first-relief-centre-aboriginal-community-gippsland" TargetMode="External"/><Relationship Id="rId80" Type="http://schemas.openxmlformats.org/officeDocument/2006/relationships/hyperlink" Target="https://www.infrastructurevictoria.com.au/victorias-infrastructure-strategy-2021-2051-home/" TargetMode="External"/><Relationship Id="rId176" Type="http://schemas.openxmlformats.org/officeDocument/2006/relationships/hyperlink" Target="https://www.budget.vic.gov.au/budget-papers" TargetMode="External"/><Relationship Id="rId383" Type="http://schemas.openxmlformats.org/officeDocument/2006/relationships/hyperlink" Target="https://www.energy.vic.gov.au/for-households/energy-assistance-program" TargetMode="External"/><Relationship Id="rId590" Type="http://schemas.openxmlformats.org/officeDocument/2006/relationships/hyperlink" Target="https://www.premier.vic.gov.au/new-dedicated-hub-upskill-paramedics-delivered" TargetMode="External"/><Relationship Id="rId604" Type="http://schemas.openxmlformats.org/officeDocument/2006/relationships/hyperlink" Target="https://s3.ap-southeast-2.amazonaws.com/budgetfiles202324.budget.vic.gov.au/2023-24+State+Budget+-+State+Capital+Program.pdf" TargetMode="External"/><Relationship Id="rId243" Type="http://schemas.openxmlformats.org/officeDocument/2006/relationships/hyperlink" Target="https://population.gov.au/publications/statements/2022-population-statement" TargetMode="External"/><Relationship Id="rId450" Type="http://schemas.openxmlformats.org/officeDocument/2006/relationships/hyperlink" Target="https://s3.ap-southeast-2.amazonaws.com/budgetfiles202324.budget.vic.gov.au/2023-24+State+Budget+-+Service+Delivery.pdf" TargetMode="External"/><Relationship Id="rId688" Type="http://schemas.openxmlformats.org/officeDocument/2006/relationships/hyperlink" Target="https://courts.vic.gov.au/about-csv/strategic-plan" TargetMode="External"/><Relationship Id="rId38" Type="http://schemas.openxmlformats.org/officeDocument/2006/relationships/hyperlink" Target="https://monashhealth.org/latest-news/2023/02/19/monash-healths-victorian-heart-hospital-officially-launches/" TargetMode="External"/><Relationship Id="rId103" Type="http://schemas.openxmlformats.org/officeDocument/2006/relationships/hyperlink" Target="https://bigbuild.vic.gov.au/projects/mrpv/point-cook-rd-and-central-ave-intersection-upgrade" TargetMode="External"/><Relationship Id="rId310" Type="http://schemas.openxmlformats.org/officeDocument/2006/relationships/hyperlink" Target="https://www.schoolbuildings.vic.gov.au/werribee-secondary-college" TargetMode="External"/><Relationship Id="rId548" Type="http://schemas.openxmlformats.org/officeDocument/2006/relationships/hyperlink" Target="https://www.premier.vic.gov.au/victorians-benefit-new-container-deposit-scheme" TargetMode="External"/><Relationship Id="rId755" Type="http://schemas.openxmlformats.org/officeDocument/2006/relationships/hyperlink" Target="https://www.premier.vic.gov.au/funding-boost-volunteer-emergency-services" TargetMode="External"/><Relationship Id="rId91" Type="http://schemas.openxmlformats.org/officeDocument/2006/relationships/hyperlink" Target="https://www.infrastructurevictoria.com.au/victorias-infrastructure-strategy-2021-2051-home/" TargetMode="External"/><Relationship Id="rId187" Type="http://schemas.openxmlformats.org/officeDocument/2006/relationships/hyperlink" Target="https://www.infrastructurevictoria.com.au/victorias-infrastructure-strategy-2021-2051-home/" TargetMode="External"/><Relationship Id="rId394" Type="http://schemas.openxmlformats.org/officeDocument/2006/relationships/hyperlink" Target="https://www.premier.vic.gov.au/ban-delivers-cheaper-energy-and-more-choice" TargetMode="External"/><Relationship Id="rId408" Type="http://schemas.openxmlformats.org/officeDocument/2006/relationships/hyperlink" Target="https://www.deeca.vic.gov.au/our-department/annual-report" TargetMode="External"/><Relationship Id="rId615" Type="http://schemas.openxmlformats.org/officeDocument/2006/relationships/hyperlink" Target="https://www.premier.vic.gov.au/more-access-free-healthcare-across-victoria" TargetMode="External"/><Relationship Id="rId254" Type="http://schemas.openxmlformats.org/officeDocument/2006/relationships/hyperlink" Target="https://www.abs.gov.au/statistics/people/population/regional-population-age-and-sex/latest-release" TargetMode="External"/><Relationship Id="rId699" Type="http://schemas.openxmlformats.org/officeDocument/2006/relationships/hyperlink" Target="https://s3.ap-southeast-2.amazonaws.com/budgetfiles202324.budget.vic.gov.au/2023-24+State+Budget+-+Service+Delivery.pdf" TargetMode="External"/><Relationship Id="rId49" Type="http://schemas.openxmlformats.org/officeDocument/2006/relationships/hyperlink" Target="https://www.premier.vic.gov.au/skills-plan-sets-vital-training-and-jobs-roadmap" TargetMode="External"/><Relationship Id="rId114" Type="http://schemas.openxmlformats.org/officeDocument/2006/relationships/hyperlink" Target="https://www.dtf.vic.gov.au/infrastructure-plan" TargetMode="External"/><Relationship Id="rId461" Type="http://schemas.openxmlformats.org/officeDocument/2006/relationships/hyperlink" Target="https://www.vic.gov.au/victoria-state-emblems" TargetMode="External"/><Relationship Id="rId559" Type="http://schemas.openxmlformats.org/officeDocument/2006/relationships/hyperlink" Target="https://www.dtf.vic.gov.au/state-financial-data-sets/departmental-statements" TargetMode="External"/><Relationship Id="rId766" Type="http://schemas.openxmlformats.org/officeDocument/2006/relationships/hyperlink" Target="https://www.infrastructurevictoria.com.au/victorias-infrastructure-strategy-2021-2051-home/" TargetMode="External"/><Relationship Id="rId198" Type="http://schemas.openxmlformats.org/officeDocument/2006/relationships/hyperlink" Target="https://www.premier.vic.gov.au/zero-emission-buses-accelerate-melbournes-west" TargetMode="External"/><Relationship Id="rId321" Type="http://schemas.openxmlformats.org/officeDocument/2006/relationships/hyperlink" Target="https://tafe.educationapps.vic.gov.au/s/tafefindyourlocaltafe" TargetMode="External"/><Relationship Id="rId419" Type="http://schemas.openxmlformats.org/officeDocument/2006/relationships/hyperlink" Target="https://www.premier.vic.gov.au/australias-biggest-renewable-energy-storage-targets" TargetMode="External"/><Relationship Id="rId626" Type="http://schemas.openxmlformats.org/officeDocument/2006/relationships/hyperlink" Target="https://www.budget.vic.gov.au/budget-papers" TargetMode="External"/><Relationship Id="rId265" Type="http://schemas.openxmlformats.org/officeDocument/2006/relationships/hyperlink" Target="https://www.budget.vic.gov.au/budget-papers" TargetMode="External"/><Relationship Id="rId472" Type="http://schemas.openxmlformats.org/officeDocument/2006/relationships/hyperlink" Target="https://www.parks.vic.gov.au/about-us" TargetMode="External"/><Relationship Id="rId125" Type="http://schemas.openxmlformats.org/officeDocument/2006/relationships/hyperlink" Target="https://s3.ap-southeast-2.amazonaws.com/budgetfiles202324.budget.vic.gov.au/2023-24+State+Budget+-+Service+Delivery.pdf" TargetMode="External"/><Relationship Id="rId332" Type="http://schemas.openxmlformats.org/officeDocument/2006/relationships/hyperlink" Target="https://www.premier.vic.gov.au/warrnambool-library-and-learning-centre-opens-its-doors" TargetMode="External"/><Relationship Id="rId777" Type="http://schemas.openxmlformats.org/officeDocument/2006/relationships/hyperlink" Target="https://www.infrastructurevictoria.com.au/2022/09/28/drought-fire-and-floods-how-is-the-victorian-water-sector-planning-for-a-changing-climate/" TargetMode="External"/><Relationship Id="rId637" Type="http://schemas.openxmlformats.org/officeDocument/2006/relationships/hyperlink" Target="https://www.dffh.vic.gov.au/sites/default/files/documents/202110/DFFH%202021%20strategic%20plan.pdf" TargetMode="External"/><Relationship Id="rId276" Type="http://schemas.openxmlformats.org/officeDocument/2006/relationships/hyperlink" Target="https://www.localgovernment.vic.gov.au/grants/living-libraries-infrastructure-program" TargetMode="External"/><Relationship Id="rId483" Type="http://schemas.openxmlformats.org/officeDocument/2006/relationships/hyperlink" Target="https://www.environment.vic.gov.au/suburban-parks/sandbelt-parklands" TargetMode="External"/><Relationship Id="rId690" Type="http://schemas.openxmlformats.org/officeDocument/2006/relationships/hyperlink" Target="https://www.audit.vic.gov.au/report/administration-victorian-courts?section=%27" TargetMode="External"/><Relationship Id="rId704" Type="http://schemas.openxmlformats.org/officeDocument/2006/relationships/hyperlink" Target="https://www.budget.vic.gov.au/budget-papers" TargetMode="External"/><Relationship Id="rId40" Type="http://schemas.openxmlformats.org/officeDocument/2006/relationships/hyperlink" Target="https://www.budget.vic.gov.au/budget-papers" TargetMode="External"/><Relationship Id="rId136" Type="http://schemas.openxmlformats.org/officeDocument/2006/relationships/hyperlink" Target="https://bigbuild.vic.gov.au/projects/melbourne-airport-rail" TargetMode="External"/><Relationship Id="rId343" Type="http://schemas.openxmlformats.org/officeDocument/2006/relationships/hyperlink" Target="https://s3.ap-southeast-2.amazonaws.com/budgetfiles202324.budget.vic.gov.au/2023-24+State+Budget+-+Service+Delivery.pdf" TargetMode="External"/><Relationship Id="rId550" Type="http://schemas.openxmlformats.org/officeDocument/2006/relationships/hyperlink" Target="https://www.epa.vic.gov.au/about-epa/our-programs-and-projects/single-use-plastics-ban" TargetMode="External"/><Relationship Id="rId788" Type="http://schemas.openxmlformats.org/officeDocument/2006/relationships/hyperlink" Target="https://www.water.vic.gov.au/__data/assets/pdf_file/0020/663140/IWM-progress-report.pdf" TargetMode="External"/><Relationship Id="rId203" Type="http://schemas.openxmlformats.org/officeDocument/2006/relationships/hyperlink" Target="https://www.premier.vic.gov.au/e-scooter-trial-extended-across-victoria" TargetMode="External"/><Relationship Id="rId648" Type="http://schemas.openxmlformats.org/officeDocument/2006/relationships/hyperlink" Target="https://www.budget.vic.gov.au/budget-papers" TargetMode="External"/><Relationship Id="rId287" Type="http://schemas.openxmlformats.org/officeDocument/2006/relationships/hyperlink" Target="https://www.vic.gov.au/sites/default/files/2022-06/brochureapril.docx" TargetMode="External"/><Relationship Id="rId410" Type="http://schemas.openxmlformats.org/officeDocument/2006/relationships/hyperlink" Target="https://s3.ap-southeast-2.amazonaws.com/budgetfiles202324.budget.vic.gov.au/2023-24+State+Budget+-+Service+Delivery.pdf" TargetMode="External"/><Relationship Id="rId494" Type="http://schemas.openxmlformats.org/officeDocument/2006/relationships/hyperlink" Target="https://www.premier.vic.gov.au/new-direction-victorias-billion-dollar-industry" TargetMode="External"/><Relationship Id="rId508" Type="http://schemas.openxmlformats.org/officeDocument/2006/relationships/hyperlink" Target="https://www.energy.vic.gov.au/renewable-energy/victorian-renewable-energy-and-storage-targets" TargetMode="External"/><Relationship Id="rId715" Type="http://schemas.openxmlformats.org/officeDocument/2006/relationships/hyperlink" Target="https://www.justice.vic.gov.au/corporate-plan-2022-26" TargetMode="External"/><Relationship Id="rId147" Type="http://schemas.openxmlformats.org/officeDocument/2006/relationships/hyperlink" Target="https://www.infrastructurevictoria.com.au/victorias-infrastructure-strategy-2021-2051-home/" TargetMode="External"/><Relationship Id="rId354" Type="http://schemas.openxmlformats.org/officeDocument/2006/relationships/hyperlink" Target="https://www.budget.vic.gov.au/budget-papers" TargetMode="External"/><Relationship Id="rId799" Type="http://schemas.openxmlformats.org/officeDocument/2006/relationships/hyperlink" Target="https://www.premier.vic.gov.au/delivering-water-security-our-future" TargetMode="External"/><Relationship Id="rId51" Type="http://schemas.openxmlformats.org/officeDocument/2006/relationships/hyperlink" Target="https://s3.ap-southeast-2.amazonaws.com/budgetfiles202324.budget.vic.gov.au/2023-24+State+Budget+-+Service+Delivery.pdf" TargetMode="External"/><Relationship Id="rId561" Type="http://schemas.openxmlformats.org/officeDocument/2006/relationships/hyperlink" Target="https://www.budget.vic.gov.au/budget-papers" TargetMode="External"/><Relationship Id="rId659" Type="http://schemas.openxmlformats.org/officeDocument/2006/relationships/hyperlink" Target="https://www.vic.gov.au/ending-family-violence-annual-report-2021/impact-of-the-covid-19-pandemic" TargetMode="External"/><Relationship Id="rId214" Type="http://schemas.openxmlformats.org/officeDocument/2006/relationships/hyperlink" Target="https://smarterroads.vic.gov.au/vicroads/smarter-roads/technology" TargetMode="External"/><Relationship Id="rId298" Type="http://schemas.openxmlformats.org/officeDocument/2006/relationships/hyperlink" Target="https://www.planning.vic.gov.au/guides-and-resources/strategies-and-initiatives/plan-melbourne/the-plan" TargetMode="External"/><Relationship Id="rId421" Type="http://schemas.openxmlformats.org/officeDocument/2006/relationships/hyperlink" Target="https://engage.vic.gov.au/victorian-transmission-investment-framework" TargetMode="External"/><Relationship Id="rId519" Type="http://schemas.openxmlformats.org/officeDocument/2006/relationships/hyperlink" Target="https://www.marineandcoasts.vic.gov.au/marine-coastal-management/victorias-resilient-coast-adapting-for-2100" TargetMode="External"/><Relationship Id="rId158" Type="http://schemas.openxmlformats.org/officeDocument/2006/relationships/hyperlink" Target="https://www.dtf.vic.gov.au/state-financial-data-sets/departmental-statements" TargetMode="External"/><Relationship Id="rId726" Type="http://schemas.openxmlformats.org/officeDocument/2006/relationships/hyperlink" Target="https://s3.ap-southeast-2.amazonaws.com/budgetfiles202324.budget.vic.gov.au/2023-24+State+Budget+-+Service+Delivery.pdf" TargetMode="External"/><Relationship Id="rId62" Type="http://schemas.openxmlformats.org/officeDocument/2006/relationships/hyperlink" Target="https://s3.ap-southeast-2.amazonaws.com/budgetfiles202324.budget.vic.gov.au/2023-24+State+Budget+-+State+Capital+Program.pdf" TargetMode="External"/><Relationship Id="rId365" Type="http://schemas.openxmlformats.org/officeDocument/2006/relationships/hyperlink" Target="https://s3.ap-southeast-2.amazonaws.com/budgetfiles202324.budget.vic.gov.au/2023-24+State+Budget+-+Service+Delivery.pdf" TargetMode="External"/><Relationship Id="rId572" Type="http://schemas.openxmlformats.org/officeDocument/2006/relationships/hyperlink" Target="https://s3.ap-southeast-2.amazonaws.com/budgetfiles202324.budget.vic.gov.au/2023-24+State+Budget+-+State+Capital+Program.pdf" TargetMode="External"/><Relationship Id="rId225" Type="http://schemas.openxmlformats.org/officeDocument/2006/relationships/hyperlink" Target="https://s3.ap-southeast-2.amazonaws.com/budgetfiles202324.budget.vic.gov.au/2023-24+State+Budget+-+Service+Delivery.pdf" TargetMode="External"/><Relationship Id="rId432" Type="http://schemas.openxmlformats.org/officeDocument/2006/relationships/hyperlink" Target="https://www.energy.vic.gov.au/renewable-energy/victorias-gas-substitution-roadmap" TargetMode="External"/><Relationship Id="rId737" Type="http://schemas.openxmlformats.org/officeDocument/2006/relationships/hyperlink" Target="https://www.dtf.vic.gov.au/economic-and-financial-updates/2022-victorian-economic-and-fiscal-update" TargetMode="External"/><Relationship Id="rId73" Type="http://schemas.openxmlformats.org/officeDocument/2006/relationships/hyperlink" Target="https://djsir.vic.gov.au/__data/assets/pdf_file/0010/2172079/Experience-Victoria-2033-web.pdf" TargetMode="External"/><Relationship Id="rId169" Type="http://schemas.openxmlformats.org/officeDocument/2006/relationships/hyperlink" Target="https://www.budget.vic.gov.au/budget-papers" TargetMode="External"/><Relationship Id="rId376" Type="http://schemas.openxmlformats.org/officeDocument/2006/relationships/hyperlink" Target="https://www.premier.vic.gov.au/site-4/helping-low-income-households-stay-comfy-and-save-money" TargetMode="External"/><Relationship Id="rId583" Type="http://schemas.openxmlformats.org/officeDocument/2006/relationships/hyperlink" Target="https://www.infrastructurevictoria.com.au/victorias-infrastructure-strategy-2021-2051-home/" TargetMode="External"/><Relationship Id="rId790" Type="http://schemas.openxmlformats.org/officeDocument/2006/relationships/hyperlink" Target="https://www.water.vic.gov.au/our-programs/integrated-water-management" TargetMode="External"/><Relationship Id="rId4" Type="http://schemas.openxmlformats.org/officeDocument/2006/relationships/hyperlink" Target="https://www.nature.com/articles/s41598-023-30347-y" TargetMode="External"/><Relationship Id="rId236" Type="http://schemas.openxmlformats.org/officeDocument/2006/relationships/hyperlink" Target="https://www.development.vic.gov.au/projects/geelong-arts-centre" TargetMode="External"/><Relationship Id="rId443" Type="http://schemas.openxmlformats.org/officeDocument/2006/relationships/hyperlink" Target="https://www.budget.vic.gov.au/budget-papers" TargetMode="External"/><Relationship Id="rId650" Type="http://schemas.openxmlformats.org/officeDocument/2006/relationships/hyperlink" Target="https://www.premier.vic.gov.au/increased-funding-youth-housing-across-victoria" TargetMode="External"/><Relationship Id="rId303" Type="http://schemas.openxmlformats.org/officeDocument/2006/relationships/hyperlink" Target="https://www.premier.vic.gov.au/support-schools-prepare-disability-inclusion" TargetMode="External"/><Relationship Id="rId748" Type="http://schemas.openxmlformats.org/officeDocument/2006/relationships/hyperlink" Target="https://www.budget.vic.gov.au/budget-papers" TargetMode="External"/><Relationship Id="rId84" Type="http://schemas.openxmlformats.org/officeDocument/2006/relationships/hyperlink" Target="https://www.infrastructurevictoria.com.au/project/our-home-choices/" TargetMode="External"/><Relationship Id="rId387" Type="http://schemas.openxmlformats.org/officeDocument/2006/relationships/hyperlink" Target="https://s3.ap-southeast-2.amazonaws.com/budgetfiles202324.budget.vic.gov.au/2023-24+State+Budget+-+Service+Delivery.pdf" TargetMode="External"/><Relationship Id="rId510" Type="http://schemas.openxmlformats.org/officeDocument/2006/relationships/hyperlink" Target="https://s3.ap-southeast-2.amazonaws.com/budgetfiles202324.budget.vic.gov.au/2023-24+State+Budget+-+Service+Delivery.pdf" TargetMode="External"/><Relationship Id="rId594" Type="http://schemas.openxmlformats.org/officeDocument/2006/relationships/hyperlink" Target="https://www.danandrews.com.au/supporting-workers-through-alcohol-and-other-drug-issues" TargetMode="External"/><Relationship Id="rId608" Type="http://schemas.openxmlformats.org/officeDocument/2006/relationships/hyperlink" Target="https://finalreport.rcvmhs.vic.gov.au/wp-content/uploads/2021/02/RCVMHS_FinalReport_Vol1_Accessible.pdf" TargetMode="External"/><Relationship Id="rId247" Type="http://schemas.openxmlformats.org/officeDocument/2006/relationships/hyperlink" Target="https://sport.vic.gov.au/news/articles/matildas-chase-for-cup-glory-begins-at-their-new-home" TargetMode="External"/><Relationship Id="rId107" Type="http://schemas.openxmlformats.org/officeDocument/2006/relationships/hyperlink" Target="https://www.dtf.vic.gov.au/economic-and-financial-updates/2022-victorian-economic-and-fiscal-update" TargetMode="External"/><Relationship Id="rId454" Type="http://schemas.openxmlformats.org/officeDocument/2006/relationships/hyperlink" Target="https://s3.ap-southeast-2.amazonaws.com/budgetfiles202324.budget.vic.gov.au/2023-24+State+Budget+-+Service+Delivery.pdf" TargetMode="External"/><Relationship Id="rId661" Type="http://schemas.openxmlformats.org/officeDocument/2006/relationships/hyperlink" Target="https://s3.ap-southeast-2.amazonaws.com/budgetfiles202324.budget.vic.gov.au/2023-24+State+Budget+-+Service+Delivery.pdf" TargetMode="External"/><Relationship Id="rId759" Type="http://schemas.openxmlformats.org/officeDocument/2006/relationships/hyperlink" Target="https://www.vic.gov.au/fire-services-reform" TargetMode="External"/><Relationship Id="rId11" Type="http://schemas.openxmlformats.org/officeDocument/2006/relationships/hyperlink" Target="https://www.budget.vic.gov.au/budget-papers" TargetMode="External"/><Relationship Id="rId314" Type="http://schemas.openxmlformats.org/officeDocument/2006/relationships/hyperlink" Target="https://www.vic.gov.au/department-education-and-training-strategic-plan-2022-26" TargetMode="External"/><Relationship Id="rId398" Type="http://schemas.openxmlformats.org/officeDocument/2006/relationships/hyperlink" Target="https://www.infrastructurevictoria.com.au/report/towards-2050-gas-infrastructure-in-a-net-zero-emissions-economy/" TargetMode="External"/><Relationship Id="rId521" Type="http://schemas.openxmlformats.org/officeDocument/2006/relationships/hyperlink" Target="https://www.infrastructurevictoria.com.au/victorias-infrastructure-strategy-2021-2051-home/" TargetMode="External"/><Relationship Id="rId619" Type="http://schemas.openxmlformats.org/officeDocument/2006/relationships/hyperlink" Target="https://s3.ap-southeast-2.amazonaws.com/budgetfiles202324.budget.vic.gov.au/2023-24+State+Budget+-+Service+Delivery.pdf" TargetMode="External"/><Relationship Id="rId95" Type="http://schemas.openxmlformats.org/officeDocument/2006/relationships/hyperlink" Target="https://bigbuild.vic.gov.au/projects/mrpv/western-port-highway-upgrade" TargetMode="External"/><Relationship Id="rId160" Type="http://schemas.openxmlformats.org/officeDocument/2006/relationships/hyperlink" Target="https://dtp.vic.gov.au/about/our-annual-report-2021-2022" TargetMode="External"/><Relationship Id="rId258" Type="http://schemas.openxmlformats.org/officeDocument/2006/relationships/hyperlink" Target="https://www.clearinghouseforsport.gov.au/research/ausplay/results" TargetMode="External"/><Relationship Id="rId465" Type="http://schemas.openxmlformats.org/officeDocument/2006/relationships/hyperlink" Target="https://www.infrastructurevictoria.com.au/victorias-infrastructure-strategy-2021-2051-home/" TargetMode="External"/><Relationship Id="rId672" Type="http://schemas.openxmlformats.org/officeDocument/2006/relationships/hyperlink" Target="https://www.corrections.vic.gov.au/monthly-time-series-prison-and-community-corrections-data" TargetMode="External"/><Relationship Id="rId22" Type="http://schemas.openxmlformats.org/officeDocument/2006/relationships/hyperlink" Target="https://www.infrastructurevictoria.com.au/report/towards-2050-gas-infrastructure-in-a-net-zero-emissions-economy/" TargetMode="External"/><Relationship Id="rId118" Type="http://schemas.openxmlformats.org/officeDocument/2006/relationships/hyperlink" Target="https://www.budget.vic.gov.au/budget-papers" TargetMode="External"/><Relationship Id="rId325" Type="http://schemas.openxmlformats.org/officeDocument/2006/relationships/hyperlink" Target="https://www.premier.vic.gov.au/skills-plan-sets-vital-training-and-jobs-roadmap" TargetMode="External"/><Relationship Id="rId532" Type="http://schemas.openxmlformats.org/officeDocument/2006/relationships/hyperlink" Target="https://s3.ap-southeast-2.amazonaws.com/budgetfiles202324.budget.vic.gov.au/2023-24+State+Budget+-+Service+Delivery.pdf" TargetMode="External"/><Relationship Id="rId171" Type="http://schemas.openxmlformats.org/officeDocument/2006/relationships/hyperlink" Target="https://www.premier.vic.gov.au/union-station-opening-marks-major-level-crossing-milesto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E3659B-B24D-ED40-BA38-AD3E26705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398</TotalTime>
  <Pages>78</Pages>
  <Words>47966</Words>
  <Characters>273410</Characters>
  <Application>Microsoft Office Word</Application>
  <DocSecurity>0</DocSecurity>
  <Lines>2278</Lines>
  <Paragraphs>641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Carla Thornton</cp:lastModifiedBy>
  <cp:revision>618</cp:revision>
  <dcterms:created xsi:type="dcterms:W3CDTF">2023-11-02T04:54:00Z</dcterms:created>
  <dcterms:modified xsi:type="dcterms:W3CDTF">2023-11-20T00:05:00Z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2023-11-02T00:00:00Z</vt:filetime>
  </property>
  <property fmtid="{D5CDD505-2E9C-101B-9397-08002B2CF9AE}" pid="3" name="Creator">
    <vt:lpwstr>Adobe InDesign 19.0 (Macintosh)</vt:lpwstr>
  </property>
  <property fmtid="{D5CDD505-2E9C-101B-9397-08002B2CF9AE}" pid="4" name="LastSaved">
    <vt:filetime>2023-11-02T00:00:00Z</vt:filetime>
  </property>
  <property fmtid="{D5CDD505-2E9C-101B-9397-08002B2CF9AE}" pid="5" name="Producer">
    <vt:lpwstr>Adobe PDF Library 17.0</vt:lpwstr>
  </property>
</Properties>
</file>